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9"/>
      </w:tblGrid>
      <w:tr w:rsidR="00D53BB2" w:rsidRPr="00487162" w14:paraId="4D4A0073" w14:textId="77777777" w:rsidTr="00D53BB2">
        <w:trPr>
          <w:trHeight w:val="1705"/>
        </w:trPr>
        <w:tc>
          <w:tcPr>
            <w:tcW w:w="7239" w:type="dxa"/>
            <w:tcBorders>
              <w:top w:val="nil"/>
              <w:left w:val="nil"/>
              <w:bottom w:val="nil"/>
              <w:right w:val="nil"/>
            </w:tcBorders>
          </w:tcPr>
          <w:p w14:paraId="79D23D30" w14:textId="6290B026" w:rsidR="008E7846" w:rsidRDefault="00842FC4" w:rsidP="006734F9">
            <w:pPr>
              <w:pStyle w:val="Date"/>
              <w:framePr w:hSpace="0" w:wrap="auto" w:vAnchor="margin" w:hAnchor="text" w:yAlign="inline"/>
              <w:suppressOverlap w:val="0"/>
            </w:pPr>
            <w:r>
              <w:t xml:space="preserve">First </w:t>
            </w:r>
            <w:r w:rsidR="00D53BB2">
              <w:t xml:space="preserve">round </w:t>
            </w:r>
            <w:r w:rsidR="00D53BB2" w:rsidRPr="006734F9">
              <w:t>report</w:t>
            </w:r>
            <w:r w:rsidR="00D53BB2">
              <w:t xml:space="preserve">: </w:t>
            </w:r>
            <w:r>
              <w:t>10 June 2016</w:t>
            </w:r>
          </w:p>
          <w:p w14:paraId="118242D1" w14:textId="63C28D2D" w:rsidR="00842FC4" w:rsidRPr="0017078F" w:rsidRDefault="00842FC4" w:rsidP="006734F9">
            <w:pPr>
              <w:pStyle w:val="Date"/>
              <w:framePr w:hSpace="0" w:wrap="auto" w:vAnchor="margin" w:hAnchor="text" w:yAlign="inline"/>
              <w:suppressOverlap w:val="0"/>
            </w:pPr>
            <w:r>
              <w:t xml:space="preserve">Second </w:t>
            </w:r>
            <w:r w:rsidR="00C34D77">
              <w:t>round report:</w:t>
            </w:r>
            <w:r>
              <w:t xml:space="preserve"> 13 October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3F2FEA37" w14:textId="77777777" w:rsidTr="00E07F15">
        <w:trPr>
          <w:trHeight w:val="1548"/>
        </w:trPr>
        <w:tc>
          <w:tcPr>
            <w:tcW w:w="9079" w:type="dxa"/>
          </w:tcPr>
          <w:p w14:paraId="2B002248" w14:textId="3F8363C2" w:rsidR="0032583B" w:rsidRPr="00A964D1" w:rsidRDefault="004D0D48" w:rsidP="006734F9">
            <w:pPr>
              <w:pStyle w:val="Title"/>
              <w:framePr w:hSpace="0" w:wrap="auto" w:vAnchor="margin" w:yAlign="inline"/>
            </w:pPr>
            <w:r>
              <w:t xml:space="preserve">AusPAR </w:t>
            </w:r>
            <w:r w:rsidRPr="006734F9">
              <w:t>Attachment</w:t>
            </w:r>
            <w:r>
              <w:t xml:space="preserve"> 1</w:t>
            </w:r>
          </w:p>
        </w:tc>
      </w:tr>
      <w:tr w:rsidR="00E07F15" w:rsidRPr="00A964D1" w14:paraId="24AC09F5" w14:textId="77777777" w:rsidTr="00E07F15">
        <w:trPr>
          <w:trHeight w:val="868"/>
        </w:trPr>
        <w:tc>
          <w:tcPr>
            <w:tcW w:w="9079" w:type="dxa"/>
          </w:tcPr>
          <w:p w14:paraId="2C391374" w14:textId="77777777" w:rsidR="00E07F15" w:rsidRPr="00A964D1" w:rsidRDefault="00E07F15" w:rsidP="006734F9">
            <w:pPr>
              <w:pStyle w:val="Title"/>
              <w:framePr w:hSpace="0" w:wrap="auto" w:vAnchor="margin" w:yAlign="inline"/>
            </w:pPr>
            <w:r>
              <w:t>Extract from the Clinical Evaluation Report</w:t>
            </w:r>
            <w:r w:rsidRPr="00A964D1">
              <w:t xml:space="preserve"> for </w:t>
            </w:r>
            <w:r w:rsidR="00842FC4">
              <w:t>Sarilumab</w:t>
            </w:r>
            <w:r w:rsidR="007312A2">
              <w:t xml:space="preserve"> (rch)</w:t>
            </w:r>
          </w:p>
        </w:tc>
      </w:tr>
      <w:tr w:rsidR="00E07F15" w:rsidRPr="00B64760" w14:paraId="57362B77" w14:textId="77777777" w:rsidTr="00E07F15">
        <w:tc>
          <w:tcPr>
            <w:tcW w:w="9079" w:type="dxa"/>
          </w:tcPr>
          <w:p w14:paraId="7706B40C" w14:textId="39AEDC5A" w:rsidR="00E07F15" w:rsidRPr="008E7846" w:rsidRDefault="00E07F15" w:rsidP="006734F9">
            <w:pPr>
              <w:pStyle w:val="Subtitle"/>
              <w:framePr w:hSpace="0" w:wrap="auto" w:vAnchor="margin" w:yAlign="inline"/>
            </w:pPr>
            <w:r w:rsidRPr="008E7846">
              <w:t xml:space="preserve">Proprietary Product </w:t>
            </w:r>
            <w:r w:rsidRPr="006734F9">
              <w:t>Name</w:t>
            </w:r>
            <w:r w:rsidRPr="008E7846">
              <w:t xml:space="preserve">: </w:t>
            </w:r>
            <w:r w:rsidR="00842FC4">
              <w:t>Kevzara, Ilsidex</w:t>
            </w:r>
          </w:p>
        </w:tc>
      </w:tr>
      <w:tr w:rsidR="00E07F15" w:rsidRPr="00B64760" w14:paraId="11F9BD3F" w14:textId="77777777" w:rsidTr="00E07F15">
        <w:trPr>
          <w:trHeight w:val="486"/>
        </w:trPr>
        <w:tc>
          <w:tcPr>
            <w:tcW w:w="9079" w:type="dxa"/>
          </w:tcPr>
          <w:p w14:paraId="542E5EDA" w14:textId="04483CD8" w:rsidR="00E07F15" w:rsidRPr="008E7846" w:rsidRDefault="00E07F15" w:rsidP="006734F9">
            <w:pPr>
              <w:pStyle w:val="Subtitle"/>
              <w:framePr w:hSpace="0" w:wrap="auto" w:vAnchor="margin" w:yAlign="inline"/>
            </w:pPr>
            <w:r w:rsidRPr="008E7846">
              <w:t xml:space="preserve">Sponsor: </w:t>
            </w:r>
            <w:r w:rsidR="00842FC4">
              <w:t>Sanofi-Aventis Pty Ltd</w:t>
            </w:r>
          </w:p>
        </w:tc>
      </w:tr>
    </w:tbl>
    <w:p w14:paraId="34DDCA84" w14:textId="77777777" w:rsidR="008E7846" w:rsidRDefault="008E7846" w:rsidP="008E7846">
      <w:pPr>
        <w:pStyle w:val="NonTOCHeading2"/>
      </w:pPr>
      <w:r>
        <w:br w:type="page"/>
      </w:r>
    </w:p>
    <w:p w14:paraId="3BAEFF5F" w14:textId="77777777" w:rsidR="008E7846" w:rsidRPr="001F6CBA" w:rsidRDefault="008E7846" w:rsidP="008E7846">
      <w:pPr>
        <w:pStyle w:val="NonTOCHeading2"/>
      </w:pPr>
      <w:r w:rsidRPr="001F6CBA">
        <w:lastRenderedPageBreak/>
        <w:t>About the Therapeutic Goods Administration (TGA)</w:t>
      </w:r>
    </w:p>
    <w:p w14:paraId="4387BC0C" w14:textId="77777777" w:rsidR="008E7846" w:rsidRDefault="008E7846" w:rsidP="00871574">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4945FEB6" w14:textId="77777777" w:rsidR="008E7846" w:rsidRDefault="00C811C0" w:rsidP="00871574">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1D496A9B" w14:textId="77777777" w:rsidR="008E7846" w:rsidRDefault="008E7846" w:rsidP="00871574">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248B71A9" w14:textId="77777777" w:rsidR="008E7846" w:rsidRDefault="008E7846" w:rsidP="00871574">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14942076" w14:textId="0DAC0F18" w:rsidR="008E7846" w:rsidRDefault="008E7846" w:rsidP="00871574">
      <w:pPr>
        <w:pStyle w:val="ListBullet"/>
        <w:numPr>
          <w:ilvl w:val="0"/>
          <w:numId w:val="1"/>
        </w:numPr>
        <w:ind w:left="357" w:hanging="357"/>
      </w:pPr>
      <w:r>
        <w:t>To report a problem with a medicine or medical device, please see the information on the TGA website</w:t>
      </w:r>
      <w:r w:rsidR="00112F56">
        <w:t xml:space="preserve"> </w:t>
      </w:r>
      <w:r w:rsidR="007312A2">
        <w:t>&lt;</w:t>
      </w:r>
      <w:hyperlink r:id="rId9" w:history="1">
        <w:r w:rsidR="00E979F4" w:rsidRPr="00FE02B1">
          <w:rPr>
            <w:rStyle w:val="Hyperlink"/>
          </w:rPr>
          <w:t>https://www.tga.gov.au</w:t>
        </w:r>
      </w:hyperlink>
      <w:r w:rsidR="007312A2">
        <w:t>&gt;</w:t>
      </w:r>
      <w:r>
        <w:t>.</w:t>
      </w:r>
    </w:p>
    <w:p w14:paraId="11AE0DF6"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5D5A4798"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6B797905" w14:textId="1FFF7FC1" w:rsidR="003D0A3B" w:rsidRDefault="003D0A3B" w:rsidP="003D0A3B">
      <w:pPr>
        <w:pStyle w:val="ListBullet"/>
      </w:pPr>
      <w:r w:rsidRPr="003D0A3B">
        <w:t>The words [Information redacted], where they appear in this document, indicate that confidential information has been deleted.</w:t>
      </w:r>
    </w:p>
    <w:p w14:paraId="2E2496C0" w14:textId="6AE7AE8A" w:rsidR="0017078F" w:rsidRDefault="003D0A3B" w:rsidP="0017078F">
      <w:pPr>
        <w:pStyle w:val="ListBullet"/>
      </w:pPr>
      <w:r w:rsidRPr="003D0A3B">
        <w:t>For the most recent Product Information (PI), please refer to the TGA website</w:t>
      </w:r>
      <w:r>
        <w:t xml:space="preserve"> </w:t>
      </w:r>
      <w:r w:rsidR="004C35B6">
        <w:t>&lt;</w:t>
      </w:r>
      <w:hyperlink r:id="rId10" w:history="1">
        <w:r w:rsidR="0010193C">
          <w:rPr>
            <w:rStyle w:val="Hyperlink"/>
          </w:rPr>
          <w:t>https://www.tga.gov.au/product-information-pi</w:t>
        </w:r>
      </w:hyperlink>
      <w:r w:rsidR="007312A2">
        <w:t>&gt;</w:t>
      </w:r>
      <w:r w:rsidR="0017078F">
        <w:t>.</w:t>
      </w:r>
    </w:p>
    <w:p w14:paraId="4CB806CF" w14:textId="77777777" w:rsidR="00924482" w:rsidRPr="00DF1D7F" w:rsidRDefault="00924482" w:rsidP="00447C20">
      <w:pPr>
        <w:pStyle w:val="LegalSubheading"/>
        <w:spacing w:before="3960"/>
      </w:pPr>
      <w:r w:rsidRPr="00DF1D7F">
        <w:t>Copyright</w:t>
      </w:r>
    </w:p>
    <w:p w14:paraId="4AEA22D8" w14:textId="27D4C0DE" w:rsidR="00924482" w:rsidRDefault="00924482" w:rsidP="00924482">
      <w:pPr>
        <w:pStyle w:val="LegalCopy"/>
      </w:pPr>
      <w:r w:rsidRPr="00191B3B">
        <w:rPr>
          <w:rFonts w:cs="Arial"/>
          <w:lang w:val="en-GB"/>
        </w:rPr>
        <w:t>© Comm</w:t>
      </w:r>
      <w:r>
        <w:rPr>
          <w:rFonts w:cs="Arial"/>
          <w:lang w:val="en-GB"/>
        </w:rPr>
        <w:t>onwealth of Australia 201</w:t>
      </w:r>
      <w:r w:rsidR="001F23CB">
        <w:rPr>
          <w:rFonts w:cs="Arial"/>
          <w:lang w:val="en-GB"/>
        </w:rPr>
        <w:t>8</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w:t>
      </w:r>
      <w:r w:rsidR="007312A2">
        <w:rPr>
          <w:rFonts w:cs="Arial"/>
          <w:lang w:val="en-GB"/>
        </w:rPr>
        <w:t xml:space="preserve">&lt; </w:t>
      </w:r>
      <w:hyperlink r:id="rId11" w:history="1">
        <w:r w:rsidRPr="00191B3B">
          <w:rPr>
            <w:rStyle w:val="Hyperlink"/>
            <w:rFonts w:cs="Arial"/>
            <w:lang w:val="en-GB"/>
          </w:rPr>
          <w:t>tga.copyright@tga.gov.au</w:t>
        </w:r>
      </w:hyperlink>
      <w:r w:rsidR="007312A2">
        <w:rPr>
          <w:rFonts w:cs="Arial"/>
        </w:rPr>
        <w:t xml:space="preserve">&gt; </w:t>
      </w:r>
      <w:r w:rsidRPr="00191B3B">
        <w:rPr>
          <w:rFonts w:cs="Arial"/>
        </w:rPr>
        <w:t>.</w:t>
      </w:r>
    </w:p>
    <w:p w14:paraId="134784AD"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39B989E9" w14:textId="77777777" w:rsidR="0089635C" w:rsidRPr="0089635C" w:rsidRDefault="0089635C" w:rsidP="0010788A">
          <w:pPr>
            <w:pStyle w:val="Contents"/>
          </w:pPr>
          <w:r w:rsidRPr="0010788A">
            <w:t>Contents</w:t>
          </w:r>
        </w:p>
        <w:bookmarkStart w:id="2" w:name="_GoBack"/>
        <w:bookmarkEnd w:id="2"/>
        <w:p w14:paraId="5E7898AC" w14:textId="77777777" w:rsidR="00655A51"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19848418" w:history="1">
            <w:r w:rsidR="00655A51" w:rsidRPr="00B25B00">
              <w:rPr>
                <w:rStyle w:val="Hyperlink"/>
                <w:noProof/>
              </w:rPr>
              <w:t>List of abbreviations</w:t>
            </w:r>
            <w:r w:rsidR="00655A51">
              <w:rPr>
                <w:noProof/>
                <w:webHidden/>
              </w:rPr>
              <w:tab/>
            </w:r>
            <w:r w:rsidR="00655A51">
              <w:rPr>
                <w:noProof/>
                <w:webHidden/>
              </w:rPr>
              <w:fldChar w:fldCharType="begin"/>
            </w:r>
            <w:r w:rsidR="00655A51">
              <w:rPr>
                <w:noProof/>
                <w:webHidden/>
              </w:rPr>
              <w:instrText xml:space="preserve"> PAGEREF _Toc519848418 \h </w:instrText>
            </w:r>
            <w:r w:rsidR="00655A51">
              <w:rPr>
                <w:noProof/>
                <w:webHidden/>
              </w:rPr>
            </w:r>
            <w:r w:rsidR="00655A51">
              <w:rPr>
                <w:noProof/>
                <w:webHidden/>
              </w:rPr>
              <w:fldChar w:fldCharType="separate"/>
            </w:r>
            <w:r w:rsidR="00655A51">
              <w:rPr>
                <w:noProof/>
                <w:webHidden/>
              </w:rPr>
              <w:t>5</w:t>
            </w:r>
            <w:r w:rsidR="00655A51">
              <w:rPr>
                <w:noProof/>
                <w:webHidden/>
              </w:rPr>
              <w:fldChar w:fldCharType="end"/>
            </w:r>
          </w:hyperlink>
        </w:p>
        <w:p w14:paraId="5385F1A6" w14:textId="77777777" w:rsidR="00655A51" w:rsidRDefault="00655A51">
          <w:pPr>
            <w:pStyle w:val="TOC2"/>
            <w:tabs>
              <w:tab w:val="left" w:pos="1100"/>
            </w:tabs>
            <w:rPr>
              <w:rFonts w:asciiTheme="minorHAnsi" w:eastAsiaTheme="minorEastAsia" w:hAnsiTheme="minorHAnsi" w:cstheme="minorBidi"/>
              <w:b w:val="0"/>
              <w:noProof/>
              <w:sz w:val="22"/>
              <w:lang w:eastAsia="en-AU"/>
            </w:rPr>
          </w:pPr>
          <w:hyperlink w:anchor="_Toc519848419" w:history="1">
            <w:r w:rsidRPr="00B25B00">
              <w:rPr>
                <w:rStyle w:val="Hyperlink"/>
                <w:noProof/>
                <w:lang w:eastAsia="en-AU"/>
              </w:rPr>
              <w:t>1.</w:t>
            </w:r>
            <w:r>
              <w:rPr>
                <w:rFonts w:asciiTheme="minorHAnsi" w:eastAsiaTheme="minorEastAsia" w:hAnsiTheme="minorHAnsi" w:cstheme="minorBidi"/>
                <w:b w:val="0"/>
                <w:noProof/>
                <w:sz w:val="22"/>
                <w:lang w:eastAsia="en-AU"/>
              </w:rPr>
              <w:tab/>
            </w:r>
            <w:r w:rsidRPr="00B25B00">
              <w:rPr>
                <w:rStyle w:val="Hyperlink"/>
                <w:noProof/>
                <w:lang w:eastAsia="en-AU"/>
              </w:rPr>
              <w:t>Introduction</w:t>
            </w:r>
            <w:r>
              <w:rPr>
                <w:noProof/>
                <w:webHidden/>
              </w:rPr>
              <w:tab/>
            </w:r>
            <w:r>
              <w:rPr>
                <w:noProof/>
                <w:webHidden/>
              </w:rPr>
              <w:fldChar w:fldCharType="begin"/>
            </w:r>
            <w:r>
              <w:rPr>
                <w:noProof/>
                <w:webHidden/>
              </w:rPr>
              <w:instrText xml:space="preserve"> PAGEREF _Toc519848419 \h </w:instrText>
            </w:r>
            <w:r>
              <w:rPr>
                <w:noProof/>
                <w:webHidden/>
              </w:rPr>
            </w:r>
            <w:r>
              <w:rPr>
                <w:noProof/>
                <w:webHidden/>
              </w:rPr>
              <w:fldChar w:fldCharType="separate"/>
            </w:r>
            <w:r>
              <w:rPr>
                <w:noProof/>
                <w:webHidden/>
              </w:rPr>
              <w:t>8</w:t>
            </w:r>
            <w:r>
              <w:rPr>
                <w:noProof/>
                <w:webHidden/>
              </w:rPr>
              <w:fldChar w:fldCharType="end"/>
            </w:r>
          </w:hyperlink>
        </w:p>
        <w:p w14:paraId="54944E1C"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20" w:history="1">
            <w:r w:rsidRPr="00B25B00">
              <w:rPr>
                <w:rStyle w:val="Hyperlink"/>
                <w:noProof/>
              </w:rPr>
              <w:t>1.1.</w:t>
            </w:r>
            <w:r>
              <w:rPr>
                <w:rFonts w:asciiTheme="minorHAnsi" w:eastAsiaTheme="minorEastAsia" w:hAnsiTheme="minorHAnsi" w:cstheme="minorBidi"/>
                <w:noProof/>
                <w:lang w:eastAsia="en-AU"/>
              </w:rPr>
              <w:tab/>
            </w:r>
            <w:r w:rsidRPr="00B25B00">
              <w:rPr>
                <w:rStyle w:val="Hyperlink"/>
                <w:noProof/>
              </w:rPr>
              <w:t>Dosage forms and strengths</w:t>
            </w:r>
            <w:r>
              <w:rPr>
                <w:noProof/>
                <w:webHidden/>
              </w:rPr>
              <w:tab/>
            </w:r>
            <w:r>
              <w:rPr>
                <w:noProof/>
                <w:webHidden/>
              </w:rPr>
              <w:fldChar w:fldCharType="begin"/>
            </w:r>
            <w:r>
              <w:rPr>
                <w:noProof/>
                <w:webHidden/>
              </w:rPr>
              <w:instrText xml:space="preserve"> PAGEREF _Toc519848420 \h </w:instrText>
            </w:r>
            <w:r>
              <w:rPr>
                <w:noProof/>
                <w:webHidden/>
              </w:rPr>
            </w:r>
            <w:r>
              <w:rPr>
                <w:noProof/>
                <w:webHidden/>
              </w:rPr>
              <w:fldChar w:fldCharType="separate"/>
            </w:r>
            <w:r>
              <w:rPr>
                <w:noProof/>
                <w:webHidden/>
              </w:rPr>
              <w:t>8</w:t>
            </w:r>
            <w:r>
              <w:rPr>
                <w:noProof/>
                <w:webHidden/>
              </w:rPr>
              <w:fldChar w:fldCharType="end"/>
            </w:r>
          </w:hyperlink>
        </w:p>
        <w:p w14:paraId="58857C16"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21" w:history="1">
            <w:r w:rsidRPr="00B25B00">
              <w:rPr>
                <w:rStyle w:val="Hyperlink"/>
                <w:noProof/>
              </w:rPr>
              <w:t>1.2.</w:t>
            </w:r>
            <w:r>
              <w:rPr>
                <w:rFonts w:asciiTheme="minorHAnsi" w:eastAsiaTheme="minorEastAsia" w:hAnsiTheme="minorHAnsi" w:cstheme="minorBidi"/>
                <w:noProof/>
                <w:lang w:eastAsia="en-AU"/>
              </w:rPr>
              <w:tab/>
            </w:r>
            <w:r w:rsidRPr="00B25B00">
              <w:rPr>
                <w:rStyle w:val="Hyperlink"/>
                <w:noProof/>
              </w:rPr>
              <w:t>Dosage and administration</w:t>
            </w:r>
            <w:r>
              <w:rPr>
                <w:noProof/>
                <w:webHidden/>
              </w:rPr>
              <w:tab/>
            </w:r>
            <w:r>
              <w:rPr>
                <w:noProof/>
                <w:webHidden/>
              </w:rPr>
              <w:fldChar w:fldCharType="begin"/>
            </w:r>
            <w:r>
              <w:rPr>
                <w:noProof/>
                <w:webHidden/>
              </w:rPr>
              <w:instrText xml:space="preserve"> PAGEREF _Toc519848421 \h </w:instrText>
            </w:r>
            <w:r>
              <w:rPr>
                <w:noProof/>
                <w:webHidden/>
              </w:rPr>
            </w:r>
            <w:r>
              <w:rPr>
                <w:noProof/>
                <w:webHidden/>
              </w:rPr>
              <w:fldChar w:fldCharType="separate"/>
            </w:r>
            <w:r>
              <w:rPr>
                <w:noProof/>
                <w:webHidden/>
              </w:rPr>
              <w:t>8</w:t>
            </w:r>
            <w:r>
              <w:rPr>
                <w:noProof/>
                <w:webHidden/>
              </w:rPr>
              <w:fldChar w:fldCharType="end"/>
            </w:r>
          </w:hyperlink>
        </w:p>
        <w:p w14:paraId="13F631C2" w14:textId="77777777" w:rsidR="00655A51" w:rsidRDefault="00655A51">
          <w:pPr>
            <w:pStyle w:val="TOC2"/>
            <w:tabs>
              <w:tab w:val="left" w:pos="1100"/>
            </w:tabs>
            <w:rPr>
              <w:rFonts w:asciiTheme="minorHAnsi" w:eastAsiaTheme="minorEastAsia" w:hAnsiTheme="minorHAnsi" w:cstheme="minorBidi"/>
              <w:b w:val="0"/>
              <w:noProof/>
              <w:sz w:val="22"/>
              <w:lang w:eastAsia="en-AU"/>
            </w:rPr>
          </w:pPr>
          <w:hyperlink w:anchor="_Toc519848422" w:history="1">
            <w:r w:rsidRPr="00B25B00">
              <w:rPr>
                <w:rStyle w:val="Hyperlink"/>
                <w:noProof/>
              </w:rPr>
              <w:t>2.</w:t>
            </w:r>
            <w:r>
              <w:rPr>
                <w:rFonts w:asciiTheme="minorHAnsi" w:eastAsiaTheme="minorEastAsia" w:hAnsiTheme="minorHAnsi" w:cstheme="minorBidi"/>
                <w:b w:val="0"/>
                <w:noProof/>
                <w:sz w:val="22"/>
                <w:lang w:eastAsia="en-AU"/>
              </w:rPr>
              <w:tab/>
            </w:r>
            <w:r w:rsidRPr="00B25B00">
              <w:rPr>
                <w:rStyle w:val="Hyperlink"/>
                <w:noProof/>
              </w:rPr>
              <w:t>Clinical rationale</w:t>
            </w:r>
            <w:r>
              <w:rPr>
                <w:noProof/>
                <w:webHidden/>
              </w:rPr>
              <w:tab/>
            </w:r>
            <w:r>
              <w:rPr>
                <w:noProof/>
                <w:webHidden/>
              </w:rPr>
              <w:fldChar w:fldCharType="begin"/>
            </w:r>
            <w:r>
              <w:rPr>
                <w:noProof/>
                <w:webHidden/>
              </w:rPr>
              <w:instrText xml:space="preserve"> PAGEREF _Toc519848422 \h </w:instrText>
            </w:r>
            <w:r>
              <w:rPr>
                <w:noProof/>
                <w:webHidden/>
              </w:rPr>
            </w:r>
            <w:r>
              <w:rPr>
                <w:noProof/>
                <w:webHidden/>
              </w:rPr>
              <w:fldChar w:fldCharType="separate"/>
            </w:r>
            <w:r>
              <w:rPr>
                <w:noProof/>
                <w:webHidden/>
              </w:rPr>
              <w:t>9</w:t>
            </w:r>
            <w:r>
              <w:rPr>
                <w:noProof/>
                <w:webHidden/>
              </w:rPr>
              <w:fldChar w:fldCharType="end"/>
            </w:r>
          </w:hyperlink>
        </w:p>
        <w:p w14:paraId="66DFAA2E"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23" w:history="1">
            <w:r w:rsidRPr="00B25B00">
              <w:rPr>
                <w:rStyle w:val="Hyperlink"/>
                <w:noProof/>
              </w:rPr>
              <w:t>2.1.</w:t>
            </w:r>
            <w:r>
              <w:rPr>
                <w:rFonts w:asciiTheme="minorHAnsi" w:eastAsiaTheme="minorEastAsia" w:hAnsiTheme="minorHAnsi" w:cstheme="minorBidi"/>
                <w:noProof/>
                <w:lang w:eastAsia="en-AU"/>
              </w:rPr>
              <w:tab/>
            </w:r>
            <w:r w:rsidRPr="00B25B00">
              <w:rPr>
                <w:rStyle w:val="Hyperlink"/>
                <w:noProof/>
              </w:rPr>
              <w:t>Formulation</w:t>
            </w:r>
            <w:r>
              <w:rPr>
                <w:noProof/>
                <w:webHidden/>
              </w:rPr>
              <w:tab/>
            </w:r>
            <w:r>
              <w:rPr>
                <w:noProof/>
                <w:webHidden/>
              </w:rPr>
              <w:fldChar w:fldCharType="begin"/>
            </w:r>
            <w:r>
              <w:rPr>
                <w:noProof/>
                <w:webHidden/>
              </w:rPr>
              <w:instrText xml:space="preserve"> PAGEREF _Toc519848423 \h </w:instrText>
            </w:r>
            <w:r>
              <w:rPr>
                <w:noProof/>
                <w:webHidden/>
              </w:rPr>
            </w:r>
            <w:r>
              <w:rPr>
                <w:noProof/>
                <w:webHidden/>
              </w:rPr>
              <w:fldChar w:fldCharType="separate"/>
            </w:r>
            <w:r>
              <w:rPr>
                <w:noProof/>
                <w:webHidden/>
              </w:rPr>
              <w:t>9</w:t>
            </w:r>
            <w:r>
              <w:rPr>
                <w:noProof/>
                <w:webHidden/>
              </w:rPr>
              <w:fldChar w:fldCharType="end"/>
            </w:r>
          </w:hyperlink>
        </w:p>
        <w:p w14:paraId="2D908439" w14:textId="77777777" w:rsidR="00655A51" w:rsidRDefault="00655A51">
          <w:pPr>
            <w:pStyle w:val="TOC2"/>
            <w:tabs>
              <w:tab w:val="left" w:pos="1100"/>
            </w:tabs>
            <w:rPr>
              <w:rFonts w:asciiTheme="minorHAnsi" w:eastAsiaTheme="minorEastAsia" w:hAnsiTheme="minorHAnsi" w:cstheme="minorBidi"/>
              <w:b w:val="0"/>
              <w:noProof/>
              <w:sz w:val="22"/>
              <w:lang w:eastAsia="en-AU"/>
            </w:rPr>
          </w:pPr>
          <w:hyperlink w:anchor="_Toc519848424" w:history="1">
            <w:r w:rsidRPr="00B25B00">
              <w:rPr>
                <w:rStyle w:val="Hyperlink"/>
                <w:noProof/>
                <w:lang w:eastAsia="en-AU"/>
              </w:rPr>
              <w:t>3.</w:t>
            </w:r>
            <w:r>
              <w:rPr>
                <w:rFonts w:asciiTheme="minorHAnsi" w:eastAsiaTheme="minorEastAsia" w:hAnsiTheme="minorHAnsi" w:cstheme="minorBidi"/>
                <w:b w:val="0"/>
                <w:noProof/>
                <w:sz w:val="22"/>
                <w:lang w:eastAsia="en-AU"/>
              </w:rPr>
              <w:tab/>
            </w:r>
            <w:r w:rsidRPr="00B25B00">
              <w:rPr>
                <w:rStyle w:val="Hyperlink"/>
                <w:noProof/>
                <w:lang w:eastAsia="en-AU"/>
              </w:rPr>
              <w:t>Contents of the clinical dossier</w:t>
            </w:r>
            <w:r>
              <w:rPr>
                <w:noProof/>
                <w:webHidden/>
              </w:rPr>
              <w:tab/>
            </w:r>
            <w:r>
              <w:rPr>
                <w:noProof/>
                <w:webHidden/>
              </w:rPr>
              <w:fldChar w:fldCharType="begin"/>
            </w:r>
            <w:r>
              <w:rPr>
                <w:noProof/>
                <w:webHidden/>
              </w:rPr>
              <w:instrText xml:space="preserve"> PAGEREF _Toc519848424 \h </w:instrText>
            </w:r>
            <w:r>
              <w:rPr>
                <w:noProof/>
                <w:webHidden/>
              </w:rPr>
            </w:r>
            <w:r>
              <w:rPr>
                <w:noProof/>
                <w:webHidden/>
              </w:rPr>
              <w:fldChar w:fldCharType="separate"/>
            </w:r>
            <w:r>
              <w:rPr>
                <w:noProof/>
                <w:webHidden/>
              </w:rPr>
              <w:t>10</w:t>
            </w:r>
            <w:r>
              <w:rPr>
                <w:noProof/>
                <w:webHidden/>
              </w:rPr>
              <w:fldChar w:fldCharType="end"/>
            </w:r>
          </w:hyperlink>
        </w:p>
        <w:p w14:paraId="1C2D4C8F"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25" w:history="1">
            <w:r w:rsidRPr="00B25B00">
              <w:rPr>
                <w:rStyle w:val="Hyperlink"/>
                <w:noProof/>
              </w:rPr>
              <w:t>3.1.</w:t>
            </w:r>
            <w:r>
              <w:rPr>
                <w:rFonts w:asciiTheme="minorHAnsi" w:eastAsiaTheme="minorEastAsia" w:hAnsiTheme="minorHAnsi" w:cstheme="minorBidi"/>
                <w:noProof/>
                <w:lang w:eastAsia="en-AU"/>
              </w:rPr>
              <w:tab/>
            </w:r>
            <w:r w:rsidRPr="00B25B00">
              <w:rPr>
                <w:rStyle w:val="Hyperlink"/>
                <w:noProof/>
              </w:rPr>
              <w:t>Scope of the clinical dossier</w:t>
            </w:r>
            <w:r>
              <w:rPr>
                <w:noProof/>
                <w:webHidden/>
              </w:rPr>
              <w:tab/>
            </w:r>
            <w:r>
              <w:rPr>
                <w:noProof/>
                <w:webHidden/>
              </w:rPr>
              <w:fldChar w:fldCharType="begin"/>
            </w:r>
            <w:r>
              <w:rPr>
                <w:noProof/>
                <w:webHidden/>
              </w:rPr>
              <w:instrText xml:space="preserve"> PAGEREF _Toc519848425 \h </w:instrText>
            </w:r>
            <w:r>
              <w:rPr>
                <w:noProof/>
                <w:webHidden/>
              </w:rPr>
            </w:r>
            <w:r>
              <w:rPr>
                <w:noProof/>
                <w:webHidden/>
              </w:rPr>
              <w:fldChar w:fldCharType="separate"/>
            </w:r>
            <w:r>
              <w:rPr>
                <w:noProof/>
                <w:webHidden/>
              </w:rPr>
              <w:t>10</w:t>
            </w:r>
            <w:r>
              <w:rPr>
                <w:noProof/>
                <w:webHidden/>
              </w:rPr>
              <w:fldChar w:fldCharType="end"/>
            </w:r>
          </w:hyperlink>
        </w:p>
        <w:p w14:paraId="10DED93A"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26" w:history="1">
            <w:r w:rsidRPr="00B25B00">
              <w:rPr>
                <w:rStyle w:val="Hyperlink"/>
                <w:noProof/>
              </w:rPr>
              <w:t>3.2.</w:t>
            </w:r>
            <w:r>
              <w:rPr>
                <w:rFonts w:asciiTheme="minorHAnsi" w:eastAsiaTheme="minorEastAsia" w:hAnsiTheme="minorHAnsi" w:cstheme="minorBidi"/>
                <w:noProof/>
                <w:lang w:eastAsia="en-AU"/>
              </w:rPr>
              <w:tab/>
            </w:r>
            <w:r w:rsidRPr="00B25B00">
              <w:rPr>
                <w:rStyle w:val="Hyperlink"/>
                <w:noProof/>
              </w:rPr>
              <w:t>Paediatric data</w:t>
            </w:r>
            <w:r>
              <w:rPr>
                <w:noProof/>
                <w:webHidden/>
              </w:rPr>
              <w:tab/>
            </w:r>
            <w:r>
              <w:rPr>
                <w:noProof/>
                <w:webHidden/>
              </w:rPr>
              <w:fldChar w:fldCharType="begin"/>
            </w:r>
            <w:r>
              <w:rPr>
                <w:noProof/>
                <w:webHidden/>
              </w:rPr>
              <w:instrText xml:space="preserve"> PAGEREF _Toc519848426 \h </w:instrText>
            </w:r>
            <w:r>
              <w:rPr>
                <w:noProof/>
                <w:webHidden/>
              </w:rPr>
            </w:r>
            <w:r>
              <w:rPr>
                <w:noProof/>
                <w:webHidden/>
              </w:rPr>
              <w:fldChar w:fldCharType="separate"/>
            </w:r>
            <w:r>
              <w:rPr>
                <w:noProof/>
                <w:webHidden/>
              </w:rPr>
              <w:t>11</w:t>
            </w:r>
            <w:r>
              <w:rPr>
                <w:noProof/>
                <w:webHidden/>
              </w:rPr>
              <w:fldChar w:fldCharType="end"/>
            </w:r>
          </w:hyperlink>
        </w:p>
        <w:p w14:paraId="5040404A"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27" w:history="1">
            <w:r w:rsidRPr="00B25B00">
              <w:rPr>
                <w:rStyle w:val="Hyperlink"/>
                <w:noProof/>
              </w:rPr>
              <w:t>3.3.</w:t>
            </w:r>
            <w:r>
              <w:rPr>
                <w:rFonts w:asciiTheme="minorHAnsi" w:eastAsiaTheme="minorEastAsia" w:hAnsiTheme="minorHAnsi" w:cstheme="minorBidi"/>
                <w:noProof/>
                <w:lang w:eastAsia="en-AU"/>
              </w:rPr>
              <w:tab/>
            </w:r>
            <w:r w:rsidRPr="00B25B00">
              <w:rPr>
                <w:rStyle w:val="Hyperlink"/>
                <w:noProof/>
              </w:rPr>
              <w:t>Good clinical practice</w:t>
            </w:r>
            <w:r>
              <w:rPr>
                <w:noProof/>
                <w:webHidden/>
              </w:rPr>
              <w:tab/>
            </w:r>
            <w:r>
              <w:rPr>
                <w:noProof/>
                <w:webHidden/>
              </w:rPr>
              <w:fldChar w:fldCharType="begin"/>
            </w:r>
            <w:r>
              <w:rPr>
                <w:noProof/>
                <w:webHidden/>
              </w:rPr>
              <w:instrText xml:space="preserve"> PAGEREF _Toc519848427 \h </w:instrText>
            </w:r>
            <w:r>
              <w:rPr>
                <w:noProof/>
                <w:webHidden/>
              </w:rPr>
            </w:r>
            <w:r>
              <w:rPr>
                <w:noProof/>
                <w:webHidden/>
              </w:rPr>
              <w:fldChar w:fldCharType="separate"/>
            </w:r>
            <w:r>
              <w:rPr>
                <w:noProof/>
                <w:webHidden/>
              </w:rPr>
              <w:t>11</w:t>
            </w:r>
            <w:r>
              <w:rPr>
                <w:noProof/>
                <w:webHidden/>
              </w:rPr>
              <w:fldChar w:fldCharType="end"/>
            </w:r>
          </w:hyperlink>
        </w:p>
        <w:p w14:paraId="4BEF35E4" w14:textId="77777777" w:rsidR="00655A51" w:rsidRDefault="00655A51">
          <w:pPr>
            <w:pStyle w:val="TOC2"/>
            <w:tabs>
              <w:tab w:val="left" w:pos="1100"/>
            </w:tabs>
            <w:rPr>
              <w:rFonts w:asciiTheme="minorHAnsi" w:eastAsiaTheme="minorEastAsia" w:hAnsiTheme="minorHAnsi" w:cstheme="minorBidi"/>
              <w:b w:val="0"/>
              <w:noProof/>
              <w:sz w:val="22"/>
              <w:lang w:eastAsia="en-AU"/>
            </w:rPr>
          </w:pPr>
          <w:hyperlink w:anchor="_Toc519848428" w:history="1">
            <w:r w:rsidRPr="00B25B00">
              <w:rPr>
                <w:rStyle w:val="Hyperlink"/>
                <w:noProof/>
              </w:rPr>
              <w:t>4.</w:t>
            </w:r>
            <w:r>
              <w:rPr>
                <w:rFonts w:asciiTheme="minorHAnsi" w:eastAsiaTheme="minorEastAsia" w:hAnsiTheme="minorHAnsi" w:cstheme="minorBidi"/>
                <w:b w:val="0"/>
                <w:noProof/>
                <w:sz w:val="22"/>
                <w:lang w:eastAsia="en-AU"/>
              </w:rPr>
              <w:tab/>
            </w:r>
            <w:r w:rsidRPr="00B25B00">
              <w:rPr>
                <w:rStyle w:val="Hyperlink"/>
                <w:noProof/>
              </w:rPr>
              <w:t>Pharmacokinetics</w:t>
            </w:r>
            <w:r>
              <w:rPr>
                <w:noProof/>
                <w:webHidden/>
              </w:rPr>
              <w:tab/>
            </w:r>
            <w:r>
              <w:rPr>
                <w:noProof/>
                <w:webHidden/>
              </w:rPr>
              <w:fldChar w:fldCharType="begin"/>
            </w:r>
            <w:r>
              <w:rPr>
                <w:noProof/>
                <w:webHidden/>
              </w:rPr>
              <w:instrText xml:space="preserve"> PAGEREF _Toc519848428 \h </w:instrText>
            </w:r>
            <w:r>
              <w:rPr>
                <w:noProof/>
                <w:webHidden/>
              </w:rPr>
            </w:r>
            <w:r>
              <w:rPr>
                <w:noProof/>
                <w:webHidden/>
              </w:rPr>
              <w:fldChar w:fldCharType="separate"/>
            </w:r>
            <w:r>
              <w:rPr>
                <w:noProof/>
                <w:webHidden/>
              </w:rPr>
              <w:t>11</w:t>
            </w:r>
            <w:r>
              <w:rPr>
                <w:noProof/>
                <w:webHidden/>
              </w:rPr>
              <w:fldChar w:fldCharType="end"/>
            </w:r>
          </w:hyperlink>
        </w:p>
        <w:p w14:paraId="32F351F5"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29" w:history="1">
            <w:r w:rsidRPr="00B25B00">
              <w:rPr>
                <w:rStyle w:val="Hyperlink"/>
                <w:noProof/>
              </w:rPr>
              <w:t>4.1.</w:t>
            </w:r>
            <w:r>
              <w:rPr>
                <w:rFonts w:asciiTheme="minorHAnsi" w:eastAsiaTheme="minorEastAsia" w:hAnsiTheme="minorHAnsi" w:cstheme="minorBidi"/>
                <w:noProof/>
                <w:lang w:eastAsia="en-AU"/>
              </w:rPr>
              <w:tab/>
            </w:r>
            <w:r w:rsidRPr="00B25B00">
              <w:rPr>
                <w:rStyle w:val="Hyperlink"/>
                <w:noProof/>
              </w:rPr>
              <w:t>Studies providing pharmacokinetic data</w:t>
            </w:r>
            <w:r>
              <w:rPr>
                <w:noProof/>
                <w:webHidden/>
              </w:rPr>
              <w:tab/>
            </w:r>
            <w:r>
              <w:rPr>
                <w:noProof/>
                <w:webHidden/>
              </w:rPr>
              <w:fldChar w:fldCharType="begin"/>
            </w:r>
            <w:r>
              <w:rPr>
                <w:noProof/>
                <w:webHidden/>
              </w:rPr>
              <w:instrText xml:space="preserve"> PAGEREF _Toc519848429 \h </w:instrText>
            </w:r>
            <w:r>
              <w:rPr>
                <w:noProof/>
                <w:webHidden/>
              </w:rPr>
            </w:r>
            <w:r>
              <w:rPr>
                <w:noProof/>
                <w:webHidden/>
              </w:rPr>
              <w:fldChar w:fldCharType="separate"/>
            </w:r>
            <w:r>
              <w:rPr>
                <w:noProof/>
                <w:webHidden/>
              </w:rPr>
              <w:t>11</w:t>
            </w:r>
            <w:r>
              <w:rPr>
                <w:noProof/>
                <w:webHidden/>
              </w:rPr>
              <w:fldChar w:fldCharType="end"/>
            </w:r>
          </w:hyperlink>
        </w:p>
        <w:p w14:paraId="3B9BED96"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30" w:history="1">
            <w:r w:rsidRPr="00B25B00">
              <w:rPr>
                <w:rStyle w:val="Hyperlink"/>
                <w:noProof/>
              </w:rPr>
              <w:t>4.2.</w:t>
            </w:r>
            <w:r>
              <w:rPr>
                <w:rFonts w:asciiTheme="minorHAnsi" w:eastAsiaTheme="minorEastAsia" w:hAnsiTheme="minorHAnsi" w:cstheme="minorBidi"/>
                <w:noProof/>
                <w:lang w:eastAsia="en-AU"/>
              </w:rPr>
              <w:tab/>
            </w:r>
            <w:r w:rsidRPr="00B25B00">
              <w:rPr>
                <w:rStyle w:val="Hyperlink"/>
                <w:noProof/>
              </w:rPr>
              <w:t>Summary of pharmacokinetics</w:t>
            </w:r>
            <w:r>
              <w:rPr>
                <w:noProof/>
                <w:webHidden/>
              </w:rPr>
              <w:tab/>
            </w:r>
            <w:r>
              <w:rPr>
                <w:noProof/>
                <w:webHidden/>
              </w:rPr>
              <w:fldChar w:fldCharType="begin"/>
            </w:r>
            <w:r>
              <w:rPr>
                <w:noProof/>
                <w:webHidden/>
              </w:rPr>
              <w:instrText xml:space="preserve"> PAGEREF _Toc519848430 \h </w:instrText>
            </w:r>
            <w:r>
              <w:rPr>
                <w:noProof/>
                <w:webHidden/>
              </w:rPr>
            </w:r>
            <w:r>
              <w:rPr>
                <w:noProof/>
                <w:webHidden/>
              </w:rPr>
              <w:fldChar w:fldCharType="separate"/>
            </w:r>
            <w:r>
              <w:rPr>
                <w:noProof/>
                <w:webHidden/>
              </w:rPr>
              <w:t>13</w:t>
            </w:r>
            <w:r>
              <w:rPr>
                <w:noProof/>
                <w:webHidden/>
              </w:rPr>
              <w:fldChar w:fldCharType="end"/>
            </w:r>
          </w:hyperlink>
        </w:p>
        <w:p w14:paraId="67F65534"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31" w:history="1">
            <w:r w:rsidRPr="00B25B00">
              <w:rPr>
                <w:rStyle w:val="Hyperlink"/>
                <w:noProof/>
              </w:rPr>
              <w:t>4.3.</w:t>
            </w:r>
            <w:r>
              <w:rPr>
                <w:rFonts w:asciiTheme="minorHAnsi" w:eastAsiaTheme="minorEastAsia" w:hAnsiTheme="minorHAnsi" w:cstheme="minorBidi"/>
                <w:noProof/>
                <w:lang w:eastAsia="en-AU"/>
              </w:rPr>
              <w:tab/>
            </w:r>
            <w:r w:rsidRPr="00B25B00">
              <w:rPr>
                <w:rStyle w:val="Hyperlink"/>
                <w:noProof/>
              </w:rPr>
              <w:t>Pharmacokinetics in the target population</w:t>
            </w:r>
            <w:r>
              <w:rPr>
                <w:noProof/>
                <w:webHidden/>
              </w:rPr>
              <w:tab/>
            </w:r>
            <w:r>
              <w:rPr>
                <w:noProof/>
                <w:webHidden/>
              </w:rPr>
              <w:fldChar w:fldCharType="begin"/>
            </w:r>
            <w:r>
              <w:rPr>
                <w:noProof/>
                <w:webHidden/>
              </w:rPr>
              <w:instrText xml:space="preserve"> PAGEREF _Toc519848431 \h </w:instrText>
            </w:r>
            <w:r>
              <w:rPr>
                <w:noProof/>
                <w:webHidden/>
              </w:rPr>
            </w:r>
            <w:r>
              <w:rPr>
                <w:noProof/>
                <w:webHidden/>
              </w:rPr>
              <w:fldChar w:fldCharType="separate"/>
            </w:r>
            <w:r>
              <w:rPr>
                <w:noProof/>
                <w:webHidden/>
              </w:rPr>
              <w:t>14</w:t>
            </w:r>
            <w:r>
              <w:rPr>
                <w:noProof/>
                <w:webHidden/>
              </w:rPr>
              <w:fldChar w:fldCharType="end"/>
            </w:r>
          </w:hyperlink>
        </w:p>
        <w:p w14:paraId="702F9131"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32" w:history="1">
            <w:r w:rsidRPr="00B25B00">
              <w:rPr>
                <w:rStyle w:val="Hyperlink"/>
                <w:noProof/>
              </w:rPr>
              <w:t>4.4.</w:t>
            </w:r>
            <w:r>
              <w:rPr>
                <w:rFonts w:asciiTheme="minorHAnsi" w:eastAsiaTheme="minorEastAsia" w:hAnsiTheme="minorHAnsi" w:cstheme="minorBidi"/>
                <w:noProof/>
                <w:lang w:eastAsia="en-AU"/>
              </w:rPr>
              <w:tab/>
            </w:r>
            <w:r w:rsidRPr="00B25B00">
              <w:rPr>
                <w:rStyle w:val="Hyperlink"/>
                <w:noProof/>
              </w:rPr>
              <w:t>Pharmacokinetics in other special populations</w:t>
            </w:r>
            <w:r>
              <w:rPr>
                <w:noProof/>
                <w:webHidden/>
              </w:rPr>
              <w:tab/>
            </w:r>
            <w:r>
              <w:rPr>
                <w:noProof/>
                <w:webHidden/>
              </w:rPr>
              <w:fldChar w:fldCharType="begin"/>
            </w:r>
            <w:r>
              <w:rPr>
                <w:noProof/>
                <w:webHidden/>
              </w:rPr>
              <w:instrText xml:space="preserve"> PAGEREF _Toc519848432 \h </w:instrText>
            </w:r>
            <w:r>
              <w:rPr>
                <w:noProof/>
                <w:webHidden/>
              </w:rPr>
            </w:r>
            <w:r>
              <w:rPr>
                <w:noProof/>
                <w:webHidden/>
              </w:rPr>
              <w:fldChar w:fldCharType="separate"/>
            </w:r>
            <w:r>
              <w:rPr>
                <w:noProof/>
                <w:webHidden/>
              </w:rPr>
              <w:t>19</w:t>
            </w:r>
            <w:r>
              <w:rPr>
                <w:noProof/>
                <w:webHidden/>
              </w:rPr>
              <w:fldChar w:fldCharType="end"/>
            </w:r>
          </w:hyperlink>
        </w:p>
        <w:p w14:paraId="6BE1F4D1"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33" w:history="1">
            <w:r w:rsidRPr="00B25B00">
              <w:rPr>
                <w:rStyle w:val="Hyperlink"/>
                <w:noProof/>
              </w:rPr>
              <w:t>4.5.</w:t>
            </w:r>
            <w:r>
              <w:rPr>
                <w:rFonts w:asciiTheme="minorHAnsi" w:eastAsiaTheme="minorEastAsia" w:hAnsiTheme="minorHAnsi" w:cstheme="minorBidi"/>
                <w:noProof/>
                <w:lang w:eastAsia="en-AU"/>
              </w:rPr>
              <w:tab/>
            </w:r>
            <w:r w:rsidRPr="00B25B00">
              <w:rPr>
                <w:rStyle w:val="Hyperlink"/>
                <w:noProof/>
              </w:rPr>
              <w:t>Pharmacokinetic interactions</w:t>
            </w:r>
            <w:r>
              <w:rPr>
                <w:noProof/>
                <w:webHidden/>
              </w:rPr>
              <w:tab/>
            </w:r>
            <w:r>
              <w:rPr>
                <w:noProof/>
                <w:webHidden/>
              </w:rPr>
              <w:fldChar w:fldCharType="begin"/>
            </w:r>
            <w:r>
              <w:rPr>
                <w:noProof/>
                <w:webHidden/>
              </w:rPr>
              <w:instrText xml:space="preserve"> PAGEREF _Toc519848433 \h </w:instrText>
            </w:r>
            <w:r>
              <w:rPr>
                <w:noProof/>
                <w:webHidden/>
              </w:rPr>
            </w:r>
            <w:r>
              <w:rPr>
                <w:noProof/>
                <w:webHidden/>
              </w:rPr>
              <w:fldChar w:fldCharType="separate"/>
            </w:r>
            <w:r>
              <w:rPr>
                <w:noProof/>
                <w:webHidden/>
              </w:rPr>
              <w:t>20</w:t>
            </w:r>
            <w:r>
              <w:rPr>
                <w:noProof/>
                <w:webHidden/>
              </w:rPr>
              <w:fldChar w:fldCharType="end"/>
            </w:r>
          </w:hyperlink>
        </w:p>
        <w:p w14:paraId="5679E50B"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34" w:history="1">
            <w:r w:rsidRPr="00B25B00">
              <w:rPr>
                <w:rStyle w:val="Hyperlink"/>
                <w:noProof/>
              </w:rPr>
              <w:t>4.6.</w:t>
            </w:r>
            <w:r>
              <w:rPr>
                <w:rFonts w:asciiTheme="minorHAnsi" w:eastAsiaTheme="minorEastAsia" w:hAnsiTheme="minorHAnsi" w:cstheme="minorBidi"/>
                <w:noProof/>
                <w:lang w:eastAsia="en-AU"/>
              </w:rPr>
              <w:tab/>
            </w:r>
            <w:r w:rsidRPr="00B25B00">
              <w:rPr>
                <w:rStyle w:val="Hyperlink"/>
                <w:noProof/>
              </w:rPr>
              <w:t>Evaluator’s overall conclusions on pharmacokinetics</w:t>
            </w:r>
            <w:r>
              <w:rPr>
                <w:noProof/>
                <w:webHidden/>
              </w:rPr>
              <w:tab/>
            </w:r>
            <w:r>
              <w:rPr>
                <w:noProof/>
                <w:webHidden/>
              </w:rPr>
              <w:fldChar w:fldCharType="begin"/>
            </w:r>
            <w:r>
              <w:rPr>
                <w:noProof/>
                <w:webHidden/>
              </w:rPr>
              <w:instrText xml:space="preserve"> PAGEREF _Toc519848434 \h </w:instrText>
            </w:r>
            <w:r>
              <w:rPr>
                <w:noProof/>
                <w:webHidden/>
              </w:rPr>
            </w:r>
            <w:r>
              <w:rPr>
                <w:noProof/>
                <w:webHidden/>
              </w:rPr>
              <w:fldChar w:fldCharType="separate"/>
            </w:r>
            <w:r>
              <w:rPr>
                <w:noProof/>
                <w:webHidden/>
              </w:rPr>
              <w:t>21</w:t>
            </w:r>
            <w:r>
              <w:rPr>
                <w:noProof/>
                <w:webHidden/>
              </w:rPr>
              <w:fldChar w:fldCharType="end"/>
            </w:r>
          </w:hyperlink>
        </w:p>
        <w:p w14:paraId="1D54BF39" w14:textId="77777777" w:rsidR="00655A51" w:rsidRDefault="00655A51">
          <w:pPr>
            <w:pStyle w:val="TOC2"/>
            <w:tabs>
              <w:tab w:val="left" w:pos="1100"/>
            </w:tabs>
            <w:rPr>
              <w:rFonts w:asciiTheme="minorHAnsi" w:eastAsiaTheme="minorEastAsia" w:hAnsiTheme="minorHAnsi" w:cstheme="minorBidi"/>
              <w:b w:val="0"/>
              <w:noProof/>
              <w:sz w:val="22"/>
              <w:lang w:eastAsia="en-AU"/>
            </w:rPr>
          </w:pPr>
          <w:hyperlink w:anchor="_Toc519848435" w:history="1">
            <w:r w:rsidRPr="00B25B00">
              <w:rPr>
                <w:rStyle w:val="Hyperlink"/>
                <w:noProof/>
              </w:rPr>
              <w:t>5.</w:t>
            </w:r>
            <w:r>
              <w:rPr>
                <w:rFonts w:asciiTheme="minorHAnsi" w:eastAsiaTheme="minorEastAsia" w:hAnsiTheme="minorHAnsi" w:cstheme="minorBidi"/>
                <w:b w:val="0"/>
                <w:noProof/>
                <w:sz w:val="22"/>
                <w:lang w:eastAsia="en-AU"/>
              </w:rPr>
              <w:tab/>
            </w:r>
            <w:r w:rsidRPr="00B25B00">
              <w:rPr>
                <w:rStyle w:val="Hyperlink"/>
                <w:noProof/>
              </w:rPr>
              <w:t>Pharmacodynamics</w:t>
            </w:r>
            <w:r>
              <w:rPr>
                <w:noProof/>
                <w:webHidden/>
              </w:rPr>
              <w:tab/>
            </w:r>
            <w:r>
              <w:rPr>
                <w:noProof/>
                <w:webHidden/>
              </w:rPr>
              <w:fldChar w:fldCharType="begin"/>
            </w:r>
            <w:r>
              <w:rPr>
                <w:noProof/>
                <w:webHidden/>
              </w:rPr>
              <w:instrText xml:space="preserve"> PAGEREF _Toc519848435 \h </w:instrText>
            </w:r>
            <w:r>
              <w:rPr>
                <w:noProof/>
                <w:webHidden/>
              </w:rPr>
            </w:r>
            <w:r>
              <w:rPr>
                <w:noProof/>
                <w:webHidden/>
              </w:rPr>
              <w:fldChar w:fldCharType="separate"/>
            </w:r>
            <w:r>
              <w:rPr>
                <w:noProof/>
                <w:webHidden/>
              </w:rPr>
              <w:t>22</w:t>
            </w:r>
            <w:r>
              <w:rPr>
                <w:noProof/>
                <w:webHidden/>
              </w:rPr>
              <w:fldChar w:fldCharType="end"/>
            </w:r>
          </w:hyperlink>
        </w:p>
        <w:p w14:paraId="5738BA95"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36" w:history="1">
            <w:r w:rsidRPr="00B25B00">
              <w:rPr>
                <w:rStyle w:val="Hyperlink"/>
                <w:noProof/>
              </w:rPr>
              <w:t>5.1.</w:t>
            </w:r>
            <w:r>
              <w:rPr>
                <w:rFonts w:asciiTheme="minorHAnsi" w:eastAsiaTheme="minorEastAsia" w:hAnsiTheme="minorHAnsi" w:cstheme="minorBidi"/>
                <w:noProof/>
                <w:lang w:eastAsia="en-AU"/>
              </w:rPr>
              <w:tab/>
            </w:r>
            <w:r w:rsidRPr="00B25B00">
              <w:rPr>
                <w:rStyle w:val="Hyperlink"/>
                <w:noProof/>
              </w:rPr>
              <w:t>Studies providing pharmacodynamic data</w:t>
            </w:r>
            <w:r>
              <w:rPr>
                <w:noProof/>
                <w:webHidden/>
              </w:rPr>
              <w:tab/>
            </w:r>
            <w:r>
              <w:rPr>
                <w:noProof/>
                <w:webHidden/>
              </w:rPr>
              <w:fldChar w:fldCharType="begin"/>
            </w:r>
            <w:r>
              <w:rPr>
                <w:noProof/>
                <w:webHidden/>
              </w:rPr>
              <w:instrText xml:space="preserve"> PAGEREF _Toc519848436 \h </w:instrText>
            </w:r>
            <w:r>
              <w:rPr>
                <w:noProof/>
                <w:webHidden/>
              </w:rPr>
            </w:r>
            <w:r>
              <w:rPr>
                <w:noProof/>
                <w:webHidden/>
              </w:rPr>
              <w:fldChar w:fldCharType="separate"/>
            </w:r>
            <w:r>
              <w:rPr>
                <w:noProof/>
                <w:webHidden/>
              </w:rPr>
              <w:t>22</w:t>
            </w:r>
            <w:r>
              <w:rPr>
                <w:noProof/>
                <w:webHidden/>
              </w:rPr>
              <w:fldChar w:fldCharType="end"/>
            </w:r>
          </w:hyperlink>
        </w:p>
        <w:p w14:paraId="365ACDE8"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37" w:history="1">
            <w:r w:rsidRPr="00B25B00">
              <w:rPr>
                <w:rStyle w:val="Hyperlink"/>
                <w:noProof/>
              </w:rPr>
              <w:t>5.2.</w:t>
            </w:r>
            <w:r>
              <w:rPr>
                <w:rFonts w:asciiTheme="minorHAnsi" w:eastAsiaTheme="minorEastAsia" w:hAnsiTheme="minorHAnsi" w:cstheme="minorBidi"/>
                <w:noProof/>
                <w:lang w:eastAsia="en-AU"/>
              </w:rPr>
              <w:tab/>
            </w:r>
            <w:r w:rsidRPr="00B25B00">
              <w:rPr>
                <w:rStyle w:val="Hyperlink"/>
                <w:noProof/>
              </w:rPr>
              <w:t>Summary of pharmacodynamics</w:t>
            </w:r>
            <w:r>
              <w:rPr>
                <w:noProof/>
                <w:webHidden/>
              </w:rPr>
              <w:tab/>
            </w:r>
            <w:r>
              <w:rPr>
                <w:noProof/>
                <w:webHidden/>
              </w:rPr>
              <w:fldChar w:fldCharType="begin"/>
            </w:r>
            <w:r>
              <w:rPr>
                <w:noProof/>
                <w:webHidden/>
              </w:rPr>
              <w:instrText xml:space="preserve"> PAGEREF _Toc519848437 \h </w:instrText>
            </w:r>
            <w:r>
              <w:rPr>
                <w:noProof/>
                <w:webHidden/>
              </w:rPr>
            </w:r>
            <w:r>
              <w:rPr>
                <w:noProof/>
                <w:webHidden/>
              </w:rPr>
              <w:fldChar w:fldCharType="separate"/>
            </w:r>
            <w:r>
              <w:rPr>
                <w:noProof/>
                <w:webHidden/>
              </w:rPr>
              <w:t>22</w:t>
            </w:r>
            <w:r>
              <w:rPr>
                <w:noProof/>
                <w:webHidden/>
              </w:rPr>
              <w:fldChar w:fldCharType="end"/>
            </w:r>
          </w:hyperlink>
        </w:p>
        <w:p w14:paraId="549A06B6"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38" w:history="1">
            <w:r w:rsidRPr="00B25B00">
              <w:rPr>
                <w:rStyle w:val="Hyperlink"/>
                <w:noProof/>
              </w:rPr>
              <w:t>5.3.</w:t>
            </w:r>
            <w:r>
              <w:rPr>
                <w:rFonts w:asciiTheme="minorHAnsi" w:eastAsiaTheme="minorEastAsia" w:hAnsiTheme="minorHAnsi" w:cstheme="minorBidi"/>
                <w:noProof/>
                <w:lang w:eastAsia="en-AU"/>
              </w:rPr>
              <w:tab/>
            </w:r>
            <w:r w:rsidRPr="00B25B00">
              <w:rPr>
                <w:rStyle w:val="Hyperlink"/>
                <w:noProof/>
              </w:rPr>
              <w:t>Pharmacodynamic interactions</w:t>
            </w:r>
            <w:r>
              <w:rPr>
                <w:noProof/>
                <w:webHidden/>
              </w:rPr>
              <w:tab/>
            </w:r>
            <w:r>
              <w:rPr>
                <w:noProof/>
                <w:webHidden/>
              </w:rPr>
              <w:fldChar w:fldCharType="begin"/>
            </w:r>
            <w:r>
              <w:rPr>
                <w:noProof/>
                <w:webHidden/>
              </w:rPr>
              <w:instrText xml:space="preserve"> PAGEREF _Toc519848438 \h </w:instrText>
            </w:r>
            <w:r>
              <w:rPr>
                <w:noProof/>
                <w:webHidden/>
              </w:rPr>
            </w:r>
            <w:r>
              <w:rPr>
                <w:noProof/>
                <w:webHidden/>
              </w:rPr>
              <w:fldChar w:fldCharType="separate"/>
            </w:r>
            <w:r>
              <w:rPr>
                <w:noProof/>
                <w:webHidden/>
              </w:rPr>
              <w:t>27</w:t>
            </w:r>
            <w:r>
              <w:rPr>
                <w:noProof/>
                <w:webHidden/>
              </w:rPr>
              <w:fldChar w:fldCharType="end"/>
            </w:r>
          </w:hyperlink>
        </w:p>
        <w:p w14:paraId="34004E42"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39" w:history="1">
            <w:r w:rsidRPr="00B25B00">
              <w:rPr>
                <w:rStyle w:val="Hyperlink"/>
                <w:noProof/>
              </w:rPr>
              <w:t>5.4.</w:t>
            </w:r>
            <w:r>
              <w:rPr>
                <w:rFonts w:asciiTheme="minorHAnsi" w:eastAsiaTheme="minorEastAsia" w:hAnsiTheme="minorHAnsi" w:cstheme="minorBidi"/>
                <w:noProof/>
                <w:lang w:eastAsia="en-AU"/>
              </w:rPr>
              <w:tab/>
            </w:r>
            <w:r w:rsidRPr="00B25B00">
              <w:rPr>
                <w:rStyle w:val="Hyperlink"/>
                <w:noProof/>
              </w:rPr>
              <w:t>Evaluator’s overall conclusions on pharmacodynamics</w:t>
            </w:r>
            <w:r>
              <w:rPr>
                <w:noProof/>
                <w:webHidden/>
              </w:rPr>
              <w:tab/>
            </w:r>
            <w:r>
              <w:rPr>
                <w:noProof/>
                <w:webHidden/>
              </w:rPr>
              <w:fldChar w:fldCharType="begin"/>
            </w:r>
            <w:r>
              <w:rPr>
                <w:noProof/>
                <w:webHidden/>
              </w:rPr>
              <w:instrText xml:space="preserve"> PAGEREF _Toc519848439 \h </w:instrText>
            </w:r>
            <w:r>
              <w:rPr>
                <w:noProof/>
                <w:webHidden/>
              </w:rPr>
            </w:r>
            <w:r>
              <w:rPr>
                <w:noProof/>
                <w:webHidden/>
              </w:rPr>
              <w:fldChar w:fldCharType="separate"/>
            </w:r>
            <w:r>
              <w:rPr>
                <w:noProof/>
                <w:webHidden/>
              </w:rPr>
              <w:t>27</w:t>
            </w:r>
            <w:r>
              <w:rPr>
                <w:noProof/>
                <w:webHidden/>
              </w:rPr>
              <w:fldChar w:fldCharType="end"/>
            </w:r>
          </w:hyperlink>
        </w:p>
        <w:p w14:paraId="0AC70129" w14:textId="77777777" w:rsidR="00655A51" w:rsidRDefault="00655A51">
          <w:pPr>
            <w:pStyle w:val="TOC2"/>
            <w:tabs>
              <w:tab w:val="left" w:pos="1100"/>
            </w:tabs>
            <w:rPr>
              <w:rFonts w:asciiTheme="minorHAnsi" w:eastAsiaTheme="minorEastAsia" w:hAnsiTheme="minorHAnsi" w:cstheme="minorBidi"/>
              <w:b w:val="0"/>
              <w:noProof/>
              <w:sz w:val="22"/>
              <w:lang w:eastAsia="en-AU"/>
            </w:rPr>
          </w:pPr>
          <w:hyperlink w:anchor="_Toc519848440" w:history="1">
            <w:r w:rsidRPr="00B25B00">
              <w:rPr>
                <w:rStyle w:val="Hyperlink"/>
                <w:noProof/>
              </w:rPr>
              <w:t>6.</w:t>
            </w:r>
            <w:r>
              <w:rPr>
                <w:rFonts w:asciiTheme="minorHAnsi" w:eastAsiaTheme="minorEastAsia" w:hAnsiTheme="minorHAnsi" w:cstheme="minorBidi"/>
                <w:b w:val="0"/>
                <w:noProof/>
                <w:sz w:val="22"/>
                <w:lang w:eastAsia="en-AU"/>
              </w:rPr>
              <w:tab/>
            </w:r>
            <w:r w:rsidRPr="00B25B00">
              <w:rPr>
                <w:rStyle w:val="Hyperlink"/>
                <w:noProof/>
              </w:rPr>
              <w:t>Dosage selection for the pivotal studies</w:t>
            </w:r>
            <w:r>
              <w:rPr>
                <w:noProof/>
                <w:webHidden/>
              </w:rPr>
              <w:tab/>
            </w:r>
            <w:r>
              <w:rPr>
                <w:noProof/>
                <w:webHidden/>
              </w:rPr>
              <w:fldChar w:fldCharType="begin"/>
            </w:r>
            <w:r>
              <w:rPr>
                <w:noProof/>
                <w:webHidden/>
              </w:rPr>
              <w:instrText xml:space="preserve"> PAGEREF _Toc519848440 \h </w:instrText>
            </w:r>
            <w:r>
              <w:rPr>
                <w:noProof/>
                <w:webHidden/>
              </w:rPr>
            </w:r>
            <w:r>
              <w:rPr>
                <w:noProof/>
                <w:webHidden/>
              </w:rPr>
              <w:fldChar w:fldCharType="separate"/>
            </w:r>
            <w:r>
              <w:rPr>
                <w:noProof/>
                <w:webHidden/>
              </w:rPr>
              <w:t>28</w:t>
            </w:r>
            <w:r>
              <w:rPr>
                <w:noProof/>
                <w:webHidden/>
              </w:rPr>
              <w:fldChar w:fldCharType="end"/>
            </w:r>
          </w:hyperlink>
        </w:p>
        <w:p w14:paraId="0F844ACE" w14:textId="77777777" w:rsidR="00655A51" w:rsidRDefault="00655A51">
          <w:pPr>
            <w:pStyle w:val="TOC2"/>
            <w:tabs>
              <w:tab w:val="left" w:pos="1100"/>
            </w:tabs>
            <w:rPr>
              <w:rFonts w:asciiTheme="minorHAnsi" w:eastAsiaTheme="minorEastAsia" w:hAnsiTheme="minorHAnsi" w:cstheme="minorBidi"/>
              <w:b w:val="0"/>
              <w:noProof/>
              <w:sz w:val="22"/>
              <w:lang w:eastAsia="en-AU"/>
            </w:rPr>
          </w:pPr>
          <w:hyperlink w:anchor="_Toc519848441" w:history="1">
            <w:r w:rsidRPr="00B25B00">
              <w:rPr>
                <w:rStyle w:val="Hyperlink"/>
                <w:noProof/>
              </w:rPr>
              <w:t>7.</w:t>
            </w:r>
            <w:r>
              <w:rPr>
                <w:rFonts w:asciiTheme="minorHAnsi" w:eastAsiaTheme="minorEastAsia" w:hAnsiTheme="minorHAnsi" w:cstheme="minorBidi"/>
                <w:b w:val="0"/>
                <w:noProof/>
                <w:sz w:val="22"/>
                <w:lang w:eastAsia="en-AU"/>
              </w:rPr>
              <w:tab/>
            </w:r>
            <w:r w:rsidRPr="00B25B00">
              <w:rPr>
                <w:rStyle w:val="Hyperlink"/>
                <w:noProof/>
              </w:rPr>
              <w:t>Clinical efficacy</w:t>
            </w:r>
            <w:r>
              <w:rPr>
                <w:noProof/>
                <w:webHidden/>
              </w:rPr>
              <w:tab/>
            </w:r>
            <w:r>
              <w:rPr>
                <w:noProof/>
                <w:webHidden/>
              </w:rPr>
              <w:fldChar w:fldCharType="begin"/>
            </w:r>
            <w:r>
              <w:rPr>
                <w:noProof/>
                <w:webHidden/>
              </w:rPr>
              <w:instrText xml:space="preserve"> PAGEREF _Toc519848441 \h </w:instrText>
            </w:r>
            <w:r>
              <w:rPr>
                <w:noProof/>
                <w:webHidden/>
              </w:rPr>
            </w:r>
            <w:r>
              <w:rPr>
                <w:noProof/>
                <w:webHidden/>
              </w:rPr>
              <w:fldChar w:fldCharType="separate"/>
            </w:r>
            <w:r>
              <w:rPr>
                <w:noProof/>
                <w:webHidden/>
              </w:rPr>
              <w:t>29</w:t>
            </w:r>
            <w:r>
              <w:rPr>
                <w:noProof/>
                <w:webHidden/>
              </w:rPr>
              <w:fldChar w:fldCharType="end"/>
            </w:r>
          </w:hyperlink>
        </w:p>
        <w:p w14:paraId="61366A32"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42" w:history="1">
            <w:r w:rsidRPr="00B25B00">
              <w:rPr>
                <w:rStyle w:val="Hyperlink"/>
                <w:noProof/>
              </w:rPr>
              <w:t>7.1.</w:t>
            </w:r>
            <w:r>
              <w:rPr>
                <w:rFonts w:asciiTheme="minorHAnsi" w:eastAsiaTheme="minorEastAsia" w:hAnsiTheme="minorHAnsi" w:cstheme="minorBidi"/>
                <w:noProof/>
                <w:lang w:eastAsia="en-AU"/>
              </w:rPr>
              <w:tab/>
            </w:r>
            <w:r w:rsidRPr="00B25B00">
              <w:rPr>
                <w:rStyle w:val="Hyperlink"/>
                <w:noProof/>
              </w:rPr>
              <w:t>Pivotal efficacy studies</w:t>
            </w:r>
            <w:r>
              <w:rPr>
                <w:noProof/>
                <w:webHidden/>
              </w:rPr>
              <w:tab/>
            </w:r>
            <w:r>
              <w:rPr>
                <w:noProof/>
                <w:webHidden/>
              </w:rPr>
              <w:fldChar w:fldCharType="begin"/>
            </w:r>
            <w:r>
              <w:rPr>
                <w:noProof/>
                <w:webHidden/>
              </w:rPr>
              <w:instrText xml:space="preserve"> PAGEREF _Toc519848442 \h </w:instrText>
            </w:r>
            <w:r>
              <w:rPr>
                <w:noProof/>
                <w:webHidden/>
              </w:rPr>
            </w:r>
            <w:r>
              <w:rPr>
                <w:noProof/>
                <w:webHidden/>
              </w:rPr>
              <w:fldChar w:fldCharType="separate"/>
            </w:r>
            <w:r>
              <w:rPr>
                <w:noProof/>
                <w:webHidden/>
              </w:rPr>
              <w:t>29</w:t>
            </w:r>
            <w:r>
              <w:rPr>
                <w:noProof/>
                <w:webHidden/>
              </w:rPr>
              <w:fldChar w:fldCharType="end"/>
            </w:r>
          </w:hyperlink>
        </w:p>
        <w:p w14:paraId="7F94E431"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43" w:history="1">
            <w:r w:rsidRPr="00B25B00">
              <w:rPr>
                <w:rStyle w:val="Hyperlink"/>
                <w:noProof/>
              </w:rPr>
              <w:t>7.2.</w:t>
            </w:r>
            <w:r>
              <w:rPr>
                <w:rFonts w:asciiTheme="minorHAnsi" w:eastAsiaTheme="minorEastAsia" w:hAnsiTheme="minorHAnsi" w:cstheme="minorBidi"/>
                <w:noProof/>
                <w:lang w:eastAsia="en-AU"/>
              </w:rPr>
              <w:tab/>
            </w:r>
            <w:r w:rsidRPr="00B25B00">
              <w:rPr>
                <w:rStyle w:val="Hyperlink"/>
                <w:noProof/>
              </w:rPr>
              <w:t>Other efficacy studies</w:t>
            </w:r>
            <w:r>
              <w:rPr>
                <w:noProof/>
                <w:webHidden/>
              </w:rPr>
              <w:tab/>
            </w:r>
            <w:r>
              <w:rPr>
                <w:noProof/>
                <w:webHidden/>
              </w:rPr>
              <w:fldChar w:fldCharType="begin"/>
            </w:r>
            <w:r>
              <w:rPr>
                <w:noProof/>
                <w:webHidden/>
              </w:rPr>
              <w:instrText xml:space="preserve"> PAGEREF _Toc519848443 \h </w:instrText>
            </w:r>
            <w:r>
              <w:rPr>
                <w:noProof/>
                <w:webHidden/>
              </w:rPr>
            </w:r>
            <w:r>
              <w:rPr>
                <w:noProof/>
                <w:webHidden/>
              </w:rPr>
              <w:fldChar w:fldCharType="separate"/>
            </w:r>
            <w:r>
              <w:rPr>
                <w:noProof/>
                <w:webHidden/>
              </w:rPr>
              <w:t>62</w:t>
            </w:r>
            <w:r>
              <w:rPr>
                <w:noProof/>
                <w:webHidden/>
              </w:rPr>
              <w:fldChar w:fldCharType="end"/>
            </w:r>
          </w:hyperlink>
        </w:p>
        <w:p w14:paraId="0E031873"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44" w:history="1">
            <w:r w:rsidRPr="00B25B00">
              <w:rPr>
                <w:rStyle w:val="Hyperlink"/>
                <w:noProof/>
              </w:rPr>
              <w:t>7.3.</w:t>
            </w:r>
            <w:r>
              <w:rPr>
                <w:rFonts w:asciiTheme="minorHAnsi" w:eastAsiaTheme="minorEastAsia" w:hAnsiTheme="minorHAnsi" w:cstheme="minorBidi"/>
                <w:noProof/>
                <w:lang w:eastAsia="en-AU"/>
              </w:rPr>
              <w:tab/>
            </w:r>
            <w:r w:rsidRPr="00B25B00">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_Toc519848444 \h </w:instrText>
            </w:r>
            <w:r>
              <w:rPr>
                <w:noProof/>
                <w:webHidden/>
              </w:rPr>
            </w:r>
            <w:r>
              <w:rPr>
                <w:noProof/>
                <w:webHidden/>
              </w:rPr>
              <w:fldChar w:fldCharType="separate"/>
            </w:r>
            <w:r>
              <w:rPr>
                <w:noProof/>
                <w:webHidden/>
              </w:rPr>
              <w:t>72</w:t>
            </w:r>
            <w:r>
              <w:rPr>
                <w:noProof/>
                <w:webHidden/>
              </w:rPr>
              <w:fldChar w:fldCharType="end"/>
            </w:r>
          </w:hyperlink>
        </w:p>
        <w:p w14:paraId="27CDB5CA"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45" w:history="1">
            <w:r w:rsidRPr="00B25B00">
              <w:rPr>
                <w:rStyle w:val="Hyperlink"/>
                <w:noProof/>
              </w:rPr>
              <w:t>7.4.</w:t>
            </w:r>
            <w:r>
              <w:rPr>
                <w:rFonts w:asciiTheme="minorHAnsi" w:eastAsiaTheme="minorEastAsia" w:hAnsiTheme="minorHAnsi" w:cstheme="minorBidi"/>
                <w:noProof/>
                <w:lang w:eastAsia="en-AU"/>
              </w:rPr>
              <w:tab/>
            </w:r>
            <w:r w:rsidRPr="00B25B00">
              <w:rPr>
                <w:rStyle w:val="Hyperlink"/>
                <w:noProof/>
              </w:rPr>
              <w:t>Evaluator’s conclusions on clinical efficacy</w:t>
            </w:r>
            <w:r>
              <w:rPr>
                <w:noProof/>
                <w:webHidden/>
              </w:rPr>
              <w:tab/>
            </w:r>
            <w:r>
              <w:rPr>
                <w:noProof/>
                <w:webHidden/>
              </w:rPr>
              <w:fldChar w:fldCharType="begin"/>
            </w:r>
            <w:r>
              <w:rPr>
                <w:noProof/>
                <w:webHidden/>
              </w:rPr>
              <w:instrText xml:space="preserve"> PAGEREF _Toc519848445 \h </w:instrText>
            </w:r>
            <w:r>
              <w:rPr>
                <w:noProof/>
                <w:webHidden/>
              </w:rPr>
            </w:r>
            <w:r>
              <w:rPr>
                <w:noProof/>
                <w:webHidden/>
              </w:rPr>
              <w:fldChar w:fldCharType="separate"/>
            </w:r>
            <w:r>
              <w:rPr>
                <w:noProof/>
                <w:webHidden/>
              </w:rPr>
              <w:t>76</w:t>
            </w:r>
            <w:r>
              <w:rPr>
                <w:noProof/>
                <w:webHidden/>
              </w:rPr>
              <w:fldChar w:fldCharType="end"/>
            </w:r>
          </w:hyperlink>
        </w:p>
        <w:p w14:paraId="19C3E133" w14:textId="77777777" w:rsidR="00655A51" w:rsidRDefault="00655A51">
          <w:pPr>
            <w:pStyle w:val="TOC2"/>
            <w:tabs>
              <w:tab w:val="left" w:pos="1100"/>
            </w:tabs>
            <w:rPr>
              <w:rFonts w:asciiTheme="minorHAnsi" w:eastAsiaTheme="minorEastAsia" w:hAnsiTheme="minorHAnsi" w:cstheme="minorBidi"/>
              <w:b w:val="0"/>
              <w:noProof/>
              <w:sz w:val="22"/>
              <w:lang w:eastAsia="en-AU"/>
            </w:rPr>
          </w:pPr>
          <w:hyperlink w:anchor="_Toc519848446" w:history="1">
            <w:r w:rsidRPr="00B25B00">
              <w:rPr>
                <w:rStyle w:val="Hyperlink"/>
                <w:noProof/>
              </w:rPr>
              <w:t>8.</w:t>
            </w:r>
            <w:r>
              <w:rPr>
                <w:rFonts w:asciiTheme="minorHAnsi" w:eastAsiaTheme="minorEastAsia" w:hAnsiTheme="minorHAnsi" w:cstheme="minorBidi"/>
                <w:b w:val="0"/>
                <w:noProof/>
                <w:sz w:val="22"/>
                <w:lang w:eastAsia="en-AU"/>
              </w:rPr>
              <w:tab/>
            </w:r>
            <w:r w:rsidRPr="00B25B00">
              <w:rPr>
                <w:rStyle w:val="Hyperlink"/>
                <w:noProof/>
              </w:rPr>
              <w:t>Clinical safety</w:t>
            </w:r>
            <w:r>
              <w:rPr>
                <w:noProof/>
                <w:webHidden/>
              </w:rPr>
              <w:tab/>
            </w:r>
            <w:r>
              <w:rPr>
                <w:noProof/>
                <w:webHidden/>
              </w:rPr>
              <w:fldChar w:fldCharType="begin"/>
            </w:r>
            <w:r>
              <w:rPr>
                <w:noProof/>
                <w:webHidden/>
              </w:rPr>
              <w:instrText xml:space="preserve"> PAGEREF _Toc519848446 \h </w:instrText>
            </w:r>
            <w:r>
              <w:rPr>
                <w:noProof/>
                <w:webHidden/>
              </w:rPr>
            </w:r>
            <w:r>
              <w:rPr>
                <w:noProof/>
                <w:webHidden/>
              </w:rPr>
              <w:fldChar w:fldCharType="separate"/>
            </w:r>
            <w:r>
              <w:rPr>
                <w:noProof/>
                <w:webHidden/>
              </w:rPr>
              <w:t>79</w:t>
            </w:r>
            <w:r>
              <w:rPr>
                <w:noProof/>
                <w:webHidden/>
              </w:rPr>
              <w:fldChar w:fldCharType="end"/>
            </w:r>
          </w:hyperlink>
        </w:p>
        <w:p w14:paraId="0AA31AB4"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47" w:history="1">
            <w:r w:rsidRPr="00B25B00">
              <w:rPr>
                <w:rStyle w:val="Hyperlink"/>
                <w:noProof/>
              </w:rPr>
              <w:t>8.1.</w:t>
            </w:r>
            <w:r>
              <w:rPr>
                <w:rFonts w:asciiTheme="minorHAnsi" w:eastAsiaTheme="minorEastAsia" w:hAnsiTheme="minorHAnsi" w:cstheme="minorBidi"/>
                <w:noProof/>
                <w:lang w:eastAsia="en-AU"/>
              </w:rPr>
              <w:tab/>
            </w:r>
            <w:r w:rsidRPr="00B25B00">
              <w:rPr>
                <w:rStyle w:val="Hyperlink"/>
                <w:noProof/>
              </w:rPr>
              <w:t>Studies providing evaluable safety data</w:t>
            </w:r>
            <w:r>
              <w:rPr>
                <w:noProof/>
                <w:webHidden/>
              </w:rPr>
              <w:tab/>
            </w:r>
            <w:r>
              <w:rPr>
                <w:noProof/>
                <w:webHidden/>
              </w:rPr>
              <w:fldChar w:fldCharType="begin"/>
            </w:r>
            <w:r>
              <w:rPr>
                <w:noProof/>
                <w:webHidden/>
              </w:rPr>
              <w:instrText xml:space="preserve"> PAGEREF _Toc519848447 \h </w:instrText>
            </w:r>
            <w:r>
              <w:rPr>
                <w:noProof/>
                <w:webHidden/>
              </w:rPr>
            </w:r>
            <w:r>
              <w:rPr>
                <w:noProof/>
                <w:webHidden/>
              </w:rPr>
              <w:fldChar w:fldCharType="separate"/>
            </w:r>
            <w:r>
              <w:rPr>
                <w:noProof/>
                <w:webHidden/>
              </w:rPr>
              <w:t>79</w:t>
            </w:r>
            <w:r>
              <w:rPr>
                <w:noProof/>
                <w:webHidden/>
              </w:rPr>
              <w:fldChar w:fldCharType="end"/>
            </w:r>
          </w:hyperlink>
        </w:p>
        <w:p w14:paraId="2E440F35"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48" w:history="1">
            <w:r w:rsidRPr="00B25B00">
              <w:rPr>
                <w:rStyle w:val="Hyperlink"/>
                <w:noProof/>
              </w:rPr>
              <w:t>8.2.</w:t>
            </w:r>
            <w:r>
              <w:rPr>
                <w:rFonts w:asciiTheme="minorHAnsi" w:eastAsiaTheme="minorEastAsia" w:hAnsiTheme="minorHAnsi" w:cstheme="minorBidi"/>
                <w:noProof/>
                <w:lang w:eastAsia="en-AU"/>
              </w:rPr>
              <w:tab/>
            </w:r>
            <w:r w:rsidRPr="00B25B00">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_Toc519848448 \h </w:instrText>
            </w:r>
            <w:r>
              <w:rPr>
                <w:noProof/>
                <w:webHidden/>
              </w:rPr>
            </w:r>
            <w:r>
              <w:rPr>
                <w:noProof/>
                <w:webHidden/>
              </w:rPr>
              <w:fldChar w:fldCharType="separate"/>
            </w:r>
            <w:r>
              <w:rPr>
                <w:noProof/>
                <w:webHidden/>
              </w:rPr>
              <w:t>80</w:t>
            </w:r>
            <w:r>
              <w:rPr>
                <w:noProof/>
                <w:webHidden/>
              </w:rPr>
              <w:fldChar w:fldCharType="end"/>
            </w:r>
          </w:hyperlink>
        </w:p>
        <w:p w14:paraId="0408375A"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49" w:history="1">
            <w:r w:rsidRPr="00B25B00">
              <w:rPr>
                <w:rStyle w:val="Hyperlink"/>
                <w:noProof/>
              </w:rPr>
              <w:t>8.3.</w:t>
            </w:r>
            <w:r>
              <w:rPr>
                <w:rFonts w:asciiTheme="minorHAnsi" w:eastAsiaTheme="minorEastAsia" w:hAnsiTheme="minorHAnsi" w:cstheme="minorBidi"/>
                <w:noProof/>
                <w:lang w:eastAsia="en-AU"/>
              </w:rPr>
              <w:tab/>
            </w:r>
            <w:r w:rsidRPr="00B25B00">
              <w:rPr>
                <w:rStyle w:val="Hyperlink"/>
                <w:noProof/>
              </w:rPr>
              <w:t>Patient exposure</w:t>
            </w:r>
            <w:r>
              <w:rPr>
                <w:noProof/>
                <w:webHidden/>
              </w:rPr>
              <w:tab/>
            </w:r>
            <w:r>
              <w:rPr>
                <w:noProof/>
                <w:webHidden/>
              </w:rPr>
              <w:fldChar w:fldCharType="begin"/>
            </w:r>
            <w:r>
              <w:rPr>
                <w:noProof/>
                <w:webHidden/>
              </w:rPr>
              <w:instrText xml:space="preserve"> PAGEREF _Toc519848449 \h </w:instrText>
            </w:r>
            <w:r>
              <w:rPr>
                <w:noProof/>
                <w:webHidden/>
              </w:rPr>
            </w:r>
            <w:r>
              <w:rPr>
                <w:noProof/>
                <w:webHidden/>
              </w:rPr>
              <w:fldChar w:fldCharType="separate"/>
            </w:r>
            <w:r>
              <w:rPr>
                <w:noProof/>
                <w:webHidden/>
              </w:rPr>
              <w:t>80</w:t>
            </w:r>
            <w:r>
              <w:rPr>
                <w:noProof/>
                <w:webHidden/>
              </w:rPr>
              <w:fldChar w:fldCharType="end"/>
            </w:r>
          </w:hyperlink>
        </w:p>
        <w:p w14:paraId="4A403C08"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50" w:history="1">
            <w:r w:rsidRPr="00B25B00">
              <w:rPr>
                <w:rStyle w:val="Hyperlink"/>
                <w:noProof/>
              </w:rPr>
              <w:t>8.4.</w:t>
            </w:r>
            <w:r>
              <w:rPr>
                <w:rFonts w:asciiTheme="minorHAnsi" w:eastAsiaTheme="minorEastAsia" w:hAnsiTheme="minorHAnsi" w:cstheme="minorBidi"/>
                <w:noProof/>
                <w:lang w:eastAsia="en-AU"/>
              </w:rPr>
              <w:tab/>
            </w:r>
            <w:r w:rsidRPr="00B25B00">
              <w:rPr>
                <w:rStyle w:val="Hyperlink"/>
                <w:noProof/>
              </w:rPr>
              <w:t>Adverse events</w:t>
            </w:r>
            <w:r>
              <w:rPr>
                <w:noProof/>
                <w:webHidden/>
              </w:rPr>
              <w:tab/>
            </w:r>
            <w:r>
              <w:rPr>
                <w:noProof/>
                <w:webHidden/>
              </w:rPr>
              <w:fldChar w:fldCharType="begin"/>
            </w:r>
            <w:r>
              <w:rPr>
                <w:noProof/>
                <w:webHidden/>
              </w:rPr>
              <w:instrText xml:space="preserve"> PAGEREF _Toc519848450 \h </w:instrText>
            </w:r>
            <w:r>
              <w:rPr>
                <w:noProof/>
                <w:webHidden/>
              </w:rPr>
            </w:r>
            <w:r>
              <w:rPr>
                <w:noProof/>
                <w:webHidden/>
              </w:rPr>
              <w:fldChar w:fldCharType="separate"/>
            </w:r>
            <w:r>
              <w:rPr>
                <w:noProof/>
                <w:webHidden/>
              </w:rPr>
              <w:t>85</w:t>
            </w:r>
            <w:r>
              <w:rPr>
                <w:noProof/>
                <w:webHidden/>
              </w:rPr>
              <w:fldChar w:fldCharType="end"/>
            </w:r>
          </w:hyperlink>
        </w:p>
        <w:p w14:paraId="1D4BCB8F"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51" w:history="1">
            <w:r w:rsidRPr="00B25B00">
              <w:rPr>
                <w:rStyle w:val="Hyperlink"/>
                <w:noProof/>
              </w:rPr>
              <w:t>8.5.</w:t>
            </w:r>
            <w:r>
              <w:rPr>
                <w:rFonts w:asciiTheme="minorHAnsi" w:eastAsiaTheme="minorEastAsia" w:hAnsiTheme="minorHAnsi" w:cstheme="minorBidi"/>
                <w:noProof/>
                <w:lang w:eastAsia="en-AU"/>
              </w:rPr>
              <w:tab/>
            </w:r>
            <w:r w:rsidRPr="00B25B00">
              <w:rPr>
                <w:rStyle w:val="Hyperlink"/>
                <w:noProof/>
              </w:rPr>
              <w:t>Laboratory tests</w:t>
            </w:r>
            <w:r>
              <w:rPr>
                <w:noProof/>
                <w:webHidden/>
              </w:rPr>
              <w:tab/>
            </w:r>
            <w:r>
              <w:rPr>
                <w:noProof/>
                <w:webHidden/>
              </w:rPr>
              <w:fldChar w:fldCharType="begin"/>
            </w:r>
            <w:r>
              <w:rPr>
                <w:noProof/>
                <w:webHidden/>
              </w:rPr>
              <w:instrText xml:space="preserve"> PAGEREF _Toc519848451 \h </w:instrText>
            </w:r>
            <w:r>
              <w:rPr>
                <w:noProof/>
                <w:webHidden/>
              </w:rPr>
            </w:r>
            <w:r>
              <w:rPr>
                <w:noProof/>
                <w:webHidden/>
              </w:rPr>
              <w:fldChar w:fldCharType="separate"/>
            </w:r>
            <w:r>
              <w:rPr>
                <w:noProof/>
                <w:webHidden/>
              </w:rPr>
              <w:t>95</w:t>
            </w:r>
            <w:r>
              <w:rPr>
                <w:noProof/>
                <w:webHidden/>
              </w:rPr>
              <w:fldChar w:fldCharType="end"/>
            </w:r>
          </w:hyperlink>
        </w:p>
        <w:p w14:paraId="7FCCFFD1"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52" w:history="1">
            <w:r w:rsidRPr="00B25B00">
              <w:rPr>
                <w:rStyle w:val="Hyperlink"/>
                <w:noProof/>
              </w:rPr>
              <w:t>8.6.</w:t>
            </w:r>
            <w:r>
              <w:rPr>
                <w:rFonts w:asciiTheme="minorHAnsi" w:eastAsiaTheme="minorEastAsia" w:hAnsiTheme="minorHAnsi" w:cstheme="minorBidi"/>
                <w:noProof/>
                <w:lang w:eastAsia="en-AU"/>
              </w:rPr>
              <w:tab/>
            </w:r>
            <w:r w:rsidRPr="00B25B00">
              <w:rPr>
                <w:rStyle w:val="Hyperlink"/>
                <w:noProof/>
              </w:rPr>
              <w:t>Post-marketing experience</w:t>
            </w:r>
            <w:r>
              <w:rPr>
                <w:noProof/>
                <w:webHidden/>
              </w:rPr>
              <w:tab/>
            </w:r>
            <w:r>
              <w:rPr>
                <w:noProof/>
                <w:webHidden/>
              </w:rPr>
              <w:fldChar w:fldCharType="begin"/>
            </w:r>
            <w:r>
              <w:rPr>
                <w:noProof/>
                <w:webHidden/>
              </w:rPr>
              <w:instrText xml:space="preserve"> PAGEREF _Toc519848452 \h </w:instrText>
            </w:r>
            <w:r>
              <w:rPr>
                <w:noProof/>
                <w:webHidden/>
              </w:rPr>
            </w:r>
            <w:r>
              <w:rPr>
                <w:noProof/>
                <w:webHidden/>
              </w:rPr>
              <w:fldChar w:fldCharType="separate"/>
            </w:r>
            <w:r>
              <w:rPr>
                <w:noProof/>
                <w:webHidden/>
              </w:rPr>
              <w:t>110</w:t>
            </w:r>
            <w:r>
              <w:rPr>
                <w:noProof/>
                <w:webHidden/>
              </w:rPr>
              <w:fldChar w:fldCharType="end"/>
            </w:r>
          </w:hyperlink>
        </w:p>
        <w:p w14:paraId="767EF114"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53" w:history="1">
            <w:r w:rsidRPr="00B25B00">
              <w:rPr>
                <w:rStyle w:val="Hyperlink"/>
                <w:noProof/>
              </w:rPr>
              <w:t>8.7.</w:t>
            </w:r>
            <w:r>
              <w:rPr>
                <w:rFonts w:asciiTheme="minorHAnsi" w:eastAsiaTheme="minorEastAsia" w:hAnsiTheme="minorHAnsi" w:cstheme="minorBidi"/>
                <w:noProof/>
                <w:lang w:eastAsia="en-AU"/>
              </w:rPr>
              <w:tab/>
            </w:r>
            <w:r w:rsidRPr="00B25B00">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_Toc519848453 \h </w:instrText>
            </w:r>
            <w:r>
              <w:rPr>
                <w:noProof/>
                <w:webHidden/>
              </w:rPr>
            </w:r>
            <w:r>
              <w:rPr>
                <w:noProof/>
                <w:webHidden/>
              </w:rPr>
              <w:fldChar w:fldCharType="separate"/>
            </w:r>
            <w:r>
              <w:rPr>
                <w:noProof/>
                <w:webHidden/>
              </w:rPr>
              <w:t>110</w:t>
            </w:r>
            <w:r>
              <w:rPr>
                <w:noProof/>
                <w:webHidden/>
              </w:rPr>
              <w:fldChar w:fldCharType="end"/>
            </w:r>
          </w:hyperlink>
        </w:p>
        <w:p w14:paraId="7EF38BB7"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54" w:history="1">
            <w:r w:rsidRPr="00B25B00">
              <w:rPr>
                <w:rStyle w:val="Hyperlink"/>
                <w:noProof/>
              </w:rPr>
              <w:t>8.8.</w:t>
            </w:r>
            <w:r>
              <w:rPr>
                <w:rFonts w:asciiTheme="minorHAnsi" w:eastAsiaTheme="minorEastAsia" w:hAnsiTheme="minorHAnsi" w:cstheme="minorBidi"/>
                <w:noProof/>
                <w:lang w:eastAsia="en-AU"/>
              </w:rPr>
              <w:tab/>
            </w:r>
            <w:r w:rsidRPr="00B25B00">
              <w:rPr>
                <w:rStyle w:val="Hyperlink"/>
                <w:noProof/>
              </w:rPr>
              <w:t>Other safety issues</w:t>
            </w:r>
            <w:r>
              <w:rPr>
                <w:noProof/>
                <w:webHidden/>
              </w:rPr>
              <w:tab/>
            </w:r>
            <w:r>
              <w:rPr>
                <w:noProof/>
                <w:webHidden/>
              </w:rPr>
              <w:fldChar w:fldCharType="begin"/>
            </w:r>
            <w:r>
              <w:rPr>
                <w:noProof/>
                <w:webHidden/>
              </w:rPr>
              <w:instrText xml:space="preserve"> PAGEREF _Toc519848454 \h </w:instrText>
            </w:r>
            <w:r>
              <w:rPr>
                <w:noProof/>
                <w:webHidden/>
              </w:rPr>
            </w:r>
            <w:r>
              <w:rPr>
                <w:noProof/>
                <w:webHidden/>
              </w:rPr>
              <w:fldChar w:fldCharType="separate"/>
            </w:r>
            <w:r>
              <w:rPr>
                <w:noProof/>
                <w:webHidden/>
              </w:rPr>
              <w:t>111</w:t>
            </w:r>
            <w:r>
              <w:rPr>
                <w:noProof/>
                <w:webHidden/>
              </w:rPr>
              <w:fldChar w:fldCharType="end"/>
            </w:r>
          </w:hyperlink>
        </w:p>
        <w:p w14:paraId="6043EAA2"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55" w:history="1">
            <w:r w:rsidRPr="00B25B00">
              <w:rPr>
                <w:rStyle w:val="Hyperlink"/>
                <w:noProof/>
              </w:rPr>
              <w:t>8.9.</w:t>
            </w:r>
            <w:r>
              <w:rPr>
                <w:rFonts w:asciiTheme="minorHAnsi" w:eastAsiaTheme="minorEastAsia" w:hAnsiTheme="minorHAnsi" w:cstheme="minorBidi"/>
                <w:noProof/>
                <w:lang w:eastAsia="en-AU"/>
              </w:rPr>
              <w:tab/>
            </w:r>
            <w:r w:rsidRPr="00B25B00">
              <w:rPr>
                <w:rStyle w:val="Hyperlink"/>
                <w:noProof/>
              </w:rPr>
              <w:t>Evaluator’s overall conclusions on clinical safety</w:t>
            </w:r>
            <w:r>
              <w:rPr>
                <w:noProof/>
                <w:webHidden/>
              </w:rPr>
              <w:tab/>
            </w:r>
            <w:r>
              <w:rPr>
                <w:noProof/>
                <w:webHidden/>
              </w:rPr>
              <w:fldChar w:fldCharType="begin"/>
            </w:r>
            <w:r>
              <w:rPr>
                <w:noProof/>
                <w:webHidden/>
              </w:rPr>
              <w:instrText xml:space="preserve"> PAGEREF _Toc519848455 \h </w:instrText>
            </w:r>
            <w:r>
              <w:rPr>
                <w:noProof/>
                <w:webHidden/>
              </w:rPr>
            </w:r>
            <w:r>
              <w:rPr>
                <w:noProof/>
                <w:webHidden/>
              </w:rPr>
              <w:fldChar w:fldCharType="separate"/>
            </w:r>
            <w:r>
              <w:rPr>
                <w:noProof/>
                <w:webHidden/>
              </w:rPr>
              <w:t>112</w:t>
            </w:r>
            <w:r>
              <w:rPr>
                <w:noProof/>
                <w:webHidden/>
              </w:rPr>
              <w:fldChar w:fldCharType="end"/>
            </w:r>
          </w:hyperlink>
        </w:p>
        <w:p w14:paraId="288D2C22" w14:textId="77777777" w:rsidR="00655A51" w:rsidRDefault="00655A51">
          <w:pPr>
            <w:pStyle w:val="TOC2"/>
            <w:tabs>
              <w:tab w:val="left" w:pos="1100"/>
            </w:tabs>
            <w:rPr>
              <w:rFonts w:asciiTheme="minorHAnsi" w:eastAsiaTheme="minorEastAsia" w:hAnsiTheme="minorHAnsi" w:cstheme="minorBidi"/>
              <w:b w:val="0"/>
              <w:noProof/>
              <w:sz w:val="22"/>
              <w:lang w:eastAsia="en-AU"/>
            </w:rPr>
          </w:pPr>
          <w:hyperlink w:anchor="_Toc519848456" w:history="1">
            <w:r w:rsidRPr="00B25B00">
              <w:rPr>
                <w:rStyle w:val="Hyperlink"/>
                <w:noProof/>
              </w:rPr>
              <w:t>9.</w:t>
            </w:r>
            <w:r>
              <w:rPr>
                <w:rFonts w:asciiTheme="minorHAnsi" w:eastAsiaTheme="minorEastAsia" w:hAnsiTheme="minorHAnsi" w:cstheme="minorBidi"/>
                <w:b w:val="0"/>
                <w:noProof/>
                <w:sz w:val="22"/>
                <w:lang w:eastAsia="en-AU"/>
              </w:rPr>
              <w:tab/>
            </w:r>
            <w:r w:rsidRPr="00B25B00">
              <w:rPr>
                <w:rStyle w:val="Hyperlink"/>
                <w:noProof/>
              </w:rPr>
              <w:t>First round benefit-risk assessment</w:t>
            </w:r>
            <w:r>
              <w:rPr>
                <w:noProof/>
                <w:webHidden/>
              </w:rPr>
              <w:tab/>
            </w:r>
            <w:r>
              <w:rPr>
                <w:noProof/>
                <w:webHidden/>
              </w:rPr>
              <w:fldChar w:fldCharType="begin"/>
            </w:r>
            <w:r>
              <w:rPr>
                <w:noProof/>
                <w:webHidden/>
              </w:rPr>
              <w:instrText xml:space="preserve"> PAGEREF _Toc519848456 \h </w:instrText>
            </w:r>
            <w:r>
              <w:rPr>
                <w:noProof/>
                <w:webHidden/>
              </w:rPr>
            </w:r>
            <w:r>
              <w:rPr>
                <w:noProof/>
                <w:webHidden/>
              </w:rPr>
              <w:fldChar w:fldCharType="separate"/>
            </w:r>
            <w:r>
              <w:rPr>
                <w:noProof/>
                <w:webHidden/>
              </w:rPr>
              <w:t>114</w:t>
            </w:r>
            <w:r>
              <w:rPr>
                <w:noProof/>
                <w:webHidden/>
              </w:rPr>
              <w:fldChar w:fldCharType="end"/>
            </w:r>
          </w:hyperlink>
        </w:p>
        <w:p w14:paraId="4AE2E1AD"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57" w:history="1">
            <w:r w:rsidRPr="00B25B00">
              <w:rPr>
                <w:rStyle w:val="Hyperlink"/>
                <w:noProof/>
              </w:rPr>
              <w:t>9.1.</w:t>
            </w:r>
            <w:r>
              <w:rPr>
                <w:rFonts w:asciiTheme="minorHAnsi" w:eastAsiaTheme="minorEastAsia" w:hAnsiTheme="minorHAnsi" w:cstheme="minorBidi"/>
                <w:noProof/>
                <w:lang w:eastAsia="en-AU"/>
              </w:rPr>
              <w:tab/>
            </w:r>
            <w:r w:rsidRPr="00B25B00">
              <w:rPr>
                <w:rStyle w:val="Hyperlink"/>
                <w:noProof/>
              </w:rPr>
              <w:t>First round assessment of benefits</w:t>
            </w:r>
            <w:r>
              <w:rPr>
                <w:noProof/>
                <w:webHidden/>
              </w:rPr>
              <w:tab/>
            </w:r>
            <w:r>
              <w:rPr>
                <w:noProof/>
                <w:webHidden/>
              </w:rPr>
              <w:fldChar w:fldCharType="begin"/>
            </w:r>
            <w:r>
              <w:rPr>
                <w:noProof/>
                <w:webHidden/>
              </w:rPr>
              <w:instrText xml:space="preserve"> PAGEREF _Toc519848457 \h </w:instrText>
            </w:r>
            <w:r>
              <w:rPr>
                <w:noProof/>
                <w:webHidden/>
              </w:rPr>
            </w:r>
            <w:r>
              <w:rPr>
                <w:noProof/>
                <w:webHidden/>
              </w:rPr>
              <w:fldChar w:fldCharType="separate"/>
            </w:r>
            <w:r>
              <w:rPr>
                <w:noProof/>
                <w:webHidden/>
              </w:rPr>
              <w:t>114</w:t>
            </w:r>
            <w:r>
              <w:rPr>
                <w:noProof/>
                <w:webHidden/>
              </w:rPr>
              <w:fldChar w:fldCharType="end"/>
            </w:r>
          </w:hyperlink>
        </w:p>
        <w:p w14:paraId="7CF89511"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58" w:history="1">
            <w:r w:rsidRPr="00B25B00">
              <w:rPr>
                <w:rStyle w:val="Hyperlink"/>
                <w:noProof/>
              </w:rPr>
              <w:t>9.2.</w:t>
            </w:r>
            <w:r>
              <w:rPr>
                <w:rFonts w:asciiTheme="minorHAnsi" w:eastAsiaTheme="minorEastAsia" w:hAnsiTheme="minorHAnsi" w:cstheme="minorBidi"/>
                <w:noProof/>
                <w:lang w:eastAsia="en-AU"/>
              </w:rPr>
              <w:tab/>
            </w:r>
            <w:r w:rsidRPr="00B25B00">
              <w:rPr>
                <w:rStyle w:val="Hyperlink"/>
                <w:noProof/>
              </w:rPr>
              <w:t>First round assessment of risks</w:t>
            </w:r>
            <w:r>
              <w:rPr>
                <w:noProof/>
                <w:webHidden/>
              </w:rPr>
              <w:tab/>
            </w:r>
            <w:r>
              <w:rPr>
                <w:noProof/>
                <w:webHidden/>
              </w:rPr>
              <w:fldChar w:fldCharType="begin"/>
            </w:r>
            <w:r>
              <w:rPr>
                <w:noProof/>
                <w:webHidden/>
              </w:rPr>
              <w:instrText xml:space="preserve"> PAGEREF _Toc519848458 \h </w:instrText>
            </w:r>
            <w:r>
              <w:rPr>
                <w:noProof/>
                <w:webHidden/>
              </w:rPr>
            </w:r>
            <w:r>
              <w:rPr>
                <w:noProof/>
                <w:webHidden/>
              </w:rPr>
              <w:fldChar w:fldCharType="separate"/>
            </w:r>
            <w:r>
              <w:rPr>
                <w:noProof/>
                <w:webHidden/>
              </w:rPr>
              <w:t>114</w:t>
            </w:r>
            <w:r>
              <w:rPr>
                <w:noProof/>
                <w:webHidden/>
              </w:rPr>
              <w:fldChar w:fldCharType="end"/>
            </w:r>
          </w:hyperlink>
        </w:p>
        <w:p w14:paraId="677BAA9B"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59" w:history="1">
            <w:r w:rsidRPr="00B25B00">
              <w:rPr>
                <w:rStyle w:val="Hyperlink"/>
                <w:noProof/>
              </w:rPr>
              <w:t>9.3.</w:t>
            </w:r>
            <w:r>
              <w:rPr>
                <w:rFonts w:asciiTheme="minorHAnsi" w:eastAsiaTheme="minorEastAsia" w:hAnsiTheme="minorHAnsi" w:cstheme="minorBidi"/>
                <w:noProof/>
                <w:lang w:eastAsia="en-AU"/>
              </w:rPr>
              <w:tab/>
            </w:r>
            <w:r w:rsidRPr="00B25B00">
              <w:rPr>
                <w:rStyle w:val="Hyperlink"/>
                <w:noProof/>
              </w:rPr>
              <w:t>First round assessment of benefit-risk balance</w:t>
            </w:r>
            <w:r>
              <w:rPr>
                <w:noProof/>
                <w:webHidden/>
              </w:rPr>
              <w:tab/>
            </w:r>
            <w:r>
              <w:rPr>
                <w:noProof/>
                <w:webHidden/>
              </w:rPr>
              <w:fldChar w:fldCharType="begin"/>
            </w:r>
            <w:r>
              <w:rPr>
                <w:noProof/>
                <w:webHidden/>
              </w:rPr>
              <w:instrText xml:space="preserve"> PAGEREF _Toc519848459 \h </w:instrText>
            </w:r>
            <w:r>
              <w:rPr>
                <w:noProof/>
                <w:webHidden/>
              </w:rPr>
            </w:r>
            <w:r>
              <w:rPr>
                <w:noProof/>
                <w:webHidden/>
              </w:rPr>
              <w:fldChar w:fldCharType="separate"/>
            </w:r>
            <w:r>
              <w:rPr>
                <w:noProof/>
                <w:webHidden/>
              </w:rPr>
              <w:t>115</w:t>
            </w:r>
            <w:r>
              <w:rPr>
                <w:noProof/>
                <w:webHidden/>
              </w:rPr>
              <w:fldChar w:fldCharType="end"/>
            </w:r>
          </w:hyperlink>
        </w:p>
        <w:p w14:paraId="0E4CD8B3" w14:textId="77777777" w:rsidR="00655A51" w:rsidRDefault="00655A51">
          <w:pPr>
            <w:pStyle w:val="TOC2"/>
            <w:tabs>
              <w:tab w:val="left" w:pos="1320"/>
            </w:tabs>
            <w:rPr>
              <w:rFonts w:asciiTheme="minorHAnsi" w:eastAsiaTheme="minorEastAsia" w:hAnsiTheme="minorHAnsi" w:cstheme="minorBidi"/>
              <w:b w:val="0"/>
              <w:noProof/>
              <w:sz w:val="22"/>
              <w:lang w:eastAsia="en-AU"/>
            </w:rPr>
          </w:pPr>
          <w:hyperlink w:anchor="_Toc519848460" w:history="1">
            <w:r w:rsidRPr="00B25B00">
              <w:rPr>
                <w:rStyle w:val="Hyperlink"/>
                <w:noProof/>
              </w:rPr>
              <w:t>10.</w:t>
            </w:r>
            <w:r>
              <w:rPr>
                <w:rFonts w:asciiTheme="minorHAnsi" w:eastAsiaTheme="minorEastAsia" w:hAnsiTheme="minorHAnsi" w:cstheme="minorBidi"/>
                <w:b w:val="0"/>
                <w:noProof/>
                <w:sz w:val="22"/>
                <w:lang w:eastAsia="en-AU"/>
              </w:rPr>
              <w:tab/>
            </w:r>
            <w:r w:rsidRPr="00B25B00">
              <w:rPr>
                <w:rStyle w:val="Hyperlink"/>
                <w:noProof/>
              </w:rPr>
              <w:t>First round recommendation regarding authorisation</w:t>
            </w:r>
            <w:r>
              <w:rPr>
                <w:noProof/>
                <w:webHidden/>
              </w:rPr>
              <w:tab/>
            </w:r>
            <w:r>
              <w:rPr>
                <w:noProof/>
                <w:webHidden/>
              </w:rPr>
              <w:fldChar w:fldCharType="begin"/>
            </w:r>
            <w:r>
              <w:rPr>
                <w:noProof/>
                <w:webHidden/>
              </w:rPr>
              <w:instrText xml:space="preserve"> PAGEREF _Toc519848460 \h </w:instrText>
            </w:r>
            <w:r>
              <w:rPr>
                <w:noProof/>
                <w:webHidden/>
              </w:rPr>
            </w:r>
            <w:r>
              <w:rPr>
                <w:noProof/>
                <w:webHidden/>
              </w:rPr>
              <w:fldChar w:fldCharType="separate"/>
            </w:r>
            <w:r>
              <w:rPr>
                <w:noProof/>
                <w:webHidden/>
              </w:rPr>
              <w:t>116</w:t>
            </w:r>
            <w:r>
              <w:rPr>
                <w:noProof/>
                <w:webHidden/>
              </w:rPr>
              <w:fldChar w:fldCharType="end"/>
            </w:r>
          </w:hyperlink>
        </w:p>
        <w:p w14:paraId="3521FD15" w14:textId="77777777" w:rsidR="00655A51" w:rsidRDefault="00655A51">
          <w:pPr>
            <w:pStyle w:val="TOC2"/>
            <w:tabs>
              <w:tab w:val="left" w:pos="1320"/>
            </w:tabs>
            <w:rPr>
              <w:rFonts w:asciiTheme="minorHAnsi" w:eastAsiaTheme="minorEastAsia" w:hAnsiTheme="minorHAnsi" w:cstheme="minorBidi"/>
              <w:b w:val="0"/>
              <w:noProof/>
              <w:sz w:val="22"/>
              <w:lang w:eastAsia="en-AU"/>
            </w:rPr>
          </w:pPr>
          <w:hyperlink w:anchor="_Toc519848461" w:history="1">
            <w:r w:rsidRPr="00B25B00">
              <w:rPr>
                <w:rStyle w:val="Hyperlink"/>
                <w:noProof/>
              </w:rPr>
              <w:t>11.</w:t>
            </w:r>
            <w:r>
              <w:rPr>
                <w:rFonts w:asciiTheme="minorHAnsi" w:eastAsiaTheme="minorEastAsia" w:hAnsiTheme="minorHAnsi" w:cstheme="minorBidi"/>
                <w:b w:val="0"/>
                <w:noProof/>
                <w:sz w:val="22"/>
                <w:lang w:eastAsia="en-AU"/>
              </w:rPr>
              <w:tab/>
            </w:r>
            <w:r w:rsidRPr="00B25B00">
              <w:rPr>
                <w:rStyle w:val="Hyperlink"/>
                <w:noProof/>
              </w:rPr>
              <w:t>Clinical questions</w:t>
            </w:r>
            <w:r>
              <w:rPr>
                <w:noProof/>
                <w:webHidden/>
              </w:rPr>
              <w:tab/>
            </w:r>
            <w:r>
              <w:rPr>
                <w:noProof/>
                <w:webHidden/>
              </w:rPr>
              <w:fldChar w:fldCharType="begin"/>
            </w:r>
            <w:r>
              <w:rPr>
                <w:noProof/>
                <w:webHidden/>
              </w:rPr>
              <w:instrText xml:space="preserve"> PAGEREF _Toc519848461 \h </w:instrText>
            </w:r>
            <w:r>
              <w:rPr>
                <w:noProof/>
                <w:webHidden/>
              </w:rPr>
            </w:r>
            <w:r>
              <w:rPr>
                <w:noProof/>
                <w:webHidden/>
              </w:rPr>
              <w:fldChar w:fldCharType="separate"/>
            </w:r>
            <w:r>
              <w:rPr>
                <w:noProof/>
                <w:webHidden/>
              </w:rPr>
              <w:t>117</w:t>
            </w:r>
            <w:r>
              <w:rPr>
                <w:noProof/>
                <w:webHidden/>
              </w:rPr>
              <w:fldChar w:fldCharType="end"/>
            </w:r>
          </w:hyperlink>
        </w:p>
        <w:p w14:paraId="73F6CEFD"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62" w:history="1">
            <w:r w:rsidRPr="00B25B00">
              <w:rPr>
                <w:rStyle w:val="Hyperlink"/>
                <w:noProof/>
              </w:rPr>
              <w:t>11.1.</w:t>
            </w:r>
            <w:r>
              <w:rPr>
                <w:rFonts w:asciiTheme="minorHAnsi" w:eastAsiaTheme="minorEastAsia" w:hAnsiTheme="minorHAnsi" w:cstheme="minorBidi"/>
                <w:noProof/>
                <w:lang w:eastAsia="en-AU"/>
              </w:rPr>
              <w:tab/>
            </w:r>
            <w:r w:rsidRPr="00B25B00">
              <w:rPr>
                <w:rStyle w:val="Hyperlink"/>
                <w:noProof/>
              </w:rPr>
              <w:t>Pharmacokinetics</w:t>
            </w:r>
            <w:r>
              <w:rPr>
                <w:noProof/>
                <w:webHidden/>
              </w:rPr>
              <w:tab/>
            </w:r>
            <w:r>
              <w:rPr>
                <w:noProof/>
                <w:webHidden/>
              </w:rPr>
              <w:fldChar w:fldCharType="begin"/>
            </w:r>
            <w:r>
              <w:rPr>
                <w:noProof/>
                <w:webHidden/>
              </w:rPr>
              <w:instrText xml:space="preserve"> PAGEREF _Toc519848462 \h </w:instrText>
            </w:r>
            <w:r>
              <w:rPr>
                <w:noProof/>
                <w:webHidden/>
              </w:rPr>
            </w:r>
            <w:r>
              <w:rPr>
                <w:noProof/>
                <w:webHidden/>
              </w:rPr>
              <w:fldChar w:fldCharType="separate"/>
            </w:r>
            <w:r>
              <w:rPr>
                <w:noProof/>
                <w:webHidden/>
              </w:rPr>
              <w:t>117</w:t>
            </w:r>
            <w:r>
              <w:rPr>
                <w:noProof/>
                <w:webHidden/>
              </w:rPr>
              <w:fldChar w:fldCharType="end"/>
            </w:r>
          </w:hyperlink>
        </w:p>
        <w:p w14:paraId="5E6FC13C"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63" w:history="1">
            <w:r w:rsidRPr="00B25B00">
              <w:rPr>
                <w:rStyle w:val="Hyperlink"/>
                <w:noProof/>
              </w:rPr>
              <w:t>11.2.</w:t>
            </w:r>
            <w:r>
              <w:rPr>
                <w:rFonts w:asciiTheme="minorHAnsi" w:eastAsiaTheme="minorEastAsia" w:hAnsiTheme="minorHAnsi" w:cstheme="minorBidi"/>
                <w:noProof/>
                <w:lang w:eastAsia="en-AU"/>
              </w:rPr>
              <w:tab/>
            </w:r>
            <w:r w:rsidRPr="00B25B00">
              <w:rPr>
                <w:rStyle w:val="Hyperlink"/>
                <w:noProof/>
              </w:rPr>
              <w:t>Pharmacodynamics</w:t>
            </w:r>
            <w:r>
              <w:rPr>
                <w:noProof/>
                <w:webHidden/>
              </w:rPr>
              <w:tab/>
            </w:r>
            <w:r>
              <w:rPr>
                <w:noProof/>
                <w:webHidden/>
              </w:rPr>
              <w:fldChar w:fldCharType="begin"/>
            </w:r>
            <w:r>
              <w:rPr>
                <w:noProof/>
                <w:webHidden/>
              </w:rPr>
              <w:instrText xml:space="preserve"> PAGEREF _Toc519848463 \h </w:instrText>
            </w:r>
            <w:r>
              <w:rPr>
                <w:noProof/>
                <w:webHidden/>
              </w:rPr>
            </w:r>
            <w:r>
              <w:rPr>
                <w:noProof/>
                <w:webHidden/>
              </w:rPr>
              <w:fldChar w:fldCharType="separate"/>
            </w:r>
            <w:r>
              <w:rPr>
                <w:noProof/>
                <w:webHidden/>
              </w:rPr>
              <w:t>117</w:t>
            </w:r>
            <w:r>
              <w:rPr>
                <w:noProof/>
                <w:webHidden/>
              </w:rPr>
              <w:fldChar w:fldCharType="end"/>
            </w:r>
          </w:hyperlink>
        </w:p>
        <w:p w14:paraId="00550845"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64" w:history="1">
            <w:r w:rsidRPr="00B25B00">
              <w:rPr>
                <w:rStyle w:val="Hyperlink"/>
                <w:noProof/>
              </w:rPr>
              <w:t>11.3.</w:t>
            </w:r>
            <w:r>
              <w:rPr>
                <w:rFonts w:asciiTheme="minorHAnsi" w:eastAsiaTheme="minorEastAsia" w:hAnsiTheme="minorHAnsi" w:cstheme="minorBidi"/>
                <w:noProof/>
                <w:lang w:eastAsia="en-AU"/>
              </w:rPr>
              <w:tab/>
            </w:r>
            <w:r w:rsidRPr="00B25B00">
              <w:rPr>
                <w:rStyle w:val="Hyperlink"/>
                <w:noProof/>
              </w:rPr>
              <w:t>Efficacy</w:t>
            </w:r>
            <w:r>
              <w:rPr>
                <w:noProof/>
                <w:webHidden/>
              </w:rPr>
              <w:tab/>
            </w:r>
            <w:r>
              <w:rPr>
                <w:noProof/>
                <w:webHidden/>
              </w:rPr>
              <w:fldChar w:fldCharType="begin"/>
            </w:r>
            <w:r>
              <w:rPr>
                <w:noProof/>
                <w:webHidden/>
              </w:rPr>
              <w:instrText xml:space="preserve"> PAGEREF _Toc519848464 \h </w:instrText>
            </w:r>
            <w:r>
              <w:rPr>
                <w:noProof/>
                <w:webHidden/>
              </w:rPr>
            </w:r>
            <w:r>
              <w:rPr>
                <w:noProof/>
                <w:webHidden/>
              </w:rPr>
              <w:fldChar w:fldCharType="separate"/>
            </w:r>
            <w:r>
              <w:rPr>
                <w:noProof/>
                <w:webHidden/>
              </w:rPr>
              <w:t>117</w:t>
            </w:r>
            <w:r>
              <w:rPr>
                <w:noProof/>
                <w:webHidden/>
              </w:rPr>
              <w:fldChar w:fldCharType="end"/>
            </w:r>
          </w:hyperlink>
        </w:p>
        <w:p w14:paraId="592B0101"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65" w:history="1">
            <w:r w:rsidRPr="00B25B00">
              <w:rPr>
                <w:rStyle w:val="Hyperlink"/>
                <w:noProof/>
              </w:rPr>
              <w:t>11.4.</w:t>
            </w:r>
            <w:r>
              <w:rPr>
                <w:rFonts w:asciiTheme="minorHAnsi" w:eastAsiaTheme="minorEastAsia" w:hAnsiTheme="minorHAnsi" w:cstheme="minorBidi"/>
                <w:noProof/>
                <w:lang w:eastAsia="en-AU"/>
              </w:rPr>
              <w:tab/>
            </w:r>
            <w:r w:rsidRPr="00B25B00">
              <w:rPr>
                <w:rStyle w:val="Hyperlink"/>
                <w:noProof/>
              </w:rPr>
              <w:t>Safety</w:t>
            </w:r>
            <w:r>
              <w:rPr>
                <w:noProof/>
                <w:webHidden/>
              </w:rPr>
              <w:tab/>
            </w:r>
            <w:r>
              <w:rPr>
                <w:noProof/>
                <w:webHidden/>
              </w:rPr>
              <w:fldChar w:fldCharType="begin"/>
            </w:r>
            <w:r>
              <w:rPr>
                <w:noProof/>
                <w:webHidden/>
              </w:rPr>
              <w:instrText xml:space="preserve"> PAGEREF _Toc519848465 \h </w:instrText>
            </w:r>
            <w:r>
              <w:rPr>
                <w:noProof/>
                <w:webHidden/>
              </w:rPr>
            </w:r>
            <w:r>
              <w:rPr>
                <w:noProof/>
                <w:webHidden/>
              </w:rPr>
              <w:fldChar w:fldCharType="separate"/>
            </w:r>
            <w:r>
              <w:rPr>
                <w:noProof/>
                <w:webHidden/>
              </w:rPr>
              <w:t>118</w:t>
            </w:r>
            <w:r>
              <w:rPr>
                <w:noProof/>
                <w:webHidden/>
              </w:rPr>
              <w:fldChar w:fldCharType="end"/>
            </w:r>
          </w:hyperlink>
        </w:p>
        <w:p w14:paraId="61D25735" w14:textId="77777777" w:rsidR="00655A51" w:rsidRDefault="00655A51">
          <w:pPr>
            <w:pStyle w:val="TOC2"/>
            <w:tabs>
              <w:tab w:val="left" w:pos="1320"/>
            </w:tabs>
            <w:rPr>
              <w:rFonts w:asciiTheme="minorHAnsi" w:eastAsiaTheme="minorEastAsia" w:hAnsiTheme="minorHAnsi" w:cstheme="minorBidi"/>
              <w:b w:val="0"/>
              <w:noProof/>
              <w:sz w:val="22"/>
              <w:lang w:eastAsia="en-AU"/>
            </w:rPr>
          </w:pPr>
          <w:hyperlink w:anchor="_Toc519848466" w:history="1">
            <w:r w:rsidRPr="00B25B00">
              <w:rPr>
                <w:rStyle w:val="Hyperlink"/>
                <w:noProof/>
              </w:rPr>
              <w:t>12.</w:t>
            </w:r>
            <w:r>
              <w:rPr>
                <w:rFonts w:asciiTheme="minorHAnsi" w:eastAsiaTheme="minorEastAsia" w:hAnsiTheme="minorHAnsi" w:cstheme="minorBidi"/>
                <w:b w:val="0"/>
                <w:noProof/>
                <w:sz w:val="22"/>
                <w:lang w:eastAsia="en-AU"/>
              </w:rPr>
              <w:tab/>
            </w:r>
            <w:r w:rsidRPr="00B25B00">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_Toc519848466 \h </w:instrText>
            </w:r>
            <w:r>
              <w:rPr>
                <w:noProof/>
                <w:webHidden/>
              </w:rPr>
            </w:r>
            <w:r>
              <w:rPr>
                <w:noProof/>
                <w:webHidden/>
              </w:rPr>
              <w:fldChar w:fldCharType="separate"/>
            </w:r>
            <w:r>
              <w:rPr>
                <w:noProof/>
                <w:webHidden/>
              </w:rPr>
              <w:t>118</w:t>
            </w:r>
            <w:r>
              <w:rPr>
                <w:noProof/>
                <w:webHidden/>
              </w:rPr>
              <w:fldChar w:fldCharType="end"/>
            </w:r>
          </w:hyperlink>
        </w:p>
        <w:p w14:paraId="5D687E4B"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67" w:history="1">
            <w:r w:rsidRPr="00B25B00">
              <w:rPr>
                <w:rStyle w:val="Hyperlink"/>
                <w:noProof/>
              </w:rPr>
              <w:t>12.1.</w:t>
            </w:r>
            <w:r>
              <w:rPr>
                <w:rFonts w:asciiTheme="minorHAnsi" w:eastAsiaTheme="minorEastAsia" w:hAnsiTheme="minorHAnsi" w:cstheme="minorBidi"/>
                <w:noProof/>
                <w:lang w:eastAsia="en-AU"/>
              </w:rPr>
              <w:tab/>
            </w:r>
            <w:r w:rsidRPr="00B25B00">
              <w:rPr>
                <w:rStyle w:val="Hyperlink"/>
                <w:noProof/>
              </w:rPr>
              <w:t>Question 1</w:t>
            </w:r>
            <w:r>
              <w:rPr>
                <w:noProof/>
                <w:webHidden/>
              </w:rPr>
              <w:tab/>
            </w:r>
            <w:r>
              <w:rPr>
                <w:noProof/>
                <w:webHidden/>
              </w:rPr>
              <w:fldChar w:fldCharType="begin"/>
            </w:r>
            <w:r>
              <w:rPr>
                <w:noProof/>
                <w:webHidden/>
              </w:rPr>
              <w:instrText xml:space="preserve"> PAGEREF _Toc519848467 \h </w:instrText>
            </w:r>
            <w:r>
              <w:rPr>
                <w:noProof/>
                <w:webHidden/>
              </w:rPr>
            </w:r>
            <w:r>
              <w:rPr>
                <w:noProof/>
                <w:webHidden/>
              </w:rPr>
              <w:fldChar w:fldCharType="separate"/>
            </w:r>
            <w:r>
              <w:rPr>
                <w:noProof/>
                <w:webHidden/>
              </w:rPr>
              <w:t>118</w:t>
            </w:r>
            <w:r>
              <w:rPr>
                <w:noProof/>
                <w:webHidden/>
              </w:rPr>
              <w:fldChar w:fldCharType="end"/>
            </w:r>
          </w:hyperlink>
        </w:p>
        <w:p w14:paraId="0CC1EE9F"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68" w:history="1">
            <w:r w:rsidRPr="00B25B00">
              <w:rPr>
                <w:rStyle w:val="Hyperlink"/>
                <w:noProof/>
              </w:rPr>
              <w:t>12.2.</w:t>
            </w:r>
            <w:r>
              <w:rPr>
                <w:rFonts w:asciiTheme="minorHAnsi" w:eastAsiaTheme="minorEastAsia" w:hAnsiTheme="minorHAnsi" w:cstheme="minorBidi"/>
                <w:noProof/>
                <w:lang w:eastAsia="en-AU"/>
              </w:rPr>
              <w:tab/>
            </w:r>
            <w:r w:rsidRPr="00B25B00">
              <w:rPr>
                <w:rStyle w:val="Hyperlink"/>
                <w:noProof/>
              </w:rPr>
              <w:t>Question 2</w:t>
            </w:r>
            <w:r>
              <w:rPr>
                <w:noProof/>
                <w:webHidden/>
              </w:rPr>
              <w:tab/>
            </w:r>
            <w:r>
              <w:rPr>
                <w:noProof/>
                <w:webHidden/>
              </w:rPr>
              <w:fldChar w:fldCharType="begin"/>
            </w:r>
            <w:r>
              <w:rPr>
                <w:noProof/>
                <w:webHidden/>
              </w:rPr>
              <w:instrText xml:space="preserve"> PAGEREF _Toc519848468 \h </w:instrText>
            </w:r>
            <w:r>
              <w:rPr>
                <w:noProof/>
                <w:webHidden/>
              </w:rPr>
            </w:r>
            <w:r>
              <w:rPr>
                <w:noProof/>
                <w:webHidden/>
              </w:rPr>
              <w:fldChar w:fldCharType="separate"/>
            </w:r>
            <w:r>
              <w:rPr>
                <w:noProof/>
                <w:webHidden/>
              </w:rPr>
              <w:t>120</w:t>
            </w:r>
            <w:r>
              <w:rPr>
                <w:noProof/>
                <w:webHidden/>
              </w:rPr>
              <w:fldChar w:fldCharType="end"/>
            </w:r>
          </w:hyperlink>
        </w:p>
        <w:p w14:paraId="06EC0868"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69" w:history="1">
            <w:r w:rsidRPr="00B25B00">
              <w:rPr>
                <w:rStyle w:val="Hyperlink"/>
                <w:noProof/>
              </w:rPr>
              <w:t>12.3.</w:t>
            </w:r>
            <w:r>
              <w:rPr>
                <w:rFonts w:asciiTheme="minorHAnsi" w:eastAsiaTheme="minorEastAsia" w:hAnsiTheme="minorHAnsi" w:cstheme="minorBidi"/>
                <w:noProof/>
                <w:lang w:eastAsia="en-AU"/>
              </w:rPr>
              <w:tab/>
            </w:r>
            <w:r w:rsidRPr="00B25B00">
              <w:rPr>
                <w:rStyle w:val="Hyperlink"/>
                <w:noProof/>
              </w:rPr>
              <w:t>Question 3</w:t>
            </w:r>
            <w:r>
              <w:rPr>
                <w:noProof/>
                <w:webHidden/>
              </w:rPr>
              <w:tab/>
            </w:r>
            <w:r>
              <w:rPr>
                <w:noProof/>
                <w:webHidden/>
              </w:rPr>
              <w:fldChar w:fldCharType="begin"/>
            </w:r>
            <w:r>
              <w:rPr>
                <w:noProof/>
                <w:webHidden/>
              </w:rPr>
              <w:instrText xml:space="preserve"> PAGEREF _Toc519848469 \h </w:instrText>
            </w:r>
            <w:r>
              <w:rPr>
                <w:noProof/>
                <w:webHidden/>
              </w:rPr>
            </w:r>
            <w:r>
              <w:rPr>
                <w:noProof/>
                <w:webHidden/>
              </w:rPr>
              <w:fldChar w:fldCharType="separate"/>
            </w:r>
            <w:r>
              <w:rPr>
                <w:noProof/>
                <w:webHidden/>
              </w:rPr>
              <w:t>121</w:t>
            </w:r>
            <w:r>
              <w:rPr>
                <w:noProof/>
                <w:webHidden/>
              </w:rPr>
              <w:fldChar w:fldCharType="end"/>
            </w:r>
          </w:hyperlink>
        </w:p>
        <w:p w14:paraId="280B2B90"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70" w:history="1">
            <w:r w:rsidRPr="00B25B00">
              <w:rPr>
                <w:rStyle w:val="Hyperlink"/>
                <w:noProof/>
              </w:rPr>
              <w:t>12.4.</w:t>
            </w:r>
            <w:r>
              <w:rPr>
                <w:rFonts w:asciiTheme="minorHAnsi" w:eastAsiaTheme="minorEastAsia" w:hAnsiTheme="minorHAnsi" w:cstheme="minorBidi"/>
                <w:noProof/>
                <w:lang w:eastAsia="en-AU"/>
              </w:rPr>
              <w:tab/>
            </w:r>
            <w:r w:rsidRPr="00B25B00">
              <w:rPr>
                <w:rStyle w:val="Hyperlink"/>
                <w:noProof/>
              </w:rPr>
              <w:t>Question 4</w:t>
            </w:r>
            <w:r>
              <w:rPr>
                <w:noProof/>
                <w:webHidden/>
              </w:rPr>
              <w:tab/>
            </w:r>
            <w:r>
              <w:rPr>
                <w:noProof/>
                <w:webHidden/>
              </w:rPr>
              <w:fldChar w:fldCharType="begin"/>
            </w:r>
            <w:r>
              <w:rPr>
                <w:noProof/>
                <w:webHidden/>
              </w:rPr>
              <w:instrText xml:space="preserve"> PAGEREF _Toc519848470 \h </w:instrText>
            </w:r>
            <w:r>
              <w:rPr>
                <w:noProof/>
                <w:webHidden/>
              </w:rPr>
            </w:r>
            <w:r>
              <w:rPr>
                <w:noProof/>
                <w:webHidden/>
              </w:rPr>
              <w:fldChar w:fldCharType="separate"/>
            </w:r>
            <w:r>
              <w:rPr>
                <w:noProof/>
                <w:webHidden/>
              </w:rPr>
              <w:t>122</w:t>
            </w:r>
            <w:r>
              <w:rPr>
                <w:noProof/>
                <w:webHidden/>
              </w:rPr>
              <w:fldChar w:fldCharType="end"/>
            </w:r>
          </w:hyperlink>
        </w:p>
        <w:p w14:paraId="4F930C7A"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71" w:history="1">
            <w:r w:rsidRPr="00B25B00">
              <w:rPr>
                <w:rStyle w:val="Hyperlink"/>
                <w:noProof/>
              </w:rPr>
              <w:t>12.5.</w:t>
            </w:r>
            <w:r>
              <w:rPr>
                <w:rFonts w:asciiTheme="minorHAnsi" w:eastAsiaTheme="minorEastAsia" w:hAnsiTheme="minorHAnsi" w:cstheme="minorBidi"/>
                <w:noProof/>
                <w:lang w:eastAsia="en-AU"/>
              </w:rPr>
              <w:tab/>
            </w:r>
            <w:r w:rsidRPr="00B25B00">
              <w:rPr>
                <w:rStyle w:val="Hyperlink"/>
                <w:noProof/>
              </w:rPr>
              <w:t>Question 5</w:t>
            </w:r>
            <w:r>
              <w:rPr>
                <w:noProof/>
                <w:webHidden/>
              </w:rPr>
              <w:tab/>
            </w:r>
            <w:r>
              <w:rPr>
                <w:noProof/>
                <w:webHidden/>
              </w:rPr>
              <w:fldChar w:fldCharType="begin"/>
            </w:r>
            <w:r>
              <w:rPr>
                <w:noProof/>
                <w:webHidden/>
              </w:rPr>
              <w:instrText xml:space="preserve"> PAGEREF _Toc519848471 \h </w:instrText>
            </w:r>
            <w:r>
              <w:rPr>
                <w:noProof/>
                <w:webHidden/>
              </w:rPr>
            </w:r>
            <w:r>
              <w:rPr>
                <w:noProof/>
                <w:webHidden/>
              </w:rPr>
              <w:fldChar w:fldCharType="separate"/>
            </w:r>
            <w:r>
              <w:rPr>
                <w:noProof/>
                <w:webHidden/>
              </w:rPr>
              <w:t>124</w:t>
            </w:r>
            <w:r>
              <w:rPr>
                <w:noProof/>
                <w:webHidden/>
              </w:rPr>
              <w:fldChar w:fldCharType="end"/>
            </w:r>
          </w:hyperlink>
        </w:p>
        <w:p w14:paraId="57528401" w14:textId="77777777" w:rsidR="00655A51" w:rsidRDefault="00655A51">
          <w:pPr>
            <w:pStyle w:val="TOC2"/>
            <w:tabs>
              <w:tab w:val="left" w:pos="1320"/>
            </w:tabs>
            <w:rPr>
              <w:rFonts w:asciiTheme="minorHAnsi" w:eastAsiaTheme="minorEastAsia" w:hAnsiTheme="minorHAnsi" w:cstheme="minorBidi"/>
              <w:b w:val="0"/>
              <w:noProof/>
              <w:sz w:val="22"/>
              <w:lang w:eastAsia="en-AU"/>
            </w:rPr>
          </w:pPr>
          <w:hyperlink w:anchor="_Toc519848472" w:history="1">
            <w:r w:rsidRPr="00B25B00">
              <w:rPr>
                <w:rStyle w:val="Hyperlink"/>
                <w:noProof/>
              </w:rPr>
              <w:t>13.</w:t>
            </w:r>
            <w:r>
              <w:rPr>
                <w:rFonts w:asciiTheme="minorHAnsi" w:eastAsiaTheme="minorEastAsia" w:hAnsiTheme="minorHAnsi" w:cstheme="minorBidi"/>
                <w:b w:val="0"/>
                <w:noProof/>
                <w:sz w:val="22"/>
                <w:lang w:eastAsia="en-AU"/>
              </w:rPr>
              <w:tab/>
            </w:r>
            <w:r w:rsidRPr="00B25B00">
              <w:rPr>
                <w:rStyle w:val="Hyperlink"/>
                <w:noProof/>
              </w:rPr>
              <w:t>Second round benefit-risk assessment</w:t>
            </w:r>
            <w:r>
              <w:rPr>
                <w:noProof/>
                <w:webHidden/>
              </w:rPr>
              <w:tab/>
            </w:r>
            <w:r>
              <w:rPr>
                <w:noProof/>
                <w:webHidden/>
              </w:rPr>
              <w:fldChar w:fldCharType="begin"/>
            </w:r>
            <w:r>
              <w:rPr>
                <w:noProof/>
                <w:webHidden/>
              </w:rPr>
              <w:instrText xml:space="preserve"> PAGEREF _Toc519848472 \h </w:instrText>
            </w:r>
            <w:r>
              <w:rPr>
                <w:noProof/>
                <w:webHidden/>
              </w:rPr>
            </w:r>
            <w:r>
              <w:rPr>
                <w:noProof/>
                <w:webHidden/>
              </w:rPr>
              <w:fldChar w:fldCharType="separate"/>
            </w:r>
            <w:r>
              <w:rPr>
                <w:noProof/>
                <w:webHidden/>
              </w:rPr>
              <w:t>125</w:t>
            </w:r>
            <w:r>
              <w:rPr>
                <w:noProof/>
                <w:webHidden/>
              </w:rPr>
              <w:fldChar w:fldCharType="end"/>
            </w:r>
          </w:hyperlink>
        </w:p>
        <w:p w14:paraId="139EF27B"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73" w:history="1">
            <w:r w:rsidRPr="00B25B00">
              <w:rPr>
                <w:rStyle w:val="Hyperlink"/>
                <w:noProof/>
              </w:rPr>
              <w:t>13.1.</w:t>
            </w:r>
            <w:r>
              <w:rPr>
                <w:rFonts w:asciiTheme="minorHAnsi" w:eastAsiaTheme="minorEastAsia" w:hAnsiTheme="minorHAnsi" w:cstheme="minorBidi"/>
                <w:noProof/>
                <w:lang w:eastAsia="en-AU"/>
              </w:rPr>
              <w:tab/>
            </w:r>
            <w:r w:rsidRPr="00B25B00">
              <w:rPr>
                <w:rStyle w:val="Hyperlink"/>
                <w:noProof/>
              </w:rPr>
              <w:t>Second round assessment of benefits</w:t>
            </w:r>
            <w:r>
              <w:rPr>
                <w:noProof/>
                <w:webHidden/>
              </w:rPr>
              <w:tab/>
            </w:r>
            <w:r>
              <w:rPr>
                <w:noProof/>
                <w:webHidden/>
              </w:rPr>
              <w:fldChar w:fldCharType="begin"/>
            </w:r>
            <w:r>
              <w:rPr>
                <w:noProof/>
                <w:webHidden/>
              </w:rPr>
              <w:instrText xml:space="preserve"> PAGEREF _Toc519848473 \h </w:instrText>
            </w:r>
            <w:r>
              <w:rPr>
                <w:noProof/>
                <w:webHidden/>
              </w:rPr>
            </w:r>
            <w:r>
              <w:rPr>
                <w:noProof/>
                <w:webHidden/>
              </w:rPr>
              <w:fldChar w:fldCharType="separate"/>
            </w:r>
            <w:r>
              <w:rPr>
                <w:noProof/>
                <w:webHidden/>
              </w:rPr>
              <w:t>125</w:t>
            </w:r>
            <w:r>
              <w:rPr>
                <w:noProof/>
                <w:webHidden/>
              </w:rPr>
              <w:fldChar w:fldCharType="end"/>
            </w:r>
          </w:hyperlink>
        </w:p>
        <w:p w14:paraId="53C92389"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74" w:history="1">
            <w:r w:rsidRPr="00B25B00">
              <w:rPr>
                <w:rStyle w:val="Hyperlink"/>
                <w:noProof/>
              </w:rPr>
              <w:t>13.2.</w:t>
            </w:r>
            <w:r>
              <w:rPr>
                <w:rFonts w:asciiTheme="minorHAnsi" w:eastAsiaTheme="minorEastAsia" w:hAnsiTheme="minorHAnsi" w:cstheme="minorBidi"/>
                <w:noProof/>
                <w:lang w:eastAsia="en-AU"/>
              </w:rPr>
              <w:tab/>
            </w:r>
            <w:r w:rsidRPr="00B25B00">
              <w:rPr>
                <w:rStyle w:val="Hyperlink"/>
                <w:noProof/>
              </w:rPr>
              <w:t>Second round assessment of risks</w:t>
            </w:r>
            <w:r>
              <w:rPr>
                <w:noProof/>
                <w:webHidden/>
              </w:rPr>
              <w:tab/>
            </w:r>
            <w:r>
              <w:rPr>
                <w:noProof/>
                <w:webHidden/>
              </w:rPr>
              <w:fldChar w:fldCharType="begin"/>
            </w:r>
            <w:r>
              <w:rPr>
                <w:noProof/>
                <w:webHidden/>
              </w:rPr>
              <w:instrText xml:space="preserve"> PAGEREF _Toc519848474 \h </w:instrText>
            </w:r>
            <w:r>
              <w:rPr>
                <w:noProof/>
                <w:webHidden/>
              </w:rPr>
            </w:r>
            <w:r>
              <w:rPr>
                <w:noProof/>
                <w:webHidden/>
              </w:rPr>
              <w:fldChar w:fldCharType="separate"/>
            </w:r>
            <w:r>
              <w:rPr>
                <w:noProof/>
                <w:webHidden/>
              </w:rPr>
              <w:t>126</w:t>
            </w:r>
            <w:r>
              <w:rPr>
                <w:noProof/>
                <w:webHidden/>
              </w:rPr>
              <w:fldChar w:fldCharType="end"/>
            </w:r>
          </w:hyperlink>
        </w:p>
        <w:p w14:paraId="66652A37" w14:textId="77777777" w:rsidR="00655A51" w:rsidRDefault="00655A51">
          <w:pPr>
            <w:pStyle w:val="TOC3"/>
            <w:tabs>
              <w:tab w:val="left" w:pos="1760"/>
            </w:tabs>
            <w:rPr>
              <w:rFonts w:asciiTheme="minorHAnsi" w:eastAsiaTheme="minorEastAsia" w:hAnsiTheme="minorHAnsi" w:cstheme="minorBidi"/>
              <w:noProof/>
              <w:lang w:eastAsia="en-AU"/>
            </w:rPr>
          </w:pPr>
          <w:hyperlink w:anchor="_Toc519848475" w:history="1">
            <w:r w:rsidRPr="00B25B00">
              <w:rPr>
                <w:rStyle w:val="Hyperlink"/>
                <w:noProof/>
              </w:rPr>
              <w:t>13.3.</w:t>
            </w:r>
            <w:r>
              <w:rPr>
                <w:rFonts w:asciiTheme="minorHAnsi" w:eastAsiaTheme="minorEastAsia" w:hAnsiTheme="minorHAnsi" w:cstheme="minorBidi"/>
                <w:noProof/>
                <w:lang w:eastAsia="en-AU"/>
              </w:rPr>
              <w:tab/>
            </w:r>
            <w:r w:rsidRPr="00B25B00">
              <w:rPr>
                <w:rStyle w:val="Hyperlink"/>
                <w:noProof/>
              </w:rPr>
              <w:t>Second round assessment of benefit-risk balance</w:t>
            </w:r>
            <w:r>
              <w:rPr>
                <w:noProof/>
                <w:webHidden/>
              </w:rPr>
              <w:tab/>
            </w:r>
            <w:r>
              <w:rPr>
                <w:noProof/>
                <w:webHidden/>
              </w:rPr>
              <w:fldChar w:fldCharType="begin"/>
            </w:r>
            <w:r>
              <w:rPr>
                <w:noProof/>
                <w:webHidden/>
              </w:rPr>
              <w:instrText xml:space="preserve"> PAGEREF _Toc519848475 \h </w:instrText>
            </w:r>
            <w:r>
              <w:rPr>
                <w:noProof/>
                <w:webHidden/>
              </w:rPr>
            </w:r>
            <w:r>
              <w:rPr>
                <w:noProof/>
                <w:webHidden/>
              </w:rPr>
              <w:fldChar w:fldCharType="separate"/>
            </w:r>
            <w:r>
              <w:rPr>
                <w:noProof/>
                <w:webHidden/>
              </w:rPr>
              <w:t>126</w:t>
            </w:r>
            <w:r>
              <w:rPr>
                <w:noProof/>
                <w:webHidden/>
              </w:rPr>
              <w:fldChar w:fldCharType="end"/>
            </w:r>
          </w:hyperlink>
        </w:p>
        <w:p w14:paraId="52116BF4" w14:textId="77777777" w:rsidR="00655A51" w:rsidRDefault="00655A51">
          <w:pPr>
            <w:pStyle w:val="TOC2"/>
            <w:tabs>
              <w:tab w:val="left" w:pos="1320"/>
            </w:tabs>
            <w:rPr>
              <w:rFonts w:asciiTheme="minorHAnsi" w:eastAsiaTheme="minorEastAsia" w:hAnsiTheme="minorHAnsi" w:cstheme="minorBidi"/>
              <w:b w:val="0"/>
              <w:noProof/>
              <w:sz w:val="22"/>
              <w:lang w:eastAsia="en-AU"/>
            </w:rPr>
          </w:pPr>
          <w:hyperlink w:anchor="_Toc519848476" w:history="1">
            <w:r w:rsidRPr="00B25B00">
              <w:rPr>
                <w:rStyle w:val="Hyperlink"/>
                <w:noProof/>
              </w:rPr>
              <w:t>14.</w:t>
            </w:r>
            <w:r>
              <w:rPr>
                <w:rFonts w:asciiTheme="minorHAnsi" w:eastAsiaTheme="minorEastAsia" w:hAnsiTheme="minorHAnsi" w:cstheme="minorBidi"/>
                <w:b w:val="0"/>
                <w:noProof/>
                <w:sz w:val="22"/>
                <w:lang w:eastAsia="en-AU"/>
              </w:rPr>
              <w:tab/>
            </w:r>
            <w:r w:rsidRPr="00B25B00">
              <w:rPr>
                <w:rStyle w:val="Hyperlink"/>
                <w:noProof/>
              </w:rPr>
              <w:t>Second round recommendation regarding authorisation</w:t>
            </w:r>
            <w:r>
              <w:rPr>
                <w:noProof/>
                <w:webHidden/>
              </w:rPr>
              <w:tab/>
            </w:r>
            <w:r>
              <w:rPr>
                <w:noProof/>
                <w:webHidden/>
              </w:rPr>
              <w:fldChar w:fldCharType="begin"/>
            </w:r>
            <w:r>
              <w:rPr>
                <w:noProof/>
                <w:webHidden/>
              </w:rPr>
              <w:instrText xml:space="preserve"> PAGEREF _Toc519848476 \h </w:instrText>
            </w:r>
            <w:r>
              <w:rPr>
                <w:noProof/>
                <w:webHidden/>
              </w:rPr>
            </w:r>
            <w:r>
              <w:rPr>
                <w:noProof/>
                <w:webHidden/>
              </w:rPr>
              <w:fldChar w:fldCharType="separate"/>
            </w:r>
            <w:r>
              <w:rPr>
                <w:noProof/>
                <w:webHidden/>
              </w:rPr>
              <w:t>126</w:t>
            </w:r>
            <w:r>
              <w:rPr>
                <w:noProof/>
                <w:webHidden/>
              </w:rPr>
              <w:fldChar w:fldCharType="end"/>
            </w:r>
          </w:hyperlink>
        </w:p>
        <w:p w14:paraId="01673FAB" w14:textId="77777777" w:rsidR="00655A51" w:rsidRDefault="00655A51">
          <w:pPr>
            <w:pStyle w:val="TOC2"/>
            <w:tabs>
              <w:tab w:val="left" w:pos="1320"/>
            </w:tabs>
            <w:rPr>
              <w:rFonts w:asciiTheme="minorHAnsi" w:eastAsiaTheme="minorEastAsia" w:hAnsiTheme="minorHAnsi" w:cstheme="minorBidi"/>
              <w:b w:val="0"/>
              <w:noProof/>
              <w:sz w:val="22"/>
              <w:lang w:eastAsia="en-AU"/>
            </w:rPr>
          </w:pPr>
          <w:hyperlink w:anchor="_Toc519848477" w:history="1">
            <w:r w:rsidRPr="00B25B00">
              <w:rPr>
                <w:rStyle w:val="Hyperlink"/>
                <w:noProof/>
              </w:rPr>
              <w:t>15.</w:t>
            </w:r>
            <w:r>
              <w:rPr>
                <w:rFonts w:asciiTheme="minorHAnsi" w:eastAsiaTheme="minorEastAsia" w:hAnsiTheme="minorHAnsi" w:cstheme="minorBidi"/>
                <w:b w:val="0"/>
                <w:noProof/>
                <w:sz w:val="22"/>
                <w:lang w:eastAsia="en-AU"/>
              </w:rPr>
              <w:tab/>
            </w:r>
            <w:r w:rsidRPr="00B25B00">
              <w:rPr>
                <w:rStyle w:val="Hyperlink"/>
                <w:noProof/>
              </w:rPr>
              <w:t>References</w:t>
            </w:r>
            <w:r>
              <w:rPr>
                <w:noProof/>
                <w:webHidden/>
              </w:rPr>
              <w:tab/>
            </w:r>
            <w:r>
              <w:rPr>
                <w:noProof/>
                <w:webHidden/>
              </w:rPr>
              <w:fldChar w:fldCharType="begin"/>
            </w:r>
            <w:r>
              <w:rPr>
                <w:noProof/>
                <w:webHidden/>
              </w:rPr>
              <w:instrText xml:space="preserve"> PAGEREF _Toc519848477 \h </w:instrText>
            </w:r>
            <w:r>
              <w:rPr>
                <w:noProof/>
                <w:webHidden/>
              </w:rPr>
            </w:r>
            <w:r>
              <w:rPr>
                <w:noProof/>
                <w:webHidden/>
              </w:rPr>
              <w:fldChar w:fldCharType="separate"/>
            </w:r>
            <w:r>
              <w:rPr>
                <w:noProof/>
                <w:webHidden/>
              </w:rPr>
              <w:t>127</w:t>
            </w:r>
            <w:r>
              <w:rPr>
                <w:noProof/>
                <w:webHidden/>
              </w:rPr>
              <w:fldChar w:fldCharType="end"/>
            </w:r>
          </w:hyperlink>
        </w:p>
        <w:p w14:paraId="314FB129" w14:textId="77777777" w:rsidR="003A7F6C" w:rsidRPr="00B811C6" w:rsidRDefault="004F4AF5" w:rsidP="00B811C6">
          <w:pPr>
            <w:pStyle w:val="TOC2"/>
          </w:pPr>
          <w:r>
            <w:fldChar w:fldCharType="end"/>
          </w:r>
        </w:p>
      </w:sdtContent>
    </w:sdt>
    <w:bookmarkStart w:id="3" w:name="_Toc314842482" w:displacedByCustomXml="prev"/>
    <w:p w14:paraId="594C3CAC" w14:textId="77777777" w:rsidR="00586F98" w:rsidRDefault="00586F98" w:rsidP="009A73F3">
      <w:pPr>
        <w:pStyle w:val="Heading2"/>
        <w:pageBreakBefore/>
        <w:numPr>
          <w:ilvl w:val="0"/>
          <w:numId w:val="0"/>
        </w:numPr>
        <w:spacing w:before="0"/>
      </w:pPr>
      <w:bookmarkStart w:id="4" w:name="_Toc351716269"/>
      <w:bookmarkStart w:id="5" w:name="_Toc351718881"/>
      <w:bookmarkStart w:id="6" w:name="_Toc355338616"/>
      <w:bookmarkStart w:id="7" w:name="_Toc519848418"/>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14:paraId="54DE9D84" w14:textId="77777777" w:rsidTr="00842F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14:paraId="5CC076F6" w14:textId="77777777" w:rsidR="00586F98" w:rsidRDefault="00586F98" w:rsidP="000A63AF">
            <w:r>
              <w:t>Abbreviation</w:t>
            </w:r>
          </w:p>
        </w:tc>
        <w:tc>
          <w:tcPr>
            <w:tcW w:w="6911" w:type="dxa"/>
          </w:tcPr>
          <w:p w14:paraId="5EA0AB75" w14:textId="77777777"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842FC4" w14:paraId="67304EA2"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7B4DAE03" w14:textId="77777777" w:rsidR="00842FC4" w:rsidRPr="002F2961" w:rsidRDefault="00842FC4" w:rsidP="00160CBE">
            <w:r>
              <w:rPr>
                <w:szCs w:val="22"/>
              </w:rPr>
              <w:t>A</w:t>
            </w:r>
            <w:r w:rsidRPr="002F2961">
              <w:rPr>
                <w:szCs w:val="22"/>
              </w:rPr>
              <w:t>C</w:t>
            </w:r>
            <w:r>
              <w:t>R</w:t>
            </w:r>
          </w:p>
        </w:tc>
        <w:tc>
          <w:tcPr>
            <w:tcW w:w="6911" w:type="dxa"/>
            <w:vAlign w:val="bottom"/>
          </w:tcPr>
          <w:p w14:paraId="6E1999DB" w14:textId="77777777" w:rsidR="00842FC4" w:rsidRPr="002F2961" w:rsidRDefault="00842FC4" w:rsidP="00160CBE">
            <w:pPr>
              <w:cnfStyle w:val="000000000000" w:firstRow="0" w:lastRow="0" w:firstColumn="0" w:lastColumn="0" w:oddVBand="0" w:evenVBand="0" w:oddHBand="0" w:evenHBand="0" w:firstRowFirstColumn="0" w:firstRowLastColumn="0" w:lastRowFirstColumn="0" w:lastRowLastColumn="0"/>
            </w:pPr>
            <w:r>
              <w:rPr>
                <w:szCs w:val="22"/>
              </w:rPr>
              <w:t>American College of Rheumatology</w:t>
            </w:r>
          </w:p>
        </w:tc>
      </w:tr>
      <w:tr w:rsidR="00842FC4" w14:paraId="496A1E02"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4345823B" w14:textId="77777777" w:rsidR="00842FC4" w:rsidRPr="002F2961" w:rsidRDefault="00842FC4" w:rsidP="00160CBE">
            <w:r>
              <w:t>ADA</w:t>
            </w:r>
          </w:p>
        </w:tc>
        <w:tc>
          <w:tcPr>
            <w:tcW w:w="6911" w:type="dxa"/>
            <w:vAlign w:val="bottom"/>
          </w:tcPr>
          <w:p w14:paraId="5CA1E20E" w14:textId="68E04CF2" w:rsidR="00842FC4" w:rsidRPr="002F2961" w:rsidRDefault="00842FC4" w:rsidP="00160CBE">
            <w:pPr>
              <w:cnfStyle w:val="000000000000" w:firstRow="0" w:lastRow="0" w:firstColumn="0" w:lastColumn="0" w:oddVBand="0" w:evenVBand="0" w:oddHBand="0" w:evenHBand="0" w:firstRowFirstColumn="0" w:firstRowLastColumn="0" w:lastRowFirstColumn="0" w:lastRowLastColumn="0"/>
            </w:pPr>
            <w:r>
              <w:t>Anti-</w:t>
            </w:r>
            <w:r w:rsidR="00D53BB2">
              <w:t>d</w:t>
            </w:r>
            <w:r>
              <w:t xml:space="preserve">rug </w:t>
            </w:r>
            <w:r w:rsidR="00D53BB2">
              <w:t>a</w:t>
            </w:r>
            <w:r>
              <w:t>ntibody</w:t>
            </w:r>
          </w:p>
        </w:tc>
      </w:tr>
      <w:tr w:rsidR="00842FC4" w14:paraId="52A71275"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070E1449" w14:textId="77777777" w:rsidR="00842FC4" w:rsidRPr="002F2961" w:rsidRDefault="00842FC4" w:rsidP="00160CBE">
            <w:r>
              <w:rPr>
                <w:szCs w:val="22"/>
              </w:rPr>
              <w:t>A</w:t>
            </w:r>
            <w:r>
              <w:t>E</w:t>
            </w:r>
          </w:p>
        </w:tc>
        <w:tc>
          <w:tcPr>
            <w:tcW w:w="6911" w:type="dxa"/>
            <w:vAlign w:val="bottom"/>
          </w:tcPr>
          <w:p w14:paraId="422CFB07" w14:textId="7FF4CBE2" w:rsidR="00842FC4" w:rsidRPr="002F2961" w:rsidRDefault="00842FC4" w:rsidP="00D53BB2">
            <w:pPr>
              <w:cnfStyle w:val="000000000000" w:firstRow="0" w:lastRow="0" w:firstColumn="0" w:lastColumn="0" w:oddVBand="0" w:evenVBand="0" w:oddHBand="0" w:evenHBand="0" w:firstRowFirstColumn="0" w:firstRowLastColumn="0" w:lastRowFirstColumn="0" w:lastRowLastColumn="0"/>
            </w:pPr>
            <w:r>
              <w:rPr>
                <w:szCs w:val="22"/>
              </w:rPr>
              <w:t xml:space="preserve">Adverse </w:t>
            </w:r>
            <w:r w:rsidR="00D53BB2">
              <w:rPr>
                <w:szCs w:val="22"/>
              </w:rPr>
              <w:t>event</w:t>
            </w:r>
          </w:p>
        </w:tc>
      </w:tr>
      <w:tr w:rsidR="00842FC4" w14:paraId="334AFEC2"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6E7C0751" w14:textId="77777777" w:rsidR="00842FC4" w:rsidRPr="002F2961" w:rsidRDefault="00842FC4" w:rsidP="00160CBE">
            <w:r>
              <w:t>AID</w:t>
            </w:r>
          </w:p>
        </w:tc>
        <w:tc>
          <w:tcPr>
            <w:tcW w:w="6911" w:type="dxa"/>
            <w:vAlign w:val="bottom"/>
          </w:tcPr>
          <w:p w14:paraId="27318F16" w14:textId="6D3E937C" w:rsidR="00842FC4" w:rsidRPr="002F2961" w:rsidRDefault="00842FC4" w:rsidP="00D53BB2">
            <w:pPr>
              <w:cnfStyle w:val="000000000000" w:firstRow="0" w:lastRow="0" w:firstColumn="0" w:lastColumn="0" w:oddVBand="0" w:evenVBand="0" w:oddHBand="0" w:evenHBand="0" w:firstRowFirstColumn="0" w:firstRowLastColumn="0" w:lastRowFirstColumn="0" w:lastRowLastColumn="0"/>
            </w:pPr>
            <w:r>
              <w:t xml:space="preserve">Auto-injector </w:t>
            </w:r>
            <w:r w:rsidR="00D53BB2">
              <w:t>device</w:t>
            </w:r>
          </w:p>
        </w:tc>
      </w:tr>
      <w:tr w:rsidR="00842FC4" w14:paraId="79DD1932"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5F1C220E" w14:textId="77777777" w:rsidR="00842FC4" w:rsidRPr="002B51AA" w:rsidRDefault="00842FC4" w:rsidP="00160CBE">
            <w:r>
              <w:rPr>
                <w:rFonts w:eastAsia="MS Mincho"/>
              </w:rPr>
              <w:t>AUC</w:t>
            </w:r>
            <w:r w:rsidRPr="00E404C8">
              <w:rPr>
                <w:vertAlign w:val="subscript"/>
              </w:rPr>
              <w:t xml:space="preserve"> </w:t>
            </w:r>
          </w:p>
        </w:tc>
        <w:tc>
          <w:tcPr>
            <w:tcW w:w="6911" w:type="dxa"/>
            <w:vAlign w:val="bottom"/>
          </w:tcPr>
          <w:p w14:paraId="55535B29" w14:textId="2BD4F1AE" w:rsidR="00842FC4" w:rsidRDefault="00842FC4" w:rsidP="00D53BB2">
            <w:pPr>
              <w:cnfStyle w:val="000000000000" w:firstRow="0" w:lastRow="0" w:firstColumn="0" w:lastColumn="0" w:oddVBand="0" w:evenVBand="0" w:oddHBand="0" w:evenHBand="0" w:firstRowFirstColumn="0" w:firstRowLastColumn="0" w:lastRowFirstColumn="0" w:lastRowLastColumn="0"/>
            </w:pPr>
            <w:r>
              <w:rPr>
                <w:rFonts w:eastAsia="MS Mincho"/>
              </w:rPr>
              <w:t xml:space="preserve">Area </w:t>
            </w:r>
            <w:r w:rsidR="00D53BB2">
              <w:rPr>
                <w:rFonts w:eastAsia="MS Mincho"/>
              </w:rPr>
              <w:t>under</w:t>
            </w:r>
            <w:r w:rsidR="00D53BB2">
              <w:rPr>
                <w:rFonts w:cs="Arial"/>
                <w:color w:val="343434"/>
                <w:szCs w:val="22"/>
                <w:lang w:val="en-US"/>
              </w:rPr>
              <w:t xml:space="preserve"> concentration</w:t>
            </w:r>
            <w:r>
              <w:rPr>
                <w:rFonts w:cs="Arial"/>
                <w:color w:val="343434"/>
                <w:szCs w:val="22"/>
                <w:lang w:val="en-US"/>
              </w:rPr>
              <w:t>-</w:t>
            </w:r>
            <w:r w:rsidR="00D53BB2">
              <w:rPr>
                <w:rFonts w:cs="Arial"/>
                <w:color w:val="343434"/>
                <w:szCs w:val="22"/>
                <w:lang w:val="en-US"/>
              </w:rPr>
              <w:t>t</w:t>
            </w:r>
            <w:r w:rsidR="00D53BB2" w:rsidRPr="00D206F5">
              <w:rPr>
                <w:rFonts w:cs="Arial"/>
                <w:color w:val="343434"/>
                <w:szCs w:val="22"/>
                <w:lang w:val="en-US"/>
              </w:rPr>
              <w:t xml:space="preserve">ime </w:t>
            </w:r>
            <w:r w:rsidRPr="00D206F5">
              <w:rPr>
                <w:rFonts w:cs="Arial"/>
                <w:color w:val="343434"/>
                <w:szCs w:val="22"/>
                <w:lang w:val="en-US"/>
              </w:rPr>
              <w:t>curve over the dosing interval</w:t>
            </w:r>
            <w:r w:rsidRPr="00D206F5">
              <w:rPr>
                <w:rFonts w:eastAsia="MS Mincho"/>
                <w:szCs w:val="22"/>
              </w:rPr>
              <w:t xml:space="preserve"> </w:t>
            </w:r>
          </w:p>
        </w:tc>
      </w:tr>
      <w:tr w:rsidR="00842FC4" w14:paraId="04CC2F2B"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321C832F" w14:textId="77777777" w:rsidR="00842FC4" w:rsidRDefault="00842FC4" w:rsidP="00160CBE">
            <w:r>
              <w:t>BMI</w:t>
            </w:r>
          </w:p>
        </w:tc>
        <w:tc>
          <w:tcPr>
            <w:tcW w:w="6911" w:type="dxa"/>
            <w:vAlign w:val="bottom"/>
          </w:tcPr>
          <w:p w14:paraId="0AE16AD5" w14:textId="5163AD5D" w:rsidR="00842FC4" w:rsidRDefault="00842FC4" w:rsidP="00160CBE">
            <w:pPr>
              <w:cnfStyle w:val="000000000000" w:firstRow="0" w:lastRow="0" w:firstColumn="0" w:lastColumn="0" w:oddVBand="0" w:evenVBand="0" w:oddHBand="0" w:evenHBand="0" w:firstRowFirstColumn="0" w:firstRowLastColumn="0" w:lastRowFirstColumn="0" w:lastRowLastColumn="0"/>
            </w:pPr>
            <w:r>
              <w:t xml:space="preserve">Body </w:t>
            </w:r>
            <w:r w:rsidR="00D53BB2">
              <w:t>mass index</w:t>
            </w:r>
          </w:p>
        </w:tc>
      </w:tr>
      <w:tr w:rsidR="00842FC4" w14:paraId="3645CE9B"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283A4A88" w14:textId="77777777" w:rsidR="00842FC4" w:rsidRDefault="00842FC4" w:rsidP="00160CBE">
            <w:r>
              <w:t>CCP</w:t>
            </w:r>
          </w:p>
        </w:tc>
        <w:tc>
          <w:tcPr>
            <w:tcW w:w="6911" w:type="dxa"/>
            <w:vAlign w:val="bottom"/>
          </w:tcPr>
          <w:p w14:paraId="5F4A08F0" w14:textId="3CF1FE76" w:rsidR="00842FC4" w:rsidRDefault="00842FC4" w:rsidP="00160CBE">
            <w:pPr>
              <w:cnfStyle w:val="000000000000" w:firstRow="0" w:lastRow="0" w:firstColumn="0" w:lastColumn="0" w:oddVBand="0" w:evenVBand="0" w:oddHBand="0" w:evenHBand="0" w:firstRowFirstColumn="0" w:firstRowLastColumn="0" w:lastRowFirstColumn="0" w:lastRowLastColumn="0"/>
            </w:pPr>
            <w:r>
              <w:t xml:space="preserve">Cyclic </w:t>
            </w:r>
            <w:r w:rsidR="00D53BB2">
              <w:t>citrullinated peptide</w:t>
            </w:r>
          </w:p>
        </w:tc>
      </w:tr>
      <w:tr w:rsidR="00842FC4" w14:paraId="68B68B22"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2F13EDF8" w14:textId="77777777" w:rsidR="00842FC4" w:rsidRDefault="00842FC4" w:rsidP="00160CBE">
            <w:r>
              <w:t>CDAI</w:t>
            </w:r>
          </w:p>
        </w:tc>
        <w:tc>
          <w:tcPr>
            <w:tcW w:w="6911" w:type="dxa"/>
            <w:vAlign w:val="bottom"/>
          </w:tcPr>
          <w:p w14:paraId="2A9D1EE2" w14:textId="77777777" w:rsidR="00842FC4" w:rsidRDefault="00842FC4" w:rsidP="00160CBE">
            <w:pPr>
              <w:cnfStyle w:val="000000000000" w:firstRow="0" w:lastRow="0" w:firstColumn="0" w:lastColumn="0" w:oddVBand="0" w:evenVBand="0" w:oddHBand="0" w:evenHBand="0" w:firstRowFirstColumn="0" w:firstRowLastColumn="0" w:lastRowFirstColumn="0" w:lastRowLastColumn="0"/>
            </w:pPr>
            <w:r>
              <w:t>Clinical Disease Activity Index</w:t>
            </w:r>
          </w:p>
        </w:tc>
      </w:tr>
      <w:tr w:rsidR="00842FC4" w14:paraId="4AF2F66A"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3E0478AF" w14:textId="77777777" w:rsidR="00842FC4" w:rsidRPr="002F2961" w:rsidRDefault="004D78CD" w:rsidP="00160CBE">
            <w:r>
              <w:rPr>
                <w:szCs w:val="22"/>
              </w:rPr>
              <w:t>CI</w:t>
            </w:r>
          </w:p>
        </w:tc>
        <w:tc>
          <w:tcPr>
            <w:tcW w:w="6911" w:type="dxa"/>
            <w:vAlign w:val="bottom"/>
          </w:tcPr>
          <w:p w14:paraId="4C96A98A" w14:textId="77777777" w:rsidR="00842FC4" w:rsidRPr="002F2961" w:rsidRDefault="00842FC4" w:rsidP="00160CBE">
            <w:pPr>
              <w:cnfStyle w:val="000000000000" w:firstRow="0" w:lastRow="0" w:firstColumn="0" w:lastColumn="0" w:oddVBand="0" w:evenVBand="0" w:oddHBand="0" w:evenHBand="0" w:firstRowFirstColumn="0" w:firstRowLastColumn="0" w:lastRowFirstColumn="0" w:lastRowLastColumn="0"/>
            </w:pPr>
            <w:r w:rsidRPr="002F2961">
              <w:rPr>
                <w:szCs w:val="22"/>
              </w:rPr>
              <w:t>Confidence interval</w:t>
            </w:r>
          </w:p>
        </w:tc>
      </w:tr>
      <w:tr w:rsidR="00842FC4" w14:paraId="32D8DE03"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65E40DD5" w14:textId="77777777" w:rsidR="00842FC4" w:rsidRPr="002F2961" w:rsidRDefault="00E0128B" w:rsidP="00160CBE">
            <w:r w:rsidRPr="00160CBE">
              <w:t>C</w:t>
            </w:r>
            <w:r w:rsidRPr="00E0128B">
              <w:rPr>
                <w:vertAlign w:val="subscript"/>
              </w:rPr>
              <w:t>max</w:t>
            </w:r>
          </w:p>
        </w:tc>
        <w:tc>
          <w:tcPr>
            <w:tcW w:w="6911" w:type="dxa"/>
            <w:vAlign w:val="bottom"/>
          </w:tcPr>
          <w:p w14:paraId="78F38F99" w14:textId="77777777" w:rsidR="00842FC4" w:rsidRPr="002F2961" w:rsidRDefault="00842FC4" w:rsidP="00160CBE">
            <w:pPr>
              <w:cnfStyle w:val="000000000000" w:firstRow="0" w:lastRow="0" w:firstColumn="0" w:lastColumn="0" w:oddVBand="0" w:evenVBand="0" w:oddHBand="0" w:evenHBand="0" w:firstRowFirstColumn="0" w:firstRowLastColumn="0" w:lastRowFirstColumn="0" w:lastRowLastColumn="0"/>
            </w:pPr>
            <w:r>
              <w:rPr>
                <w:rFonts w:eastAsia="MS Mincho"/>
              </w:rPr>
              <w:t>M</w:t>
            </w:r>
            <w:r w:rsidR="004D78CD">
              <w:rPr>
                <w:rFonts w:eastAsia="MS Mincho"/>
              </w:rPr>
              <w:t>aximum serum drug concentration</w:t>
            </w:r>
          </w:p>
        </w:tc>
      </w:tr>
      <w:tr w:rsidR="00842FC4" w14:paraId="5836E3CE"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44C9F5A0" w14:textId="77777777" w:rsidR="00842FC4" w:rsidRPr="002F2961" w:rsidRDefault="00842FC4" w:rsidP="00160CBE">
            <w:r>
              <w:t>CrCL</w:t>
            </w:r>
          </w:p>
        </w:tc>
        <w:tc>
          <w:tcPr>
            <w:tcW w:w="6911" w:type="dxa"/>
            <w:vAlign w:val="bottom"/>
          </w:tcPr>
          <w:p w14:paraId="12E0E17B" w14:textId="23485F01" w:rsidR="00842FC4" w:rsidRPr="002F2961" w:rsidRDefault="00842FC4" w:rsidP="00D53BB2">
            <w:pPr>
              <w:cnfStyle w:val="000000000000" w:firstRow="0" w:lastRow="0" w:firstColumn="0" w:lastColumn="0" w:oddVBand="0" w:evenVBand="0" w:oddHBand="0" w:evenHBand="0" w:firstRowFirstColumn="0" w:firstRowLastColumn="0" w:lastRowFirstColumn="0" w:lastRowLastColumn="0"/>
            </w:pPr>
            <w:r>
              <w:t xml:space="preserve">Creatinine </w:t>
            </w:r>
            <w:r w:rsidR="00D53BB2">
              <w:t>clearance</w:t>
            </w:r>
          </w:p>
        </w:tc>
      </w:tr>
      <w:tr w:rsidR="00842FC4" w14:paraId="14DE0BFA"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4CCE318C" w14:textId="77777777" w:rsidR="00842FC4" w:rsidRPr="002F2961" w:rsidRDefault="00842FC4" w:rsidP="00160CBE">
            <w:r>
              <w:rPr>
                <w:szCs w:val="22"/>
              </w:rPr>
              <w:t>CRP</w:t>
            </w:r>
          </w:p>
        </w:tc>
        <w:tc>
          <w:tcPr>
            <w:tcW w:w="6911" w:type="dxa"/>
            <w:vAlign w:val="bottom"/>
          </w:tcPr>
          <w:p w14:paraId="1D4FAE4A" w14:textId="5B3FA78D" w:rsidR="00842FC4" w:rsidRPr="002F2961" w:rsidRDefault="00842FC4" w:rsidP="00D53BB2">
            <w:pPr>
              <w:cnfStyle w:val="000000000000" w:firstRow="0" w:lastRow="0" w:firstColumn="0" w:lastColumn="0" w:oddVBand="0" w:evenVBand="0" w:oddHBand="0" w:evenHBand="0" w:firstRowFirstColumn="0" w:firstRowLastColumn="0" w:lastRowFirstColumn="0" w:lastRowLastColumn="0"/>
            </w:pPr>
            <w:r w:rsidRPr="002F2961">
              <w:rPr>
                <w:szCs w:val="22"/>
              </w:rPr>
              <w:t>C-</w:t>
            </w:r>
            <w:r w:rsidR="00D53BB2">
              <w:rPr>
                <w:szCs w:val="22"/>
              </w:rPr>
              <w:t>r</w:t>
            </w:r>
            <w:r w:rsidR="00D53BB2" w:rsidRPr="002F2961">
              <w:rPr>
                <w:szCs w:val="22"/>
              </w:rPr>
              <w:t xml:space="preserve">eactive </w:t>
            </w:r>
            <w:r w:rsidR="00D53BB2">
              <w:rPr>
                <w:szCs w:val="22"/>
              </w:rPr>
              <w:t>p</w:t>
            </w:r>
            <w:r w:rsidR="00D53BB2" w:rsidRPr="002F2961">
              <w:rPr>
                <w:szCs w:val="22"/>
              </w:rPr>
              <w:t>rotein</w:t>
            </w:r>
          </w:p>
        </w:tc>
      </w:tr>
      <w:tr w:rsidR="00842FC4" w14:paraId="49D3ACD3"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257E270D" w14:textId="77777777" w:rsidR="00842FC4" w:rsidRDefault="00842FC4" w:rsidP="00160CBE">
            <w:r>
              <w:rPr>
                <w:szCs w:val="22"/>
              </w:rPr>
              <w:t>CS</w:t>
            </w:r>
          </w:p>
        </w:tc>
        <w:tc>
          <w:tcPr>
            <w:tcW w:w="6911" w:type="dxa"/>
            <w:vAlign w:val="bottom"/>
          </w:tcPr>
          <w:p w14:paraId="73ACDE28" w14:textId="77777777" w:rsidR="00842FC4" w:rsidRPr="002F2961" w:rsidRDefault="00842FC4" w:rsidP="00160CBE">
            <w:pPr>
              <w:cnfStyle w:val="000000000000" w:firstRow="0" w:lastRow="0" w:firstColumn="0" w:lastColumn="0" w:oddVBand="0" w:evenVBand="0" w:oddHBand="0" w:evenHBand="0" w:firstRowFirstColumn="0" w:firstRowLastColumn="0" w:lastRowFirstColumn="0" w:lastRowLastColumn="0"/>
            </w:pPr>
            <w:r>
              <w:rPr>
                <w:szCs w:val="22"/>
              </w:rPr>
              <w:t>Corticosteroids</w:t>
            </w:r>
          </w:p>
        </w:tc>
      </w:tr>
      <w:tr w:rsidR="00842FC4" w14:paraId="096E9311"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589A0413" w14:textId="77777777" w:rsidR="00842FC4" w:rsidRDefault="00842FC4" w:rsidP="00160CBE">
            <w:r>
              <w:t>CTCAE</w:t>
            </w:r>
          </w:p>
        </w:tc>
        <w:tc>
          <w:tcPr>
            <w:tcW w:w="6911" w:type="dxa"/>
            <w:vAlign w:val="bottom"/>
          </w:tcPr>
          <w:p w14:paraId="279B3C8C" w14:textId="77777777" w:rsidR="00842FC4" w:rsidRDefault="00842FC4" w:rsidP="00160CBE">
            <w:pPr>
              <w:cnfStyle w:val="000000000000" w:firstRow="0" w:lastRow="0" w:firstColumn="0" w:lastColumn="0" w:oddVBand="0" w:evenVBand="0" w:oddHBand="0" w:evenHBand="0" w:firstRowFirstColumn="0" w:firstRowLastColumn="0" w:lastRowFirstColumn="0" w:lastRowLastColumn="0"/>
            </w:pPr>
            <w:r>
              <w:t>Common Terminol</w:t>
            </w:r>
            <w:r w:rsidR="004D78CD">
              <w:t>ogy Criteria for Adverse Events</w:t>
            </w:r>
          </w:p>
        </w:tc>
      </w:tr>
      <w:tr w:rsidR="00842FC4" w14:paraId="722A3244"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720C9C3C" w14:textId="77777777" w:rsidR="00842FC4" w:rsidRDefault="00842FC4" w:rsidP="00160CBE">
            <w:r>
              <w:rPr>
                <w:szCs w:val="22"/>
              </w:rPr>
              <w:t>CV</w:t>
            </w:r>
          </w:p>
        </w:tc>
        <w:tc>
          <w:tcPr>
            <w:tcW w:w="6911" w:type="dxa"/>
            <w:vAlign w:val="bottom"/>
          </w:tcPr>
          <w:p w14:paraId="68D29850" w14:textId="340BACA8" w:rsidR="00842FC4" w:rsidRDefault="00842FC4" w:rsidP="00D53BB2">
            <w:pPr>
              <w:cnfStyle w:val="000000000000" w:firstRow="0" w:lastRow="0" w:firstColumn="0" w:lastColumn="0" w:oddVBand="0" w:evenVBand="0" w:oddHBand="0" w:evenHBand="0" w:firstRowFirstColumn="0" w:firstRowLastColumn="0" w:lastRowFirstColumn="0" w:lastRowLastColumn="0"/>
            </w:pPr>
            <w:r>
              <w:rPr>
                <w:szCs w:val="22"/>
              </w:rPr>
              <w:t xml:space="preserve">Coefficient of </w:t>
            </w:r>
            <w:r w:rsidR="00D53BB2">
              <w:rPr>
                <w:szCs w:val="22"/>
              </w:rPr>
              <w:t>variation</w:t>
            </w:r>
          </w:p>
        </w:tc>
      </w:tr>
      <w:tr w:rsidR="00842FC4" w14:paraId="1DC29D90"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57D7488C" w14:textId="77777777" w:rsidR="00842FC4" w:rsidRDefault="00842FC4" w:rsidP="00160CBE">
            <w:r>
              <w:t>DAS</w:t>
            </w:r>
          </w:p>
        </w:tc>
        <w:tc>
          <w:tcPr>
            <w:tcW w:w="6911" w:type="dxa"/>
            <w:vAlign w:val="bottom"/>
          </w:tcPr>
          <w:p w14:paraId="790707C9" w14:textId="77777777" w:rsidR="00842FC4" w:rsidRDefault="00842FC4" w:rsidP="00160CBE">
            <w:pPr>
              <w:cnfStyle w:val="000000000000" w:firstRow="0" w:lastRow="0" w:firstColumn="0" w:lastColumn="0" w:oddVBand="0" w:evenVBand="0" w:oddHBand="0" w:evenHBand="0" w:firstRowFirstColumn="0" w:firstRowLastColumn="0" w:lastRowFirstColumn="0" w:lastRowLastColumn="0"/>
            </w:pPr>
            <w:r>
              <w:t>Disease Activity Score</w:t>
            </w:r>
          </w:p>
        </w:tc>
      </w:tr>
      <w:tr w:rsidR="00842FC4" w14:paraId="281DF83B"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4E235462" w14:textId="77777777" w:rsidR="00842FC4" w:rsidRDefault="00842FC4" w:rsidP="00160CBE">
            <w:r>
              <w:rPr>
                <w:szCs w:val="22"/>
              </w:rPr>
              <w:t>DMARD</w:t>
            </w:r>
          </w:p>
        </w:tc>
        <w:tc>
          <w:tcPr>
            <w:tcW w:w="6911" w:type="dxa"/>
            <w:vAlign w:val="bottom"/>
          </w:tcPr>
          <w:p w14:paraId="3C6920D9" w14:textId="100E9FA7" w:rsidR="00842FC4" w:rsidRDefault="00842FC4" w:rsidP="00160CBE">
            <w:pPr>
              <w:cnfStyle w:val="000000000000" w:firstRow="0" w:lastRow="0" w:firstColumn="0" w:lastColumn="0" w:oddVBand="0" w:evenVBand="0" w:oddHBand="0" w:evenHBand="0" w:firstRowFirstColumn="0" w:firstRowLastColumn="0" w:lastRowFirstColumn="0" w:lastRowLastColumn="0"/>
            </w:pPr>
            <w:r>
              <w:rPr>
                <w:szCs w:val="22"/>
              </w:rPr>
              <w:t xml:space="preserve">Disease </w:t>
            </w:r>
            <w:r w:rsidR="00D53BB2">
              <w:rPr>
                <w:szCs w:val="22"/>
              </w:rPr>
              <w:t>modifying anti-rheumatic drug</w:t>
            </w:r>
          </w:p>
        </w:tc>
      </w:tr>
      <w:tr w:rsidR="00842FC4" w14:paraId="69DAA385"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20C8A948" w14:textId="77777777" w:rsidR="00842FC4" w:rsidRDefault="00842FC4" w:rsidP="00160CBE">
            <w:r>
              <w:t>ELISA</w:t>
            </w:r>
          </w:p>
        </w:tc>
        <w:tc>
          <w:tcPr>
            <w:tcW w:w="6911" w:type="dxa"/>
            <w:vAlign w:val="bottom"/>
          </w:tcPr>
          <w:p w14:paraId="4D12EB53" w14:textId="77777777" w:rsidR="00842FC4" w:rsidRDefault="00842FC4" w:rsidP="00160CBE">
            <w:pPr>
              <w:cnfStyle w:val="000000000000" w:firstRow="0" w:lastRow="0" w:firstColumn="0" w:lastColumn="0" w:oddVBand="0" w:evenVBand="0" w:oddHBand="0" w:evenHBand="0" w:firstRowFirstColumn="0" w:firstRowLastColumn="0" w:lastRowFirstColumn="0" w:lastRowLastColumn="0"/>
            </w:pPr>
            <w:r>
              <w:t>Enzyme-Linked Immunosorbent Assay</w:t>
            </w:r>
          </w:p>
        </w:tc>
      </w:tr>
      <w:tr w:rsidR="00842FC4" w14:paraId="7C1019C1"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03C01364" w14:textId="77777777" w:rsidR="00842FC4" w:rsidRPr="002F2961" w:rsidRDefault="00842FC4" w:rsidP="00160CBE">
            <w:r>
              <w:t>ESR</w:t>
            </w:r>
          </w:p>
        </w:tc>
        <w:tc>
          <w:tcPr>
            <w:tcW w:w="6911" w:type="dxa"/>
            <w:vAlign w:val="bottom"/>
          </w:tcPr>
          <w:p w14:paraId="7AB49048" w14:textId="19E7A98C" w:rsidR="00842FC4" w:rsidRPr="002F2961" w:rsidRDefault="00842FC4" w:rsidP="00160CBE">
            <w:pPr>
              <w:cnfStyle w:val="000000000000" w:firstRow="0" w:lastRow="0" w:firstColumn="0" w:lastColumn="0" w:oddVBand="0" w:evenVBand="0" w:oddHBand="0" w:evenHBand="0" w:firstRowFirstColumn="0" w:firstRowLastColumn="0" w:lastRowFirstColumn="0" w:lastRowLastColumn="0"/>
            </w:pPr>
            <w:r>
              <w:t xml:space="preserve">Erythrocyte </w:t>
            </w:r>
            <w:r w:rsidR="00D53BB2">
              <w:t>sedimentation ratio</w:t>
            </w:r>
          </w:p>
        </w:tc>
      </w:tr>
      <w:tr w:rsidR="00842FC4" w14:paraId="34D0678A"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10B90E35" w14:textId="77777777" w:rsidR="00842FC4" w:rsidRPr="002F2961" w:rsidRDefault="00842FC4" w:rsidP="00160CBE">
            <w:r>
              <w:t>EULAR</w:t>
            </w:r>
          </w:p>
        </w:tc>
        <w:tc>
          <w:tcPr>
            <w:tcW w:w="6911" w:type="dxa"/>
            <w:vAlign w:val="bottom"/>
          </w:tcPr>
          <w:p w14:paraId="2662BBEE" w14:textId="77777777" w:rsidR="00842FC4" w:rsidRPr="002F2961" w:rsidRDefault="00842FC4" w:rsidP="00160CBE">
            <w:pPr>
              <w:cnfStyle w:val="000000000000" w:firstRow="0" w:lastRow="0" w:firstColumn="0" w:lastColumn="0" w:oddVBand="0" w:evenVBand="0" w:oddHBand="0" w:evenHBand="0" w:firstRowFirstColumn="0" w:firstRowLastColumn="0" w:lastRowFirstColumn="0" w:lastRowLastColumn="0"/>
            </w:pPr>
            <w:r>
              <w:t>European League Against Rheumatism</w:t>
            </w:r>
          </w:p>
        </w:tc>
      </w:tr>
      <w:tr w:rsidR="00842FC4" w14:paraId="56FD7445"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3A20D6F3" w14:textId="77777777" w:rsidR="00842FC4" w:rsidRPr="002F2961" w:rsidRDefault="00842FC4" w:rsidP="00160CBE">
            <w:r w:rsidRPr="002F2961">
              <w:rPr>
                <w:szCs w:val="22"/>
              </w:rPr>
              <w:t>GCP</w:t>
            </w:r>
          </w:p>
        </w:tc>
        <w:tc>
          <w:tcPr>
            <w:tcW w:w="6911" w:type="dxa"/>
            <w:vAlign w:val="bottom"/>
          </w:tcPr>
          <w:p w14:paraId="18E2FC80" w14:textId="77777777" w:rsidR="00842FC4" w:rsidRPr="002F2961" w:rsidRDefault="00842FC4" w:rsidP="00160CBE">
            <w:pPr>
              <w:cnfStyle w:val="000000000000" w:firstRow="0" w:lastRow="0" w:firstColumn="0" w:lastColumn="0" w:oddVBand="0" w:evenVBand="0" w:oddHBand="0" w:evenHBand="0" w:firstRowFirstColumn="0" w:firstRowLastColumn="0" w:lastRowFirstColumn="0" w:lastRowLastColumn="0"/>
            </w:pPr>
            <w:r w:rsidRPr="002F2961">
              <w:rPr>
                <w:szCs w:val="22"/>
              </w:rPr>
              <w:t>Good Clinical Practice</w:t>
            </w:r>
          </w:p>
        </w:tc>
      </w:tr>
      <w:tr w:rsidR="00842FC4" w14:paraId="79240283"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546256A1" w14:textId="77777777" w:rsidR="00842FC4" w:rsidRPr="002F2961" w:rsidRDefault="004D78CD" w:rsidP="00160CBE">
            <w:r>
              <w:rPr>
                <w:szCs w:val="22"/>
              </w:rPr>
              <w:t>HAQ-DI</w:t>
            </w:r>
          </w:p>
        </w:tc>
        <w:tc>
          <w:tcPr>
            <w:tcW w:w="6911" w:type="dxa"/>
            <w:vAlign w:val="bottom"/>
          </w:tcPr>
          <w:p w14:paraId="5BA236FA" w14:textId="77777777" w:rsidR="00842FC4" w:rsidRPr="002F2961" w:rsidRDefault="00842FC4" w:rsidP="00160CBE">
            <w:pPr>
              <w:cnfStyle w:val="000000000000" w:firstRow="0" w:lastRow="0" w:firstColumn="0" w:lastColumn="0" w:oddVBand="0" w:evenVBand="0" w:oddHBand="0" w:evenHBand="0" w:firstRowFirstColumn="0" w:firstRowLastColumn="0" w:lastRowFirstColumn="0" w:lastRowLastColumn="0"/>
            </w:pPr>
            <w:r>
              <w:rPr>
                <w:szCs w:val="22"/>
              </w:rPr>
              <w:t>Health Assessment Questionnaire – Disability Index</w:t>
            </w:r>
          </w:p>
        </w:tc>
      </w:tr>
      <w:tr w:rsidR="00842FC4" w14:paraId="51A1D294"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758158CB" w14:textId="77777777" w:rsidR="00842FC4" w:rsidRPr="002F2961" w:rsidRDefault="00842FC4" w:rsidP="00160CBE">
            <w:r>
              <w:t>IL</w:t>
            </w:r>
          </w:p>
        </w:tc>
        <w:tc>
          <w:tcPr>
            <w:tcW w:w="6911" w:type="dxa"/>
            <w:vAlign w:val="bottom"/>
          </w:tcPr>
          <w:p w14:paraId="7E3851AA" w14:textId="77777777" w:rsidR="00842FC4" w:rsidRPr="002F2961" w:rsidRDefault="00842FC4" w:rsidP="00160CBE">
            <w:pPr>
              <w:cnfStyle w:val="000000000000" w:firstRow="0" w:lastRow="0" w:firstColumn="0" w:lastColumn="0" w:oddVBand="0" w:evenVBand="0" w:oddHBand="0" w:evenHBand="0" w:firstRowFirstColumn="0" w:firstRowLastColumn="0" w:lastRowFirstColumn="0" w:lastRowLastColumn="0"/>
            </w:pPr>
            <w:r>
              <w:t>Interleukin</w:t>
            </w:r>
          </w:p>
        </w:tc>
      </w:tr>
      <w:tr w:rsidR="00842FC4" w14:paraId="3CBA2125"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4818604A" w14:textId="77777777" w:rsidR="00842FC4" w:rsidRPr="002F2961" w:rsidRDefault="00842FC4" w:rsidP="00160CBE">
            <w:r>
              <w:t>ITT</w:t>
            </w:r>
          </w:p>
        </w:tc>
        <w:tc>
          <w:tcPr>
            <w:tcW w:w="6911" w:type="dxa"/>
            <w:vAlign w:val="bottom"/>
          </w:tcPr>
          <w:p w14:paraId="6A32DFA1" w14:textId="3EEB7A1B" w:rsidR="00842FC4" w:rsidRPr="002F2961" w:rsidRDefault="00842FC4" w:rsidP="00160CBE">
            <w:pPr>
              <w:cnfStyle w:val="000000000000" w:firstRow="0" w:lastRow="0" w:firstColumn="0" w:lastColumn="0" w:oddVBand="0" w:evenVBand="0" w:oddHBand="0" w:evenHBand="0" w:firstRowFirstColumn="0" w:firstRowLastColumn="0" w:lastRowFirstColumn="0" w:lastRowLastColumn="0"/>
            </w:pPr>
            <w:r>
              <w:t>Intention-to-</w:t>
            </w:r>
            <w:r w:rsidR="00D53BB2">
              <w:t>t</w:t>
            </w:r>
            <w:r>
              <w:t>reat</w:t>
            </w:r>
          </w:p>
        </w:tc>
      </w:tr>
      <w:tr w:rsidR="00842FC4" w14:paraId="38728F2A"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4B96535F" w14:textId="77777777" w:rsidR="00842FC4" w:rsidRDefault="00842FC4" w:rsidP="00160CBE">
            <w:r>
              <w:lastRenderedPageBreak/>
              <w:t>IV</w:t>
            </w:r>
          </w:p>
        </w:tc>
        <w:tc>
          <w:tcPr>
            <w:tcW w:w="6911" w:type="dxa"/>
            <w:vAlign w:val="bottom"/>
          </w:tcPr>
          <w:p w14:paraId="61092F90" w14:textId="77777777" w:rsidR="00842FC4" w:rsidRDefault="00842FC4" w:rsidP="00160CBE">
            <w:pPr>
              <w:cnfStyle w:val="000000000000" w:firstRow="0" w:lastRow="0" w:firstColumn="0" w:lastColumn="0" w:oddVBand="0" w:evenVBand="0" w:oddHBand="0" w:evenHBand="0" w:firstRowFirstColumn="0" w:firstRowLastColumn="0" w:lastRowFirstColumn="0" w:lastRowLastColumn="0"/>
            </w:pPr>
            <w:r>
              <w:t>Intravenous</w:t>
            </w:r>
          </w:p>
        </w:tc>
      </w:tr>
      <w:tr w:rsidR="00842FC4" w14:paraId="1533CF48"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1DEB0EA9" w14:textId="77777777" w:rsidR="00842FC4" w:rsidRDefault="00842FC4" w:rsidP="00160CBE">
            <w:r>
              <w:t>IVRS</w:t>
            </w:r>
          </w:p>
        </w:tc>
        <w:tc>
          <w:tcPr>
            <w:tcW w:w="6911" w:type="dxa"/>
            <w:vAlign w:val="bottom"/>
          </w:tcPr>
          <w:p w14:paraId="5D9E190C" w14:textId="77777777" w:rsidR="00842FC4" w:rsidRDefault="00842FC4" w:rsidP="00160CBE">
            <w:pPr>
              <w:cnfStyle w:val="000000000000" w:firstRow="0" w:lastRow="0" w:firstColumn="0" w:lastColumn="0" w:oddVBand="0" w:evenVBand="0" w:oddHBand="0" w:evenHBand="0" w:firstRowFirstColumn="0" w:firstRowLastColumn="0" w:lastRowFirstColumn="0" w:lastRowLastColumn="0"/>
            </w:pPr>
            <w:r>
              <w:t>In</w:t>
            </w:r>
            <w:r w:rsidR="004D78CD">
              <w:t>teractive Voice Response System</w:t>
            </w:r>
          </w:p>
        </w:tc>
      </w:tr>
      <w:tr w:rsidR="00842FC4" w14:paraId="4D5CB203"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7FA3C289" w14:textId="77777777" w:rsidR="00842FC4" w:rsidRPr="002F2961" w:rsidRDefault="00842FC4" w:rsidP="00160CBE">
            <w:r>
              <w:t>LEF</w:t>
            </w:r>
          </w:p>
        </w:tc>
        <w:tc>
          <w:tcPr>
            <w:tcW w:w="6911" w:type="dxa"/>
            <w:vAlign w:val="bottom"/>
          </w:tcPr>
          <w:p w14:paraId="486B099D" w14:textId="77777777" w:rsidR="00842FC4" w:rsidRPr="002F2961" w:rsidRDefault="00842FC4" w:rsidP="00160CBE">
            <w:pPr>
              <w:cnfStyle w:val="000000000000" w:firstRow="0" w:lastRow="0" w:firstColumn="0" w:lastColumn="0" w:oddVBand="0" w:evenVBand="0" w:oddHBand="0" w:evenHBand="0" w:firstRowFirstColumn="0" w:firstRowLastColumn="0" w:lastRowFirstColumn="0" w:lastRowLastColumn="0"/>
            </w:pPr>
            <w:r>
              <w:t>Leflunomide</w:t>
            </w:r>
          </w:p>
        </w:tc>
      </w:tr>
      <w:tr w:rsidR="00842FC4" w14:paraId="087E39E7"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7825FF18" w14:textId="77777777" w:rsidR="00842FC4" w:rsidRPr="002F2961" w:rsidRDefault="00842FC4" w:rsidP="00160CBE">
            <w:r>
              <w:t>LLOQ</w:t>
            </w:r>
          </w:p>
        </w:tc>
        <w:tc>
          <w:tcPr>
            <w:tcW w:w="6911" w:type="dxa"/>
            <w:vAlign w:val="bottom"/>
          </w:tcPr>
          <w:p w14:paraId="64B82C09" w14:textId="59451C2B" w:rsidR="00842FC4" w:rsidRPr="002F2961" w:rsidRDefault="00842FC4" w:rsidP="00160CBE">
            <w:pPr>
              <w:cnfStyle w:val="000000000000" w:firstRow="0" w:lastRow="0" w:firstColumn="0" w:lastColumn="0" w:oddVBand="0" w:evenVBand="0" w:oddHBand="0" w:evenHBand="0" w:firstRowFirstColumn="0" w:firstRowLastColumn="0" w:lastRowFirstColumn="0" w:lastRowLastColumn="0"/>
            </w:pPr>
            <w:r>
              <w:t xml:space="preserve">Lower </w:t>
            </w:r>
            <w:r w:rsidR="00D53BB2">
              <w:t>limit of quantification</w:t>
            </w:r>
          </w:p>
        </w:tc>
      </w:tr>
      <w:tr w:rsidR="00842FC4" w14:paraId="1473246C"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6D800438" w14:textId="77777777" w:rsidR="00842FC4" w:rsidRPr="002F2961" w:rsidRDefault="00842FC4" w:rsidP="00160CBE">
            <w:r>
              <w:rPr>
                <w:szCs w:val="22"/>
              </w:rPr>
              <w:t>MTX</w:t>
            </w:r>
          </w:p>
        </w:tc>
        <w:tc>
          <w:tcPr>
            <w:tcW w:w="6911" w:type="dxa"/>
            <w:vAlign w:val="bottom"/>
          </w:tcPr>
          <w:p w14:paraId="632EC61D" w14:textId="77777777" w:rsidR="00842FC4" w:rsidRPr="002F2961" w:rsidRDefault="00842FC4" w:rsidP="00160CBE">
            <w:pPr>
              <w:cnfStyle w:val="000000000000" w:firstRow="0" w:lastRow="0" w:firstColumn="0" w:lastColumn="0" w:oddVBand="0" w:evenVBand="0" w:oddHBand="0" w:evenHBand="0" w:firstRowFirstColumn="0" w:firstRowLastColumn="0" w:lastRowFirstColumn="0" w:lastRowLastColumn="0"/>
            </w:pPr>
            <w:r>
              <w:rPr>
                <w:szCs w:val="22"/>
              </w:rPr>
              <w:t>Methotrexate</w:t>
            </w:r>
          </w:p>
        </w:tc>
      </w:tr>
      <w:tr w:rsidR="00842FC4" w14:paraId="0EF0C86E"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20490D91" w14:textId="77777777" w:rsidR="00842FC4" w:rsidRPr="002F2961" w:rsidRDefault="00842FC4" w:rsidP="00160CBE">
            <w:r>
              <w:t>NSAID</w:t>
            </w:r>
          </w:p>
        </w:tc>
        <w:tc>
          <w:tcPr>
            <w:tcW w:w="6911" w:type="dxa"/>
            <w:vAlign w:val="bottom"/>
          </w:tcPr>
          <w:p w14:paraId="2D9A2E59" w14:textId="4CEC0EC4" w:rsidR="00842FC4" w:rsidRPr="002F2961" w:rsidRDefault="00842FC4" w:rsidP="00160CBE">
            <w:pPr>
              <w:cnfStyle w:val="000000000000" w:firstRow="0" w:lastRow="0" w:firstColumn="0" w:lastColumn="0" w:oddVBand="0" w:evenVBand="0" w:oddHBand="0" w:evenHBand="0" w:firstRowFirstColumn="0" w:firstRowLastColumn="0" w:lastRowFirstColumn="0" w:lastRowLastColumn="0"/>
            </w:pPr>
            <w:r>
              <w:t>Non-</w:t>
            </w:r>
            <w:r w:rsidR="00D53BB2">
              <w:t>steroidal anti-inflammatory drug</w:t>
            </w:r>
          </w:p>
        </w:tc>
      </w:tr>
      <w:tr w:rsidR="00842FC4" w14:paraId="7D9FB9F5"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4645CB00" w14:textId="77777777" w:rsidR="00842FC4" w:rsidRPr="002F2961" w:rsidRDefault="00842FC4" w:rsidP="00160CBE">
            <w:r w:rsidRPr="002F2961">
              <w:rPr>
                <w:szCs w:val="22"/>
              </w:rPr>
              <w:t xml:space="preserve">PD </w:t>
            </w:r>
          </w:p>
        </w:tc>
        <w:tc>
          <w:tcPr>
            <w:tcW w:w="6911" w:type="dxa"/>
            <w:vAlign w:val="bottom"/>
          </w:tcPr>
          <w:p w14:paraId="7E898AD3" w14:textId="77777777" w:rsidR="00842FC4" w:rsidRPr="002F2961" w:rsidRDefault="00842FC4" w:rsidP="00160CBE">
            <w:pPr>
              <w:cnfStyle w:val="000000000000" w:firstRow="0" w:lastRow="0" w:firstColumn="0" w:lastColumn="0" w:oddVBand="0" w:evenVBand="0" w:oddHBand="0" w:evenHBand="0" w:firstRowFirstColumn="0" w:firstRowLastColumn="0" w:lastRowFirstColumn="0" w:lastRowLastColumn="0"/>
            </w:pPr>
            <w:r w:rsidRPr="002F2961">
              <w:rPr>
                <w:szCs w:val="22"/>
              </w:rPr>
              <w:t>Pharmacodynamic</w:t>
            </w:r>
          </w:p>
        </w:tc>
      </w:tr>
      <w:tr w:rsidR="00842FC4" w14:paraId="10548F10"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73ADEF33" w14:textId="77777777" w:rsidR="00842FC4" w:rsidRPr="002F2961" w:rsidRDefault="00842FC4" w:rsidP="00160CBE">
            <w:r>
              <w:t>PFS</w:t>
            </w:r>
          </w:p>
        </w:tc>
        <w:tc>
          <w:tcPr>
            <w:tcW w:w="6911" w:type="dxa"/>
            <w:vAlign w:val="bottom"/>
          </w:tcPr>
          <w:p w14:paraId="72BE79D3" w14:textId="6AB825D0" w:rsidR="00842FC4" w:rsidRPr="002F2961" w:rsidRDefault="00842FC4" w:rsidP="00D53BB2">
            <w:pPr>
              <w:cnfStyle w:val="000000000000" w:firstRow="0" w:lastRow="0" w:firstColumn="0" w:lastColumn="0" w:oddVBand="0" w:evenVBand="0" w:oddHBand="0" w:evenHBand="0" w:firstRowFirstColumn="0" w:firstRowLastColumn="0" w:lastRowFirstColumn="0" w:lastRowLastColumn="0"/>
            </w:pPr>
            <w:r>
              <w:t xml:space="preserve">Pre-filled </w:t>
            </w:r>
            <w:r w:rsidR="00D53BB2">
              <w:t>syringe</w:t>
            </w:r>
          </w:p>
        </w:tc>
      </w:tr>
      <w:tr w:rsidR="00842FC4" w14:paraId="780A93CA"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17011296" w14:textId="77777777" w:rsidR="00842FC4" w:rsidRPr="002F2961" w:rsidRDefault="00842FC4" w:rsidP="00160CBE">
            <w:r>
              <w:rPr>
                <w:szCs w:val="22"/>
              </w:rPr>
              <w:t>PK</w:t>
            </w:r>
          </w:p>
        </w:tc>
        <w:tc>
          <w:tcPr>
            <w:tcW w:w="6911" w:type="dxa"/>
            <w:vAlign w:val="bottom"/>
          </w:tcPr>
          <w:p w14:paraId="1F32B9B2" w14:textId="77777777" w:rsidR="00842FC4" w:rsidRPr="002F2961" w:rsidRDefault="00842FC4" w:rsidP="00160CBE">
            <w:pPr>
              <w:cnfStyle w:val="000000000000" w:firstRow="0" w:lastRow="0" w:firstColumn="0" w:lastColumn="0" w:oddVBand="0" w:evenVBand="0" w:oddHBand="0" w:evenHBand="0" w:firstRowFirstColumn="0" w:firstRowLastColumn="0" w:lastRowFirstColumn="0" w:lastRowLastColumn="0"/>
            </w:pPr>
            <w:r>
              <w:rPr>
                <w:szCs w:val="22"/>
              </w:rPr>
              <w:t>Pharmacokinetic</w:t>
            </w:r>
          </w:p>
        </w:tc>
      </w:tr>
      <w:tr w:rsidR="00842FC4" w14:paraId="5434A1A7"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48D49A14" w14:textId="77777777" w:rsidR="00842FC4" w:rsidRPr="002F2961" w:rsidRDefault="00842FC4" w:rsidP="00160CBE">
            <w:r>
              <w:t>PT</w:t>
            </w:r>
          </w:p>
        </w:tc>
        <w:tc>
          <w:tcPr>
            <w:tcW w:w="6911" w:type="dxa"/>
            <w:vAlign w:val="bottom"/>
          </w:tcPr>
          <w:p w14:paraId="1F27C81C" w14:textId="358F8BC2" w:rsidR="00842FC4" w:rsidRPr="002F2961" w:rsidRDefault="004D78CD" w:rsidP="00E63FF8">
            <w:pPr>
              <w:cnfStyle w:val="000000000000" w:firstRow="0" w:lastRow="0" w:firstColumn="0" w:lastColumn="0" w:oddVBand="0" w:evenVBand="0" w:oddHBand="0" w:evenHBand="0" w:firstRowFirstColumn="0" w:firstRowLastColumn="0" w:lastRowFirstColumn="0" w:lastRowLastColumn="0"/>
            </w:pPr>
            <w:r>
              <w:t xml:space="preserve">Preferred </w:t>
            </w:r>
            <w:r w:rsidR="00E63FF8">
              <w:t>Term</w:t>
            </w:r>
          </w:p>
        </w:tc>
      </w:tr>
      <w:tr w:rsidR="00842FC4" w14:paraId="024755FD"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022A6873" w14:textId="77777777" w:rsidR="00842FC4" w:rsidRDefault="00842FC4" w:rsidP="00160CBE">
            <w:r>
              <w:t>PY</w:t>
            </w:r>
          </w:p>
        </w:tc>
        <w:tc>
          <w:tcPr>
            <w:tcW w:w="6911" w:type="dxa"/>
            <w:vAlign w:val="bottom"/>
          </w:tcPr>
          <w:p w14:paraId="2FF5C305" w14:textId="77777777" w:rsidR="00842FC4" w:rsidRDefault="00842FC4" w:rsidP="00160CBE">
            <w:pPr>
              <w:cnfStyle w:val="000000000000" w:firstRow="0" w:lastRow="0" w:firstColumn="0" w:lastColumn="0" w:oddVBand="0" w:evenVBand="0" w:oddHBand="0" w:evenHBand="0" w:firstRowFirstColumn="0" w:firstRowLastColumn="0" w:lastRowFirstColumn="0" w:lastRowLastColumn="0"/>
            </w:pPr>
            <w:r>
              <w:t>Patient</w:t>
            </w:r>
            <w:r w:rsidR="004D78CD">
              <w:t xml:space="preserve"> year</w:t>
            </w:r>
            <w:r>
              <w:t>s</w:t>
            </w:r>
          </w:p>
        </w:tc>
      </w:tr>
      <w:tr w:rsidR="00842FC4" w14:paraId="145F3A20"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05BA73C0" w14:textId="77777777" w:rsidR="00842FC4" w:rsidRDefault="00842FC4" w:rsidP="00160CBE">
            <w:r>
              <w:t>QOL</w:t>
            </w:r>
          </w:p>
        </w:tc>
        <w:tc>
          <w:tcPr>
            <w:tcW w:w="6911" w:type="dxa"/>
            <w:vAlign w:val="bottom"/>
          </w:tcPr>
          <w:p w14:paraId="5CF74000" w14:textId="6C1F7195" w:rsidR="00842FC4" w:rsidRDefault="00842FC4" w:rsidP="00E63FF8">
            <w:pPr>
              <w:cnfStyle w:val="000000000000" w:firstRow="0" w:lastRow="0" w:firstColumn="0" w:lastColumn="0" w:oddVBand="0" w:evenVBand="0" w:oddHBand="0" w:evenHBand="0" w:firstRowFirstColumn="0" w:firstRowLastColumn="0" w:lastRowFirstColumn="0" w:lastRowLastColumn="0"/>
            </w:pPr>
            <w:r>
              <w:t>Quality</w:t>
            </w:r>
            <w:r w:rsidR="00D53BB2">
              <w:t xml:space="preserve"> </w:t>
            </w:r>
            <w:r>
              <w:t>of-</w:t>
            </w:r>
            <w:r w:rsidR="00E63FF8">
              <w:t>life</w:t>
            </w:r>
          </w:p>
        </w:tc>
      </w:tr>
      <w:tr w:rsidR="00842FC4" w14:paraId="7C24CA74"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2445AB07" w14:textId="77777777" w:rsidR="00842FC4" w:rsidRDefault="00842FC4" w:rsidP="00160CBE">
            <w:r>
              <w:t>qw</w:t>
            </w:r>
          </w:p>
        </w:tc>
        <w:tc>
          <w:tcPr>
            <w:tcW w:w="6911" w:type="dxa"/>
            <w:vAlign w:val="bottom"/>
          </w:tcPr>
          <w:p w14:paraId="1FBEF75F" w14:textId="77777777" w:rsidR="00842FC4" w:rsidRDefault="00842FC4" w:rsidP="00160CBE">
            <w:pPr>
              <w:cnfStyle w:val="000000000000" w:firstRow="0" w:lastRow="0" w:firstColumn="0" w:lastColumn="0" w:oddVBand="0" w:evenVBand="0" w:oddHBand="0" w:evenHBand="0" w:firstRowFirstColumn="0" w:firstRowLastColumn="0" w:lastRowFirstColumn="0" w:lastRowLastColumn="0"/>
            </w:pPr>
            <w:r>
              <w:t>Once a week (dosing interval)</w:t>
            </w:r>
          </w:p>
        </w:tc>
      </w:tr>
      <w:tr w:rsidR="00842FC4" w14:paraId="1C3A8F73"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2A77C744" w14:textId="77777777" w:rsidR="00842FC4" w:rsidRDefault="00842FC4" w:rsidP="00160CBE">
            <w:r>
              <w:t>q2w</w:t>
            </w:r>
          </w:p>
        </w:tc>
        <w:tc>
          <w:tcPr>
            <w:tcW w:w="6911" w:type="dxa"/>
            <w:vAlign w:val="bottom"/>
          </w:tcPr>
          <w:p w14:paraId="502450BF" w14:textId="77777777" w:rsidR="00842FC4" w:rsidRDefault="00842FC4" w:rsidP="00160CBE">
            <w:pPr>
              <w:cnfStyle w:val="000000000000" w:firstRow="0" w:lastRow="0" w:firstColumn="0" w:lastColumn="0" w:oddVBand="0" w:evenVBand="0" w:oddHBand="0" w:evenHBand="0" w:firstRowFirstColumn="0" w:firstRowLastColumn="0" w:lastRowFirstColumn="0" w:lastRowLastColumn="0"/>
            </w:pPr>
            <w:r>
              <w:t>Once every 2 weeks (dosing interval)</w:t>
            </w:r>
          </w:p>
        </w:tc>
      </w:tr>
      <w:tr w:rsidR="00842FC4" w14:paraId="03133A91"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0D9DDD03" w14:textId="77777777" w:rsidR="00842FC4" w:rsidRPr="002F2961" w:rsidRDefault="00842FC4" w:rsidP="00160CBE">
            <w:r>
              <w:t>RA</w:t>
            </w:r>
          </w:p>
        </w:tc>
        <w:tc>
          <w:tcPr>
            <w:tcW w:w="6911" w:type="dxa"/>
            <w:vAlign w:val="bottom"/>
          </w:tcPr>
          <w:p w14:paraId="7C347256" w14:textId="681006C3" w:rsidR="00842FC4" w:rsidRPr="002F2961" w:rsidRDefault="00842FC4" w:rsidP="00160CBE">
            <w:pPr>
              <w:cnfStyle w:val="000000000000" w:firstRow="0" w:lastRow="0" w:firstColumn="0" w:lastColumn="0" w:oddVBand="0" w:evenVBand="0" w:oddHBand="0" w:evenHBand="0" w:firstRowFirstColumn="0" w:firstRowLastColumn="0" w:lastRowFirstColumn="0" w:lastRowLastColumn="0"/>
            </w:pPr>
            <w:r>
              <w:t xml:space="preserve">Rheumatoid </w:t>
            </w:r>
            <w:r w:rsidR="00E63FF8">
              <w:t>arthritis</w:t>
            </w:r>
          </w:p>
        </w:tc>
      </w:tr>
      <w:tr w:rsidR="00842FC4" w14:paraId="562C5C9F"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13BA80C1" w14:textId="77777777" w:rsidR="00842FC4" w:rsidRPr="002F2961" w:rsidRDefault="00842FC4" w:rsidP="00160CBE">
            <w:r>
              <w:t>RF</w:t>
            </w:r>
          </w:p>
        </w:tc>
        <w:tc>
          <w:tcPr>
            <w:tcW w:w="6911" w:type="dxa"/>
            <w:vAlign w:val="bottom"/>
          </w:tcPr>
          <w:p w14:paraId="74EA28CE" w14:textId="57E4D56E" w:rsidR="00842FC4" w:rsidRPr="002F2961" w:rsidRDefault="00842FC4" w:rsidP="00160CBE">
            <w:pPr>
              <w:cnfStyle w:val="000000000000" w:firstRow="0" w:lastRow="0" w:firstColumn="0" w:lastColumn="0" w:oddVBand="0" w:evenVBand="0" w:oddHBand="0" w:evenHBand="0" w:firstRowFirstColumn="0" w:firstRowLastColumn="0" w:lastRowFirstColumn="0" w:lastRowLastColumn="0"/>
            </w:pPr>
            <w:r>
              <w:t xml:space="preserve">Rheumatoid </w:t>
            </w:r>
            <w:r w:rsidR="00E63FF8">
              <w:t>factor</w:t>
            </w:r>
          </w:p>
        </w:tc>
      </w:tr>
      <w:tr w:rsidR="00842FC4" w14:paraId="505982C3"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7EEA2E47" w14:textId="77777777" w:rsidR="00842FC4" w:rsidRPr="002F2961" w:rsidRDefault="00842FC4" w:rsidP="00160CBE">
            <w:r w:rsidRPr="002F2961">
              <w:rPr>
                <w:szCs w:val="22"/>
              </w:rPr>
              <w:t>SAE</w:t>
            </w:r>
          </w:p>
        </w:tc>
        <w:tc>
          <w:tcPr>
            <w:tcW w:w="6911" w:type="dxa"/>
            <w:vAlign w:val="bottom"/>
          </w:tcPr>
          <w:p w14:paraId="78FE56EC" w14:textId="77BFD30A" w:rsidR="00842FC4" w:rsidRPr="002F2961" w:rsidRDefault="00842FC4" w:rsidP="00160CBE">
            <w:pPr>
              <w:cnfStyle w:val="000000000000" w:firstRow="0" w:lastRow="0" w:firstColumn="0" w:lastColumn="0" w:oddVBand="0" w:evenVBand="0" w:oddHBand="0" w:evenHBand="0" w:firstRowFirstColumn="0" w:firstRowLastColumn="0" w:lastRowFirstColumn="0" w:lastRowLastColumn="0"/>
            </w:pPr>
            <w:r w:rsidRPr="002F2961">
              <w:rPr>
                <w:szCs w:val="22"/>
              </w:rPr>
              <w:t>Serious</w:t>
            </w:r>
            <w:r w:rsidR="00E63FF8" w:rsidRPr="002F2961">
              <w:rPr>
                <w:szCs w:val="22"/>
              </w:rPr>
              <w:t xml:space="preserve"> </w:t>
            </w:r>
            <w:r w:rsidR="00E63FF8">
              <w:rPr>
                <w:szCs w:val="22"/>
              </w:rPr>
              <w:t>a</w:t>
            </w:r>
            <w:r w:rsidR="00E63FF8" w:rsidRPr="002F2961">
              <w:rPr>
                <w:szCs w:val="22"/>
              </w:rPr>
              <w:t xml:space="preserve">dverse </w:t>
            </w:r>
            <w:r w:rsidR="00E63FF8">
              <w:rPr>
                <w:szCs w:val="22"/>
              </w:rPr>
              <w:t>e</w:t>
            </w:r>
            <w:r w:rsidR="00E63FF8" w:rsidRPr="002F2961">
              <w:rPr>
                <w:szCs w:val="22"/>
              </w:rPr>
              <w:t>vent</w:t>
            </w:r>
          </w:p>
        </w:tc>
      </w:tr>
      <w:tr w:rsidR="00842FC4" w14:paraId="4AADED0C"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14FA4364" w14:textId="77777777" w:rsidR="00842FC4" w:rsidRPr="002F2961" w:rsidRDefault="00842FC4" w:rsidP="00160CBE">
            <w:r>
              <w:t>SAR</w:t>
            </w:r>
          </w:p>
        </w:tc>
        <w:tc>
          <w:tcPr>
            <w:tcW w:w="6911" w:type="dxa"/>
            <w:vAlign w:val="bottom"/>
          </w:tcPr>
          <w:p w14:paraId="5FF810EB" w14:textId="77777777" w:rsidR="00842FC4" w:rsidRPr="002F2961" w:rsidRDefault="00842FC4" w:rsidP="00160CBE">
            <w:pPr>
              <w:cnfStyle w:val="000000000000" w:firstRow="0" w:lastRow="0" w:firstColumn="0" w:lastColumn="0" w:oddVBand="0" w:evenVBand="0" w:oddHBand="0" w:evenHBand="0" w:firstRowFirstColumn="0" w:firstRowLastColumn="0" w:lastRowFirstColumn="0" w:lastRowLastColumn="0"/>
            </w:pPr>
            <w:r>
              <w:t>Sarilumab</w:t>
            </w:r>
          </w:p>
        </w:tc>
      </w:tr>
      <w:tr w:rsidR="00842FC4" w14:paraId="542051B1"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0D6BD1DC" w14:textId="77777777" w:rsidR="00842FC4" w:rsidRPr="002F2961" w:rsidRDefault="00842FC4" w:rsidP="00160CBE">
            <w:r>
              <w:t>SC</w:t>
            </w:r>
          </w:p>
        </w:tc>
        <w:tc>
          <w:tcPr>
            <w:tcW w:w="6911" w:type="dxa"/>
            <w:vAlign w:val="bottom"/>
          </w:tcPr>
          <w:p w14:paraId="7C5E98FE" w14:textId="77777777" w:rsidR="00842FC4" w:rsidRPr="002F2961" w:rsidRDefault="00842FC4" w:rsidP="00160CBE">
            <w:pPr>
              <w:cnfStyle w:val="000000000000" w:firstRow="0" w:lastRow="0" w:firstColumn="0" w:lastColumn="0" w:oddVBand="0" w:evenVBand="0" w:oddHBand="0" w:evenHBand="0" w:firstRowFirstColumn="0" w:firstRowLastColumn="0" w:lastRowFirstColumn="0" w:lastRowLastColumn="0"/>
            </w:pPr>
            <w:r>
              <w:t>Subcutaneous</w:t>
            </w:r>
          </w:p>
        </w:tc>
      </w:tr>
      <w:tr w:rsidR="00842FC4" w14:paraId="1A3352DB"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76EAD23B" w14:textId="77777777" w:rsidR="00842FC4" w:rsidRPr="002F2961" w:rsidRDefault="00842FC4" w:rsidP="00160CBE">
            <w:r>
              <w:t>SDAI</w:t>
            </w:r>
          </w:p>
        </w:tc>
        <w:tc>
          <w:tcPr>
            <w:tcW w:w="6911" w:type="dxa"/>
            <w:vAlign w:val="bottom"/>
          </w:tcPr>
          <w:p w14:paraId="299026F5" w14:textId="77777777" w:rsidR="00842FC4" w:rsidRPr="002F2961" w:rsidRDefault="00842FC4" w:rsidP="00160CBE">
            <w:pPr>
              <w:cnfStyle w:val="000000000000" w:firstRow="0" w:lastRow="0" w:firstColumn="0" w:lastColumn="0" w:oddVBand="0" w:evenVBand="0" w:oddHBand="0" w:evenHBand="0" w:firstRowFirstColumn="0" w:firstRowLastColumn="0" w:lastRowFirstColumn="0" w:lastRowLastColumn="0"/>
            </w:pPr>
            <w:r>
              <w:t>Simplified Disease Activity Index</w:t>
            </w:r>
          </w:p>
        </w:tc>
      </w:tr>
      <w:tr w:rsidR="00842FC4" w14:paraId="379CB561"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3DFE6AD5" w14:textId="77777777" w:rsidR="00842FC4" w:rsidRPr="002F2961" w:rsidRDefault="00842FC4" w:rsidP="00160CBE">
            <w:r>
              <w:rPr>
                <w:szCs w:val="22"/>
              </w:rPr>
              <w:t>SD</w:t>
            </w:r>
          </w:p>
        </w:tc>
        <w:tc>
          <w:tcPr>
            <w:tcW w:w="6911" w:type="dxa"/>
            <w:vAlign w:val="bottom"/>
          </w:tcPr>
          <w:p w14:paraId="64554DF6" w14:textId="0D554D67" w:rsidR="00842FC4" w:rsidRPr="002F2961" w:rsidRDefault="00842FC4" w:rsidP="00E63FF8">
            <w:pPr>
              <w:cnfStyle w:val="000000000000" w:firstRow="0" w:lastRow="0" w:firstColumn="0" w:lastColumn="0" w:oddVBand="0" w:evenVBand="0" w:oddHBand="0" w:evenHBand="0" w:firstRowFirstColumn="0" w:firstRowLastColumn="0" w:lastRowFirstColumn="0" w:lastRowLastColumn="0"/>
            </w:pPr>
            <w:r>
              <w:rPr>
                <w:szCs w:val="22"/>
              </w:rPr>
              <w:t xml:space="preserve">Standard </w:t>
            </w:r>
            <w:r w:rsidR="00E63FF8">
              <w:rPr>
                <w:szCs w:val="22"/>
              </w:rPr>
              <w:t>deviation</w:t>
            </w:r>
          </w:p>
        </w:tc>
      </w:tr>
      <w:tr w:rsidR="00842FC4" w14:paraId="7126B2A0"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11E70A01" w14:textId="77777777" w:rsidR="00842FC4" w:rsidRPr="002F2961" w:rsidRDefault="00842FC4" w:rsidP="00160CBE">
            <w:r>
              <w:t>sIL-6R</w:t>
            </w:r>
          </w:p>
        </w:tc>
        <w:tc>
          <w:tcPr>
            <w:tcW w:w="6911" w:type="dxa"/>
            <w:vAlign w:val="bottom"/>
          </w:tcPr>
          <w:p w14:paraId="677791F1" w14:textId="77777777" w:rsidR="00842FC4" w:rsidRPr="002F2961" w:rsidRDefault="00842FC4" w:rsidP="00160CBE">
            <w:pPr>
              <w:cnfStyle w:val="000000000000" w:firstRow="0" w:lastRow="0" w:firstColumn="0" w:lastColumn="0" w:oddVBand="0" w:evenVBand="0" w:oddHBand="0" w:evenHBand="0" w:firstRowFirstColumn="0" w:firstRowLastColumn="0" w:lastRowFirstColumn="0" w:lastRowLastColumn="0"/>
            </w:pPr>
            <w:r>
              <w:t>Soluble IL-6 receptor</w:t>
            </w:r>
          </w:p>
        </w:tc>
      </w:tr>
      <w:tr w:rsidR="00842FC4" w14:paraId="5D6C1827"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749F896D" w14:textId="77777777" w:rsidR="00842FC4" w:rsidRPr="002F2961" w:rsidRDefault="00842FC4" w:rsidP="00160CBE">
            <w:r w:rsidRPr="002F2961">
              <w:rPr>
                <w:szCs w:val="22"/>
              </w:rPr>
              <w:t>SOC</w:t>
            </w:r>
          </w:p>
        </w:tc>
        <w:tc>
          <w:tcPr>
            <w:tcW w:w="6911" w:type="dxa"/>
            <w:vAlign w:val="bottom"/>
          </w:tcPr>
          <w:p w14:paraId="27680A9E" w14:textId="77777777" w:rsidR="00842FC4" w:rsidRPr="002F2961" w:rsidRDefault="00842FC4" w:rsidP="00160CBE">
            <w:pPr>
              <w:cnfStyle w:val="000000000000" w:firstRow="0" w:lastRow="0" w:firstColumn="0" w:lastColumn="0" w:oddVBand="0" w:evenVBand="0" w:oddHBand="0" w:evenHBand="0" w:firstRowFirstColumn="0" w:firstRowLastColumn="0" w:lastRowFirstColumn="0" w:lastRowLastColumn="0"/>
            </w:pPr>
            <w:r w:rsidRPr="002F2961">
              <w:rPr>
                <w:szCs w:val="22"/>
              </w:rPr>
              <w:t>System Organ Class</w:t>
            </w:r>
          </w:p>
        </w:tc>
      </w:tr>
      <w:tr w:rsidR="00842FC4" w14:paraId="12D14390"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16E77852" w14:textId="77777777" w:rsidR="00842FC4" w:rsidRPr="002F2961" w:rsidRDefault="00842FC4" w:rsidP="00160CBE">
            <w:r>
              <w:rPr>
                <w:szCs w:val="22"/>
              </w:rPr>
              <w:t>SSZ</w:t>
            </w:r>
          </w:p>
        </w:tc>
        <w:tc>
          <w:tcPr>
            <w:tcW w:w="6911" w:type="dxa"/>
            <w:vAlign w:val="bottom"/>
          </w:tcPr>
          <w:p w14:paraId="48FFA7B2" w14:textId="77777777" w:rsidR="00842FC4" w:rsidRPr="002F2961" w:rsidRDefault="004D78CD" w:rsidP="00160CBE">
            <w:pPr>
              <w:cnfStyle w:val="000000000000" w:firstRow="0" w:lastRow="0" w:firstColumn="0" w:lastColumn="0" w:oddVBand="0" w:evenVBand="0" w:oddHBand="0" w:evenHBand="0" w:firstRowFirstColumn="0" w:firstRowLastColumn="0" w:lastRowFirstColumn="0" w:lastRowLastColumn="0"/>
            </w:pPr>
            <w:r>
              <w:rPr>
                <w:szCs w:val="22"/>
              </w:rPr>
              <w:t>Sulfasalazine</w:t>
            </w:r>
          </w:p>
        </w:tc>
      </w:tr>
      <w:tr w:rsidR="00842FC4" w14:paraId="171A7BFE"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0119B45F" w14:textId="77777777" w:rsidR="00842FC4" w:rsidRPr="002F2961" w:rsidRDefault="00842FC4" w:rsidP="00160CBE">
            <w:r>
              <w:t>TB</w:t>
            </w:r>
          </w:p>
        </w:tc>
        <w:tc>
          <w:tcPr>
            <w:tcW w:w="6911" w:type="dxa"/>
            <w:vAlign w:val="bottom"/>
          </w:tcPr>
          <w:p w14:paraId="522957CF" w14:textId="77777777" w:rsidR="00842FC4" w:rsidRPr="002F2961" w:rsidRDefault="00842FC4" w:rsidP="00160CBE">
            <w:pPr>
              <w:cnfStyle w:val="000000000000" w:firstRow="0" w:lastRow="0" w:firstColumn="0" w:lastColumn="0" w:oddVBand="0" w:evenVBand="0" w:oddHBand="0" w:evenHBand="0" w:firstRowFirstColumn="0" w:firstRowLastColumn="0" w:lastRowFirstColumn="0" w:lastRowLastColumn="0"/>
            </w:pPr>
            <w:r>
              <w:t>Tuberculosis</w:t>
            </w:r>
          </w:p>
        </w:tc>
      </w:tr>
      <w:tr w:rsidR="00842FC4" w14:paraId="451CDC57"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6E136B67" w14:textId="77777777" w:rsidR="00842FC4" w:rsidRPr="002F2961" w:rsidRDefault="00842FC4" w:rsidP="00160CBE">
            <w:r>
              <w:lastRenderedPageBreak/>
              <w:t>TEAE</w:t>
            </w:r>
          </w:p>
        </w:tc>
        <w:tc>
          <w:tcPr>
            <w:tcW w:w="6911" w:type="dxa"/>
            <w:vAlign w:val="bottom"/>
          </w:tcPr>
          <w:p w14:paraId="7A0C4E18" w14:textId="1C183BE8" w:rsidR="00842FC4" w:rsidRPr="002F2961" w:rsidRDefault="00842FC4" w:rsidP="00160CBE">
            <w:pPr>
              <w:cnfStyle w:val="000000000000" w:firstRow="0" w:lastRow="0" w:firstColumn="0" w:lastColumn="0" w:oddVBand="0" w:evenVBand="0" w:oddHBand="0" w:evenHBand="0" w:firstRowFirstColumn="0" w:firstRowLastColumn="0" w:lastRowFirstColumn="0" w:lastRowLastColumn="0"/>
            </w:pPr>
            <w:r>
              <w:t xml:space="preserve">Treatment </w:t>
            </w:r>
            <w:r w:rsidR="00E63FF8">
              <w:t>emergent adverse event</w:t>
            </w:r>
          </w:p>
        </w:tc>
      </w:tr>
      <w:tr w:rsidR="00842FC4" w14:paraId="0342FDF8"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7F3DC58D" w14:textId="77777777" w:rsidR="00842FC4" w:rsidRPr="002F2961" w:rsidRDefault="00842FC4" w:rsidP="00160CBE">
            <w:r w:rsidRPr="002F2961">
              <w:rPr>
                <w:szCs w:val="22"/>
              </w:rPr>
              <w:t>TNF</w:t>
            </w:r>
          </w:p>
        </w:tc>
        <w:tc>
          <w:tcPr>
            <w:tcW w:w="6911" w:type="dxa"/>
            <w:vAlign w:val="bottom"/>
          </w:tcPr>
          <w:p w14:paraId="7FD0AB27" w14:textId="1DA5F11E" w:rsidR="00842FC4" w:rsidRPr="002F2961" w:rsidRDefault="00842FC4" w:rsidP="00160CBE">
            <w:pPr>
              <w:cnfStyle w:val="000000000000" w:firstRow="0" w:lastRow="0" w:firstColumn="0" w:lastColumn="0" w:oddVBand="0" w:evenVBand="0" w:oddHBand="0" w:evenHBand="0" w:firstRowFirstColumn="0" w:firstRowLastColumn="0" w:lastRowFirstColumn="0" w:lastRowLastColumn="0"/>
            </w:pPr>
            <w:r>
              <w:rPr>
                <w:szCs w:val="22"/>
              </w:rPr>
              <w:t>Tumour</w:t>
            </w:r>
            <w:r w:rsidRPr="002F2961">
              <w:rPr>
                <w:szCs w:val="22"/>
              </w:rPr>
              <w:t xml:space="preserve"> </w:t>
            </w:r>
            <w:r w:rsidR="00E63FF8" w:rsidRPr="002F2961">
              <w:rPr>
                <w:szCs w:val="22"/>
              </w:rPr>
              <w:t>necrosis factor</w:t>
            </w:r>
          </w:p>
        </w:tc>
      </w:tr>
      <w:tr w:rsidR="00842FC4" w14:paraId="1F8D5B32" w14:textId="77777777" w:rsidTr="00842FC4">
        <w:tc>
          <w:tcPr>
            <w:cnfStyle w:val="001000000000" w:firstRow="0" w:lastRow="0" w:firstColumn="1" w:lastColumn="0" w:oddVBand="0" w:evenVBand="0" w:oddHBand="0" w:evenHBand="0" w:firstRowFirstColumn="0" w:firstRowLastColumn="0" w:lastRowFirstColumn="0" w:lastRowLastColumn="0"/>
            <w:tcW w:w="1890" w:type="dxa"/>
            <w:vAlign w:val="bottom"/>
          </w:tcPr>
          <w:p w14:paraId="3C15BDE1" w14:textId="77777777" w:rsidR="00842FC4" w:rsidRPr="002F2961" w:rsidRDefault="00842FC4" w:rsidP="00160CBE">
            <w:r>
              <w:t>ULN</w:t>
            </w:r>
          </w:p>
        </w:tc>
        <w:tc>
          <w:tcPr>
            <w:tcW w:w="6911" w:type="dxa"/>
            <w:vAlign w:val="bottom"/>
          </w:tcPr>
          <w:p w14:paraId="29222FB7" w14:textId="30C6DAE4" w:rsidR="00842FC4" w:rsidRPr="002F2961" w:rsidRDefault="00842FC4" w:rsidP="00160CBE">
            <w:pPr>
              <w:cnfStyle w:val="000000000000" w:firstRow="0" w:lastRow="0" w:firstColumn="0" w:lastColumn="0" w:oddVBand="0" w:evenVBand="0" w:oddHBand="0" w:evenHBand="0" w:firstRowFirstColumn="0" w:firstRowLastColumn="0" w:lastRowFirstColumn="0" w:lastRowLastColumn="0"/>
            </w:pPr>
            <w:r>
              <w:t xml:space="preserve">Upper </w:t>
            </w:r>
            <w:r w:rsidR="00E63FF8">
              <w:t>limit of normal</w:t>
            </w:r>
          </w:p>
        </w:tc>
      </w:tr>
    </w:tbl>
    <w:p w14:paraId="0CF04D3B" w14:textId="77777777" w:rsidR="0094614A" w:rsidRDefault="0094614A" w:rsidP="002B2E36">
      <w:pPr>
        <w:pStyle w:val="Heading2"/>
        <w:pageBreakBefore/>
        <w:spacing w:before="0"/>
        <w:rPr>
          <w:lang w:eastAsia="en-AU"/>
        </w:rPr>
      </w:pPr>
      <w:bookmarkStart w:id="8" w:name="_Toc351718900"/>
      <w:bookmarkStart w:id="9" w:name="_Toc355338635"/>
      <w:bookmarkStart w:id="10" w:name="_Toc519848419"/>
      <w:r>
        <w:rPr>
          <w:lang w:eastAsia="en-AU"/>
        </w:rPr>
        <w:lastRenderedPageBreak/>
        <w:t>Introduction</w:t>
      </w:r>
      <w:bookmarkEnd w:id="10"/>
    </w:p>
    <w:p w14:paraId="79CF8F85" w14:textId="1C872E07" w:rsidR="00842FC4" w:rsidRPr="00842FC4" w:rsidRDefault="00842FC4" w:rsidP="00842FC4">
      <w:r w:rsidRPr="00842FC4">
        <w:t xml:space="preserve">This is a full submission requesting the registration of new chemical entity in Australia, sarilumab (SAR), which is a monoclonal antibody blocking the activity of </w:t>
      </w:r>
      <w:r w:rsidR="00194D27">
        <w:t>i</w:t>
      </w:r>
      <w:r w:rsidRPr="00842FC4">
        <w:t>nterleukin (IL)-6. The sponsor application letter is dated 6 January 2016. The development program for SAR has been guided by the European Medicines Agen</w:t>
      </w:r>
      <w:r w:rsidR="004D78CD">
        <w:t>cy (EMA) and</w:t>
      </w:r>
      <w:r w:rsidR="00194D27">
        <w:t xml:space="preserve"> the United States (US)</w:t>
      </w:r>
      <w:r w:rsidR="004D78CD">
        <w:t xml:space="preserve"> </w:t>
      </w:r>
      <w:r w:rsidR="00194D27">
        <w:t>Food and Drug Administration (</w:t>
      </w:r>
      <w:r w:rsidR="004D78CD">
        <w:t>FDA</w:t>
      </w:r>
      <w:r w:rsidR="00194D27">
        <w:t>)</w:t>
      </w:r>
      <w:r w:rsidR="004D78CD">
        <w:t xml:space="preserve"> requirements.</w:t>
      </w:r>
    </w:p>
    <w:p w14:paraId="2AC1DF46" w14:textId="77777777" w:rsidR="004D78CD" w:rsidRDefault="00842FC4" w:rsidP="00842FC4">
      <w:r w:rsidRPr="00842FC4">
        <w:t xml:space="preserve">The submission contains a very large amount of clinical data including 2 pivotal </w:t>
      </w:r>
      <w:r w:rsidR="004D78CD">
        <w:t>Phase III</w:t>
      </w:r>
      <w:r w:rsidRPr="00842FC4">
        <w:t xml:space="preserve"> trials (Part B of Study EFC11072 and St</w:t>
      </w:r>
      <w:r w:rsidR="004D78CD">
        <w:t xml:space="preserve">udy EFC10832) conducted over 24 to </w:t>
      </w:r>
      <w:r w:rsidRPr="00842FC4">
        <w:t xml:space="preserve">52 weeks, which evaluated the efficacy and safety of SAR for the treatment of active RA despite prior treatment with conventional DMARD therapy and/or anti-TNF drugs. Supporting efficacy and safety data is provided by a </w:t>
      </w:r>
      <w:r w:rsidR="00A343A3">
        <w:t>dose finding</w:t>
      </w:r>
      <w:r w:rsidRPr="00842FC4">
        <w:t xml:space="preserve"> </w:t>
      </w:r>
      <w:r w:rsidR="004D78CD">
        <w:t>Phase II</w:t>
      </w:r>
      <w:r w:rsidRPr="00842FC4">
        <w:t xml:space="preserve"> study (Part A of Study EFC11072) as well as 1 </w:t>
      </w:r>
      <w:r w:rsidR="004D78CD">
        <w:t>long term</w:t>
      </w:r>
      <w:r w:rsidRPr="00842FC4">
        <w:t xml:space="preserve">, </w:t>
      </w:r>
      <w:r w:rsidR="004D78CD">
        <w:t>open label</w:t>
      </w:r>
      <w:r w:rsidRPr="00842FC4">
        <w:t xml:space="preserve"> extension trial (Study LTS11210), which included subjects who had continued SAR treatment after involvement in the preceding studies. Additional supporting data is provided by another 3 </w:t>
      </w:r>
      <w:r w:rsidR="004D78CD">
        <w:t>Phase III</w:t>
      </w:r>
      <w:r w:rsidRPr="00842FC4">
        <w:t xml:space="preserve"> trials (Studies SFY13370, MSC12665 and EFC 11574) and 9 clinical pharmacology studies (8 of which have been conducted in adult patients with RA). As SAR has not been approved for use anywhere in the world at present, no post-marketing experience is available</w:t>
      </w:r>
      <w:r w:rsidR="004D78CD">
        <w:t>.</w:t>
      </w:r>
    </w:p>
    <w:p w14:paraId="6A9F40F1" w14:textId="08FD9292" w:rsidR="00842FC4" w:rsidRPr="00842FC4" w:rsidRDefault="00842FC4" w:rsidP="00842FC4">
      <w:r w:rsidRPr="00842FC4">
        <w:t>SAR is an immunosuppressant medication (</w:t>
      </w:r>
      <w:r w:rsidR="00194D27">
        <w:t xml:space="preserve">the </w:t>
      </w:r>
      <w:r w:rsidRPr="00842FC4">
        <w:t>ATC code</w:t>
      </w:r>
      <w:r w:rsidR="00194D27">
        <w:t xml:space="preserve"> is</w:t>
      </w:r>
      <w:r w:rsidRPr="00842FC4">
        <w:t xml:space="preserve"> yet to be assigned). It is a recombinant human monoclonal antibody, which binds with high affinity to the alpha subunit complex of the pro-inflammatory cytokine, IL-6, thereby neutralising its biological effects.</w:t>
      </w:r>
    </w:p>
    <w:p w14:paraId="7A8B4672" w14:textId="77777777" w:rsidR="00842FC4" w:rsidRPr="00842FC4" w:rsidRDefault="00842FC4" w:rsidP="00842FC4">
      <w:r w:rsidRPr="00842FC4">
        <w:t>The proposed treatment indication in this application is:</w:t>
      </w:r>
    </w:p>
    <w:p w14:paraId="4C1A8F01" w14:textId="4A7E8024" w:rsidR="00842FC4" w:rsidRPr="00842FC4" w:rsidRDefault="00194D27" w:rsidP="004D78CD">
      <w:pPr>
        <w:ind w:left="720"/>
      </w:pPr>
      <w:r>
        <w:t>‘</w:t>
      </w:r>
      <w:r w:rsidR="00842FC4" w:rsidRPr="004D78CD">
        <w:rPr>
          <w:i/>
        </w:rPr>
        <w:t>Kevzara in combination with non-biologic Disease-Modifying Anti-Rheumatic Drugs (DMARDs) is indicated for the treatment of moderate to severe Rheumatoid Arthritis in adult patients who have had an inadequate response or intolerance to one or more DMARDs</w:t>
      </w:r>
      <w:r>
        <w:t>’</w:t>
      </w:r>
      <w:r w:rsidR="00842FC4" w:rsidRPr="00842FC4">
        <w:t>.</w:t>
      </w:r>
    </w:p>
    <w:p w14:paraId="31ED027D" w14:textId="77777777" w:rsidR="00842FC4" w:rsidRDefault="00842FC4" w:rsidP="00842FC4">
      <w:r w:rsidRPr="00842FC4">
        <w:t>The sponsor is requesting an indication for combination use only (</w:t>
      </w:r>
      <w:r w:rsidR="004D78CD">
        <w:t>that is</w:t>
      </w:r>
      <w:r w:rsidRPr="00842FC4">
        <w:t xml:space="preserve"> SAR with concurrent, non-biological DMARDs) in this submission, which is narrower than that initially proposed in the pre-submission planning documents. The applicant initially requested SAR monotherapy use in adult patients with active RA, as well as the proposed combination treatment option, but has withdrawn the monotherapy use request at this stage. The sponsor is considering another separate submission in Australia in 2017 for monotherapy use, pending the results of an additional trial.</w:t>
      </w:r>
    </w:p>
    <w:p w14:paraId="6C85492D" w14:textId="77777777" w:rsidR="00842FC4" w:rsidRPr="00842FC4" w:rsidRDefault="00842FC4" w:rsidP="00736606">
      <w:pPr>
        <w:pStyle w:val="Heading3"/>
      </w:pPr>
      <w:bookmarkStart w:id="11" w:name="_Toc272414597"/>
      <w:bookmarkStart w:id="12" w:name="_Toc290888445"/>
      <w:bookmarkStart w:id="13" w:name="_Toc464131483"/>
      <w:bookmarkStart w:id="14" w:name="_Toc519848420"/>
      <w:r w:rsidRPr="00842FC4">
        <w:t xml:space="preserve">Dosage </w:t>
      </w:r>
      <w:r w:rsidRPr="00736606">
        <w:t>forms</w:t>
      </w:r>
      <w:r w:rsidRPr="00842FC4">
        <w:t xml:space="preserve"> and strengths</w:t>
      </w:r>
      <w:bookmarkEnd w:id="11"/>
      <w:bookmarkEnd w:id="12"/>
      <w:bookmarkEnd w:id="13"/>
      <w:bookmarkEnd w:id="14"/>
    </w:p>
    <w:p w14:paraId="50554666" w14:textId="2ED87E12" w:rsidR="00842FC4" w:rsidRPr="00842FC4" w:rsidRDefault="00842FC4" w:rsidP="00842FC4">
      <w:r w:rsidRPr="00842FC4">
        <w:t xml:space="preserve">The submission proposes registration of the following </w:t>
      </w:r>
      <w:r w:rsidR="004D78CD">
        <w:t>dosage forms and strengths: 150 </w:t>
      </w:r>
      <w:r w:rsidRPr="00842FC4">
        <w:t>mg/1.14 mL and 200 mg/1.14 mL solution for injection (presented in pre</w:t>
      </w:r>
      <w:r w:rsidR="00194D27">
        <w:t>-</w:t>
      </w:r>
      <w:r w:rsidRPr="00842FC4">
        <w:t>filled syringes)</w:t>
      </w:r>
      <w:r w:rsidR="004D78CD">
        <w:t>.</w:t>
      </w:r>
    </w:p>
    <w:p w14:paraId="727A850D" w14:textId="77777777" w:rsidR="00842FC4" w:rsidRPr="00842FC4" w:rsidRDefault="00842FC4" w:rsidP="00736606">
      <w:pPr>
        <w:pStyle w:val="Heading3"/>
      </w:pPr>
      <w:bookmarkStart w:id="15" w:name="_Toc272414598"/>
      <w:bookmarkStart w:id="16" w:name="_Toc290888446"/>
      <w:bookmarkStart w:id="17" w:name="_Toc464131484"/>
      <w:bookmarkStart w:id="18" w:name="_Toc519848421"/>
      <w:r w:rsidRPr="00842FC4">
        <w:t>Dosage and administration</w:t>
      </w:r>
      <w:bookmarkEnd w:id="15"/>
      <w:bookmarkEnd w:id="16"/>
      <w:bookmarkEnd w:id="17"/>
      <w:bookmarkEnd w:id="18"/>
    </w:p>
    <w:p w14:paraId="614F474C" w14:textId="426956A6" w:rsidR="00842FC4" w:rsidRPr="00842FC4" w:rsidRDefault="00842FC4" w:rsidP="00842FC4">
      <w:r w:rsidRPr="00842FC4">
        <w:t>The proposed dose of SAR is 200 mg, once every 2 weeks</w:t>
      </w:r>
      <w:r w:rsidR="00194D27">
        <w:t xml:space="preserve"> (q2w)</w:t>
      </w:r>
      <w:r w:rsidRPr="00842FC4">
        <w:t>, given by subcutaneous (SC) injection.</w:t>
      </w:r>
    </w:p>
    <w:p w14:paraId="396F06F3" w14:textId="25646BCE" w:rsidR="00842FC4" w:rsidRPr="00842FC4" w:rsidRDefault="00842FC4" w:rsidP="00842FC4">
      <w:r w:rsidRPr="00842FC4">
        <w:t>It is recommended that the dose of SAR be reduced from 200 mg every fortnight to 150 mg every 2 weeks for the management of neutrop</w:t>
      </w:r>
      <w:r w:rsidR="00194D27">
        <w:t>a</w:t>
      </w:r>
      <w:r w:rsidRPr="00842FC4">
        <w:t>enia, thrombocytop</w:t>
      </w:r>
      <w:r w:rsidR="00194D27">
        <w:t>a</w:t>
      </w:r>
      <w:r w:rsidRPr="00842FC4">
        <w:t>enia or elevated liver enzyme tests</w:t>
      </w:r>
      <w:r w:rsidR="004D78CD">
        <w:t>.</w:t>
      </w:r>
    </w:p>
    <w:p w14:paraId="736A7808" w14:textId="77777777" w:rsidR="00586F98" w:rsidRDefault="00586F98" w:rsidP="006B4C50">
      <w:pPr>
        <w:pStyle w:val="Heading2"/>
      </w:pPr>
      <w:bookmarkStart w:id="19" w:name="_Toc519848422"/>
      <w:r w:rsidRPr="0094614A">
        <w:lastRenderedPageBreak/>
        <w:t>Clinical rationale</w:t>
      </w:r>
      <w:bookmarkEnd w:id="19"/>
    </w:p>
    <w:p w14:paraId="568BD05A" w14:textId="77777777" w:rsidR="00842FC4" w:rsidRPr="00842FC4" w:rsidRDefault="00842FC4" w:rsidP="00842FC4">
      <w:r w:rsidRPr="00842FC4">
        <w:t>Rheumatoid arthritis (RA) is a chronic inflammatory autoimmune disease characterised by polyarticular inflammatory synovitis, which is associated with cartilage breakdown, bony erosion and ultimately loss of function of the affected joints. Systemic involvement may also occur, and there is an increased risk of atherosclerosis and lymphoma over time, particularly if the condition is insufficiently controlled.</w:t>
      </w:r>
      <w:r w:rsidR="004D78CD">
        <w:t xml:space="preserve"> </w:t>
      </w:r>
      <w:r w:rsidRPr="00842FC4">
        <w:t xml:space="preserve">The over-production of pro-inflammatory cytokines such as </w:t>
      </w:r>
      <w:r w:rsidR="00D16242" w:rsidRPr="00842FC4">
        <w:t xml:space="preserve">tumour necrosis factor </w:t>
      </w:r>
      <w:r w:rsidRPr="00842FC4">
        <w:t xml:space="preserve">(TNF) and IL-6 in the joints and sera of patients with RA are important mediators in the disease pathogenesis primarily via activation of </w:t>
      </w:r>
      <w:r w:rsidR="00D16242">
        <w:t>T lymphocytes</w:t>
      </w:r>
      <w:r w:rsidRPr="00842FC4">
        <w:t xml:space="preserve">, but also through effects on </w:t>
      </w:r>
      <w:r w:rsidR="00D16242">
        <w:t>B lymphocytes</w:t>
      </w:r>
      <w:r w:rsidRPr="00842FC4">
        <w:t>. IL-6 can activate hepatocytes to produce acute phase reactants, such as C-</w:t>
      </w:r>
      <w:r w:rsidR="00D16242" w:rsidRPr="00842FC4">
        <w:t xml:space="preserve">reactive protein </w:t>
      </w:r>
      <w:r w:rsidRPr="00842FC4">
        <w:t xml:space="preserve">(CRP). SAR is a recombinant humanised monoclonal antibody that binds specifically to, and inhibits signalling mediated by both soluble and </w:t>
      </w:r>
      <w:r w:rsidR="00D16242">
        <w:t>membrane bound</w:t>
      </w:r>
      <w:r w:rsidRPr="00842FC4">
        <w:t xml:space="preserve"> IL-6 receptors. As such, SAR treatment inhibits the pro-inflammatory functions of IL-6 at both the intra-articular and systemic level.</w:t>
      </w:r>
    </w:p>
    <w:p w14:paraId="4CC4F9DE" w14:textId="0912855C" w:rsidR="004D78CD" w:rsidRDefault="00842FC4" w:rsidP="00842FC4">
      <w:r w:rsidRPr="00842FC4">
        <w:t xml:space="preserve">RA is a heterogeneous condition in terms of clinical presentation, natural history and drug responsiveness. Published evidence and current guidelines for the treatment of RA emphasise the importance of achieving clinical remission, or at least low disease activity, as both of these states are associated with a favourable long term prognosis. Conventional synthetic DMARDs (in particular, methotrexate </w:t>
      </w:r>
      <w:r w:rsidR="00194D27">
        <w:t>(</w:t>
      </w:r>
      <w:r w:rsidRPr="00842FC4">
        <w:t>MTX</w:t>
      </w:r>
      <w:r w:rsidR="00194D27">
        <w:t>)</w:t>
      </w:r>
      <w:r w:rsidRPr="00842FC4">
        <w:t>), alone or in combination with each other, are the initial recommended treatments for RA. Observational studies and meta-analyses of DMARD treatment efficacy and tolerability demonstrate highly variable outcomes to single and combination DMARD therapy over time. In 10</w:t>
      </w:r>
      <w:r w:rsidR="004D78CD">
        <w:t xml:space="preserve"> year</w:t>
      </w:r>
      <w:r w:rsidRPr="00842FC4">
        <w:t xml:space="preserve"> follow-up studies, 25% of patients with RA had to discontinue conventional DMARD treatment due to insufficient therapeutic benefit and 20% discontinued treatment due to adverse effects. Biological DMARDs, either as add-on or single drug therapy, is the next recommended line of therapy in active RA after conventional synthetic DMARD failure or intolerability. While anti-TNF drugs and cytokine modulators such as abatacept have been shown to demonstrate significant efficacy in treating active RA, a substantial proportion of patients are not achieving meaningful American College of Rheumatology (ACR) responses. Based on the current literature for anti-TNF therapies, </w:t>
      </w:r>
      <w:r w:rsidRPr="00736606">
        <w:t>ACR</w:t>
      </w:r>
      <w:r w:rsidR="004D78CD" w:rsidRPr="00736606">
        <w:t>20</w:t>
      </w:r>
      <w:r w:rsidR="004D78CD">
        <w:t xml:space="preserve"> response rates range from 50 to </w:t>
      </w:r>
      <w:r w:rsidRPr="00842FC4">
        <w:t xml:space="preserve">65% </w:t>
      </w:r>
      <w:r w:rsidR="004D78CD">
        <w:t xml:space="preserve">and ACR50 response rates are 35 to </w:t>
      </w:r>
      <w:r w:rsidRPr="00842FC4">
        <w:t>50%. In Australia, an alternative biological therapy (tocilizumab) targeting IL-6 signalling is already approved for use in RA. Tocilizumab was first approved in Australia in May 2009 for the treatment of moderate to severe active RA in adult patients. In October 2010, the treatment indication was extended to include inhibition of the progression of joint damage, as measured by X-ray, when given in combination with MTX. In October 2011 and February 2014 (respectively), the indication for tocilizumab was further extended to include systemic, and thereafter, polyarticular juvenile idiopathic arthritis in patients aged 2 years and older. In this submission, the sponsor claims for there is an unmet need for additional therapies for active, treatment refractory RA in adult patients. In particular, SAR is a monoclonal antibody therapy that has a different mechanism of action to conventional DMARDs and the most commonly used biological DMARDs, anti-TNF drugs</w:t>
      </w:r>
      <w:r w:rsidR="004D78CD">
        <w:t>.</w:t>
      </w:r>
    </w:p>
    <w:p w14:paraId="3BB28613" w14:textId="77777777" w:rsidR="00842FC4" w:rsidRPr="00842FC4" w:rsidRDefault="00842FC4" w:rsidP="00736606">
      <w:pPr>
        <w:pStyle w:val="Heading3"/>
      </w:pPr>
      <w:bookmarkStart w:id="20" w:name="_Toc272414602"/>
      <w:bookmarkStart w:id="21" w:name="_Toc290888450"/>
      <w:bookmarkStart w:id="22" w:name="_Toc464131488"/>
      <w:bookmarkStart w:id="23" w:name="_Toc519848423"/>
      <w:r w:rsidRPr="00736606">
        <w:t>Formulation</w:t>
      </w:r>
      <w:bookmarkEnd w:id="20"/>
      <w:bookmarkEnd w:id="21"/>
      <w:bookmarkEnd w:id="22"/>
      <w:bookmarkEnd w:id="23"/>
    </w:p>
    <w:p w14:paraId="4ACE6B3B" w14:textId="77777777" w:rsidR="00842FC4" w:rsidRPr="00842FC4" w:rsidRDefault="00842FC4" w:rsidP="00736606">
      <w:pPr>
        <w:pStyle w:val="Heading4"/>
      </w:pPr>
      <w:bookmarkStart w:id="24" w:name="_Toc272414603"/>
      <w:bookmarkStart w:id="25" w:name="_Toc290888451"/>
      <w:bookmarkStart w:id="26" w:name="_Toc464131489"/>
      <w:r w:rsidRPr="00842FC4">
        <w:t xml:space="preserve">Formulation </w:t>
      </w:r>
      <w:r w:rsidRPr="00736606">
        <w:t>development</w:t>
      </w:r>
      <w:bookmarkEnd w:id="24"/>
      <w:bookmarkEnd w:id="25"/>
      <w:bookmarkEnd w:id="26"/>
    </w:p>
    <w:p w14:paraId="6BF49896" w14:textId="77777777" w:rsidR="004D78CD" w:rsidRDefault="00842FC4" w:rsidP="00842FC4">
      <w:r>
        <w:t xml:space="preserve">SAR is </w:t>
      </w:r>
      <w:r w:rsidRPr="00762150">
        <w:t xml:space="preserve">derived from a </w:t>
      </w:r>
      <w:r>
        <w:t>Chinese hamster ovary</w:t>
      </w:r>
      <w:r w:rsidRPr="00762150">
        <w:t xml:space="preserve"> cell line </w:t>
      </w:r>
      <w:r>
        <w:t xml:space="preserve">suspension </w:t>
      </w:r>
      <w:r w:rsidRPr="00762150">
        <w:t>e</w:t>
      </w:r>
      <w:r>
        <w:t>ngineered to express the substance</w:t>
      </w:r>
      <w:r w:rsidRPr="00762150">
        <w:t xml:space="preserve">. </w:t>
      </w:r>
      <w:r>
        <w:t xml:space="preserve">Three production processes were involved in the clinical development program for SAR. The initial clinical formulation (known as C1P1F1) was used in the </w:t>
      </w:r>
      <w:r w:rsidR="004D78CD">
        <w:t>Phase I</w:t>
      </w:r>
      <w:r>
        <w:t xml:space="preserve"> clinical studies. T</w:t>
      </w:r>
      <w:r w:rsidRPr="00762150">
        <w:t xml:space="preserve">o achieve the </w:t>
      </w:r>
      <w:r>
        <w:t xml:space="preserve">larger </w:t>
      </w:r>
      <w:r w:rsidRPr="00762150">
        <w:t xml:space="preserve">quantities of </w:t>
      </w:r>
      <w:r>
        <w:t>drug</w:t>
      </w:r>
      <w:r w:rsidRPr="00762150">
        <w:t xml:space="preserve"> needed for later phase clinical trials</w:t>
      </w:r>
      <w:r>
        <w:t xml:space="preserve">, the second production process resulted in the production of a high concentration liquid formulation (C1P2F2), which was used in the </w:t>
      </w:r>
      <w:r w:rsidR="004D78CD">
        <w:t>dose ranging</w:t>
      </w:r>
      <w:r>
        <w:t xml:space="preserve"> </w:t>
      </w:r>
      <w:r w:rsidR="004D78CD">
        <w:t>Phase II</w:t>
      </w:r>
      <w:r>
        <w:t xml:space="preserve"> trial, as well as part of the </w:t>
      </w:r>
      <w:r w:rsidR="004D78CD">
        <w:t>long term</w:t>
      </w:r>
      <w:r>
        <w:t xml:space="preserve"> </w:t>
      </w:r>
      <w:r>
        <w:lastRenderedPageBreak/>
        <w:t>safety study</w:t>
      </w:r>
      <w:r w:rsidRPr="00762150">
        <w:t xml:space="preserve">. </w:t>
      </w:r>
      <w:r>
        <w:t>T</w:t>
      </w:r>
      <w:r w:rsidRPr="00762150">
        <w:t>he</w:t>
      </w:r>
      <w:r>
        <w:t xml:space="preserve"> </w:t>
      </w:r>
      <w:r w:rsidRPr="00762150">
        <w:t>t</w:t>
      </w:r>
      <w:r>
        <w:t>hird production ch</w:t>
      </w:r>
      <w:r w:rsidRPr="00762150">
        <w:t>a</w:t>
      </w:r>
      <w:r>
        <w:t>ng</w:t>
      </w:r>
      <w:r w:rsidRPr="00762150">
        <w:t>e</w:t>
      </w:r>
      <w:r>
        <w:t xml:space="preserve"> further increased drug production (</w:t>
      </w:r>
      <w:r w:rsidR="004D78CD">
        <w:t>that is</w:t>
      </w:r>
      <w:r>
        <w:t xml:space="preserve"> </w:t>
      </w:r>
      <w:r w:rsidRPr="00762150">
        <w:t>scale-up</w:t>
      </w:r>
      <w:r>
        <w:t>), plus reduced the viscosity of the concentrated drug substance</w:t>
      </w:r>
      <w:r w:rsidR="004D78CD">
        <w:t>.</w:t>
      </w:r>
    </w:p>
    <w:p w14:paraId="218EB0C0" w14:textId="79083D55" w:rsidR="004D78CD" w:rsidRDefault="00842FC4" w:rsidP="00842FC4">
      <w:r w:rsidRPr="00842FC4">
        <w:t xml:space="preserve">This drug product, known as C2P1F3, was used in the pivotal </w:t>
      </w:r>
      <w:r w:rsidR="004D78CD">
        <w:t>Phase III</w:t>
      </w:r>
      <w:r w:rsidRPr="00842FC4">
        <w:t xml:space="preserve"> studies and is the planned </w:t>
      </w:r>
      <w:r w:rsidR="00194D27">
        <w:t>‘</w:t>
      </w:r>
      <w:r w:rsidRPr="00842FC4">
        <w:t>to-be-marketed</w:t>
      </w:r>
      <w:r w:rsidR="00194D27">
        <w:t>’</w:t>
      </w:r>
      <w:r w:rsidRPr="00842FC4">
        <w:t xml:space="preserve"> drug. Another formulation (C1P2F3) was produced as a possible alternative to the C2P1F3 drug product, but was not used in the </w:t>
      </w:r>
      <w:r w:rsidR="004D78CD">
        <w:t>Phase III studies.</w:t>
      </w:r>
    </w:p>
    <w:p w14:paraId="7A1F6BC5" w14:textId="77777777" w:rsidR="00842FC4" w:rsidRPr="00842FC4" w:rsidRDefault="00842FC4" w:rsidP="00842FC4">
      <w:r w:rsidRPr="00842FC4">
        <w:t xml:space="preserve">The safety and pharmacokinetic (PK) comparability of the C2P1F3 drug product used in the </w:t>
      </w:r>
      <w:r w:rsidR="004D78CD">
        <w:t xml:space="preserve">Phase III </w:t>
      </w:r>
      <w:r w:rsidRPr="00842FC4">
        <w:t xml:space="preserve">studies with the C1P2F2 drug formulation used in the </w:t>
      </w:r>
      <w:r w:rsidR="004D78CD">
        <w:t>Phase II</w:t>
      </w:r>
      <w:r w:rsidRPr="00842FC4">
        <w:t xml:space="preserve"> </w:t>
      </w:r>
      <w:r w:rsidR="004D78CD">
        <w:t>dose ranging</w:t>
      </w:r>
      <w:r w:rsidRPr="00842FC4">
        <w:t xml:space="preserve"> trial (Part B of Study EFC11072) were evaluated in Study TDU11373 conducted in healthy subjects and also in Study PKM12058, which was conducted in patients with RA. In addition, Study EFC11072 had a seamless </w:t>
      </w:r>
      <w:r w:rsidR="004D78CD">
        <w:t>Phase II</w:t>
      </w:r>
      <w:r w:rsidRPr="00842FC4">
        <w:t>-</w:t>
      </w:r>
      <w:r w:rsidR="004D78CD">
        <w:t>III</w:t>
      </w:r>
      <w:r w:rsidRPr="00842FC4">
        <w:t xml:space="preserve"> study design in which patients in Part A (</w:t>
      </w:r>
      <w:r w:rsidR="004D78CD">
        <w:t>Phase II</w:t>
      </w:r>
      <w:r w:rsidRPr="00842FC4">
        <w:t>) received the C1P2F2 drug product, and patients in Part B (</w:t>
      </w:r>
      <w:r w:rsidR="004D78CD">
        <w:t>Phase III</w:t>
      </w:r>
      <w:r w:rsidRPr="00842FC4">
        <w:t>) received the C2P1F3 drug product. Furthermore, the safety and PK comparability for SAR administered using an auto-injector device (AID) or a pre-filled syringe (PFS) was evaluated in Study MSC12665</w:t>
      </w:r>
      <w:r w:rsidR="004D78CD">
        <w:t>.</w:t>
      </w:r>
    </w:p>
    <w:p w14:paraId="22766359" w14:textId="77777777" w:rsidR="00586F98" w:rsidRDefault="00586F98" w:rsidP="00736606">
      <w:pPr>
        <w:pStyle w:val="Heading2"/>
        <w:rPr>
          <w:lang w:eastAsia="en-AU"/>
        </w:rPr>
      </w:pPr>
      <w:bookmarkStart w:id="27" w:name="_Toc519848424"/>
      <w:r>
        <w:rPr>
          <w:lang w:eastAsia="en-AU"/>
        </w:rPr>
        <w:t>Contents of the clinical dossier</w:t>
      </w:r>
      <w:bookmarkEnd w:id="8"/>
      <w:bookmarkEnd w:id="9"/>
      <w:bookmarkEnd w:id="27"/>
    </w:p>
    <w:p w14:paraId="32CE0DB2" w14:textId="77777777" w:rsidR="00586F98" w:rsidRDefault="00586F98" w:rsidP="00736606">
      <w:pPr>
        <w:pStyle w:val="Heading3"/>
      </w:pPr>
      <w:bookmarkStart w:id="28" w:name="_Toc519848425"/>
      <w:r>
        <w:t>Scope of the clinical dossier</w:t>
      </w:r>
      <w:bookmarkEnd w:id="28"/>
    </w:p>
    <w:p w14:paraId="25F040A1" w14:textId="77777777" w:rsidR="00842FC4" w:rsidRPr="00842FC4" w:rsidRDefault="00842FC4" w:rsidP="00842FC4">
      <w:r w:rsidRPr="00842FC4">
        <w:t>The clinical dosser documented a full clinical development program of pharmacology, efficacy and safety studies for SAR in adult patients with RA and contained the following clinical information:</w:t>
      </w:r>
    </w:p>
    <w:p w14:paraId="0CEC2799" w14:textId="47E6892F" w:rsidR="00842FC4" w:rsidRPr="00842FC4" w:rsidRDefault="00842FC4" w:rsidP="00160CBE">
      <w:pPr>
        <w:pStyle w:val="ListBullet"/>
      </w:pPr>
      <w:r w:rsidRPr="00842FC4">
        <w:t>9 clinical pharmacology studies, including 8 that provided pharmacokinetic (PK) data and 1</w:t>
      </w:r>
      <w:r w:rsidR="008351CC">
        <w:t> </w:t>
      </w:r>
      <w:r w:rsidRPr="00842FC4">
        <w:t>that provided pharmacodynamic (PD) data.</w:t>
      </w:r>
    </w:p>
    <w:p w14:paraId="5AB7DA85" w14:textId="77777777" w:rsidR="00842FC4" w:rsidRPr="00842FC4" w:rsidRDefault="00842FC4" w:rsidP="00160CBE">
      <w:pPr>
        <w:pStyle w:val="ListBullet"/>
      </w:pPr>
      <w:r w:rsidRPr="00842FC4">
        <w:t>4 population pharmacokinetic analyses of pooled RA patient data (POH0428, POH0455, POH0429 and POH0446).</w:t>
      </w:r>
    </w:p>
    <w:p w14:paraId="5A46F429" w14:textId="77777777" w:rsidR="00842FC4" w:rsidRPr="00842FC4" w:rsidRDefault="00842FC4" w:rsidP="00160CBE">
      <w:pPr>
        <w:pStyle w:val="ListBullet"/>
      </w:pPr>
      <w:r w:rsidRPr="00842FC4">
        <w:t>2 pivotal efficacy/safety studies (Part B of Study EFC11072 and Study EFC10832).</w:t>
      </w:r>
    </w:p>
    <w:p w14:paraId="6F11AC8C" w14:textId="77777777" w:rsidR="00842FC4" w:rsidRPr="00842FC4" w:rsidRDefault="00842FC4" w:rsidP="00160CBE">
      <w:pPr>
        <w:pStyle w:val="ListBullet"/>
      </w:pPr>
      <w:r w:rsidRPr="00842FC4">
        <w:t xml:space="preserve">1 </w:t>
      </w:r>
      <w:r w:rsidR="00A343A3">
        <w:t>dose finding</w:t>
      </w:r>
      <w:r w:rsidRPr="00842FC4">
        <w:t xml:space="preserve"> study (Part A of Study EFC11072).</w:t>
      </w:r>
    </w:p>
    <w:p w14:paraId="14156708" w14:textId="19B1F68D" w:rsidR="00842FC4" w:rsidRPr="00842FC4" w:rsidRDefault="00842FC4" w:rsidP="00160CBE">
      <w:pPr>
        <w:pStyle w:val="ListBullet"/>
      </w:pPr>
      <w:r w:rsidRPr="00842FC4">
        <w:t xml:space="preserve">5 other efficacy/safety studies were considered as part of this submission including </w:t>
      </w:r>
      <w:r w:rsidR="00C01454">
        <w:t xml:space="preserve">Studies </w:t>
      </w:r>
      <w:r w:rsidRPr="00842FC4">
        <w:t xml:space="preserve">LTS11210 (an ongoing, </w:t>
      </w:r>
      <w:r w:rsidR="004D78CD">
        <w:t>long term</w:t>
      </w:r>
      <w:r w:rsidRPr="00842FC4">
        <w:t xml:space="preserve"> safety study), SFY13370 (safety calibrator trial of SAR versus tocilizumab), EFC11574 (</w:t>
      </w:r>
      <w:r w:rsidR="004D78CD">
        <w:t>Phase III</w:t>
      </w:r>
      <w:r w:rsidRPr="00842FC4">
        <w:t xml:space="preserve"> trial of SAR + MTX versus etanercept + MTX in adult patients with RA who had an inadequate response t</w:t>
      </w:r>
      <w:r w:rsidR="004D78CD">
        <w:t>o 4 months of adalimumab + MTX;</w:t>
      </w:r>
      <w:r w:rsidRPr="00842FC4">
        <w:t xml:space="preserve"> study was prematurely ceased), MSC12665 (study supporting use of auto-injector device) and ACT11575 (</w:t>
      </w:r>
      <w:r w:rsidR="004D78CD">
        <w:t>Phase II</w:t>
      </w:r>
      <w:r w:rsidRPr="00842FC4">
        <w:t xml:space="preserve"> trial of SAR + MTX versus golimumab +</w:t>
      </w:r>
      <w:r w:rsidR="004D78CD">
        <w:t xml:space="preserve"> MTX in adult patients with RA;</w:t>
      </w:r>
      <w:r w:rsidRPr="00842FC4">
        <w:t xml:space="preserve"> study was prematurely ceased).</w:t>
      </w:r>
    </w:p>
    <w:p w14:paraId="141E4E3D" w14:textId="77777777" w:rsidR="004D78CD" w:rsidRDefault="00842FC4" w:rsidP="00160CBE">
      <w:pPr>
        <w:pStyle w:val="ListBullet"/>
      </w:pPr>
      <w:r w:rsidRPr="00842FC4">
        <w:t>No pooled analyses or meta-analyses of efficacy were provided, but integrated summaries of efficacy and safety across the pivotal trials were included (examining for outcome consistency and subgroup factors)</w:t>
      </w:r>
      <w:r w:rsidR="004D78CD">
        <w:t>.</w:t>
      </w:r>
    </w:p>
    <w:p w14:paraId="69AC33B4" w14:textId="77777777" w:rsidR="00842FC4" w:rsidRPr="00842FC4" w:rsidRDefault="00842FC4" w:rsidP="00160CBE">
      <w:pPr>
        <w:pStyle w:val="ListBullet"/>
      </w:pPr>
      <w:r w:rsidRPr="00842FC4">
        <w:t xml:space="preserve">Study EFC13752 (an </w:t>
      </w:r>
      <w:r w:rsidR="004D78CD">
        <w:t>open label</w:t>
      </w:r>
      <w:r w:rsidRPr="00842FC4">
        <w:t xml:space="preserve"> immunogenicity and safety trial of SAR in adult patients with active RA) was included in the sponsor submission, but not considered by the evaluator as the current application is for SAR therapy in combination with non-biologic DMARD.</w:t>
      </w:r>
    </w:p>
    <w:p w14:paraId="0E486D6A" w14:textId="3BF25FF0" w:rsidR="00842FC4" w:rsidRPr="00842FC4" w:rsidRDefault="00842FC4" w:rsidP="00160CBE">
      <w:pPr>
        <w:pStyle w:val="ListBullet"/>
      </w:pPr>
      <w:r w:rsidRPr="00842FC4">
        <w:t xml:space="preserve">3 ongoing </w:t>
      </w:r>
      <w:r w:rsidR="004D78CD">
        <w:t>Phase III</w:t>
      </w:r>
      <w:r w:rsidRPr="00842FC4">
        <w:t xml:space="preserve"> studies (</w:t>
      </w:r>
      <w:r w:rsidR="00C01454">
        <w:t xml:space="preserve">Studies </w:t>
      </w:r>
      <w:r w:rsidRPr="00842FC4">
        <w:t xml:space="preserve">EFC14059, LTS13618 and PDY14191) in Japanese subjects and for the purpose of supporting registration in Japan have provided interim </w:t>
      </w:r>
      <w:r w:rsidR="00C01454" w:rsidRPr="00842FC4">
        <w:t xml:space="preserve">serious adverse event </w:t>
      </w:r>
      <w:r w:rsidRPr="00842FC4">
        <w:t>(SAE) data only in this submission.</w:t>
      </w:r>
    </w:p>
    <w:p w14:paraId="0B9A3A00" w14:textId="77777777" w:rsidR="00586F98" w:rsidRPr="0094614A" w:rsidRDefault="00160CBE" w:rsidP="00842FC4">
      <w:pPr>
        <w:rPr>
          <w:lang w:eastAsia="ja-JP"/>
        </w:rPr>
      </w:pPr>
      <w:r w:rsidRPr="00DC12C9">
        <w:lastRenderedPageBreak/>
        <w:t>Clinical Overview, Summary of Clinical Efficacy, Summary of Clinical Safety</w:t>
      </w:r>
      <w:r>
        <w:t>, Summary of Biopharmaceutical Studies and associated Analytical Methods, Summary of Clinical Pharmacology Studies and l</w:t>
      </w:r>
      <w:r w:rsidRPr="006A08A1">
        <w:t>iterature references</w:t>
      </w:r>
      <w:r>
        <w:t xml:space="preserve"> (n</w:t>
      </w:r>
      <w:r w:rsidR="004D78CD">
        <w:t xml:space="preserve"> = </w:t>
      </w:r>
      <w:r>
        <w:t>118)</w:t>
      </w:r>
      <w:r w:rsidRPr="006A08A1">
        <w:t>.</w:t>
      </w:r>
    </w:p>
    <w:p w14:paraId="36AFD835" w14:textId="77777777" w:rsidR="00586F98" w:rsidRDefault="00586F98" w:rsidP="00736606">
      <w:pPr>
        <w:pStyle w:val="Heading3"/>
      </w:pPr>
      <w:bookmarkStart w:id="29" w:name="_Toc519848426"/>
      <w:r w:rsidRPr="00736606">
        <w:t>Paediatric</w:t>
      </w:r>
      <w:r>
        <w:t xml:space="preserve"> data</w:t>
      </w:r>
      <w:bookmarkEnd w:id="29"/>
    </w:p>
    <w:p w14:paraId="13064AAA" w14:textId="77777777" w:rsidR="00586F98" w:rsidRPr="0094614A" w:rsidRDefault="00160CBE" w:rsidP="00586F98">
      <w:r>
        <w:t xml:space="preserve">The submission did not include paediatric data. However, </w:t>
      </w:r>
      <w:r>
        <w:rPr>
          <w:sz w:val="23"/>
          <w:szCs w:val="23"/>
        </w:rPr>
        <w:t>a paediatric development program for SAR is ongoing, and the sponsor intends to submit an application to support use in children upon completion of the clinical development program around June 2022.</w:t>
      </w:r>
    </w:p>
    <w:p w14:paraId="736B1453" w14:textId="77777777" w:rsidR="00586F98" w:rsidRDefault="00586F98" w:rsidP="00586F98">
      <w:pPr>
        <w:pStyle w:val="Heading3"/>
      </w:pPr>
      <w:bookmarkStart w:id="30" w:name="_Toc519848427"/>
      <w:r>
        <w:t>Good clinical practice</w:t>
      </w:r>
      <w:bookmarkEnd w:id="30"/>
    </w:p>
    <w:p w14:paraId="6DF7B9AC" w14:textId="77777777" w:rsidR="004D78CD" w:rsidRDefault="00160CBE" w:rsidP="00160CBE">
      <w:bookmarkStart w:id="31" w:name="_Toc355338639"/>
      <w:r w:rsidRPr="00160CBE">
        <w:t>All of the studies in the SAR clinical development program were conducted in accordance with the principles of Good Clinical Practice (GCP) and compliance with ethical requirements was met</w:t>
      </w:r>
      <w:r w:rsidR="004D78CD">
        <w:t>.</w:t>
      </w:r>
    </w:p>
    <w:p w14:paraId="539AEFB3" w14:textId="77777777" w:rsidR="00586F98" w:rsidRDefault="00586F98" w:rsidP="00586F98">
      <w:pPr>
        <w:pStyle w:val="Heading2"/>
      </w:pPr>
      <w:bookmarkStart w:id="32" w:name="_Toc519848428"/>
      <w:r>
        <w:t>Pharmacokinetics</w:t>
      </w:r>
      <w:bookmarkEnd w:id="31"/>
      <w:bookmarkEnd w:id="32"/>
    </w:p>
    <w:p w14:paraId="79EA7560" w14:textId="77777777" w:rsidR="00160CBE" w:rsidRPr="00160CBE" w:rsidRDefault="00160CBE" w:rsidP="00736606">
      <w:pPr>
        <w:pStyle w:val="Heading3"/>
      </w:pPr>
      <w:bookmarkStart w:id="33" w:name="_Ref271017296"/>
      <w:bookmarkStart w:id="34" w:name="_Ref271018924"/>
      <w:bookmarkStart w:id="35" w:name="_Ref271018934"/>
      <w:bookmarkStart w:id="36" w:name="_Toc272414614"/>
      <w:bookmarkStart w:id="37" w:name="_Toc290888464"/>
      <w:bookmarkStart w:id="38" w:name="_Toc464131501"/>
      <w:bookmarkStart w:id="39" w:name="_Toc519848429"/>
      <w:r w:rsidRPr="00736606">
        <w:t>Studies</w:t>
      </w:r>
      <w:bookmarkEnd w:id="33"/>
      <w:bookmarkEnd w:id="34"/>
      <w:bookmarkEnd w:id="35"/>
      <w:r w:rsidRPr="00160CBE">
        <w:t xml:space="preserve"> providing pharmacokinetic data</w:t>
      </w:r>
      <w:bookmarkEnd w:id="36"/>
      <w:bookmarkEnd w:id="37"/>
      <w:bookmarkEnd w:id="38"/>
      <w:bookmarkEnd w:id="39"/>
    </w:p>
    <w:p w14:paraId="32A5CB6D" w14:textId="77777777" w:rsidR="00160CBE" w:rsidRPr="00160CBE" w:rsidRDefault="00160CBE" w:rsidP="00160CBE">
      <w:r w:rsidRPr="00160CBE">
        <w:t>The pharmacokinetics (PK) of SAR has been well characterised from the PK data collected from</w:t>
      </w:r>
      <w:r w:rsidR="004D78CD">
        <w:t xml:space="preserve"> </w:t>
      </w:r>
      <w:r w:rsidRPr="00160CBE">
        <w:t xml:space="preserve">53 healthy subjects involved in 1 </w:t>
      </w:r>
      <w:r w:rsidR="004D78CD">
        <w:t>Phase I</w:t>
      </w:r>
      <w:r w:rsidRPr="00160CBE">
        <w:t xml:space="preserve"> study; 241 adult patients with RA enrolled in 8 </w:t>
      </w:r>
      <w:r w:rsidR="004D78CD">
        <w:t>Phase I</w:t>
      </w:r>
      <w:r w:rsidRPr="00160CBE">
        <w:t xml:space="preserve"> studies and 2671 patients with RA involved in 7 </w:t>
      </w:r>
      <w:r w:rsidR="004D78CD">
        <w:t xml:space="preserve">Phase </w:t>
      </w:r>
      <w:r w:rsidR="00881E68">
        <w:t>II/III</w:t>
      </w:r>
      <w:r w:rsidRPr="00160CBE">
        <w:t xml:space="preserve"> studies of SAR treatment. This dataset includes a total of 1770 patients with RA who have received any dose of SAR. Regarding the 2 proposed commercial doses of SAR, the PK dataset includes 631 patients who have received SAR 150 mg therapy and 682 subjects treated with SAR 200 mg every 2 weeks for up to 52 weeks</w:t>
      </w:r>
      <w:r w:rsidRPr="00D16242">
        <w:t xml:space="preserve">. Table </w:t>
      </w:r>
      <w:r w:rsidR="00D16242" w:rsidRPr="00D16242">
        <w:t>1</w:t>
      </w:r>
      <w:r w:rsidRPr="00160CBE">
        <w:t xml:space="preserve"> displays a summary of the clinical studies in humans relating to each pharmacokinetic (PK) topic. None of the PK studies had deficiencies that excluded their results from consideration</w:t>
      </w:r>
      <w:r w:rsidR="004D78CD">
        <w:t>.</w:t>
      </w:r>
    </w:p>
    <w:p w14:paraId="1D79EFA3" w14:textId="77777777" w:rsidR="00160CBE" w:rsidRPr="00160CBE" w:rsidRDefault="00160CBE" w:rsidP="00160CBE">
      <w:r w:rsidRPr="00160CBE">
        <w:t xml:space="preserve">In addition to the observed data, the sponsor has conducted 4 pre-specified population PK and population PK/PD analyses using pooled data from </w:t>
      </w:r>
      <w:r w:rsidR="004D78CD">
        <w:t>Phase I</w:t>
      </w:r>
      <w:r w:rsidRPr="00160CBE">
        <w:t xml:space="preserve">, </w:t>
      </w:r>
      <w:r w:rsidR="004D78CD">
        <w:t>II and III</w:t>
      </w:r>
      <w:r w:rsidRPr="00160CBE">
        <w:t xml:space="preserve"> studies</w:t>
      </w:r>
      <w:r w:rsidRPr="00D16242">
        <w:t xml:space="preserve">. Table </w:t>
      </w:r>
      <w:r w:rsidR="00D16242" w:rsidRPr="00D16242">
        <w:t>2</w:t>
      </w:r>
      <w:r w:rsidRPr="00160CBE">
        <w:t xml:space="preserve"> summarises the population PK/PD analyses that have been conducted with SAR and included in this submission. None of the population PK/PD analyses had deficiencies that excluded their results from consideration.</w:t>
      </w:r>
    </w:p>
    <w:p w14:paraId="69EB0E4A" w14:textId="77777777" w:rsidR="00160CBE" w:rsidRDefault="00160CBE" w:rsidP="00736606">
      <w:pPr>
        <w:pStyle w:val="Tabletitle"/>
      </w:pPr>
      <w:r w:rsidRPr="00D16242">
        <w:lastRenderedPageBreak/>
        <w:t xml:space="preserve">Table </w:t>
      </w:r>
      <w:r w:rsidR="00D16242" w:rsidRPr="00D16242">
        <w:t>1:</w:t>
      </w:r>
      <w:r w:rsidR="004D78CD" w:rsidRPr="00D16242">
        <w:t xml:space="preserve"> </w:t>
      </w:r>
      <w:r w:rsidRPr="00D16242">
        <w:t>Summary</w:t>
      </w:r>
      <w:r>
        <w:t xml:space="preserve"> of </w:t>
      </w:r>
      <w:r w:rsidR="00D16242">
        <w:t>submitted clinical pharmacology studies (PK and PD) with s</w:t>
      </w:r>
      <w:r>
        <w:t>arilumab</w:t>
      </w:r>
    </w:p>
    <w:p w14:paraId="7990110F" w14:textId="77777777" w:rsidR="00160CBE" w:rsidRDefault="00160CBE" w:rsidP="00586F98">
      <w:r>
        <w:rPr>
          <w:noProof/>
          <w:lang w:eastAsia="en-AU"/>
        </w:rPr>
        <w:drawing>
          <wp:inline distT="0" distB="0" distL="0" distR="0" wp14:anchorId="4F32F82E" wp14:editId="59D5F2C1">
            <wp:extent cx="5218390" cy="7776057"/>
            <wp:effectExtent l="0" t="0" r="1905" b="0"/>
            <wp:docPr id="3" name="Picture 3" descr="Summary of submitted clinical pharmacology studies (PK and PD) with saril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17083" cy="7774109"/>
                    </a:xfrm>
                    <a:prstGeom prst="rect">
                      <a:avLst/>
                    </a:prstGeom>
                  </pic:spPr>
                </pic:pic>
              </a:graphicData>
            </a:graphic>
          </wp:inline>
        </w:drawing>
      </w:r>
    </w:p>
    <w:p w14:paraId="26EB6709" w14:textId="77777777" w:rsidR="00160CBE" w:rsidRDefault="00160CBE" w:rsidP="00160CBE">
      <w:pPr>
        <w:pStyle w:val="Tabletitle"/>
      </w:pPr>
      <w:r w:rsidRPr="00D16242">
        <w:lastRenderedPageBreak/>
        <w:t xml:space="preserve">Table </w:t>
      </w:r>
      <w:r w:rsidR="00D16242">
        <w:t>1</w:t>
      </w:r>
      <w:r w:rsidR="00D16242" w:rsidRPr="00D16242">
        <w:t>:</w:t>
      </w:r>
      <w:r w:rsidR="004D78CD" w:rsidRPr="00D16242">
        <w:t xml:space="preserve"> </w:t>
      </w:r>
      <w:r w:rsidRPr="00D16242">
        <w:t>(continued)</w:t>
      </w:r>
      <w:r w:rsidR="004D78CD" w:rsidRPr="00D16242">
        <w:t xml:space="preserve"> </w:t>
      </w:r>
      <w:r w:rsidRPr="00D16242">
        <w:t>Summary of submitted Clinical Pharmacology Studies (PK and PD)</w:t>
      </w:r>
      <w:r w:rsidR="00D16242">
        <w:t xml:space="preserve"> with s</w:t>
      </w:r>
      <w:r>
        <w:t>arilumab</w:t>
      </w:r>
    </w:p>
    <w:p w14:paraId="2FDC7E0A" w14:textId="77777777" w:rsidR="00160CBE" w:rsidRDefault="00160CBE" w:rsidP="00586F98">
      <w:r>
        <w:rPr>
          <w:noProof/>
          <w:lang w:eastAsia="en-AU"/>
        </w:rPr>
        <w:drawing>
          <wp:inline distT="0" distB="0" distL="0" distR="0" wp14:anchorId="36C43AB9" wp14:editId="77854E17">
            <wp:extent cx="5120640" cy="4091045"/>
            <wp:effectExtent l="0" t="0" r="3810" b="5080"/>
            <wp:docPr id="4" name="Picture 4" descr="Table 1: (continued) Summary of submitted Clinical Pharmacology Studies (PK and PD) with saril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19037" cy="4089765"/>
                    </a:xfrm>
                    <a:prstGeom prst="rect">
                      <a:avLst/>
                    </a:prstGeom>
                  </pic:spPr>
                </pic:pic>
              </a:graphicData>
            </a:graphic>
          </wp:inline>
        </w:drawing>
      </w:r>
    </w:p>
    <w:p w14:paraId="38DC2132" w14:textId="77777777" w:rsidR="00160CBE" w:rsidRPr="00160CBE" w:rsidRDefault="00160CBE" w:rsidP="00736606">
      <w:pPr>
        <w:pStyle w:val="Heading3"/>
      </w:pPr>
      <w:bookmarkStart w:id="40" w:name="_Ref269118175"/>
      <w:bookmarkStart w:id="41" w:name="_Toc272414616"/>
      <w:bookmarkStart w:id="42" w:name="_Toc290888465"/>
      <w:bookmarkStart w:id="43" w:name="_Toc464131502"/>
      <w:bookmarkStart w:id="44" w:name="_Toc519848430"/>
      <w:r w:rsidRPr="00736606">
        <w:t>Summary</w:t>
      </w:r>
      <w:r w:rsidRPr="00160CBE">
        <w:t xml:space="preserve"> of </w:t>
      </w:r>
      <w:r w:rsidRPr="00736606">
        <w:t>pharmacokinetics</w:t>
      </w:r>
      <w:bookmarkEnd w:id="40"/>
      <w:bookmarkEnd w:id="41"/>
      <w:bookmarkEnd w:id="42"/>
      <w:bookmarkEnd w:id="43"/>
      <w:bookmarkEnd w:id="44"/>
    </w:p>
    <w:p w14:paraId="6FF253A7" w14:textId="77777777" w:rsidR="004D78CD" w:rsidRDefault="00160CBE" w:rsidP="00160CBE">
      <w:r w:rsidRPr="00160CBE">
        <w:t>The information in the following summary is derived from conventional PK studies in humans (unless otherwise stated) with supporting information deriv</w:t>
      </w:r>
      <w:r w:rsidR="00E0128B">
        <w:t>ed from the sponsor’s summaries.</w:t>
      </w:r>
    </w:p>
    <w:p w14:paraId="3E801B5D" w14:textId="77777777" w:rsidR="00160CBE" w:rsidRPr="00160CBE" w:rsidRDefault="00160CBE" w:rsidP="00736606">
      <w:pPr>
        <w:pStyle w:val="Heading4"/>
      </w:pPr>
      <w:bookmarkStart w:id="45" w:name="_Toc272414617"/>
      <w:bookmarkStart w:id="46" w:name="_Toc290888466"/>
      <w:bookmarkStart w:id="47" w:name="_Toc464131503"/>
      <w:r w:rsidRPr="00736606">
        <w:t>Physicochemical</w:t>
      </w:r>
      <w:r w:rsidRPr="00160CBE">
        <w:t xml:space="preserve"> </w:t>
      </w:r>
      <w:r w:rsidRPr="00736606">
        <w:t>characteristics</w:t>
      </w:r>
      <w:r w:rsidRPr="00160CBE">
        <w:t xml:space="preserve"> of the active substance</w:t>
      </w:r>
      <w:bookmarkEnd w:id="45"/>
      <w:bookmarkEnd w:id="46"/>
      <w:bookmarkEnd w:id="47"/>
    </w:p>
    <w:p w14:paraId="53A695A0" w14:textId="77777777" w:rsidR="00160CBE" w:rsidRPr="00160CBE" w:rsidRDefault="00160CBE" w:rsidP="00160CBE">
      <w:r w:rsidRPr="00160CBE">
        <w:t xml:space="preserve">SAR is a humanised monoclonal antibody of the IgG1/kappa isotype, comprised of 2 </w:t>
      </w:r>
      <w:r w:rsidR="00766D0E" w:rsidRPr="00160CBE">
        <w:t>disulphide</w:t>
      </w:r>
      <w:r w:rsidRPr="00160CBE">
        <w:t xml:space="preserve"> linked heavy chains linked by </w:t>
      </w:r>
      <w:r w:rsidR="00766D0E" w:rsidRPr="00160CBE">
        <w:t>disulphide</w:t>
      </w:r>
      <w:r w:rsidRPr="00160CBE">
        <w:t xml:space="preserve"> bonds to a light chain segment. The drug binds with high affinity to both soluble and membrane bound IL-6 receptors, and has been shown to inhibit the IL-6 (a pro-inflammatory cytokine IL-6) mediated signalling through these receptors. IL-6 receptors are expressed on a variety of cell types within the body. The variable domains of the heavy and light chains combine to form the IL-6 receptor binding site within the antibody. SAR has an approximate molecular weight of 144 kDa. It is produced by recombinant technology in Chinese Hamster Ovary cell suspension culture medium.</w:t>
      </w:r>
    </w:p>
    <w:p w14:paraId="38C708F8" w14:textId="77777777" w:rsidR="00160CBE" w:rsidRPr="00160CBE" w:rsidRDefault="00160CBE" w:rsidP="00160CBE">
      <w:pPr>
        <w:pStyle w:val="Heading4"/>
      </w:pPr>
      <w:bookmarkStart w:id="48" w:name="_Ref271189106"/>
      <w:bookmarkStart w:id="49" w:name="_Ref271189143"/>
      <w:bookmarkStart w:id="50" w:name="_Toc272414618"/>
      <w:bookmarkStart w:id="51" w:name="_Toc290888467"/>
      <w:bookmarkStart w:id="52" w:name="_Toc464131504"/>
      <w:r w:rsidRPr="00160CBE">
        <w:t>Pharmacokinetics in healthy subjects</w:t>
      </w:r>
      <w:bookmarkEnd w:id="48"/>
      <w:bookmarkEnd w:id="49"/>
      <w:bookmarkEnd w:id="50"/>
      <w:bookmarkEnd w:id="51"/>
      <w:bookmarkEnd w:id="52"/>
    </w:p>
    <w:p w14:paraId="46AFF6DF" w14:textId="77777777" w:rsidR="00160CBE" w:rsidRPr="00160CBE" w:rsidRDefault="00160CBE" w:rsidP="00160CBE">
      <w:r w:rsidRPr="00160CBE">
        <w:t xml:space="preserve">Only 1 study with SAR has been conducted in healthy subjects and its primary aim was to determine bioequivalence. Study TDU11373 was a randomized, </w:t>
      </w:r>
      <w:r w:rsidR="00E0128B">
        <w:t>double blind</w:t>
      </w:r>
      <w:r w:rsidRPr="00160CBE">
        <w:t xml:space="preserve">, single SC dose, </w:t>
      </w:r>
      <w:r w:rsidR="00E0128B">
        <w:t>parallel design</w:t>
      </w:r>
      <w:r w:rsidRPr="00160CBE">
        <w:t xml:space="preserve"> study of SAR at different concentrations, doses and formulations (C2F3, C1F2 and C1F3) in 53 healthy male subjects. It was conducted in 2 centres in the USA in 2010. Each subject received a single dose of SAR (either 100 mg, 150 mg or 200 mg dose presented at a concentration of 100mg/mL, 150 mg/mL or 17</w:t>
      </w:r>
      <w:r w:rsidR="00E0128B">
        <w:t xml:space="preserve">5 mg/mL) and was involved for 5 to </w:t>
      </w:r>
      <w:r w:rsidRPr="00160CBE">
        <w:t xml:space="preserve">8 weeks in total, </w:t>
      </w:r>
      <w:r w:rsidR="00E0128B">
        <w:t xml:space="preserve">including a screening period, 2 </w:t>
      </w:r>
      <w:r w:rsidRPr="00160CBE">
        <w:t xml:space="preserve">day </w:t>
      </w:r>
      <w:r w:rsidR="00E0128B">
        <w:t xml:space="preserve">stay at the institution and a 5 </w:t>
      </w:r>
      <w:r w:rsidRPr="00160CBE">
        <w:t xml:space="preserve">week follow-up period. Blood samples for the determination of serum SAR concentrations were collected pre-dose, and on </w:t>
      </w:r>
      <w:r w:rsidR="00E0128B">
        <w:t>D</w:t>
      </w:r>
      <w:r w:rsidRPr="00160CBE">
        <w:t xml:space="preserve">ays 1, 2, 3, 4, 5, 7, 9, 11, 14, 21 and at the </w:t>
      </w:r>
      <w:r w:rsidR="00E0128B">
        <w:t>end of study</w:t>
      </w:r>
      <w:r w:rsidRPr="00160CBE">
        <w:t xml:space="preserve"> visit (</w:t>
      </w:r>
      <w:r w:rsidR="00E0128B">
        <w:t>Day</w:t>
      </w:r>
      <w:r w:rsidRPr="00160CBE">
        <w:t xml:space="preserve">s 35-38). Serum </w:t>
      </w:r>
      <w:r w:rsidRPr="00160CBE">
        <w:lastRenderedPageBreak/>
        <w:t>concentrations of functional and bound SAR were determined using a validated enzyme-linked immunosorbent assay (ELISA) with the lower limit of quantification (LLOQ) being 294 and 662 ng/mL, respectively.</w:t>
      </w:r>
    </w:p>
    <w:p w14:paraId="679EAE9D" w14:textId="77777777" w:rsidR="00160CBE" w:rsidRPr="00160CBE" w:rsidRDefault="00160CBE" w:rsidP="00160CBE">
      <w:r w:rsidRPr="00160CBE">
        <w:t xml:space="preserve">In healthy volunteers following a single SC dose of 100 mg SAR, the mean </w:t>
      </w:r>
      <w:r w:rsidR="00E0128B" w:rsidRPr="00160CBE">
        <w:t>C</w:t>
      </w:r>
      <w:r w:rsidR="00E0128B" w:rsidRPr="00E0128B">
        <w:rPr>
          <w:vertAlign w:val="subscript"/>
        </w:rPr>
        <w:t>max</w:t>
      </w:r>
      <w:r w:rsidRPr="00160CBE">
        <w:t xml:space="preserve"> and </w:t>
      </w:r>
      <w:r w:rsidR="00E0128B" w:rsidRPr="00160CBE">
        <w:t>AUC</w:t>
      </w:r>
      <w:r w:rsidR="00E0128B" w:rsidRPr="00E0128B">
        <w:rPr>
          <w:vertAlign w:val="subscript"/>
        </w:rPr>
        <w:t>last</w:t>
      </w:r>
      <w:r w:rsidRPr="00160CBE">
        <w:t xml:space="preserve"> were 7700 ng/mL and 108,000 ng.h/mL respectively. The median </w:t>
      </w:r>
      <w:r w:rsidR="00E0128B" w:rsidRPr="00160CBE">
        <w:t>T</w:t>
      </w:r>
      <w:r w:rsidR="00E0128B" w:rsidRPr="00E0128B">
        <w:rPr>
          <w:vertAlign w:val="subscript"/>
        </w:rPr>
        <w:t>max</w:t>
      </w:r>
      <w:r w:rsidRPr="00160CBE">
        <w:t xml:space="preserve"> occurred 72 hours after dosing and the mean half-life was 49.5 hours. SAR exposure after administration of the C2F3 or C1F3 formulation was similar to that of C1F2 drug product. Whe</w:t>
      </w:r>
      <w:r w:rsidR="00E0128B">
        <w:t>n administered at a dose of 100 </w:t>
      </w:r>
      <w:r w:rsidRPr="00160CBE">
        <w:t xml:space="preserve">mg (100 mg/mL x 1.00 mL), the geometric mean ratios of C2F3 versus C1F2 and C1F3 versus C1F2 were 0.91 (95% CI 0.55, 1.51) and 0.90 (95% CI 0.54, 1.50) for </w:t>
      </w:r>
      <w:r w:rsidR="00E0128B" w:rsidRPr="00160CBE">
        <w:t>C</w:t>
      </w:r>
      <w:r w:rsidR="00E0128B" w:rsidRPr="00E0128B">
        <w:rPr>
          <w:vertAlign w:val="subscript"/>
        </w:rPr>
        <w:t>max</w:t>
      </w:r>
      <w:r w:rsidRPr="00160CBE">
        <w:t xml:space="preserve">, respectively; and 0.86 (95% CI 0.43, 1.71) and 0.94 (95% CI 0.47, 1.89) for </w:t>
      </w:r>
      <w:r w:rsidR="00E0128B" w:rsidRPr="00160CBE">
        <w:t>AUC</w:t>
      </w:r>
      <w:r w:rsidR="00E0128B" w:rsidRPr="00E0128B">
        <w:rPr>
          <w:vertAlign w:val="subscript"/>
        </w:rPr>
        <w:t>last</w:t>
      </w:r>
      <w:r w:rsidRPr="00160CBE">
        <w:t>, respectively.</w:t>
      </w:r>
    </w:p>
    <w:p w14:paraId="4D9DA290" w14:textId="77777777" w:rsidR="00160CBE" w:rsidRPr="00160CBE" w:rsidRDefault="00160CBE" w:rsidP="00160CBE">
      <w:r w:rsidRPr="00160CBE">
        <w:t xml:space="preserve">Study TDU11373 concluded that after a single 100 mg SC dose of SAR in healthy male subjects, there was no difference in the local tolerability, safety and PK profiles of the new SAR C2F3 and C1F3 formulations proposed for use in the </w:t>
      </w:r>
      <w:r w:rsidR="004D78CD">
        <w:t>Phase III</w:t>
      </w:r>
      <w:r w:rsidRPr="00160CBE">
        <w:t xml:space="preserve"> clinical studies compared with the C1F2 product used in the </w:t>
      </w:r>
      <w:r w:rsidR="004D78CD">
        <w:t>Phase II</w:t>
      </w:r>
      <w:r w:rsidRPr="00160CBE">
        <w:t xml:space="preserve"> program.</w:t>
      </w:r>
    </w:p>
    <w:p w14:paraId="33724CE0" w14:textId="77777777" w:rsidR="00160CBE" w:rsidRPr="00160CBE" w:rsidRDefault="00160CBE" w:rsidP="00736606">
      <w:pPr>
        <w:pStyle w:val="Heading3"/>
      </w:pPr>
      <w:bookmarkStart w:id="53" w:name="_Toc241374292"/>
      <w:bookmarkStart w:id="54" w:name="_Ref271189131"/>
      <w:bookmarkStart w:id="55" w:name="_Ref271189136"/>
      <w:bookmarkStart w:id="56" w:name="_Toc272414625"/>
      <w:bookmarkStart w:id="57" w:name="_Toc290888474"/>
      <w:bookmarkStart w:id="58" w:name="_Toc464131505"/>
      <w:bookmarkStart w:id="59" w:name="_Toc519848431"/>
      <w:r w:rsidRPr="00736606">
        <w:t>Pharmacokinetics</w:t>
      </w:r>
      <w:r w:rsidRPr="00160CBE">
        <w:t xml:space="preserve"> in the target population</w:t>
      </w:r>
      <w:bookmarkEnd w:id="53"/>
      <w:bookmarkEnd w:id="54"/>
      <w:bookmarkEnd w:id="55"/>
      <w:bookmarkEnd w:id="56"/>
      <w:bookmarkEnd w:id="57"/>
      <w:bookmarkEnd w:id="58"/>
      <w:bookmarkEnd w:id="59"/>
    </w:p>
    <w:p w14:paraId="42FBE9B1" w14:textId="77777777" w:rsidR="00160CBE" w:rsidRPr="00160CBE" w:rsidRDefault="00160CBE" w:rsidP="00160CBE">
      <w:r w:rsidRPr="00160CBE">
        <w:t>Before assessing the PK data in target population, the following outlines the key methodology issues involved in the PK analyses. Concentrations of functional SAR (</w:t>
      </w:r>
      <w:r w:rsidR="004D78CD">
        <w:t>that is</w:t>
      </w:r>
      <w:r w:rsidRPr="00160CBE">
        <w:t xml:space="preserve"> SAR with 1 or 2 sites available to bind the target) were measured in all of the PK studies. In addition, serum concentrations of bound SAR (</w:t>
      </w:r>
      <w:r w:rsidR="004D78CD">
        <w:t>that is</w:t>
      </w:r>
      <w:r w:rsidRPr="00160CBE">
        <w:t xml:space="preserve"> SAR with 1 or 2 sites bound to the target) were measured in the early </w:t>
      </w:r>
      <w:r w:rsidR="004D78CD">
        <w:t>Phase I</w:t>
      </w:r>
      <w:r w:rsidRPr="00160CBE">
        <w:t xml:space="preserve"> studies and Study EFC11072 (both parts). Both the functional and bound SAR assays include measurement of SAR that is bound to 1 IL-6R (receptor) m</w:t>
      </w:r>
      <w:r w:rsidR="007312A2">
        <w:t xml:space="preserve">olecule. This overlap in single </w:t>
      </w:r>
      <w:r w:rsidRPr="00160CBE">
        <w:t>bound SAR forms between assays precluded the simple addition of functional and bound concentrations to achieve a serum total concentration of SAR. Based on consistent results from both assays in early clinical studies, measurement of concentrations of bound SAR was not continued in the later stage clinical studies (</w:t>
      </w:r>
      <w:r w:rsidR="004D78CD">
        <w:t>that is</w:t>
      </w:r>
      <w:r w:rsidRPr="00160CBE">
        <w:t xml:space="preserve"> after Study EFC11072 Part B/Cohort 1). Functional SAR levels are believed to be the pharmacologically active form of the drug. Therefore, this report primarily includes the PK of functional SAR, but the complete PK dataset did contain some information about bound SAR concentrations, when available, as supportive information. The concentration of functional SAR in serum was quantified with validated ELISA that had sensitivity adequate for assessment of the PK of SAR as well as reasonable within- and between-run accuracy (</w:t>
      </w:r>
      <w:r w:rsidR="007312A2">
        <w:t xml:space="preserve">≥ </w:t>
      </w:r>
      <w:r w:rsidRPr="00160CBE">
        <w:t>84%) and precision (</w:t>
      </w:r>
      <w:r w:rsidR="007312A2">
        <w:t xml:space="preserve">± </w:t>
      </w:r>
      <w:r w:rsidRPr="00160CBE">
        <w:t xml:space="preserve">15%). The LLOQ for functional SAR was 0.294 or 0.313 mg/L in undiluted serum in 2 validated assays. An intensive blood sampling schedule for SAR was undertaken in the </w:t>
      </w:r>
      <w:r w:rsidR="004D78CD">
        <w:t>Phase I</w:t>
      </w:r>
      <w:r w:rsidRPr="00160CBE">
        <w:t xml:space="preserve"> studies (except for Studies TDR10805/6R88-RA-0802 and INT12684) to allow for non-compartmental PK analysis. All of the </w:t>
      </w:r>
      <w:r w:rsidR="004D78CD">
        <w:t>Phase II</w:t>
      </w:r>
      <w:r w:rsidR="007312A2">
        <w:t xml:space="preserve"> and III</w:t>
      </w:r>
      <w:r w:rsidRPr="00160CBE">
        <w:t xml:space="preserve"> studies included assessment of serum SAR concentrations using sparse sampling, which was utilised to develop population PK models.</w:t>
      </w:r>
    </w:p>
    <w:p w14:paraId="55410D9B" w14:textId="77777777" w:rsidR="00160CBE" w:rsidRPr="00160CBE" w:rsidRDefault="00160CBE" w:rsidP="00160CBE">
      <w:r w:rsidRPr="00160CBE">
        <w:t>The pivotal population PK analysis of SAR in this submission was Study POH0428, which collated data from 1</w:t>
      </w:r>
      <w:r w:rsidR="007312A2">
        <w:t>,</w:t>
      </w:r>
      <w:r w:rsidRPr="00160CBE">
        <w:t xml:space="preserve">770 adult subjects with active RA involved in 7 </w:t>
      </w:r>
      <w:r w:rsidR="004D78CD">
        <w:t>Phase I</w:t>
      </w:r>
      <w:r w:rsidRPr="00160CBE">
        <w:t xml:space="preserve"> studies, 1 </w:t>
      </w:r>
      <w:r w:rsidR="004D78CD">
        <w:t>Phase II</w:t>
      </w:r>
      <w:r w:rsidRPr="00160CBE">
        <w:t xml:space="preserve"> study and 4 </w:t>
      </w:r>
      <w:r w:rsidR="004D78CD">
        <w:t>Phase III</w:t>
      </w:r>
      <w:r w:rsidRPr="00160CBE">
        <w:t xml:space="preserve"> studies. The analysis in Study POH0428 was pre-specified and covered various RA patient populations including subjects with active RA who were inadequate responders to MTX and subjects who were inadequate responders to or were intolerant of anti-TNF drugs. At the data cut-off date for the population PK analysis (31 October 2014), data was available from 2 completed </w:t>
      </w:r>
      <w:r w:rsidR="004D78CD">
        <w:t>Phase III</w:t>
      </w:r>
      <w:r w:rsidRPr="00160CBE">
        <w:t xml:space="preserve"> studies (Studies EFC11072 Part B and SFY13370); partial data was available for 2 ongoing open label </w:t>
      </w:r>
      <w:r w:rsidR="004D78CD">
        <w:t>Phase III</w:t>
      </w:r>
      <w:r w:rsidRPr="00160CBE">
        <w:t xml:space="preserve"> studies (Studies EFC13752 and MSC12665) and 2 ongoing open label </w:t>
      </w:r>
      <w:r w:rsidR="004D78CD">
        <w:t>Phase I</w:t>
      </w:r>
      <w:r w:rsidRPr="00160CBE">
        <w:t xml:space="preserve"> studies (Studies INT12684 and 6R88-RA-1309). For the studies that were ongoing at that time, data from all enrolled patients who had </w:t>
      </w:r>
      <w:r w:rsidR="007312A2">
        <w:t xml:space="preserve">≥ </w:t>
      </w:r>
      <w:r w:rsidRPr="00160CBE">
        <w:t xml:space="preserve">1 post-treatment blood sample were included in the population PK analysis. Patients in the pooled population PK dataset had received SAR by SC injection, as either a single dose or repeated qw (every week) or q2w (every 2 weeks), mainly in combination with MTX (90%) or in combination with other non-biologic DMARD therapy. Two-compartment PK models were </w:t>
      </w:r>
      <w:r w:rsidRPr="00160CBE">
        <w:lastRenderedPageBreak/>
        <w:t>tested with linear absorption and a non-linear saturable elimination pathway, using eith</w:t>
      </w:r>
      <w:r w:rsidR="007312A2">
        <w:t xml:space="preserve">er Michaelis-Menten or receptor </w:t>
      </w:r>
      <w:r w:rsidRPr="00160CBE">
        <w:t>ligand binding kinetics, representing target mediated drug disposition. The influence of selected demographic factors, laboratory parameters, disease baseline characteristics, anti-drug antibody (ADA) status and concomitant use of MTX on the PK of SAR were investigated in the final, population PK model. Exposure parameters for SAR (</w:t>
      </w:r>
      <w:r w:rsidR="00E0128B" w:rsidRPr="00160CBE">
        <w:t>C</w:t>
      </w:r>
      <w:r w:rsidR="00E0128B" w:rsidRPr="00E0128B">
        <w:rPr>
          <w:vertAlign w:val="subscript"/>
        </w:rPr>
        <w:t>max</w:t>
      </w:r>
      <w:r w:rsidRPr="00160CBE">
        <w:t xml:space="preserve"> and </w:t>
      </w:r>
      <w:r w:rsidR="007312A2" w:rsidRPr="00160CBE">
        <w:t>AUC</w:t>
      </w:r>
      <w:r w:rsidR="007312A2" w:rsidRPr="007312A2">
        <w:rPr>
          <w:vertAlign w:val="subscript"/>
        </w:rPr>
        <w:t>0-14 days</w:t>
      </w:r>
      <w:r w:rsidRPr="00160CBE">
        <w:t>) were estimated from the final population PK model.</w:t>
      </w:r>
    </w:p>
    <w:p w14:paraId="3BB3D923" w14:textId="77777777" w:rsidR="00160CBE" w:rsidRPr="00160CBE" w:rsidRDefault="00160CBE" w:rsidP="00736606">
      <w:pPr>
        <w:pStyle w:val="Heading4"/>
      </w:pPr>
      <w:bookmarkStart w:id="60" w:name="_Toc272414619"/>
      <w:bookmarkStart w:id="61" w:name="_Toc290888468"/>
      <w:bookmarkStart w:id="62" w:name="_Toc464131506"/>
      <w:r w:rsidRPr="00736606">
        <w:t>Absorption</w:t>
      </w:r>
      <w:bookmarkEnd w:id="60"/>
      <w:bookmarkEnd w:id="61"/>
      <w:bookmarkEnd w:id="62"/>
    </w:p>
    <w:p w14:paraId="7D9DE7C8" w14:textId="77777777" w:rsidR="004D78CD" w:rsidRDefault="00160CBE" w:rsidP="00160CBE">
      <w:r w:rsidRPr="00160CBE">
        <w:t xml:space="preserve">SAR is well absorbed after a single SC dose administration in patients with RA, with the maximum serum concentration of functional SAR achieved at a median </w:t>
      </w:r>
      <w:r w:rsidR="00E0128B" w:rsidRPr="00160CBE">
        <w:t>T</w:t>
      </w:r>
      <w:r w:rsidR="00E0128B" w:rsidRPr="00E0128B">
        <w:rPr>
          <w:vertAlign w:val="subscript"/>
        </w:rPr>
        <w:t>max</w:t>
      </w:r>
      <w:r w:rsidR="007312A2">
        <w:t xml:space="preserve"> of 2 to </w:t>
      </w:r>
      <w:r w:rsidRPr="00160CBE">
        <w:t>4 days, with no apparent dose effect</w:t>
      </w:r>
      <w:r w:rsidR="004D78CD">
        <w:t>.</w:t>
      </w:r>
    </w:p>
    <w:p w14:paraId="2DD1DC38" w14:textId="77777777" w:rsidR="00160CBE" w:rsidRPr="00160CBE" w:rsidRDefault="00160CBE" w:rsidP="00736606">
      <w:pPr>
        <w:pStyle w:val="Heading4"/>
      </w:pPr>
      <w:bookmarkStart w:id="63" w:name="_Toc241374287"/>
      <w:bookmarkStart w:id="64" w:name="_Toc272414620"/>
      <w:bookmarkStart w:id="65" w:name="_Toc290888469"/>
      <w:bookmarkStart w:id="66" w:name="_Toc464131507"/>
      <w:r w:rsidRPr="00160CBE">
        <w:t>Bioavailability</w:t>
      </w:r>
      <w:bookmarkEnd w:id="63"/>
      <w:bookmarkEnd w:id="64"/>
      <w:bookmarkEnd w:id="65"/>
      <w:r w:rsidRPr="00160CBE">
        <w:t xml:space="preserve"> </w:t>
      </w:r>
      <w:r w:rsidR="007312A2" w:rsidRPr="00160CBE">
        <w:t>and dose proportionality</w:t>
      </w:r>
      <w:bookmarkEnd w:id="66"/>
    </w:p>
    <w:p w14:paraId="66FA0DDC" w14:textId="77777777" w:rsidR="004D78CD" w:rsidRDefault="00160CBE" w:rsidP="00160CBE">
      <w:r w:rsidRPr="00160CBE">
        <w:t xml:space="preserve">The bioavailability for SAR after SC injection is estimated to be 80% using the population PK Study POH0428. Regarding dose proportionality, functional SAR exposure increases in a greater than dose proportional manner in patients with RA, due to an appreciable contribution by non-linear clearance to the total drug clearance in the therapeutic dose range. After a single SC dose of SAR in the </w:t>
      </w:r>
      <w:r w:rsidR="004D78CD">
        <w:t>Phase I</w:t>
      </w:r>
      <w:r w:rsidRPr="00160CBE">
        <w:t xml:space="preserve"> studies, the mean </w:t>
      </w:r>
      <w:r w:rsidR="00E0128B" w:rsidRPr="00160CBE">
        <w:t>AUC</w:t>
      </w:r>
      <w:r w:rsidR="00E0128B" w:rsidRPr="00E0128B">
        <w:rPr>
          <w:vertAlign w:val="subscript"/>
        </w:rPr>
        <w:t>last</w:t>
      </w:r>
      <w:r w:rsidR="007312A2">
        <w:t xml:space="preserve"> value increased by 38 to 72 times over a 4 </w:t>
      </w:r>
      <w:r w:rsidRPr="00160CBE">
        <w:t>fold increase in dose over the range of 50 to 200</w:t>
      </w:r>
      <w:r w:rsidR="007312A2">
        <w:t xml:space="preserve"> mg; </w:t>
      </w:r>
      <w:r w:rsidRPr="00D16242">
        <w:t xml:space="preserve">refer to Table </w:t>
      </w:r>
      <w:r w:rsidR="00D16242">
        <w:t>2</w:t>
      </w:r>
      <w:r w:rsidRPr="00D16242">
        <w:t xml:space="preserve">. All of the SAR clinical pharmacology studies listed in Table </w:t>
      </w:r>
      <w:r w:rsidR="00D16242">
        <w:t>2</w:t>
      </w:r>
      <w:r w:rsidRPr="00D16242">
        <w:t xml:space="preserve"> used the</w:t>
      </w:r>
      <w:r w:rsidRPr="00160CBE">
        <w:t xml:space="preserve"> same validated assay for determining serum functional SAR concentrations. The development of the validated drug concentration assays for SAR was part of the pre-clinical study program. The ELISA assay used in the </w:t>
      </w:r>
      <w:r w:rsidR="004D78CD">
        <w:t>Phase I</w:t>
      </w:r>
      <w:r w:rsidRPr="00160CBE">
        <w:t xml:space="preserve"> studies for determining the serum functional SAR concentration had a calibration curve ranging from 5.88 to 200 ng/mL, whereas the calibration curve for the PK analysis in the </w:t>
      </w:r>
      <w:r w:rsidR="004D78CD">
        <w:t>Phase II</w:t>
      </w:r>
      <w:r w:rsidR="007312A2">
        <w:t>-III</w:t>
      </w:r>
      <w:r w:rsidRPr="00160CBE">
        <w:t xml:space="preserve"> studies ranged from 6.25 to 400 ng/mL</w:t>
      </w:r>
      <w:r w:rsidR="004D78CD">
        <w:t>.</w:t>
      </w:r>
    </w:p>
    <w:p w14:paraId="21F28FA2" w14:textId="77777777" w:rsidR="00160CBE" w:rsidRPr="00160CBE" w:rsidRDefault="00160CBE" w:rsidP="00160CBE">
      <w:r w:rsidRPr="00160CBE">
        <w:t>In studies 6R88-RA-1309 and MSC12665, a 1.33</w:t>
      </w:r>
      <w:r w:rsidR="007312A2">
        <w:t xml:space="preserve"> fold</w:t>
      </w:r>
      <w:r w:rsidRPr="00160CBE">
        <w:t xml:space="preserve"> increase in dose over the therapeutic dose range of 150 to 200 mg resulted in 1.5- to 1.6</w:t>
      </w:r>
      <w:r w:rsidR="007312A2">
        <w:t xml:space="preserve"> fold</w:t>
      </w:r>
      <w:r w:rsidRPr="00160CBE">
        <w:t xml:space="preserve"> increase in the mean </w:t>
      </w:r>
      <w:r w:rsidR="00E0128B" w:rsidRPr="00160CBE">
        <w:t>AUC</w:t>
      </w:r>
      <w:r w:rsidR="00E0128B" w:rsidRPr="00E0128B">
        <w:rPr>
          <w:vertAlign w:val="subscript"/>
        </w:rPr>
        <w:t>last</w:t>
      </w:r>
      <w:r w:rsidRPr="00160CBE">
        <w:t xml:space="preserve"> of functional SAR. After repeated SC doses of SAR in the </w:t>
      </w:r>
      <w:r w:rsidR="004D78CD">
        <w:t>Phase II</w:t>
      </w:r>
      <w:r w:rsidR="00D16242">
        <w:t>-III</w:t>
      </w:r>
      <w:r w:rsidRPr="00160CBE">
        <w:t xml:space="preserve"> studies, the mean steady state trough serum concentrations (</w:t>
      </w:r>
      <w:r w:rsidR="007312A2" w:rsidRPr="00160CBE">
        <w:t>C</w:t>
      </w:r>
      <w:r w:rsidR="007312A2" w:rsidRPr="007312A2">
        <w:rPr>
          <w:vertAlign w:val="subscript"/>
        </w:rPr>
        <w:t>trough</w:t>
      </w:r>
      <w:r w:rsidR="007312A2">
        <w:t xml:space="preserve">) of SAR increased by 2.1 to </w:t>
      </w:r>
      <w:r w:rsidRPr="00160CBE">
        <w:t xml:space="preserve">3.1 fold and </w:t>
      </w:r>
      <w:r w:rsidR="007312A2" w:rsidRPr="00160CBE">
        <w:t>AUC</w:t>
      </w:r>
      <w:r w:rsidR="007312A2" w:rsidRPr="007312A2">
        <w:rPr>
          <w:vertAlign w:val="subscript"/>
        </w:rPr>
        <w:t>0-14 days</w:t>
      </w:r>
      <w:r w:rsidRPr="00160CBE">
        <w:t xml:space="preserve"> increased by 2.0</w:t>
      </w:r>
      <w:r w:rsidR="007312A2">
        <w:t xml:space="preserve"> fold</w:t>
      </w:r>
      <w:r w:rsidRPr="00160CBE">
        <w:t xml:space="preserve"> with only a 1.33</w:t>
      </w:r>
      <w:r w:rsidR="007312A2">
        <w:t xml:space="preserve"> fold</w:t>
      </w:r>
      <w:r w:rsidRPr="00160CBE">
        <w:t xml:space="preserve"> increase in </w:t>
      </w:r>
      <w:r w:rsidR="007312A2">
        <w:t xml:space="preserve">SAR dose from 150 to 200 mg q2w; </w:t>
      </w:r>
      <w:r w:rsidRPr="00D16242">
        <w:t xml:space="preserve">refer to Table </w:t>
      </w:r>
      <w:r w:rsidR="00D16242">
        <w:t>3</w:t>
      </w:r>
      <w:r w:rsidRPr="00D16242">
        <w:t>. This</w:t>
      </w:r>
      <w:r w:rsidRPr="00160CBE">
        <w:t xml:space="preserve"> is consistent with the estimate of a 2.6</w:t>
      </w:r>
      <w:r w:rsidR="007312A2">
        <w:t xml:space="preserve"> fold</w:t>
      </w:r>
      <w:r w:rsidRPr="00160CBE">
        <w:t xml:space="preserve"> increase of </w:t>
      </w:r>
      <w:r w:rsidR="007312A2" w:rsidRPr="00160CBE">
        <w:t>C</w:t>
      </w:r>
      <w:r w:rsidR="007312A2" w:rsidRPr="007312A2">
        <w:rPr>
          <w:vertAlign w:val="subscript"/>
        </w:rPr>
        <w:t>trough</w:t>
      </w:r>
      <w:r w:rsidRPr="00160CBE">
        <w:t xml:space="preserve"> and a 2.0</w:t>
      </w:r>
      <w:r w:rsidR="007312A2">
        <w:t xml:space="preserve"> fold</w:t>
      </w:r>
      <w:r w:rsidRPr="00160CBE">
        <w:t xml:space="preserve"> increase of </w:t>
      </w:r>
      <w:r w:rsidR="007312A2" w:rsidRPr="00160CBE">
        <w:t>AUC</w:t>
      </w:r>
      <w:r w:rsidR="007312A2" w:rsidRPr="007312A2">
        <w:rPr>
          <w:vertAlign w:val="subscript"/>
        </w:rPr>
        <w:t>0-14 days</w:t>
      </w:r>
      <w:r w:rsidRPr="00160CBE">
        <w:t xml:space="preserve"> over the same dose range, based on post-hoc predicted steady state PK parameters from the population PK analysis (Study POH0428).</w:t>
      </w:r>
    </w:p>
    <w:p w14:paraId="717D041A" w14:textId="77777777" w:rsidR="00160CBE" w:rsidRPr="00160CBE" w:rsidRDefault="00D16242" w:rsidP="00160CBE">
      <w:pPr>
        <w:pStyle w:val="Tabletitle"/>
      </w:pPr>
      <w:r w:rsidRPr="00D16242">
        <w:lastRenderedPageBreak/>
        <w:t xml:space="preserve">Table </w:t>
      </w:r>
      <w:r>
        <w:t>2</w:t>
      </w:r>
      <w:r w:rsidRPr="00D16242">
        <w:t>:</w:t>
      </w:r>
      <w:r>
        <w:t xml:space="preserve"> </w:t>
      </w:r>
      <w:r w:rsidR="00160CBE" w:rsidRPr="00160CBE">
        <w:t xml:space="preserve">Pharmacokinetic </w:t>
      </w:r>
      <w:r w:rsidR="007312A2" w:rsidRPr="00160CBE">
        <w:t xml:space="preserve">parameters of serum functional </w:t>
      </w:r>
      <w:r w:rsidR="007312A2">
        <w:t>SAR after a single SC dose</w:t>
      </w:r>
    </w:p>
    <w:p w14:paraId="641359DF" w14:textId="77777777" w:rsidR="00160CBE" w:rsidRDefault="00160CBE" w:rsidP="00586F98">
      <w:r>
        <w:rPr>
          <w:noProof/>
          <w:lang w:eastAsia="en-AU"/>
        </w:rPr>
        <w:drawing>
          <wp:inline distT="0" distB="0" distL="0" distR="0" wp14:anchorId="246784B0" wp14:editId="5536A879">
            <wp:extent cx="5305425" cy="5857875"/>
            <wp:effectExtent l="0" t="0" r="9525" b="9525"/>
            <wp:docPr id="5" name="Picture 5" descr="Pharmacokinetic parameters of serum functional SAR after a single SC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05425" cy="5857875"/>
                    </a:xfrm>
                    <a:prstGeom prst="rect">
                      <a:avLst/>
                    </a:prstGeom>
                  </pic:spPr>
                </pic:pic>
              </a:graphicData>
            </a:graphic>
          </wp:inline>
        </w:drawing>
      </w:r>
    </w:p>
    <w:p w14:paraId="556BA6BD" w14:textId="77777777" w:rsidR="00160CBE" w:rsidRDefault="00160CBE" w:rsidP="00160CBE">
      <w:pPr>
        <w:pStyle w:val="Tabletitle"/>
      </w:pPr>
      <w:r w:rsidRPr="00D16242">
        <w:lastRenderedPageBreak/>
        <w:t xml:space="preserve">Table </w:t>
      </w:r>
      <w:r w:rsidR="00D16242">
        <w:t>3</w:t>
      </w:r>
      <w:r w:rsidR="00D16242" w:rsidRPr="00D16242">
        <w:t>:</w:t>
      </w:r>
      <w:r w:rsidR="004D78CD">
        <w:t xml:space="preserve"> </w:t>
      </w:r>
      <w:r>
        <w:t xml:space="preserve">Pharmacokinetic </w:t>
      </w:r>
      <w:r w:rsidR="007312A2">
        <w:t xml:space="preserve">parameters of serum functional </w:t>
      </w:r>
      <w:r>
        <w:t xml:space="preserve">SAR after </w:t>
      </w:r>
      <w:r w:rsidR="007312A2">
        <w:t>r</w:t>
      </w:r>
      <w:r>
        <w:t xml:space="preserve">epeat SC </w:t>
      </w:r>
      <w:r w:rsidR="007312A2">
        <w:t>d</w:t>
      </w:r>
      <w:r>
        <w:t>oses</w:t>
      </w:r>
    </w:p>
    <w:p w14:paraId="1DE87BA0" w14:textId="77777777" w:rsidR="00160CBE" w:rsidRDefault="00160CBE" w:rsidP="00586F98">
      <w:r>
        <w:rPr>
          <w:noProof/>
          <w:lang w:eastAsia="en-AU"/>
        </w:rPr>
        <w:drawing>
          <wp:inline distT="0" distB="0" distL="0" distR="0" wp14:anchorId="451FE50E" wp14:editId="7CB89030">
            <wp:extent cx="5334000" cy="5562600"/>
            <wp:effectExtent l="0" t="0" r="0" b="0"/>
            <wp:docPr id="6" name="Picture 6" descr="Pharmacokinetic parameters of serum functional SAR after repeat SC d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34000" cy="5562600"/>
                    </a:xfrm>
                    <a:prstGeom prst="rect">
                      <a:avLst/>
                    </a:prstGeom>
                  </pic:spPr>
                </pic:pic>
              </a:graphicData>
            </a:graphic>
          </wp:inline>
        </w:drawing>
      </w:r>
    </w:p>
    <w:p w14:paraId="7ADB703B" w14:textId="77777777" w:rsidR="00160CBE" w:rsidRPr="00160CBE" w:rsidRDefault="00160CBE" w:rsidP="00736606">
      <w:pPr>
        <w:pStyle w:val="Heading4"/>
      </w:pPr>
      <w:bookmarkStart w:id="67" w:name="_Toc241374288"/>
      <w:bookmarkStart w:id="68" w:name="_Toc272414621"/>
      <w:bookmarkStart w:id="69" w:name="_Toc290888470"/>
      <w:bookmarkStart w:id="70" w:name="_Toc464131508"/>
      <w:r w:rsidRPr="00736606">
        <w:t>Distribution</w:t>
      </w:r>
      <w:bookmarkEnd w:id="67"/>
      <w:bookmarkEnd w:id="68"/>
      <w:bookmarkEnd w:id="69"/>
      <w:bookmarkEnd w:id="70"/>
    </w:p>
    <w:p w14:paraId="4F6D6FBC" w14:textId="77777777" w:rsidR="004D78CD" w:rsidRDefault="00160CBE" w:rsidP="00160CBE">
      <w:r w:rsidRPr="00160CBE">
        <w:t>The apparent volume of distribution of SAR at steady state after intravenous administration in Study TDU10808/6R88-RA-0703 was 0.030 an</w:t>
      </w:r>
      <w:r w:rsidR="007312A2">
        <w:t>d 0.036 L/kg (approximately 2.1 to 2.5 L in a 70 </w:t>
      </w:r>
      <w:r w:rsidRPr="00160CBE">
        <w:t>kg subject) at 0.6 and 2.0 mg/kg, respectively, based on the observed data in 6 patients with RA (2 received 2.0 mg/kg and 4 received 0.2 mg/kg) after a single dose administration</w:t>
      </w:r>
      <w:r w:rsidR="004D78CD">
        <w:t>.</w:t>
      </w:r>
    </w:p>
    <w:p w14:paraId="34645325" w14:textId="77777777" w:rsidR="00160CBE" w:rsidRPr="00160CBE" w:rsidRDefault="00160CBE" w:rsidP="00160CBE">
      <w:r w:rsidRPr="00160CBE">
        <w:t>The population PK Study POH0428 estimated the apparent central volume of distribution of SAR to be 2.08 L with an apparent peripheral volume of distribution of 5.23 L, resulting in a total volume of distribution of 7.31 L. This low value suggests that the distribution of SAR is primarily limited to the circulatory system, which is a characteristic finding in monoclonal antibodies.</w:t>
      </w:r>
    </w:p>
    <w:p w14:paraId="07D66FBD" w14:textId="77777777" w:rsidR="00160CBE" w:rsidRPr="00160CBE" w:rsidRDefault="00160CBE" w:rsidP="00736606">
      <w:pPr>
        <w:pStyle w:val="Heading4"/>
      </w:pPr>
      <w:bookmarkStart w:id="71" w:name="_Toc272414622"/>
      <w:bookmarkStart w:id="72" w:name="_Toc290888471"/>
      <w:bookmarkStart w:id="73" w:name="_Toc464131509"/>
      <w:r w:rsidRPr="00736606">
        <w:t>Metabolism</w:t>
      </w:r>
      <w:bookmarkEnd w:id="71"/>
      <w:bookmarkEnd w:id="72"/>
      <w:bookmarkEnd w:id="73"/>
    </w:p>
    <w:p w14:paraId="4889491A" w14:textId="77777777" w:rsidR="004D78CD" w:rsidRDefault="00160CBE" w:rsidP="00160CBE">
      <w:r w:rsidRPr="00160CBE">
        <w:t>No specific in vitro or in vivo metabolism studies have been conducted with SAR. As a therapeutic protein, SAR is considered to be metabolised by the same catabolic pathways as endogenous proteins, which are typically broken down into small peptides and amino acids via proteolysis</w:t>
      </w:r>
      <w:r w:rsidR="004D78CD">
        <w:t>.</w:t>
      </w:r>
    </w:p>
    <w:p w14:paraId="55C64110" w14:textId="77777777" w:rsidR="00160CBE" w:rsidRPr="00160CBE" w:rsidRDefault="00160CBE" w:rsidP="00736606">
      <w:pPr>
        <w:pStyle w:val="Heading4"/>
      </w:pPr>
      <w:bookmarkStart w:id="74" w:name="_Toc241374289"/>
      <w:bookmarkStart w:id="75" w:name="_Toc272414623"/>
      <w:bookmarkStart w:id="76" w:name="_Toc290888472"/>
      <w:bookmarkStart w:id="77" w:name="_Toc464131510"/>
      <w:r w:rsidRPr="00736606">
        <w:lastRenderedPageBreak/>
        <w:t>E</w:t>
      </w:r>
      <w:bookmarkEnd w:id="74"/>
      <w:r w:rsidRPr="00736606">
        <w:t>xcretion</w:t>
      </w:r>
      <w:bookmarkEnd w:id="75"/>
      <w:bookmarkEnd w:id="76"/>
      <w:r w:rsidRPr="00160CBE">
        <w:t xml:space="preserve"> and </w:t>
      </w:r>
      <w:r w:rsidR="007312A2" w:rsidRPr="00160CBE">
        <w:t>steady state parameters</w:t>
      </w:r>
      <w:bookmarkEnd w:id="77"/>
    </w:p>
    <w:p w14:paraId="31BADBC1" w14:textId="77777777" w:rsidR="00160CBE" w:rsidRPr="00160CBE" w:rsidRDefault="00160CBE" w:rsidP="00160CBE">
      <w:r w:rsidRPr="00160CBE">
        <w:t xml:space="preserve">Overall, SAR exhibits non-linear PK characteristics with 2 distinct processes for elimination. There is a slow, linear and non-saturable elimination phase at higher serum concentrations, when target binding is at or near saturation; and a fast, nonlinear, target mediated elimination phase at lower serum concentrations. The fast elimination process is presumably a result of internalisation via endocytosis of </w:t>
      </w:r>
      <w:r w:rsidR="007312A2">
        <w:t>target bound</w:t>
      </w:r>
      <w:r w:rsidRPr="00160CBE">
        <w:t xml:space="preserve"> SAR.</w:t>
      </w:r>
    </w:p>
    <w:p w14:paraId="688D45E4" w14:textId="77777777" w:rsidR="004D78CD" w:rsidRDefault="00160CBE" w:rsidP="00160CBE">
      <w:r w:rsidRPr="00160CBE">
        <w:t>In the intravenous administration Study TDU10808/6R88-RA-0703, an increase in SAR dose from 0.6 to 2.0 mg/kg resulted in a decrease in clearance of serum functional SAR by approximately 2</w:t>
      </w:r>
      <w:r w:rsidR="007312A2">
        <w:t xml:space="preserve"> fold</w:t>
      </w:r>
      <w:r w:rsidRPr="00160CBE">
        <w:t xml:space="preserve">, from 0.0121 to 0.00596 L/kg, leading to the observed </w:t>
      </w:r>
      <w:r w:rsidR="007312A2">
        <w:t>concentration dependent mean terminal half-</w:t>
      </w:r>
      <w:r w:rsidRPr="00160CBE">
        <w:t xml:space="preserve">lives of 1.8-4.5 days. In several of the </w:t>
      </w:r>
      <w:r w:rsidR="004D78CD">
        <w:t>Phase I</w:t>
      </w:r>
      <w:r w:rsidRPr="00160CBE">
        <w:t xml:space="preserve"> studies (</w:t>
      </w:r>
      <w:r w:rsidR="007312A2">
        <w:t>for example</w:t>
      </w:r>
      <w:r w:rsidRPr="00160CBE">
        <w:t xml:space="preserve"> TDU10809/6R88-RA-0801), the observe</w:t>
      </w:r>
      <w:r w:rsidR="007312A2">
        <w:t xml:space="preserve">d half-life was 1.62 to </w:t>
      </w:r>
      <w:r w:rsidRPr="00160CBE">
        <w:t>4.58 days after a sin</w:t>
      </w:r>
      <w:r w:rsidR="007312A2">
        <w:t xml:space="preserve">gle SC administration of SAR 50 to </w:t>
      </w:r>
      <w:r w:rsidRPr="00160CBE">
        <w:t>200 mg</w:t>
      </w:r>
      <w:r w:rsidR="004D78CD">
        <w:t>.</w:t>
      </w:r>
    </w:p>
    <w:p w14:paraId="0EBF204F" w14:textId="77777777" w:rsidR="004D78CD" w:rsidRDefault="00160CBE" w:rsidP="00160CBE">
      <w:r w:rsidRPr="00160CBE">
        <w:t>The population PK analyses also supported the biphasic elimination of SAR estimating an initial elimination half-life o</w:t>
      </w:r>
      <w:r w:rsidR="007312A2">
        <w:t xml:space="preserve">f 8 to 10 days and a terminal half-life of 2 to </w:t>
      </w:r>
      <w:r w:rsidRPr="00160CBE">
        <w:t>4 days at steady state after 150 or 200 mg q2w SC doses (Study POH0428). Serum SAR concentrations after the last steady state dose were measurable up to a median time of 28 days f</w:t>
      </w:r>
      <w:r w:rsidR="007312A2">
        <w:t>or the 150 mg dose and up to 43 </w:t>
      </w:r>
      <w:r w:rsidRPr="00160CBE">
        <w:t>days after the 200 mg q2w dose. Based on Study POH0428, target mediated clearance represents a large portion of total clearance, while lin</w:t>
      </w:r>
      <w:r w:rsidR="007312A2">
        <w:t xml:space="preserve">ear clearance represents only 7 to </w:t>
      </w:r>
      <w:r w:rsidRPr="00160CBE">
        <w:t>26% of total drug clearance at 150 mg</w:t>
      </w:r>
      <w:r w:rsidR="007312A2">
        <w:t xml:space="preserve"> q2w dose and 22 to </w:t>
      </w:r>
      <w:r w:rsidRPr="00160CBE">
        <w:t>40% of total clearance at the 200 mg q2w dose</w:t>
      </w:r>
      <w:r w:rsidR="004D78CD">
        <w:t>.</w:t>
      </w:r>
    </w:p>
    <w:p w14:paraId="5547406D" w14:textId="77777777" w:rsidR="00160CBE" w:rsidRPr="00160CBE" w:rsidRDefault="00160CBE" w:rsidP="00160CBE">
      <w:r w:rsidRPr="00160CBE">
        <w:t xml:space="preserve">In the </w:t>
      </w:r>
      <w:r w:rsidR="004D78CD">
        <w:t>Phase III</w:t>
      </w:r>
      <w:r w:rsidRPr="00160CBE">
        <w:t xml:space="preserve"> studies, the mean trough serum concentrations of functional SAR indicated that steady state was reached between weeks 12 and 24 after repeated S</w:t>
      </w:r>
      <w:r w:rsidR="007312A2">
        <w:t xml:space="preserve">C q2w administration of SAR 150 to </w:t>
      </w:r>
      <w:r w:rsidRPr="00160CBE">
        <w:t>200 mg therapy. The time to steady state in a typical patient, estimated from pop</w:t>
      </w:r>
      <w:r w:rsidR="007312A2">
        <w:t xml:space="preserve">ulation PK Study POH0428 was 14 to </w:t>
      </w:r>
      <w:r w:rsidRPr="00160CBE">
        <w:t xml:space="preserve">16 weeks for </w:t>
      </w:r>
      <w:r w:rsidR="007312A2" w:rsidRPr="00160CBE">
        <w:t>AUC</w:t>
      </w:r>
      <w:r w:rsidR="007312A2" w:rsidRPr="007312A2">
        <w:rPr>
          <w:vertAlign w:val="subscript"/>
        </w:rPr>
        <w:t>0-14 days</w:t>
      </w:r>
      <w:r w:rsidR="007312A2">
        <w:t xml:space="preserve"> and 18 to </w:t>
      </w:r>
      <w:r w:rsidRPr="00160CBE">
        <w:t xml:space="preserve">20 weeks for </w:t>
      </w:r>
      <w:r w:rsidR="007312A2" w:rsidRPr="00160CBE">
        <w:t>C</w:t>
      </w:r>
      <w:r w:rsidR="007312A2" w:rsidRPr="007312A2">
        <w:rPr>
          <w:vertAlign w:val="subscript"/>
        </w:rPr>
        <w:t>trough</w:t>
      </w:r>
      <w:r w:rsidRPr="00160CBE">
        <w:t xml:space="preserve">. The accumulation ratios were determined to be 2.3 and 2.5 for </w:t>
      </w:r>
      <w:r w:rsidR="007312A2" w:rsidRPr="00160CBE">
        <w:t>AUC</w:t>
      </w:r>
      <w:r w:rsidR="007312A2" w:rsidRPr="007312A2">
        <w:rPr>
          <w:vertAlign w:val="subscript"/>
        </w:rPr>
        <w:t>0-14 days</w:t>
      </w:r>
      <w:r w:rsidRPr="00160CBE">
        <w:t xml:space="preserve"> and 2.6 and 3.0 for </w:t>
      </w:r>
      <w:r w:rsidR="007312A2" w:rsidRPr="00160CBE">
        <w:t>C</w:t>
      </w:r>
      <w:r w:rsidR="007312A2" w:rsidRPr="007312A2">
        <w:rPr>
          <w:vertAlign w:val="subscript"/>
        </w:rPr>
        <w:t>trough</w:t>
      </w:r>
      <w:r w:rsidRPr="00160CBE">
        <w:t xml:space="preserve"> after SAR 150 mg q2w and 200 mg q2w dosing regimens, respectivel</w:t>
      </w:r>
      <w:r w:rsidR="007312A2">
        <w:t>y;</w:t>
      </w:r>
      <w:r w:rsidRPr="00160CBE">
        <w:t xml:space="preserve"> refer </w:t>
      </w:r>
      <w:r w:rsidRPr="00D16242">
        <w:t xml:space="preserve">to Table </w:t>
      </w:r>
      <w:r w:rsidR="00D16242">
        <w:t>4</w:t>
      </w:r>
      <w:r w:rsidRPr="00D16242">
        <w:t>.</w:t>
      </w:r>
    </w:p>
    <w:p w14:paraId="297F8B9D" w14:textId="6CB302C9" w:rsidR="00160CBE" w:rsidRDefault="00160CBE" w:rsidP="003403F3">
      <w:pPr>
        <w:pStyle w:val="Tabletitle"/>
      </w:pPr>
      <w:r w:rsidRPr="00D16242">
        <w:t xml:space="preserve">Table </w:t>
      </w:r>
      <w:r w:rsidR="00D16242">
        <w:t>4</w:t>
      </w:r>
      <w:r w:rsidR="00D16242" w:rsidRPr="00D16242">
        <w:t>:</w:t>
      </w:r>
      <w:r w:rsidR="004D78CD" w:rsidRPr="00D16242">
        <w:t xml:space="preserve"> </w:t>
      </w:r>
      <w:r w:rsidRPr="003403F3">
        <w:t>Pharmacokinetic</w:t>
      </w:r>
      <w:r w:rsidRPr="00D16242">
        <w:t xml:space="preserve"> </w:t>
      </w:r>
      <w:r w:rsidR="00D16242" w:rsidRPr="00736606">
        <w:t>parameters</w:t>
      </w:r>
      <w:r w:rsidR="00D16242" w:rsidRPr="00D16242">
        <w:t xml:space="preserve"> of serum functional </w:t>
      </w:r>
      <w:r w:rsidRPr="00D16242">
        <w:t xml:space="preserve">SAR after </w:t>
      </w:r>
      <w:r w:rsidR="00D16242" w:rsidRPr="00D16242">
        <w:t xml:space="preserve">first and repeat </w:t>
      </w:r>
      <w:r w:rsidRPr="00D16242">
        <w:t>SC</w:t>
      </w:r>
      <w:r w:rsidR="001F23CB">
        <w:t> </w:t>
      </w:r>
      <w:r w:rsidR="00D16242">
        <w:t>d</w:t>
      </w:r>
      <w:r>
        <w:t>oses</w:t>
      </w:r>
    </w:p>
    <w:p w14:paraId="1D1BBCBC" w14:textId="77777777" w:rsidR="00160CBE" w:rsidRDefault="00160CBE" w:rsidP="00586F98">
      <w:r>
        <w:rPr>
          <w:noProof/>
          <w:lang w:eastAsia="en-AU"/>
        </w:rPr>
        <w:drawing>
          <wp:inline distT="0" distB="0" distL="0" distR="0" wp14:anchorId="564F79A1" wp14:editId="5011C81C">
            <wp:extent cx="5191125" cy="2133600"/>
            <wp:effectExtent l="0" t="0" r="9525" b="0"/>
            <wp:docPr id="7" name="Picture 7" descr="Pharmacokinetic parameters of serum functional SAR after first and repeat SC d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91125" cy="2133600"/>
                    </a:xfrm>
                    <a:prstGeom prst="rect">
                      <a:avLst/>
                    </a:prstGeom>
                  </pic:spPr>
                </pic:pic>
              </a:graphicData>
            </a:graphic>
          </wp:inline>
        </w:drawing>
      </w:r>
    </w:p>
    <w:p w14:paraId="4C2442B3" w14:textId="77777777" w:rsidR="00160CBE" w:rsidRPr="00160CBE" w:rsidRDefault="00160CBE" w:rsidP="00736606">
      <w:pPr>
        <w:pStyle w:val="Heading4"/>
      </w:pPr>
      <w:bookmarkStart w:id="78" w:name="_Toc241374291"/>
      <w:bookmarkStart w:id="79" w:name="_Toc272414624"/>
      <w:bookmarkStart w:id="80" w:name="_Toc290888473"/>
      <w:bookmarkStart w:id="81" w:name="_Toc464131511"/>
      <w:r w:rsidRPr="00160CBE">
        <w:t xml:space="preserve">Intra- </w:t>
      </w:r>
      <w:r w:rsidRPr="00736606">
        <w:t>and</w:t>
      </w:r>
      <w:r w:rsidRPr="00160CBE">
        <w:t xml:space="preserve"> inter-individual variability</w:t>
      </w:r>
      <w:bookmarkEnd w:id="78"/>
      <w:r w:rsidRPr="00160CBE">
        <w:t xml:space="preserve"> of pharmacokinetics</w:t>
      </w:r>
      <w:bookmarkEnd w:id="79"/>
      <w:bookmarkEnd w:id="80"/>
      <w:bookmarkEnd w:id="81"/>
    </w:p>
    <w:p w14:paraId="261FB508" w14:textId="77777777" w:rsidR="00160CBE" w:rsidRPr="00160CBE" w:rsidRDefault="00160CBE" w:rsidP="00160CBE">
      <w:r w:rsidRPr="00160CBE">
        <w:t>SAR exhibits moderate to high PK variability in patients with RA. The observed total variability (Coefficient of Variation or CV) af</w:t>
      </w:r>
      <w:r w:rsidR="007312A2">
        <w:t xml:space="preserve">ter a single SC dose of SAR (50 to 200 mg dose range) was 30.2 to </w:t>
      </w:r>
      <w:r w:rsidRPr="00160CBE">
        <w:t xml:space="preserve">55.8% for </w:t>
      </w:r>
      <w:r w:rsidR="00E0128B" w:rsidRPr="00160CBE">
        <w:t>C</w:t>
      </w:r>
      <w:r w:rsidR="00E0128B" w:rsidRPr="00E0128B">
        <w:rPr>
          <w:vertAlign w:val="subscript"/>
        </w:rPr>
        <w:t>max</w:t>
      </w:r>
      <w:r w:rsidR="007312A2">
        <w:t xml:space="preserve">, 50.9 to </w:t>
      </w:r>
      <w:r w:rsidRPr="00160CBE">
        <w:t xml:space="preserve">92.2% for </w:t>
      </w:r>
      <w:r w:rsidR="00E0128B" w:rsidRPr="00160CBE">
        <w:t>AUC</w:t>
      </w:r>
      <w:r w:rsidR="00E0128B" w:rsidRPr="00E0128B">
        <w:rPr>
          <w:vertAlign w:val="subscript"/>
        </w:rPr>
        <w:t>last</w:t>
      </w:r>
      <w:r w:rsidR="007312A2">
        <w:t xml:space="preserve"> and 30.9 to </w:t>
      </w:r>
      <w:r w:rsidRPr="00160CBE">
        <w:t xml:space="preserve">75.1% for </w:t>
      </w:r>
      <w:r w:rsidRPr="00D16242">
        <w:t xml:space="preserve">AUC (Table </w:t>
      </w:r>
      <w:r w:rsidR="00D16242">
        <w:t>5</w:t>
      </w:r>
      <w:r w:rsidRPr="00D16242">
        <w:t>).</w:t>
      </w:r>
      <w:r w:rsidRPr="00160CBE">
        <w:t xml:space="preserve"> The observed CV in steady state trough serum concentrations after repeated SC doses of SAR was also </w:t>
      </w:r>
      <w:r w:rsidR="007312A2">
        <w:t xml:space="preserve">&gt; </w:t>
      </w:r>
      <w:r w:rsidRPr="00160CBE">
        <w:t>90%. Moreover, the population PK Study POH0428 showed large inter-individual variability in the functional SAR drug clearance (CV of 63.4%) and moderate intra-ind</w:t>
      </w:r>
      <w:r w:rsidR="007312A2">
        <w:t xml:space="preserve">ividual variability (CV of 39.5 to </w:t>
      </w:r>
      <w:r w:rsidRPr="00160CBE">
        <w:t>55.4%). At steady state,</w:t>
      </w:r>
      <w:r w:rsidR="007312A2">
        <w:t xml:space="preserve"> the total variability was 42.7 to </w:t>
      </w:r>
      <w:r w:rsidRPr="00160CBE">
        <w:t xml:space="preserve">46.0% for </w:t>
      </w:r>
      <w:r w:rsidR="00E0128B" w:rsidRPr="00160CBE">
        <w:t>C</w:t>
      </w:r>
      <w:r w:rsidR="00E0128B" w:rsidRPr="00E0128B">
        <w:rPr>
          <w:vertAlign w:val="subscript"/>
        </w:rPr>
        <w:t>max</w:t>
      </w:r>
      <w:r w:rsidR="007312A2">
        <w:t xml:space="preserve">, 52.4 to </w:t>
      </w:r>
      <w:r w:rsidRPr="00160CBE">
        <w:t xml:space="preserve">59.4% for </w:t>
      </w:r>
      <w:r w:rsidR="007312A2" w:rsidRPr="00160CBE">
        <w:lastRenderedPageBreak/>
        <w:t>AUC</w:t>
      </w:r>
      <w:r w:rsidR="007312A2" w:rsidRPr="007312A2">
        <w:rPr>
          <w:vertAlign w:val="subscript"/>
        </w:rPr>
        <w:t>0-14 days</w:t>
      </w:r>
      <w:r w:rsidR="007312A2">
        <w:t xml:space="preserve"> and 85.5 to </w:t>
      </w:r>
      <w:r w:rsidRPr="00160CBE">
        <w:t xml:space="preserve">119% for </w:t>
      </w:r>
      <w:r w:rsidR="007312A2" w:rsidRPr="00160CBE">
        <w:t>C</w:t>
      </w:r>
      <w:r w:rsidR="007312A2" w:rsidRPr="007312A2">
        <w:rPr>
          <w:vertAlign w:val="subscript"/>
        </w:rPr>
        <w:t>trough</w:t>
      </w:r>
      <w:r w:rsidRPr="00160CBE">
        <w:t xml:space="preserve"> levels. The potential effects of several intrinsic and extrinsic sources of variability on the PK of functional SAR were evaluated via population PK analysis and/or cross study comparisons (refer to section 4.2.4 of this report). However, these covariate factors failed to explain the majority of CV.</w:t>
      </w:r>
    </w:p>
    <w:p w14:paraId="2970ABE1" w14:textId="77777777" w:rsidR="00160CBE" w:rsidRPr="00160CBE" w:rsidRDefault="00160CBE" w:rsidP="00736606">
      <w:pPr>
        <w:pStyle w:val="Heading3"/>
      </w:pPr>
      <w:bookmarkStart w:id="82" w:name="_Toc241374293"/>
      <w:bookmarkStart w:id="83" w:name="_Toc272414626"/>
      <w:bookmarkStart w:id="84" w:name="_Toc290888475"/>
      <w:bookmarkStart w:id="85" w:name="_Toc464131512"/>
      <w:bookmarkStart w:id="86" w:name="_Toc519848432"/>
      <w:r w:rsidRPr="00736606">
        <w:t>Pharmacokinetics</w:t>
      </w:r>
      <w:r w:rsidRPr="00160CBE">
        <w:t xml:space="preserve"> in other special populations</w:t>
      </w:r>
      <w:bookmarkEnd w:id="82"/>
      <w:bookmarkEnd w:id="83"/>
      <w:bookmarkEnd w:id="84"/>
      <w:bookmarkEnd w:id="85"/>
      <w:bookmarkEnd w:id="86"/>
    </w:p>
    <w:p w14:paraId="627EA483" w14:textId="77777777" w:rsidR="00160CBE" w:rsidRPr="00160CBE" w:rsidRDefault="00160CBE" w:rsidP="003403F3">
      <w:pPr>
        <w:pStyle w:val="Heading4"/>
      </w:pPr>
      <w:bookmarkStart w:id="87" w:name="_Toc272414627"/>
      <w:bookmarkStart w:id="88" w:name="_Toc290888476"/>
      <w:bookmarkStart w:id="89" w:name="_Toc464131513"/>
      <w:r w:rsidRPr="00160CBE">
        <w:t xml:space="preserve">Pharmacokinetics in subjects </w:t>
      </w:r>
      <w:r w:rsidRPr="00736606">
        <w:t>with</w:t>
      </w:r>
      <w:r w:rsidRPr="00160CBE">
        <w:t xml:space="preserve"> impaired hepatic function</w:t>
      </w:r>
      <w:bookmarkEnd w:id="87"/>
      <w:bookmarkEnd w:id="88"/>
      <w:bookmarkEnd w:id="89"/>
    </w:p>
    <w:p w14:paraId="2F7A2443" w14:textId="77777777" w:rsidR="00160CBE" w:rsidRPr="00160CBE" w:rsidRDefault="00160CBE" w:rsidP="00160CBE">
      <w:r w:rsidRPr="00160CBE">
        <w:t>The sponsor has not conducted any formal hepatic impairment study with SAR. This is a common feature of submissions like SAR because monoclonal antibody therapies are not cleared through the liver and are primarily eliminated via proteolytic catabolism in endothelial cells, which are distributed throughout the body. Furthermore, the population PK Study POH0428 did not identify any correlation between serum SAR concentration and liver function test values (serum AST, ALT or total bilirubin levels).</w:t>
      </w:r>
    </w:p>
    <w:p w14:paraId="7BCDDCAD" w14:textId="77777777" w:rsidR="00160CBE" w:rsidRPr="00160CBE" w:rsidRDefault="00160CBE" w:rsidP="00160CBE">
      <w:pPr>
        <w:pStyle w:val="Heading4"/>
      </w:pPr>
      <w:bookmarkStart w:id="90" w:name="_Toc272414628"/>
      <w:bookmarkStart w:id="91" w:name="_Toc290888477"/>
      <w:bookmarkStart w:id="92" w:name="_Toc464131514"/>
      <w:r w:rsidRPr="00160CBE">
        <w:t>Pharmacokinetics in subjects with impaired renal function</w:t>
      </w:r>
      <w:bookmarkEnd w:id="90"/>
      <w:bookmarkEnd w:id="91"/>
      <w:bookmarkEnd w:id="92"/>
    </w:p>
    <w:p w14:paraId="2397DDD9" w14:textId="24633AF6" w:rsidR="00160CBE" w:rsidRPr="00160CBE" w:rsidRDefault="00160CBE" w:rsidP="00160CBE">
      <w:r w:rsidRPr="00160CBE">
        <w:t>The sponsor has not conducted any formal renal impairment study with SAR. The majority of patients with RA in the population PK dataset had either normal renal function (n</w:t>
      </w:r>
      <w:r w:rsidR="004D78CD">
        <w:t xml:space="preserve"> =</w:t>
      </w:r>
      <w:r w:rsidR="007312A2">
        <w:t xml:space="preserve"> </w:t>
      </w:r>
      <w:r w:rsidRPr="00160CBE">
        <w:t>1225, 69%) or mild renal impairment (n</w:t>
      </w:r>
      <w:r w:rsidR="004D78CD">
        <w:t xml:space="preserve"> = </w:t>
      </w:r>
      <w:r w:rsidRPr="00160CBE">
        <w:t>471 subjects, 27%). A small number of patients had moderate renal impairment (n</w:t>
      </w:r>
      <w:r w:rsidR="004D78CD">
        <w:t xml:space="preserve"> = </w:t>
      </w:r>
      <w:r w:rsidRPr="00160CBE">
        <w:t xml:space="preserve">74 subjects, 4% overall) and severe renal impairment (creatinine clearance </w:t>
      </w:r>
      <w:r w:rsidR="00BF33B8">
        <w:t>(</w:t>
      </w:r>
      <w:r w:rsidRPr="00160CBE">
        <w:t>CrCL</w:t>
      </w:r>
      <w:r w:rsidR="00BF33B8">
        <w:t>)</w:t>
      </w:r>
      <w:r w:rsidRPr="00160CBE">
        <w:t xml:space="preserve"> </w:t>
      </w:r>
      <w:r w:rsidR="007312A2">
        <w:t xml:space="preserve">&lt; </w:t>
      </w:r>
      <w:r w:rsidRPr="00160CBE">
        <w:t xml:space="preserve">30 mL/min) was an exclusion criterion for all </w:t>
      </w:r>
      <w:r w:rsidR="004D78CD">
        <w:t>Phase III</w:t>
      </w:r>
      <w:r w:rsidRPr="00160CBE">
        <w:t xml:space="preserve"> studies. Although CrCL (based on the Cockcroft-Gault formula normalised by BSA) was a statistically significant covariate for clearance in the population PK analysis, the impact of CrCL on clearance did not translate into an appreciable effect on functional SAR exposure (</w:t>
      </w:r>
      <w:r w:rsidR="007312A2" w:rsidRPr="00160CBE">
        <w:t>AUC</w:t>
      </w:r>
      <w:r w:rsidR="007312A2" w:rsidRPr="007312A2">
        <w:rPr>
          <w:vertAlign w:val="subscript"/>
        </w:rPr>
        <w:t>0-14 days</w:t>
      </w:r>
      <w:r w:rsidRPr="00160CBE">
        <w:t>) at steady state. After SAR 150 and 200 mg q2w doses, there were only 7% and 5% respective decreases in drug exposure for a typical patient with CrCL of 120 mL/min (the 75th percentile in the population PK dataset) and 8% and 4% respective increases for a typical patient with CrCL of 83 mL/min (the 25th percentile) compared to a typical patient with CrCL of 100 mL/min (the median value in the population PK dataset).</w:t>
      </w:r>
    </w:p>
    <w:p w14:paraId="14269132" w14:textId="77777777" w:rsidR="00160CBE" w:rsidRPr="00160CBE" w:rsidRDefault="00160CBE" w:rsidP="00736606">
      <w:pPr>
        <w:pStyle w:val="Heading4"/>
      </w:pPr>
      <w:bookmarkStart w:id="93" w:name="_Toc272414629"/>
      <w:bookmarkStart w:id="94" w:name="_Toc290888478"/>
      <w:bookmarkStart w:id="95" w:name="_Toc464131515"/>
      <w:r w:rsidRPr="00736606">
        <w:t>Pharmacokinetics</w:t>
      </w:r>
      <w:r w:rsidRPr="00160CBE">
        <w:t xml:space="preserve"> according to age</w:t>
      </w:r>
      <w:bookmarkEnd w:id="93"/>
      <w:bookmarkEnd w:id="94"/>
      <w:bookmarkEnd w:id="95"/>
    </w:p>
    <w:p w14:paraId="269CE9F5" w14:textId="77777777" w:rsidR="00160CBE" w:rsidRPr="00160CBE" w:rsidRDefault="00160CBE" w:rsidP="00160CBE">
      <w:r w:rsidRPr="00160CBE">
        <w:t xml:space="preserve">No relationship between functional SAR exposure and age was observed in patients with RA in any of the clinical studies. The population PK Study POH0428, which included data from patients aged between 18 and 87 years (14% of patients in the dataset were </w:t>
      </w:r>
      <w:r w:rsidR="007312A2">
        <w:t xml:space="preserve">&gt; </w:t>
      </w:r>
      <w:r w:rsidRPr="00160CBE">
        <w:t>65 years) did not identify age as a significant covariate factor influencing the PK of SAR. The proposed PI does not recommend any dose adjustment for elderly patients.</w:t>
      </w:r>
    </w:p>
    <w:p w14:paraId="6CC817B8" w14:textId="77777777" w:rsidR="00160CBE" w:rsidRPr="00160CBE" w:rsidRDefault="00160CBE" w:rsidP="00160CBE">
      <w:pPr>
        <w:pStyle w:val="Heading4"/>
      </w:pPr>
      <w:bookmarkStart w:id="96" w:name="_Toc272414630"/>
      <w:bookmarkStart w:id="97" w:name="_Toc290888479"/>
      <w:bookmarkStart w:id="98" w:name="_Toc464131516"/>
      <w:r w:rsidRPr="00160CBE">
        <w:t>Pharmacokinetics related to genetic factors</w:t>
      </w:r>
      <w:bookmarkEnd w:id="96"/>
      <w:bookmarkEnd w:id="97"/>
      <w:bookmarkEnd w:id="98"/>
    </w:p>
    <w:p w14:paraId="5342E521" w14:textId="2C2586DF" w:rsidR="00160CBE" w:rsidRPr="00160CBE" w:rsidRDefault="00160CBE" w:rsidP="00160CBE">
      <w:r w:rsidRPr="00160CBE">
        <w:t>Study POH0428 examined the effect of ethnicity on serum SAR concentration using data from</w:t>
      </w:r>
      <w:r w:rsidR="007312A2">
        <w:t xml:space="preserve"> </w:t>
      </w:r>
      <w:r w:rsidRPr="00160CBE">
        <w:t>1</w:t>
      </w:r>
      <w:r w:rsidR="007312A2">
        <w:t>,</w:t>
      </w:r>
      <w:r w:rsidRPr="00160CBE">
        <w:t xml:space="preserve">554 Caucasian subjects (88% of the population PK dataset), 105 Asian patients (6%), 60 African American subjects (3%) and 51 patients of </w:t>
      </w:r>
      <w:r w:rsidR="00194D27">
        <w:t>‘</w:t>
      </w:r>
      <w:r w:rsidRPr="00160CBE">
        <w:t>other races</w:t>
      </w:r>
      <w:r w:rsidR="00194D27">
        <w:t>’</w:t>
      </w:r>
      <w:r w:rsidRPr="00160CBE">
        <w:t xml:space="preserve"> (3%). Ethnicity was not a significant covariate influencing functional SAR PK. In Study T</w:t>
      </w:r>
      <w:r w:rsidR="007312A2">
        <w:t>DU13402, a single SC dose of 50 </w:t>
      </w:r>
      <w:r w:rsidRPr="00160CBE">
        <w:t>mg, 100 mg or 200 mg of SAR was administered to 24 Japanese patients with RA. The study reported higher functional SAR exposure in Japanese patients compared with Caucasian subjects, when compared across the different studies. The sponsor states that this finding is likely to be explained by differences in body weight between Japanese patients (mean weight of 56.5 kg) in Study TDU13402 and Caucasian patients in the other studies (mean w</w:t>
      </w:r>
      <w:r w:rsidR="007312A2">
        <w:t xml:space="preserve">eight of 76.5 to </w:t>
      </w:r>
      <w:r w:rsidRPr="00160CBE">
        <w:t>78.2 kg). The sponsor has not proposed any dose adjustment according to ethnicity in the PI.</w:t>
      </w:r>
    </w:p>
    <w:p w14:paraId="485D036C" w14:textId="77777777" w:rsidR="00160CBE" w:rsidRPr="00160CBE" w:rsidRDefault="00160CBE" w:rsidP="00160CBE">
      <w:pPr>
        <w:pStyle w:val="Heading4"/>
      </w:pPr>
      <w:bookmarkStart w:id="99" w:name="_Toc272414631"/>
      <w:bookmarkStart w:id="100" w:name="_Toc290888480"/>
      <w:bookmarkStart w:id="101" w:name="_Toc464131517"/>
      <w:r w:rsidRPr="00160CBE">
        <w:t>Pharmacokinetics according to subject body weight and ge</w:t>
      </w:r>
      <w:bookmarkEnd w:id="99"/>
      <w:bookmarkEnd w:id="100"/>
      <w:r w:rsidRPr="00160CBE">
        <w:t>nder</w:t>
      </w:r>
      <w:bookmarkEnd w:id="101"/>
    </w:p>
    <w:p w14:paraId="3359174F" w14:textId="77777777" w:rsidR="004D78CD" w:rsidRDefault="00160CBE" w:rsidP="00160CBE">
      <w:r w:rsidRPr="00160CBE">
        <w:t xml:space="preserve">Individual studies suggested a trend toward lower functional serum SAR concentrations in subjects with a body weight </w:t>
      </w:r>
      <w:r w:rsidR="007312A2">
        <w:t xml:space="preserve">&gt; 90 to </w:t>
      </w:r>
      <w:r w:rsidRPr="00160CBE">
        <w:t xml:space="preserve">100 kg. In agreement with the observed data, the population PK Study POH0428 identified body weight as significant covariate influencing apparent linear </w:t>
      </w:r>
      <w:r w:rsidRPr="00160CBE">
        <w:lastRenderedPageBreak/>
        <w:t>and non-linear drug clearance with a reduced drug exposure (</w:t>
      </w:r>
      <w:r w:rsidR="007312A2" w:rsidRPr="00160CBE">
        <w:t>AUC</w:t>
      </w:r>
      <w:r w:rsidR="007312A2" w:rsidRPr="007312A2">
        <w:rPr>
          <w:vertAlign w:val="subscript"/>
        </w:rPr>
        <w:t>0-14 days</w:t>
      </w:r>
      <w:r w:rsidRPr="00160CBE">
        <w:t>) in individuals with higher body weights. After repeated 150 mg and 200 mg q2w doses of SAR, there were 23% and 20% respective decreases for a typical patient weighing 83 kg (the 75th percentile in the population PK dataset) and 25% and 20% respective increases for a typical patient weighing 62 kg (the 25th percentile) compared to a typical patient weighing 71 kg (the median weight). The impact of body weight is greater at the extremes of the range (the 5th to 95th percentiles in the population PK dataset), as evidenced by 46% and 45% respective decreases for a typical patient weighing 106 kg (the 95th percentile) and 75% and 57% respective increases for a typical patient weighing 50 kg (the 5th percentile), when compared to a typical patient weighing 71 kg (the median weight). Body weight had a greater effect on stead</w:t>
      </w:r>
      <w:r w:rsidR="007312A2">
        <w:t>y state SAR exposure at the 150 </w:t>
      </w:r>
      <w:r w:rsidRPr="00160CBE">
        <w:t xml:space="preserve">mg q2w dose versus the 200 mg q2w regimen. This finding is consistent with the impact of body weight on non-linear drug clearance, which is predominant at lower drug concentrations. </w:t>
      </w:r>
      <w:r w:rsidRPr="00D16242">
        <w:t xml:space="preserve">Table </w:t>
      </w:r>
      <w:r w:rsidR="00D16242">
        <w:t>5</w:t>
      </w:r>
      <w:r w:rsidRPr="00D16242">
        <w:t xml:space="preserve"> provides</w:t>
      </w:r>
      <w:r w:rsidRPr="00160CBE">
        <w:t xml:space="preserve"> a summary of the impact of body weight upon functional serum SAR concentration at steady state. The effect of body weight on PK is consistent with clinical efficacy data, which showed a numerically lower rate of ACR20 response at </w:t>
      </w:r>
      <w:r w:rsidR="002F4291">
        <w:t>Week</w:t>
      </w:r>
      <w:r w:rsidRPr="00160CBE">
        <w:t xml:space="preserve"> 24 (primary clinical efficacy endpoint) for patients weighing </w:t>
      </w:r>
      <w:r w:rsidR="007312A2">
        <w:t xml:space="preserve">≥ </w:t>
      </w:r>
      <w:r w:rsidRPr="00160CBE">
        <w:t>100 kg treated with SAR 150 mg q2w when compared to placebo. However, no consistent effect of high subject weight was seen for any of the other co-primary or secondary clinical efficacy endpoints</w:t>
      </w:r>
      <w:r w:rsidR="004D78CD">
        <w:t>.</w:t>
      </w:r>
    </w:p>
    <w:p w14:paraId="7BDFF9B4" w14:textId="726A29C6" w:rsidR="00160CBE" w:rsidRPr="00160CBE" w:rsidRDefault="00160CBE" w:rsidP="003403F3">
      <w:pPr>
        <w:pStyle w:val="Tabletitle"/>
      </w:pPr>
      <w:r w:rsidRPr="00D16242">
        <w:t xml:space="preserve">Table </w:t>
      </w:r>
      <w:r w:rsidR="00D16242" w:rsidRPr="00D16242">
        <w:t>5:</w:t>
      </w:r>
      <w:r w:rsidR="004D78CD" w:rsidRPr="00D16242">
        <w:t xml:space="preserve"> </w:t>
      </w:r>
      <w:r w:rsidRPr="00D16242">
        <w:t>Functional</w:t>
      </w:r>
      <w:r w:rsidRPr="00160CBE">
        <w:t xml:space="preserve"> </w:t>
      </w:r>
      <w:r w:rsidR="007312A2" w:rsidRPr="003403F3">
        <w:t>s</w:t>
      </w:r>
      <w:r w:rsidRPr="003403F3">
        <w:t>arilumab</w:t>
      </w:r>
      <w:r w:rsidRPr="00160CBE">
        <w:t xml:space="preserve"> steady state exposure by body weight category in Study</w:t>
      </w:r>
      <w:r w:rsidR="001F23CB">
        <w:t> </w:t>
      </w:r>
      <w:r w:rsidRPr="00160CBE">
        <w:t>POH0428</w:t>
      </w:r>
    </w:p>
    <w:p w14:paraId="5A7B5D95" w14:textId="77777777" w:rsidR="00160CBE" w:rsidRDefault="00984208" w:rsidP="00586F98">
      <w:r>
        <w:rPr>
          <w:noProof/>
          <w:lang w:eastAsia="en-AU"/>
        </w:rPr>
        <w:drawing>
          <wp:inline distT="0" distB="0" distL="0" distR="0" wp14:anchorId="2CE934FB" wp14:editId="27725D39">
            <wp:extent cx="5324475" cy="2028825"/>
            <wp:effectExtent l="0" t="0" r="9525" b="9525"/>
            <wp:docPr id="8" name="Picture 8" descr="Functional sarilumab steady state exposure by body weight category in Study POH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24475" cy="2028825"/>
                    </a:xfrm>
                    <a:prstGeom prst="rect">
                      <a:avLst/>
                    </a:prstGeom>
                  </pic:spPr>
                </pic:pic>
              </a:graphicData>
            </a:graphic>
          </wp:inline>
        </w:drawing>
      </w:r>
    </w:p>
    <w:p w14:paraId="49C20C3F" w14:textId="77777777" w:rsidR="00984208" w:rsidRPr="00984208" w:rsidRDefault="00984208" w:rsidP="00984208">
      <w:r w:rsidRPr="00984208">
        <w:t>The population PK Study POH0428 collected functional serum SAR concentration data from a total of 304 male and 1</w:t>
      </w:r>
      <w:r w:rsidR="007312A2">
        <w:t>,</w:t>
      </w:r>
      <w:r w:rsidRPr="00984208">
        <w:t>466 female patients with RA and identified gender as a potentially significant covariate impacting upon apparent linear drug clearance. However, the effect of gender was minimal and translated into 12% and 14% lower SAR steady state exposures (</w:t>
      </w:r>
      <w:r w:rsidR="007312A2" w:rsidRPr="00160CBE">
        <w:t>AUC</w:t>
      </w:r>
      <w:r w:rsidR="007312A2">
        <w:rPr>
          <w:vertAlign w:val="subscript"/>
        </w:rPr>
        <w:t>0</w:t>
      </w:r>
      <w:r w:rsidR="007312A2">
        <w:rPr>
          <w:vertAlign w:val="subscript"/>
        </w:rPr>
        <w:noBreakHyphen/>
      </w:r>
      <w:r w:rsidR="007312A2" w:rsidRPr="007312A2">
        <w:rPr>
          <w:vertAlign w:val="subscript"/>
        </w:rPr>
        <w:t>14 days</w:t>
      </w:r>
      <w:r w:rsidRPr="00984208">
        <w:t>) after repeated 150 and 200 mg q2w administrations, respectively, for a typical male patient, as compared to a typical female patient. The sponsor is not proposing any dose adjustments because of gender.</w:t>
      </w:r>
    </w:p>
    <w:p w14:paraId="345CB50A" w14:textId="77777777" w:rsidR="00984208" w:rsidRPr="00984208" w:rsidRDefault="00984208" w:rsidP="00984208">
      <w:pPr>
        <w:pStyle w:val="Heading3"/>
      </w:pPr>
      <w:bookmarkStart w:id="102" w:name="_Toc241374294"/>
      <w:bookmarkStart w:id="103" w:name="_Toc272414632"/>
      <w:bookmarkStart w:id="104" w:name="_Toc290888481"/>
      <w:bookmarkStart w:id="105" w:name="_Toc464131518"/>
      <w:bookmarkStart w:id="106" w:name="_Toc519848433"/>
      <w:r w:rsidRPr="00984208">
        <w:t>Pharmacokinetic interactions</w:t>
      </w:r>
      <w:bookmarkEnd w:id="102"/>
      <w:bookmarkEnd w:id="103"/>
      <w:bookmarkEnd w:id="104"/>
      <w:bookmarkEnd w:id="105"/>
      <w:bookmarkEnd w:id="106"/>
    </w:p>
    <w:p w14:paraId="639A068A" w14:textId="77777777" w:rsidR="00984208" w:rsidRPr="00984208" w:rsidRDefault="00984208" w:rsidP="003403F3">
      <w:pPr>
        <w:pStyle w:val="Heading4"/>
      </w:pPr>
      <w:bookmarkStart w:id="107" w:name="_Toc272414633"/>
      <w:bookmarkStart w:id="108" w:name="_Toc290888482"/>
      <w:bookmarkStart w:id="109" w:name="_Toc464131519"/>
      <w:r w:rsidRPr="003403F3">
        <w:t>Pharmacokinetic</w:t>
      </w:r>
      <w:r w:rsidRPr="00984208">
        <w:t xml:space="preserve"> interactions demonstrated in human studies</w:t>
      </w:r>
      <w:bookmarkEnd w:id="107"/>
      <w:bookmarkEnd w:id="108"/>
      <w:bookmarkEnd w:id="109"/>
    </w:p>
    <w:p w14:paraId="26F9C808" w14:textId="77777777" w:rsidR="00984208" w:rsidRPr="00984208" w:rsidRDefault="00984208" w:rsidP="00984208">
      <w:r w:rsidRPr="00984208">
        <w:t>SAR was not anticipated to interact directly with cytochrome P450 (CYP) en</w:t>
      </w:r>
      <w:r w:rsidR="007312A2">
        <w:t xml:space="preserve">zymes, but CYP enzymes are down </w:t>
      </w:r>
      <w:r w:rsidRPr="00984208">
        <w:t xml:space="preserve">regulated by inflammatory cytokines such as IL-6. Hence, inhibitors of IL-6 may restore CYP activity to that of the non-inflammatory state, leading to increased metabolism of CYP substrates. IL-6 reduces mRNA expression for several CYP450 isoenzymes including CYP1A2, CYP2B6, CYP2C9, CYP2C19, CYP2D6 and CYP3A4. CYP3A4 expression has been shown to be reversed by another anti-IL-6 therapy (tocilizumab) at clinically relevant concentrations both in vitro and in vivo (Dickmann et al, 2011). Because of this knowledge, a specific PK study to assess the effect of SAR on simvastatin, a sensitive CYP3A4 substrate, was conducted in </w:t>
      </w:r>
      <w:r w:rsidRPr="00984208">
        <w:lastRenderedPageBreak/>
        <w:t xml:space="preserve">patients with RA. Study INT12684 was an </w:t>
      </w:r>
      <w:r w:rsidR="004D78CD">
        <w:t>open label</w:t>
      </w:r>
      <w:r w:rsidR="007312A2">
        <w:t xml:space="preserve">, 2-treatment, single </w:t>
      </w:r>
      <w:r w:rsidRPr="00984208">
        <w:t xml:space="preserve">sequence, 2 period trial to evaluate the effects of a single 200 mg SC injection of SAR on the PK of a single 40 mg oral dose of simvastatin. On </w:t>
      </w:r>
      <w:r w:rsidR="00E0128B">
        <w:t>Day</w:t>
      </w:r>
      <w:r w:rsidRPr="00984208">
        <w:t xml:space="preserve"> 1 of Period 1, 19 patients received 40 mg oral simvastatin. In Period 2, they received SAR 200 mg by SC injection on </w:t>
      </w:r>
      <w:r w:rsidR="00E0128B">
        <w:t>Day</w:t>
      </w:r>
      <w:r w:rsidRPr="00984208">
        <w:t xml:space="preserve"> 1 followed by 40 mg oral simvastatin under fed conditions on </w:t>
      </w:r>
      <w:r w:rsidR="00E0128B">
        <w:t>Day</w:t>
      </w:r>
      <w:r w:rsidRPr="00984208">
        <w:t xml:space="preserve"> 8. Blood samples for PK analysis of simvastatin and simvastatin acid were collected pre-dose and 0.5, 1.0, 1.5, 2.0, 4.0, 6.0, 8.0, 10.0, 12.0 and 24.0 hours post-dose on </w:t>
      </w:r>
      <w:r w:rsidR="00E0128B">
        <w:t>Day</w:t>
      </w:r>
      <w:r w:rsidRPr="00984208">
        <w:t xml:space="preserve"> 1 of Period 1 and on </w:t>
      </w:r>
      <w:r w:rsidR="00E0128B">
        <w:t>Day</w:t>
      </w:r>
      <w:r w:rsidRPr="00984208">
        <w:t xml:space="preserve"> 8 of Period 2. Plasma concentrations of simvastatin and simvastatin acid were determined using a validated liquid chromatography-tandem mass spectrometry method. Non-compartmental PK parameters (</w:t>
      </w:r>
      <w:r w:rsidR="00E0128B" w:rsidRPr="00160CBE">
        <w:t>C</w:t>
      </w:r>
      <w:r w:rsidR="00E0128B" w:rsidRPr="00E0128B">
        <w:rPr>
          <w:vertAlign w:val="subscript"/>
        </w:rPr>
        <w:t>max</w:t>
      </w:r>
      <w:r w:rsidRPr="00984208">
        <w:t xml:space="preserve">, </w:t>
      </w:r>
      <w:r w:rsidR="00E0128B" w:rsidRPr="00160CBE">
        <w:t>T</w:t>
      </w:r>
      <w:r w:rsidR="00E0128B" w:rsidRPr="00E0128B">
        <w:rPr>
          <w:vertAlign w:val="subscript"/>
        </w:rPr>
        <w:t>max</w:t>
      </w:r>
      <w:r w:rsidRPr="00984208">
        <w:t xml:space="preserve">, </w:t>
      </w:r>
      <w:r w:rsidR="00E0128B" w:rsidRPr="00160CBE">
        <w:t>AUC</w:t>
      </w:r>
      <w:r w:rsidR="00E0128B" w:rsidRPr="00E0128B">
        <w:rPr>
          <w:vertAlign w:val="subscript"/>
        </w:rPr>
        <w:t>last</w:t>
      </w:r>
      <w:r w:rsidRPr="00984208">
        <w:t xml:space="preserve">, AUC and half-life) were determined for simvastatin and simvastatin acid. Geometric mean ratios for (simvastatin + SAR/simvastatin alone) for </w:t>
      </w:r>
      <w:r w:rsidR="00E0128B" w:rsidRPr="00160CBE">
        <w:t>C</w:t>
      </w:r>
      <w:r w:rsidR="00E0128B" w:rsidRPr="00E0128B">
        <w:rPr>
          <w:vertAlign w:val="subscript"/>
        </w:rPr>
        <w:t>max</w:t>
      </w:r>
      <w:r w:rsidRPr="00984208">
        <w:t xml:space="preserve">, </w:t>
      </w:r>
      <w:r w:rsidR="00E0128B" w:rsidRPr="00160CBE">
        <w:t>AUC</w:t>
      </w:r>
      <w:r w:rsidR="00E0128B" w:rsidRPr="00E0128B">
        <w:rPr>
          <w:vertAlign w:val="subscript"/>
        </w:rPr>
        <w:t>last</w:t>
      </w:r>
      <w:r w:rsidRPr="00984208">
        <w:t xml:space="preserve"> and AUC, as well as their 90% confidence intervals (CIs) were determined for both analytes. Administration of a single SC dose of 200 mg SAR with a single oral dose of 40 mg simvastatin to patients with RA resulted in reduced exposure to simvastatin (45% reduction) and simvastatin acid (36% reduction), which is similar to the findings with tocilizumab (a 57% decrease in simvastatin exposure). A cross study comparison of the effect of concomitant administration of MTX with SAR versus a SAR monotherapy treatment population in Study EFC13752 showed considerable overlap in functional serum SAR concentrations across the studies, suggesting that there is no significant effect of MTX on the PK of SAR. In addition, the population PK Study POH0428 had serum SAR concentration data from 1</w:t>
      </w:r>
      <w:r w:rsidR="007312A2">
        <w:t>,</w:t>
      </w:r>
      <w:r w:rsidRPr="00984208">
        <w:t>619 patients with RA, who had received concurrent MTX (91% of the total dataset) and did not identify MTX as a significant covariate influencing functional SAR PK. Moreover, the same population PK study found that prior biologic treatment exposure for RA did not have an effect on the PK of functional SAR concentrations.</w:t>
      </w:r>
    </w:p>
    <w:p w14:paraId="577BA3F6" w14:textId="77777777" w:rsidR="00984208" w:rsidRPr="00984208" w:rsidRDefault="00984208" w:rsidP="00984208">
      <w:r w:rsidRPr="00984208">
        <w:t xml:space="preserve">The occurrence (transient and persistent) and type (neutralising or not) of testing positive for anti-drug antibodies (ADA) was tested throughout the </w:t>
      </w:r>
      <w:r w:rsidR="004D78CD">
        <w:t>Phase I</w:t>
      </w:r>
      <w:r w:rsidRPr="00984208">
        <w:t>-</w:t>
      </w:r>
      <w:r w:rsidR="007312A2">
        <w:t>III</w:t>
      </w:r>
      <w:r w:rsidRPr="00984208">
        <w:t xml:space="preserve"> clinical study program for SAR. For more details on the ADA data refer to sections 8.5.8 and 8.7.5 of this report. Patients who received SAR with concomitant MTX in the </w:t>
      </w:r>
      <w:r w:rsidR="004D78CD">
        <w:t>Phase III</w:t>
      </w:r>
      <w:r w:rsidRPr="00984208">
        <w:t xml:space="preserve"> studies had a lower incidence of ADA than patients who received SAR without MTX in the </w:t>
      </w:r>
      <w:r w:rsidR="007312A2">
        <w:t>monotherapy population of Study </w:t>
      </w:r>
      <w:r w:rsidRPr="00984208">
        <w:t>EFC13752. The overall incidence of positive ADA status with SAR 150 q2w therapy was 24.6% and for 200 mg q2w treatment was 18.2%. There was a considerable overlap in the serum SAR trough concentrations of ADA positive and negative patients, although mean concentrations were generally lower in ADA positive patients versus ADA negative patients. Consistent with this observation</w:t>
      </w:r>
      <w:r>
        <w:t xml:space="preserve">, ADA status was </w:t>
      </w:r>
      <w:r w:rsidRPr="00984208">
        <w:t>identified as a significant covariate impacting linear clearance in the population PK Study POH0428. Patients with A</w:t>
      </w:r>
      <w:r w:rsidR="007312A2">
        <w:t xml:space="preserve">DA positive status exhibited 24 to </w:t>
      </w:r>
      <w:r w:rsidRPr="00984208">
        <w:t>28% lower SAR exposure (</w:t>
      </w:r>
      <w:r w:rsidR="007312A2" w:rsidRPr="00160CBE">
        <w:t>AUC</w:t>
      </w:r>
      <w:r w:rsidR="007312A2" w:rsidRPr="007312A2">
        <w:rPr>
          <w:vertAlign w:val="subscript"/>
        </w:rPr>
        <w:t>0-14 days</w:t>
      </w:r>
      <w:r w:rsidRPr="00984208">
        <w:t>) than patients who were ADA negative. Additionally, SAR exposure in neutralising antibody positive patients was lower t</w:t>
      </w:r>
      <w:r w:rsidR="007312A2">
        <w:t xml:space="preserve">han in negative patients (by 49 to </w:t>
      </w:r>
      <w:r w:rsidRPr="00984208">
        <w:t>59%, based on post-hoc exposure data from the population PK analysis. Among the ADA positive patients, SAR exposure in patients with a persiste</w:t>
      </w:r>
      <w:r w:rsidR="007312A2">
        <w:t xml:space="preserve">nt ADA response was lower by 32 to </w:t>
      </w:r>
      <w:r w:rsidRPr="00984208">
        <w:t xml:space="preserve">41% than in patients with transient ADA response. In the integrated safety dataset, no clear impact on the rate of treatment discontinuation due to a lack or loss of efficacy was observed in patients who were ADA positive (using the </w:t>
      </w:r>
      <w:r w:rsidR="004D78CD">
        <w:t>Phase III</w:t>
      </w:r>
      <w:r w:rsidRPr="00984208">
        <w:t xml:space="preserve"> studies dataset).</w:t>
      </w:r>
    </w:p>
    <w:p w14:paraId="3D4DF207" w14:textId="77777777" w:rsidR="00984208" w:rsidRPr="00984208" w:rsidRDefault="00984208" w:rsidP="003403F3">
      <w:pPr>
        <w:pStyle w:val="Heading3"/>
      </w:pPr>
      <w:bookmarkStart w:id="110" w:name="_Toc241374296"/>
      <w:bookmarkStart w:id="111" w:name="_Ref269982040"/>
      <w:bookmarkStart w:id="112" w:name="_Ref271018704"/>
      <w:bookmarkStart w:id="113" w:name="_Ref271018755"/>
      <w:bookmarkStart w:id="114" w:name="_Toc272414635"/>
      <w:bookmarkStart w:id="115" w:name="_Toc290888484"/>
      <w:bookmarkStart w:id="116" w:name="_Toc464131520"/>
      <w:bookmarkStart w:id="117" w:name="_Toc519848434"/>
      <w:r w:rsidRPr="00984208">
        <w:t xml:space="preserve">Evaluator’s </w:t>
      </w:r>
      <w:r w:rsidRPr="003403F3">
        <w:t>overall</w:t>
      </w:r>
      <w:r w:rsidRPr="00984208">
        <w:t xml:space="preserve"> conclusions on pharmacokinetics</w:t>
      </w:r>
      <w:bookmarkEnd w:id="110"/>
      <w:bookmarkEnd w:id="111"/>
      <w:bookmarkEnd w:id="112"/>
      <w:bookmarkEnd w:id="113"/>
      <w:bookmarkEnd w:id="114"/>
      <w:bookmarkEnd w:id="115"/>
      <w:bookmarkEnd w:id="116"/>
      <w:bookmarkEnd w:id="117"/>
    </w:p>
    <w:p w14:paraId="724AD254" w14:textId="77777777" w:rsidR="004D78CD" w:rsidRDefault="00984208" w:rsidP="00984208">
      <w:r w:rsidRPr="00984208">
        <w:t>The PK of SAR in adult patients with active RA has been well characterised in the studies included in this submission. SAR exhibits non-linear PK with target mediated drug disposition. It is well absorbed after SC administration (</w:t>
      </w:r>
      <w:r w:rsidR="00E0128B" w:rsidRPr="00160CBE">
        <w:t>T</w:t>
      </w:r>
      <w:r w:rsidR="00E0128B" w:rsidRPr="00E0128B">
        <w:rPr>
          <w:vertAlign w:val="subscript"/>
        </w:rPr>
        <w:t>max</w:t>
      </w:r>
      <w:r w:rsidR="008B50BF">
        <w:t xml:space="preserve"> of 2 to </w:t>
      </w:r>
      <w:r w:rsidRPr="00984208">
        <w:t>4 days and estimated bioavailability of 80%), exhibits a low apparent volume of distribution (7.3 L) and undergoes elimination by parallel linear and non-linear pathways. At higher serum concentrations, elimination is predominantly through the linear, non-saturable proteolytic pathway and at a lower drug concentration; the non-linear saturable target-mediated elimination pathway predominates. The elimination pathways resu</w:t>
      </w:r>
      <w:r w:rsidR="007312A2">
        <w:t xml:space="preserve">lt in an initial half-life of 8 to </w:t>
      </w:r>
      <w:r w:rsidRPr="00984208">
        <w:t>10 days and a terminal concent</w:t>
      </w:r>
      <w:r w:rsidR="007312A2">
        <w:t xml:space="preserve">ration dependent half-life of 2 to </w:t>
      </w:r>
      <w:r w:rsidRPr="00984208">
        <w:t xml:space="preserve">4 days. After the last steady state doses of SAR 150 </w:t>
      </w:r>
      <w:r w:rsidRPr="00984208">
        <w:lastRenderedPageBreak/>
        <w:t>q2w and 200 mg q2w therapy, the median times to non-detectable drug concentrations are 28 and 43 days, respectively. SAR exposure increases in a greater than dose proportional manner. The main source of intrinsic PK variability identified in patients using population PK analysis is body weight, with an increase in weight resulting in reduced drug exposure. No other demographic characteristics (age, ethnicity or gender) have a significant effect on the PK of SAR. There is no data in patients with severe renal or hepatic impairment. The concomitant administration of low dose oral MTX has no effect on the PK of SAR, nor does prior biologic DMARD treatment. However, exposure of simvastatin (a sensitive CYP3A4 substrate) decreases by 45% when co-administered with a single SC dose of SAR 200 mg. This finding is consistent with inhibition of IL-6 signalling resulting in restoration of CYP activity, leading to increased metabolism of drugs that are CYP substrates. The effect of SAR on CYP enzymes may be clinically relevant for a CYP substrate with a narrow therapeutic index</w:t>
      </w:r>
      <w:r w:rsidR="004D78CD">
        <w:t>.</w:t>
      </w:r>
    </w:p>
    <w:p w14:paraId="3B73CDE9" w14:textId="77777777" w:rsidR="004D78CD" w:rsidRDefault="00984208" w:rsidP="00984208">
      <w:r w:rsidRPr="00984208">
        <w:t xml:space="preserve">Positive ADA status has a significant impact on </w:t>
      </w:r>
      <w:r w:rsidR="007312A2">
        <w:t xml:space="preserve">the PK of SAR resulting in a 24 to </w:t>
      </w:r>
      <w:r w:rsidRPr="00984208">
        <w:t>28% lower drug exposure when compared to ADA negative patients. If patients exhibit a persistently positive response to ADA then drug exposure is even lower (by 3</w:t>
      </w:r>
      <w:r w:rsidR="007312A2">
        <w:t xml:space="preserve">2 to </w:t>
      </w:r>
      <w:r w:rsidRPr="00984208">
        <w:t>41%) than in patients with transient positive ADA response. SAR concentrations of neutralising antibody positive patients appeared to be even lower versus neutralising an</w:t>
      </w:r>
      <w:r w:rsidR="007312A2">
        <w:t xml:space="preserve">tibody negative patients (by 49 to </w:t>
      </w:r>
      <w:r w:rsidRPr="00984208">
        <w:t>59%)</w:t>
      </w:r>
      <w:r w:rsidR="004D78CD">
        <w:t>.</w:t>
      </w:r>
    </w:p>
    <w:p w14:paraId="64AF44F9" w14:textId="77777777" w:rsidR="00586F98" w:rsidRDefault="00586F98" w:rsidP="00586F98">
      <w:pPr>
        <w:pStyle w:val="Heading2"/>
      </w:pPr>
      <w:bookmarkStart w:id="118" w:name="_Toc519848435"/>
      <w:r>
        <w:t>Pharmacodynamics</w:t>
      </w:r>
      <w:bookmarkEnd w:id="118"/>
    </w:p>
    <w:p w14:paraId="32F602CA" w14:textId="77777777" w:rsidR="00984208" w:rsidRPr="00984208" w:rsidRDefault="00984208" w:rsidP="00984208">
      <w:pPr>
        <w:pStyle w:val="Heading3"/>
      </w:pPr>
      <w:bookmarkStart w:id="119" w:name="_Toc272414637"/>
      <w:bookmarkStart w:id="120" w:name="_Toc290888486"/>
      <w:bookmarkStart w:id="121" w:name="_Toc464131522"/>
      <w:bookmarkStart w:id="122" w:name="_Toc519848436"/>
      <w:r w:rsidRPr="00984208">
        <w:t>Studies providing pharmacodynamic data</w:t>
      </w:r>
      <w:bookmarkEnd w:id="119"/>
      <w:bookmarkEnd w:id="120"/>
      <w:bookmarkEnd w:id="121"/>
      <w:bookmarkEnd w:id="122"/>
    </w:p>
    <w:p w14:paraId="22D5BC4D" w14:textId="77777777" w:rsidR="004D78CD" w:rsidRDefault="00984208" w:rsidP="003403F3">
      <w:r w:rsidRPr="00984208">
        <w:t>The ability of SAR to bind and capture circulating IL-6 has been formally validated in several clinical studies involving adult patients with active RA. The PD effect of SAR has been primarily assessed by the measurement of several serum inflammatory markers and serum sIL-6R (soluble IL-6 receptor). Total sIL-6R can be regarded as a biomarker for SAR and is indicative of target engagement. Total sIL-6R is defined as free IL-6R plus IL-6R complexed with SAR after drug exposure</w:t>
      </w:r>
      <w:r w:rsidR="004D78CD">
        <w:t>.</w:t>
      </w:r>
    </w:p>
    <w:p w14:paraId="7CA5A34C" w14:textId="77777777" w:rsidR="00984208" w:rsidRPr="00984208" w:rsidRDefault="00984208" w:rsidP="00984208">
      <w:r w:rsidRPr="00984208">
        <w:t xml:space="preserve">In this submission, the sponsor has presented pharmacodynamic (PD) data collected in 5 </w:t>
      </w:r>
      <w:r w:rsidR="007312A2">
        <w:t>Phase </w:t>
      </w:r>
      <w:r w:rsidR="004D78CD">
        <w:t>I</w:t>
      </w:r>
      <w:r w:rsidRPr="00984208">
        <w:t xml:space="preserve"> studies (Studies TDU10808/6R88-RA-0703, TDU10809/6R88-RA-0801, TDR10805/6R88-RA-0802, ACT10804/6R88-RA-0803 and 6R88-RA-1309), 1 </w:t>
      </w:r>
      <w:r w:rsidR="004D78CD">
        <w:t>Phase II</w:t>
      </w:r>
      <w:r w:rsidRPr="00984208">
        <w:t xml:space="preserve"> study (Study EFC11072 Part A) and 2 </w:t>
      </w:r>
      <w:r w:rsidR="004D78CD">
        <w:t>Phase III</w:t>
      </w:r>
      <w:r w:rsidRPr="00984208">
        <w:t xml:space="preserve"> studies (Par</w:t>
      </w:r>
      <w:r w:rsidR="007312A2">
        <w:t>t B of Study EFC11072 and Study </w:t>
      </w:r>
      <w:r w:rsidRPr="00984208">
        <w:t>EFC10832). The PD dataset is supported by 3 pop</w:t>
      </w:r>
      <w:r w:rsidR="007312A2">
        <w:t>ulation PK/PD analyses (Studies </w:t>
      </w:r>
      <w:r w:rsidRPr="00984208">
        <w:t xml:space="preserve">POH0455, POH0429 and POH0446), which modelled data from various clinical trials to cover a broad range of dosing regimens in adult patients with active RA. A summary of the studies providing PD data is included </w:t>
      </w:r>
      <w:r w:rsidRPr="00D16242">
        <w:t>in Table 1. None of</w:t>
      </w:r>
      <w:r w:rsidRPr="00984208">
        <w:t xml:space="preserve"> the PD studies had deficiencies that excluded th</w:t>
      </w:r>
      <w:r>
        <w:t>eir results from consideration.</w:t>
      </w:r>
    </w:p>
    <w:p w14:paraId="797685D4" w14:textId="77777777" w:rsidR="00984208" w:rsidRPr="00984208" w:rsidRDefault="00984208" w:rsidP="00984208">
      <w:pPr>
        <w:pStyle w:val="Heading3"/>
      </w:pPr>
      <w:bookmarkStart w:id="123" w:name="_Ref269119989"/>
      <w:bookmarkStart w:id="124" w:name="_Toc272414639"/>
      <w:bookmarkStart w:id="125" w:name="_Toc290888487"/>
      <w:bookmarkStart w:id="126" w:name="_Toc464131523"/>
      <w:bookmarkStart w:id="127" w:name="_Toc519848437"/>
      <w:r w:rsidRPr="00984208">
        <w:t>Summary of pharmacodynamics</w:t>
      </w:r>
      <w:bookmarkEnd w:id="123"/>
      <w:bookmarkEnd w:id="124"/>
      <w:bookmarkEnd w:id="125"/>
      <w:bookmarkEnd w:id="126"/>
      <w:bookmarkEnd w:id="127"/>
    </w:p>
    <w:p w14:paraId="52F91385" w14:textId="77777777" w:rsidR="00984208" w:rsidRPr="00984208" w:rsidRDefault="00984208" w:rsidP="00984208">
      <w:r w:rsidRPr="00984208">
        <w:t>The information in the following summary is derived from conventional PD studies in humans unless otherwise stated</w:t>
      </w:r>
      <w:r>
        <w:t>.</w:t>
      </w:r>
    </w:p>
    <w:p w14:paraId="386EB8BF" w14:textId="77777777" w:rsidR="00984208" w:rsidRPr="00984208" w:rsidRDefault="00984208" w:rsidP="00984208">
      <w:pPr>
        <w:pStyle w:val="Heading4"/>
      </w:pPr>
      <w:bookmarkStart w:id="128" w:name="_Toc241374299"/>
      <w:bookmarkStart w:id="129" w:name="_Toc272414640"/>
      <w:bookmarkStart w:id="130" w:name="_Toc290888488"/>
      <w:bookmarkStart w:id="131" w:name="_Toc464131524"/>
      <w:r w:rsidRPr="00984208">
        <w:t>Mechanism of action</w:t>
      </w:r>
      <w:bookmarkEnd w:id="128"/>
      <w:bookmarkEnd w:id="129"/>
      <w:bookmarkEnd w:id="130"/>
      <w:bookmarkEnd w:id="131"/>
    </w:p>
    <w:p w14:paraId="0AB252A7" w14:textId="212844D5" w:rsidR="00984208" w:rsidRPr="00984208" w:rsidRDefault="00984208" w:rsidP="00984208">
      <w:r w:rsidRPr="00984208">
        <w:t xml:space="preserve">SAR is a recombinant human immunoglobulin isotype G1 (IgG1) monoclonal antibody that binds with high affinity to the alpha subunit of the IL-6 receptor. Both soluble (sIL-6R) and membrane bound forms of the IL-6 receptor are inhibited and IL-6 mediated signalling is impeded. IL-6 stimulates various cellular processes including proliferation, differentiation, survival and apoptosis and it is responsible for activating hepatocytes to release acute phase reactants such as C-reactive protein (CRP) and </w:t>
      </w:r>
      <w:r w:rsidR="00C01454">
        <w:t>s</w:t>
      </w:r>
      <w:r w:rsidR="00C01454" w:rsidRPr="00984208">
        <w:t xml:space="preserve">erum </w:t>
      </w:r>
      <w:r w:rsidRPr="00984208">
        <w:t>Amyloid A (SAA).</w:t>
      </w:r>
      <w:r w:rsidR="004D78CD">
        <w:t xml:space="preserve"> </w:t>
      </w:r>
      <w:r w:rsidRPr="00984208">
        <w:t xml:space="preserve">The main clinical safety </w:t>
      </w:r>
      <w:r w:rsidRPr="00984208">
        <w:lastRenderedPageBreak/>
        <w:t>concerns based on the mechanism of action of SAR plus the knowledge and experience with an alternative anti-IL-6 drug (tocilizumab) are neutro</w:t>
      </w:r>
      <w:r w:rsidR="00BA3918">
        <w:t>paenia</w:t>
      </w:r>
      <w:r w:rsidRPr="00984208">
        <w:t xml:space="preserve"> and</w:t>
      </w:r>
      <w:r>
        <w:t xml:space="preserve"> raised serum lipid profiles.</w:t>
      </w:r>
    </w:p>
    <w:p w14:paraId="76198D48" w14:textId="77777777" w:rsidR="00984208" w:rsidRPr="00984208" w:rsidRDefault="00984208" w:rsidP="003403F3">
      <w:pPr>
        <w:pStyle w:val="Heading4"/>
      </w:pPr>
      <w:bookmarkStart w:id="132" w:name="_Toc241374300"/>
      <w:bookmarkStart w:id="133" w:name="_Toc272414641"/>
      <w:bookmarkStart w:id="134" w:name="_Toc290888489"/>
      <w:bookmarkStart w:id="135" w:name="_Toc464131525"/>
      <w:r w:rsidRPr="003403F3">
        <w:t>Pharmacodynamic</w:t>
      </w:r>
      <w:r w:rsidRPr="00984208">
        <w:t xml:space="preserve"> effects</w:t>
      </w:r>
      <w:bookmarkEnd w:id="132"/>
      <w:bookmarkEnd w:id="133"/>
      <w:bookmarkEnd w:id="134"/>
      <w:bookmarkEnd w:id="135"/>
    </w:p>
    <w:p w14:paraId="4D4E0156" w14:textId="77777777" w:rsidR="00984208" w:rsidRPr="00984208" w:rsidRDefault="00984208" w:rsidP="003403F3">
      <w:pPr>
        <w:pStyle w:val="Heading5"/>
      </w:pPr>
      <w:bookmarkStart w:id="136" w:name="_Toc272414642"/>
      <w:bookmarkStart w:id="137" w:name="_Toc290888490"/>
      <w:bookmarkStart w:id="138" w:name="_Toc464131526"/>
      <w:r w:rsidRPr="00984208">
        <w:t xml:space="preserve">Primary pharmacodynamic </w:t>
      </w:r>
      <w:r w:rsidRPr="003403F3">
        <w:t>effects</w:t>
      </w:r>
      <w:bookmarkEnd w:id="136"/>
      <w:bookmarkEnd w:id="137"/>
      <w:bookmarkEnd w:id="138"/>
    </w:p>
    <w:p w14:paraId="44961596" w14:textId="162F3FAB" w:rsidR="004D78CD" w:rsidRDefault="00984208" w:rsidP="00984208">
      <w:r w:rsidRPr="00984208">
        <w:t xml:space="preserve">Through blockade of the IL-6/IL-6R interaction, SAR is expected to reduce or normalise elevated levels of acute phase reactants (including CRP, SAA and fibrinogen) seen in patients with active RA. The measurement of </w:t>
      </w:r>
      <w:r w:rsidR="00C01454" w:rsidRPr="00984208">
        <w:t xml:space="preserve">erythrocyte sedimentation rate </w:t>
      </w:r>
      <w:r w:rsidRPr="00984208">
        <w:t>(ESR) is an indirect index of these proteins and is similarly affected. For many patients with active RA, there are elevated levels of IL-6 in the serum and joint synovium. Hence, the primary PD effects of SAR are considered to be directly related to the efficacy of the drug in RA. Serum inflammatory markers such as CRP and ESR form an important element of assessing clinical disease activity and are often incorporated into clinical mea</w:t>
      </w:r>
      <w:r>
        <w:t>sures such as the DAS28 score</w:t>
      </w:r>
      <w:r w:rsidR="004D78CD">
        <w:t>.</w:t>
      </w:r>
    </w:p>
    <w:p w14:paraId="4CC6F10F" w14:textId="77777777" w:rsidR="004D78CD" w:rsidRDefault="00984208" w:rsidP="00984208">
      <w:r w:rsidRPr="00984208">
        <w:t>Blood samples for the measurement of levels of IL-6, sIL-6R, SAA a</w:t>
      </w:r>
      <w:r>
        <w:t xml:space="preserve">nd/or fibrinogen were collected </w:t>
      </w:r>
      <w:r w:rsidRPr="00984208">
        <w:t xml:space="preserve">in 5 of the </w:t>
      </w:r>
      <w:r w:rsidR="004D78CD">
        <w:t>Phase I</w:t>
      </w:r>
      <w:r w:rsidRPr="00984208">
        <w:t xml:space="preserve"> studies (Studies TDU10808/6R88-</w:t>
      </w:r>
      <w:r>
        <w:t xml:space="preserve">RA-0703, TDU10809/6R88-RA-0801, </w:t>
      </w:r>
      <w:r w:rsidRPr="00984208">
        <w:t xml:space="preserve">TDR10805/6R88-RA-0802, ACT10804/6R88-RA-0803 and 6R88-RA-1309), 1 </w:t>
      </w:r>
      <w:r w:rsidR="004D78CD">
        <w:t>Phase II</w:t>
      </w:r>
      <w:r>
        <w:t xml:space="preserve"> study </w:t>
      </w:r>
      <w:r w:rsidRPr="00984208">
        <w:t xml:space="preserve">(Study EFC11072 Part A) and 1 </w:t>
      </w:r>
      <w:r w:rsidR="004D78CD">
        <w:t>Phase III</w:t>
      </w:r>
      <w:r w:rsidRPr="00984208">
        <w:t xml:space="preserve"> study (Study EFC11072 Part B). Blood samples for the</w:t>
      </w:r>
      <w:r>
        <w:t xml:space="preserve"> </w:t>
      </w:r>
      <w:r w:rsidRPr="00984208">
        <w:t xml:space="preserve">measurement of ESR were collected in 3 </w:t>
      </w:r>
      <w:r w:rsidR="004D78CD">
        <w:t>Phase I</w:t>
      </w:r>
      <w:r w:rsidRPr="00984208">
        <w:t xml:space="preserve"> studies </w:t>
      </w:r>
      <w:r>
        <w:t xml:space="preserve">(Studies TDU10809/6R88-RA-0801, </w:t>
      </w:r>
      <w:r w:rsidRPr="00984208">
        <w:t>TDR10805/6R88-RA-0802 and ACT10804/6R88-RA-0803). Blood samples for hig</w:t>
      </w:r>
      <w:r>
        <w:t xml:space="preserve">h sensitivity </w:t>
      </w:r>
      <w:r w:rsidRPr="00984208">
        <w:t>assays of CRP were collected in all studies. PD biomarker data was summaris</w:t>
      </w:r>
      <w:r>
        <w:t xml:space="preserve">ed by descriptive </w:t>
      </w:r>
      <w:r w:rsidRPr="00984208">
        <w:t>statistics by treatment or by dose group. Assays were developed and validated for measuring the concentrations of total and free sIL-6R (amount that is</w:t>
      </w:r>
      <w:r>
        <w:t xml:space="preserve"> pharmacologically available)</w:t>
      </w:r>
      <w:r w:rsidR="004D78CD">
        <w:t>.</w:t>
      </w:r>
    </w:p>
    <w:p w14:paraId="071AB6ED" w14:textId="77777777" w:rsidR="00984208" w:rsidRPr="00984208" w:rsidRDefault="00984208" w:rsidP="00984208">
      <w:r w:rsidRPr="00984208">
        <w:t xml:space="preserve">In the </w:t>
      </w:r>
      <w:r w:rsidR="004D78CD">
        <w:t>Phase II</w:t>
      </w:r>
      <w:r w:rsidRPr="00984208">
        <w:t xml:space="preserve"> study (Part A of Study EFC11072), a dose dependent decrease in CRP levels was observed following repeated qw (100 and 150 mg) and q2w (100,</w:t>
      </w:r>
      <w:r>
        <w:t xml:space="preserve"> 150, and 200 mg) regimens. The </w:t>
      </w:r>
      <w:r w:rsidRPr="00984208">
        <w:t xml:space="preserve">suppression of CRP was slightly greater and occurred earlier (by </w:t>
      </w:r>
      <w:r w:rsidR="002F4291">
        <w:t>Week</w:t>
      </w:r>
      <w:r w:rsidRPr="00984208">
        <w:t xml:space="preserve"> 2) with SAR 200 mg q2w treatment versus SAR 150 mg q2w, but further reductions in CRP levels were not apparent between 200 mg q2w, and the 100 and 150 mg qw </w:t>
      </w:r>
      <w:r w:rsidRPr="00347016">
        <w:t>regimens</w:t>
      </w:r>
      <w:r w:rsidR="007312A2" w:rsidRPr="00347016">
        <w:t>;</w:t>
      </w:r>
      <w:r w:rsidRPr="00347016">
        <w:t xml:space="preserve"> refer to Figure 1. Overall</w:t>
      </w:r>
      <w:r w:rsidRPr="00984208">
        <w:t xml:space="preserve">, this data supported the selection of the SAR 150 mg q2w and 200 mg q2w doses for investigation in the </w:t>
      </w:r>
      <w:r w:rsidR="004D78CD">
        <w:t>Phase III</w:t>
      </w:r>
      <w:r w:rsidRPr="00984208">
        <w:t xml:space="preserve"> studies.</w:t>
      </w:r>
    </w:p>
    <w:p w14:paraId="26E859D9" w14:textId="77777777" w:rsidR="00984208" w:rsidRPr="00984208" w:rsidRDefault="00984208" w:rsidP="003403F3">
      <w:pPr>
        <w:pStyle w:val="FigureTitle"/>
      </w:pPr>
      <w:r w:rsidRPr="00347016">
        <w:t>Figure 1</w:t>
      </w:r>
      <w:r w:rsidR="00347016" w:rsidRPr="00347016">
        <w:t>:</w:t>
      </w:r>
      <w:r w:rsidR="004D78CD" w:rsidRPr="00347016">
        <w:t xml:space="preserve"> </w:t>
      </w:r>
      <w:r w:rsidRPr="00347016">
        <w:t xml:space="preserve">Serum CRP </w:t>
      </w:r>
      <w:r w:rsidR="007312A2" w:rsidRPr="003403F3">
        <w:t>concentrations</w:t>
      </w:r>
      <w:r w:rsidR="007312A2" w:rsidRPr="00347016">
        <w:t xml:space="preserve"> following repeat doses of SAR in Part A of</w:t>
      </w:r>
      <w:r w:rsidR="007312A2">
        <w:t xml:space="preserve"> Study </w:t>
      </w:r>
      <w:r w:rsidRPr="00984208">
        <w:t>EFC11072</w:t>
      </w:r>
    </w:p>
    <w:p w14:paraId="3ACB92B4" w14:textId="77777777" w:rsidR="00984208" w:rsidRDefault="00984208" w:rsidP="00C22678">
      <w:pPr>
        <w:rPr>
          <w:lang w:eastAsia="ja-JP"/>
        </w:rPr>
      </w:pPr>
      <w:r>
        <w:rPr>
          <w:noProof/>
          <w:lang w:eastAsia="en-AU"/>
        </w:rPr>
        <w:drawing>
          <wp:inline distT="0" distB="0" distL="0" distR="0" wp14:anchorId="339391FA" wp14:editId="696F0D40">
            <wp:extent cx="5019675" cy="3152775"/>
            <wp:effectExtent l="0" t="0" r="9525" b="9525"/>
            <wp:docPr id="9" name="Picture 9" descr="Serum CRP concentrations following repeat doses of SAR in Part A of Study EFC1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19675" cy="3152775"/>
                    </a:xfrm>
                    <a:prstGeom prst="rect">
                      <a:avLst/>
                    </a:prstGeom>
                  </pic:spPr>
                </pic:pic>
              </a:graphicData>
            </a:graphic>
          </wp:inline>
        </w:drawing>
      </w:r>
    </w:p>
    <w:p w14:paraId="2EC7D810" w14:textId="77777777" w:rsidR="00984208" w:rsidRPr="00984208" w:rsidRDefault="00984208" w:rsidP="003403F3">
      <w:r w:rsidRPr="00984208">
        <w:lastRenderedPageBreak/>
        <w:t xml:space="preserve">In the pivotal </w:t>
      </w:r>
      <w:r w:rsidR="004D78CD">
        <w:t>Phase III</w:t>
      </w:r>
      <w:r w:rsidRPr="00984208">
        <w:t xml:space="preserve"> studies, CRP levels decreased to within the normal range (</w:t>
      </w:r>
      <w:r w:rsidR="007312A2">
        <w:t xml:space="preserve">&lt; </w:t>
      </w:r>
      <w:r w:rsidRPr="00984208">
        <w:t xml:space="preserve">10 mg/L) and SAA levels were </w:t>
      </w:r>
      <w:r w:rsidR="007312A2">
        <w:t xml:space="preserve">&lt; </w:t>
      </w:r>
      <w:r w:rsidRPr="00984208">
        <w:t xml:space="preserve">20 mg/L when the trough concentration of SAR was above 1 mg/L. The combined </w:t>
      </w:r>
      <w:r w:rsidR="004D78CD">
        <w:t>Phase III</w:t>
      </w:r>
      <w:r w:rsidRPr="00984208">
        <w:t xml:space="preserve"> trial dataset shows that a higher percentage of patients treated with SC SAR 200 mg q2w had SAR trough concentrations above 1 mg/L by </w:t>
      </w:r>
      <w:r w:rsidR="002F4291">
        <w:t>Week</w:t>
      </w:r>
      <w:r w:rsidRPr="00984208">
        <w:t xml:space="preserve"> 24 (86%) than patients treated with SC SAR 150 mg q2w (61%). The sponsor considers this finding as a pivotal piece of evidence in justifying the proposed posology of 200 mg q2w.</w:t>
      </w:r>
    </w:p>
    <w:p w14:paraId="43B89B07" w14:textId="77777777" w:rsidR="00984208" w:rsidRPr="00984208" w:rsidRDefault="00984208" w:rsidP="00984208">
      <w:r w:rsidRPr="00984208">
        <w:t xml:space="preserve">In the </w:t>
      </w:r>
      <w:r w:rsidR="004D78CD">
        <w:t>Phase II</w:t>
      </w:r>
      <w:r w:rsidRPr="00984208">
        <w:t xml:space="preserve"> study (Part A of EFC11072), free sIL-6R, representing the amount of target that is pharmacologically available, was measured in the serum following qw (100 and 150 mg) and q2w (100, 150, and 200 mg) dosing. All doses except for SAR 100 mg q2w produ</w:t>
      </w:r>
      <w:r w:rsidR="007312A2">
        <w:t>ced a reduction in free sIL-</w:t>
      </w:r>
      <w:r w:rsidR="007312A2" w:rsidRPr="00347016">
        <w:t>6R;</w:t>
      </w:r>
      <w:r w:rsidRPr="00347016">
        <w:t xml:space="preserve"> refer to Figure 2. The decrease</w:t>
      </w:r>
      <w:r w:rsidRPr="00984208">
        <w:t xml:space="preserve"> in free sIL-6R at SAR 150 mg q2w was slightly less than at the 200 mg q2w dose, which appeared to plateau presumably because of target saturation. Although the largest decrease in free sIL-6R was observed with SAR150 mg qw dosing, the difference between the 200 mg q2w and the 100 mg qw groups was marginal. The decrease in free sIL-6R was accompanied by a corresponding increase in total sIL-6R, the vast majority being in the form of the biologically inert bound complex. When SAR is in excess of free IL-6R the target is saturated and any newly formed IL-6R is expected to be immediately complexed. With the elimination of the IL-6R-SAR complex being slower than its formation, the concentration of total IL-6R is expected to plateau. Thus, measurement of total sIL-6R serves as a direct and useful marker of target saturation. Consistent with the observations of free sIL-6R levels, measurements of total sIL-6R also indicated that target was near saturation after repeated administration of SAR 200 mg q2w therapy. In addition, when the SAR dose increased from 150 to 200 mg q2w, the increase in the concentrations of bound SAR (completely bound plus partially bound drug) was almost in proportion to dose, while functional SAR (completely free plus partially free drug) continued to increase in a greater than dose proportional manner, which further pointed toward a near saturation of the target by the 200 mg q2w dose. The sponsor asserts that these observations support the selection of the 150 and 200 mg q2w dose regimens for the </w:t>
      </w:r>
      <w:r w:rsidR="004D78CD">
        <w:t>Phase III</w:t>
      </w:r>
      <w:r w:rsidRPr="00984208">
        <w:t xml:space="preserve"> studies, and justify the proposed commercial posology of 200 mg q2w as the most effective dose.</w:t>
      </w:r>
    </w:p>
    <w:p w14:paraId="1C2044BF" w14:textId="77777777" w:rsidR="00984208" w:rsidRPr="00984208" w:rsidRDefault="00984208" w:rsidP="003403F3">
      <w:pPr>
        <w:pStyle w:val="FigureTitle"/>
      </w:pPr>
      <w:r w:rsidRPr="00347016">
        <w:t>Figure 2</w:t>
      </w:r>
      <w:r w:rsidR="007312A2" w:rsidRPr="00347016">
        <w:t>:</w:t>
      </w:r>
      <w:r w:rsidR="004D78CD" w:rsidRPr="00347016">
        <w:t xml:space="preserve"> </w:t>
      </w:r>
      <w:r w:rsidRPr="00347016">
        <w:t>Serum</w:t>
      </w:r>
      <w:r w:rsidRPr="00984208">
        <w:t xml:space="preserve"> </w:t>
      </w:r>
      <w:r w:rsidR="007312A2" w:rsidRPr="003403F3">
        <w:t>concentrations</w:t>
      </w:r>
      <w:r w:rsidR="007312A2" w:rsidRPr="00984208">
        <w:t xml:space="preserve"> of f</w:t>
      </w:r>
      <w:r w:rsidRPr="00984208">
        <w:t xml:space="preserve">ree sIL-6R following </w:t>
      </w:r>
      <w:r w:rsidR="007312A2">
        <w:t>r</w:t>
      </w:r>
      <w:r w:rsidRPr="00984208">
        <w:t xml:space="preserve">epeat SAR </w:t>
      </w:r>
      <w:r w:rsidR="007312A2">
        <w:t>d</w:t>
      </w:r>
      <w:r w:rsidRPr="00984208">
        <w:t>osing in Part A of Study EFC11072</w:t>
      </w:r>
    </w:p>
    <w:p w14:paraId="1CFA07C4" w14:textId="77777777" w:rsidR="00984208" w:rsidRDefault="00984208" w:rsidP="00C22678">
      <w:pPr>
        <w:rPr>
          <w:lang w:eastAsia="ja-JP"/>
        </w:rPr>
      </w:pPr>
      <w:r>
        <w:rPr>
          <w:noProof/>
          <w:lang w:eastAsia="en-AU"/>
        </w:rPr>
        <w:drawing>
          <wp:inline distT="0" distB="0" distL="0" distR="0" wp14:anchorId="0FC4C148" wp14:editId="41A764EC">
            <wp:extent cx="4095750" cy="2971800"/>
            <wp:effectExtent l="0" t="0" r="0" b="0"/>
            <wp:docPr id="10" name="Picture 10" descr="Serum concentrations of free sIL-6R following repeat SAR dosing in Part A of Study EFC1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095750" cy="2971800"/>
                    </a:xfrm>
                    <a:prstGeom prst="rect">
                      <a:avLst/>
                    </a:prstGeom>
                  </pic:spPr>
                </pic:pic>
              </a:graphicData>
            </a:graphic>
          </wp:inline>
        </w:drawing>
      </w:r>
    </w:p>
    <w:p w14:paraId="3F089C68" w14:textId="77777777" w:rsidR="00984208" w:rsidRPr="00984208" w:rsidRDefault="00984208" w:rsidP="003403F3">
      <w:pPr>
        <w:pStyle w:val="Heading4"/>
      </w:pPr>
      <w:bookmarkStart w:id="139" w:name="_Toc272414643"/>
      <w:bookmarkStart w:id="140" w:name="_Toc290888491"/>
      <w:bookmarkStart w:id="141" w:name="_Toc464131527"/>
      <w:r w:rsidRPr="00984208">
        <w:t xml:space="preserve">Secondary </w:t>
      </w:r>
      <w:r w:rsidRPr="003403F3">
        <w:t>pharmacodynamic</w:t>
      </w:r>
      <w:r w:rsidRPr="00984208">
        <w:t xml:space="preserve"> effects</w:t>
      </w:r>
      <w:bookmarkEnd w:id="139"/>
      <w:bookmarkEnd w:id="140"/>
      <w:bookmarkEnd w:id="141"/>
    </w:p>
    <w:p w14:paraId="48651015" w14:textId="7CC1B15C" w:rsidR="00984208" w:rsidRPr="00984208" w:rsidRDefault="00984208" w:rsidP="00984208">
      <w:r w:rsidRPr="00984208">
        <w:t xml:space="preserve">The predicted adverse effects of SAR on neutrophil counts (decreases), raised serum transaminases (mainly, ALT) and increased serum LDL cholesterol levels in patients with RA </w:t>
      </w:r>
      <w:r w:rsidRPr="00984208">
        <w:lastRenderedPageBreak/>
        <w:t xml:space="preserve">will be discussed in section 5.2.4 of this report. In the </w:t>
      </w:r>
      <w:r w:rsidR="004D78CD">
        <w:t>Phase III</w:t>
      </w:r>
      <w:r w:rsidRPr="00984208">
        <w:t xml:space="preserve"> studies as well as the population PD Study POH0455, all of the safety outcomes were recorded at a greater frequency with an increase in serum SAR concentrations (dose proportionality), and the effect appeared to reach a plateau in the lower concentration observed with SAR 150 mg q2w therapy, apart for the incidence and severity of neutro</w:t>
      </w:r>
      <w:r w:rsidR="00BA3918">
        <w:t>paenia</w:t>
      </w:r>
      <w:r w:rsidRPr="00984208">
        <w:t xml:space="preserve">. Decreases in neutrophil count </w:t>
      </w:r>
      <w:r w:rsidR="00F01361">
        <w:t>from Baseline</w:t>
      </w:r>
      <w:r w:rsidRPr="00984208">
        <w:t xml:space="preserve"> were predicted to be greater for SAR 200 mg q2w therapy (39%) than for SAR 150 mg q2w (31%), but there was only a small increased risk</w:t>
      </w:r>
      <w:r w:rsidR="007312A2">
        <w:t xml:space="preserve"> </w:t>
      </w:r>
      <w:r w:rsidRPr="00984208">
        <w:t>of severe neutro</w:t>
      </w:r>
      <w:r w:rsidR="00BA3918">
        <w:t>paenia</w:t>
      </w:r>
      <w:r w:rsidRPr="00984208">
        <w:t xml:space="preserve"> (neutrophil count</w:t>
      </w:r>
      <w:r w:rsidR="00C01454">
        <w:t xml:space="preserve"> </w:t>
      </w:r>
      <w:r w:rsidR="007312A2">
        <w:t xml:space="preserve">&lt; </w:t>
      </w:r>
      <w:r w:rsidRPr="00984208">
        <w:t>1.0 x 10</w:t>
      </w:r>
      <w:r w:rsidRPr="007312A2">
        <w:rPr>
          <w:vertAlign w:val="superscript"/>
        </w:rPr>
        <w:t>9</w:t>
      </w:r>
      <w:r w:rsidRPr="00984208">
        <w:t>/L) in patients at the median concentration for SAR 200 mg q2w when compared to patients at the median concentration for 150 mg q2w, with an even smaller increase in risk beyond the 200 mg q2w median concentration and an overall decreasing risk over time.</w:t>
      </w:r>
    </w:p>
    <w:p w14:paraId="6826C859" w14:textId="77777777" w:rsidR="004D78CD" w:rsidRDefault="00984208" w:rsidP="00984208">
      <w:r w:rsidRPr="00984208">
        <w:t>The effect of SAR on immunogenicity (</w:t>
      </w:r>
      <w:r w:rsidR="004D78CD">
        <w:t>that is</w:t>
      </w:r>
      <w:r w:rsidRPr="00984208">
        <w:t xml:space="preserve"> formation of anti-drug antibodies) will be discussed in sections 8</w:t>
      </w:r>
      <w:r>
        <w:t>.5.5 and 8.7.5 of this report</w:t>
      </w:r>
      <w:r w:rsidR="004D78CD">
        <w:t>.</w:t>
      </w:r>
    </w:p>
    <w:p w14:paraId="32E0EC8D" w14:textId="77777777" w:rsidR="00984208" w:rsidRPr="00984208" w:rsidRDefault="00984208" w:rsidP="003403F3">
      <w:pPr>
        <w:pStyle w:val="Heading4"/>
      </w:pPr>
      <w:bookmarkStart w:id="142" w:name="_Toc272414644"/>
      <w:bookmarkStart w:id="143" w:name="_Toc290888492"/>
      <w:bookmarkStart w:id="144" w:name="_Toc464131528"/>
      <w:r w:rsidRPr="00984208">
        <w:t>Time course of pharmacodynamic effects</w:t>
      </w:r>
      <w:bookmarkEnd w:id="142"/>
      <w:bookmarkEnd w:id="143"/>
      <w:bookmarkEnd w:id="144"/>
    </w:p>
    <w:p w14:paraId="79DFBE7A" w14:textId="77777777" w:rsidR="004D78CD" w:rsidRDefault="00984208" w:rsidP="00984208">
      <w:r w:rsidRPr="00984208">
        <w:t xml:space="preserve">Following a single SC dose of SAR in Study TDU10809/6R88-RA-0801, there was a trend toward a dose dependent decrease in CRP level until </w:t>
      </w:r>
      <w:r w:rsidR="00E0128B">
        <w:t>Day</w:t>
      </w:r>
      <w:r w:rsidRPr="00984208">
        <w:t xml:space="preserve"> 3 (with 100 mg dose) and until </w:t>
      </w:r>
      <w:r w:rsidR="00E0128B">
        <w:t>Day</w:t>
      </w:r>
      <w:r w:rsidRPr="00984208">
        <w:t xml:space="preserve"> 8 (with SAR 50 and 200 mg doses) with a return to baseline by </w:t>
      </w:r>
      <w:r w:rsidR="00E0128B">
        <w:t>Day</w:t>
      </w:r>
      <w:r w:rsidRPr="00984208">
        <w:t xml:space="preserve"> 29. Similarly, the ESR showed a dose dependent trend toward decrease until </w:t>
      </w:r>
      <w:r w:rsidR="00E0128B">
        <w:t>Day</w:t>
      </w:r>
      <w:r w:rsidRPr="00984208">
        <w:t xml:space="preserve"> 8 (100 and 200 mg) and until </w:t>
      </w:r>
      <w:r w:rsidR="00E0128B">
        <w:t>Day</w:t>
      </w:r>
      <w:r w:rsidRPr="00984208">
        <w:t xml:space="preserve"> 15 (50 mg), with a return to near baseline by </w:t>
      </w:r>
      <w:r w:rsidR="00E0128B">
        <w:t>Day</w:t>
      </w:r>
      <w:r w:rsidRPr="00984208">
        <w:t xml:space="preserve"> 29. There was a dose dependent decrease in fibrinogen levels until </w:t>
      </w:r>
      <w:r w:rsidR="00E0128B">
        <w:t>Day</w:t>
      </w:r>
      <w:r w:rsidRPr="00984208">
        <w:t xml:space="preserve"> 4 (50 mg) and </w:t>
      </w:r>
      <w:r w:rsidR="00E0128B">
        <w:t>Day</w:t>
      </w:r>
      <w:r w:rsidRPr="00984208">
        <w:t xml:space="preserve"> 8 (100 and 200 mg), with a return to baseline by </w:t>
      </w:r>
      <w:r w:rsidR="00E0128B">
        <w:t>Day</w:t>
      </w:r>
      <w:r w:rsidRPr="00984208">
        <w:t xml:space="preserve"> 22. SAA levels decreased until </w:t>
      </w:r>
      <w:r w:rsidR="00E0128B">
        <w:t>Day</w:t>
      </w:r>
      <w:r w:rsidRPr="00984208">
        <w:t xml:space="preserve"> 4 (100 and 200 mg) and </w:t>
      </w:r>
      <w:r w:rsidR="00E0128B">
        <w:t>Day</w:t>
      </w:r>
      <w:r w:rsidRPr="00984208">
        <w:t xml:space="preserve"> 8 (50 mg, the largest decrease). Transient increases in IL-6 levels were also observed in all SAR treatment groups in this study. A similar time course of PD effects with respect to acute phase reactants was seen in Study TDR10805/6R88-RA-0802, which was a repeat ascending dose trial (50, 100 and 150 mg qw; and 100, 150 and 200 mgq2w) in 60 patients with RA. CRP and SAA levels were highly variable and difficult to interpret in the single ascending dose IV Study TDU10808/6R88-RA-0703, which only evaluated 7 subjects with RA (4 received IV SAR 0.2 mg/kg and</w:t>
      </w:r>
      <w:r>
        <w:t xml:space="preserve"> 2 received IV SAR 2.0 mg/kg)</w:t>
      </w:r>
      <w:r w:rsidR="004D78CD">
        <w:t>.</w:t>
      </w:r>
    </w:p>
    <w:p w14:paraId="179B45AF" w14:textId="77777777" w:rsidR="00984208" w:rsidRPr="00984208" w:rsidRDefault="00984208" w:rsidP="00984208">
      <w:r w:rsidRPr="00984208">
        <w:t xml:space="preserve">In the </w:t>
      </w:r>
      <w:r w:rsidR="004D78CD">
        <w:t>open label</w:t>
      </w:r>
      <w:r w:rsidRPr="00984208">
        <w:t>, single dose Study 6R88-RA-1309 (n</w:t>
      </w:r>
      <w:r w:rsidR="004D78CD">
        <w:t xml:space="preserve"> = </w:t>
      </w:r>
      <w:r w:rsidRPr="00984208">
        <w:t>306 patients with RA), which assessed the PD of IL-6 blockade with SC SAR 150 and 200 mg, and IV tocilizumab with background MTX, both doses of SAR and tocilizumab therapy generated an immediate decrease in the neutrophil count and CRP level, and an increase in IL-6 and total sIL-6R concentrations, with similar onsets of effect during the first week. CRP levels were reduced to normal as early as 4 days after treatment initiation. Nadirs and times to nadir for the neutrophil count, CRP level, IL-6 peak level and time to IL-6 peak level were comparable across the 3 treatment groups. With SAR the peak level for total sIL-6R was lower, and the time to peak level for total sIL-6R was faster with SAR than with tocilizumab.</w:t>
      </w:r>
    </w:p>
    <w:p w14:paraId="3ACD0BB0" w14:textId="77777777" w:rsidR="00984208" w:rsidRPr="00984208" w:rsidRDefault="00984208" w:rsidP="00984208">
      <w:r w:rsidRPr="00984208">
        <w:t xml:space="preserve">In the </w:t>
      </w:r>
      <w:r w:rsidR="004D78CD">
        <w:t>Phase II</w:t>
      </w:r>
      <w:r w:rsidRPr="00984208">
        <w:t xml:space="preserve"> study (Part A of EFC11072), free sIL-6R and CRP concentrations in se</w:t>
      </w:r>
      <w:r>
        <w:t xml:space="preserve">rum decreased </w:t>
      </w:r>
      <w:r w:rsidRPr="00984208">
        <w:t xml:space="preserve">markedly by </w:t>
      </w:r>
      <w:r w:rsidR="002F4291">
        <w:t>Week</w:t>
      </w:r>
      <w:r w:rsidRPr="00984208">
        <w:t xml:space="preserve"> 2, in a dose dependent manner with SAR therapy. Conversely, serum IL-6 and total sIL-6R concentrations increased markedly by </w:t>
      </w:r>
      <w:r w:rsidR="002F4291">
        <w:t>Week</w:t>
      </w:r>
      <w:r w:rsidR="008B50BF">
        <w:t xml:space="preserve"> 2</w:t>
      </w:r>
      <w:r w:rsidRPr="00984208">
        <w:t xml:space="preserve"> in a SAR dose dependent manner. Both of the </w:t>
      </w:r>
      <w:r w:rsidR="004D78CD">
        <w:t>Phase III</w:t>
      </w:r>
      <w:r w:rsidRPr="00984208">
        <w:t xml:space="preserve"> studies also showed a consistent, dose dependent decrease in </w:t>
      </w:r>
      <w:r>
        <w:t xml:space="preserve">CRP levels evident by </w:t>
      </w:r>
      <w:r w:rsidR="002F4291">
        <w:t>Week</w:t>
      </w:r>
      <w:r>
        <w:t xml:space="preserve"> 2.</w:t>
      </w:r>
    </w:p>
    <w:p w14:paraId="674632DB" w14:textId="4D460AB1" w:rsidR="00984208" w:rsidRPr="00984208" w:rsidRDefault="00984208" w:rsidP="00984208">
      <w:r w:rsidRPr="00984208">
        <w:t>With respect to the time course of neutro</w:t>
      </w:r>
      <w:r w:rsidR="00BA3918">
        <w:t>paenia</w:t>
      </w:r>
      <w:r w:rsidRPr="00984208">
        <w:t>, the population PD Study POH0455 reports that neutrophil counts decrease to a nadir between 3 and 4 days, and thereafter slowly recover in most patients with drug cessation within the proposed s</w:t>
      </w:r>
      <w:r>
        <w:t>econd weekly dosing interval.</w:t>
      </w:r>
    </w:p>
    <w:p w14:paraId="0B19E62F" w14:textId="77777777" w:rsidR="00984208" w:rsidRPr="00984208" w:rsidRDefault="00984208" w:rsidP="00984208">
      <w:pPr>
        <w:pStyle w:val="Heading4"/>
      </w:pPr>
      <w:bookmarkStart w:id="145" w:name="_Toc272414645"/>
      <w:bookmarkStart w:id="146" w:name="_Toc290888493"/>
      <w:bookmarkStart w:id="147" w:name="_Toc464131529"/>
      <w:r w:rsidRPr="00984208">
        <w:t>Relationship between drug concentration and pharmacodynamic effects</w:t>
      </w:r>
      <w:bookmarkEnd w:id="145"/>
      <w:bookmarkEnd w:id="146"/>
      <w:bookmarkEnd w:id="147"/>
    </w:p>
    <w:p w14:paraId="7BA05EC1" w14:textId="77777777" w:rsidR="00984208" w:rsidRPr="00984208" w:rsidRDefault="00984208" w:rsidP="00984208">
      <w:r w:rsidRPr="00984208">
        <w:t xml:space="preserve">The relationship between serum SAR concentrations and PD biomarkers and/or key clinical endpoints (efficacy and safety) was explored in the </w:t>
      </w:r>
      <w:r w:rsidR="004D78CD">
        <w:t>Phase I</w:t>
      </w:r>
      <w:r w:rsidRPr="00984208">
        <w:t xml:space="preserve"> study (Study 6R88-RA-1309) and also in the dose ranging </w:t>
      </w:r>
      <w:r w:rsidR="004D78CD">
        <w:t>Phase II</w:t>
      </w:r>
      <w:r w:rsidRPr="00984208">
        <w:t xml:space="preserve"> study (Part A of Study EFC11072). Subsequent analyses of data pooled from several studies (including both pivotal </w:t>
      </w:r>
      <w:r w:rsidR="004D78CD">
        <w:t>Phase III</w:t>
      </w:r>
      <w:r w:rsidRPr="00984208">
        <w:t xml:space="preserve"> studies), using empirical and semi-mechanistic PK/PD models, provided support for the relationship between SAR concentration </w:t>
      </w:r>
      <w:r w:rsidRPr="00984208">
        <w:lastRenderedPageBreak/>
        <w:t xml:space="preserve">and PD effects. The sponsor interprets this data to justify the proposed dose regimen for SAR. There is no clear relationship between IL-6 levels and trough SAR concentrations. However, CRP and SAA levels decreased to within the normal range when the trough concentration of SAR was above 1 mg/L. The combined </w:t>
      </w:r>
      <w:r w:rsidR="004D78CD">
        <w:t>Phase III</w:t>
      </w:r>
      <w:r w:rsidRPr="00984208">
        <w:t xml:space="preserve"> dataset shows that a higher percentage of patients treated with SC SAR 200 mg q2w had SAR trough concentrations above 1 mg/L by </w:t>
      </w:r>
      <w:r w:rsidR="002F4291">
        <w:t>Week</w:t>
      </w:r>
      <w:r w:rsidRPr="00984208">
        <w:t xml:space="preserve"> 24 (86%) than patients treated with SC SAR 150 mg q2w (61%). This did not result in a numerically different rate of ACR20 response (primary efficacy endpoint) between the 2 SAR dose groups, but the sponsor asserts that some other secondary clinical efficacy endpoints (such as ACR50 and ACR70 response) as well as X-ray outcomes were better in the higher SAR dose group. Further detail about the clinical efficacy data will be discussed i</w:t>
      </w:r>
      <w:r>
        <w:t>n section 7 of this report.</w:t>
      </w:r>
    </w:p>
    <w:p w14:paraId="52600F78" w14:textId="77777777" w:rsidR="004D78CD" w:rsidRDefault="00984208" w:rsidP="00984208">
      <w:r w:rsidRPr="00984208">
        <w:t xml:space="preserve">In the </w:t>
      </w:r>
      <w:r w:rsidR="004D78CD">
        <w:t>Phase II</w:t>
      </w:r>
      <w:r w:rsidRPr="00984208">
        <w:t xml:space="preserve"> study (Part A of Study EFC11072), a correlation between the neutrophil count reduction at </w:t>
      </w:r>
      <w:r w:rsidR="002F4291">
        <w:t>Week</w:t>
      </w:r>
      <w:r w:rsidRPr="00984208">
        <w:t xml:space="preserve"> 12 and the mean trough concentration of functional SAR was apparent</w:t>
      </w:r>
      <w:r w:rsidR="008B50BF">
        <w:t>;</w:t>
      </w:r>
      <w:r w:rsidRPr="00984208">
        <w:t xml:space="preserve"> refer </w:t>
      </w:r>
      <w:r w:rsidRPr="00347016">
        <w:t>to Figure 3. There</w:t>
      </w:r>
      <w:r w:rsidRPr="00984208">
        <w:t xml:space="preserve"> was a trend toward greater reduction in neutrophil count with increasing trough SAR concentration. However, the effect appeared to reach a plateau by 200 mg q2w</w:t>
      </w:r>
      <w:r w:rsidR="004D78CD">
        <w:t>.</w:t>
      </w:r>
    </w:p>
    <w:p w14:paraId="4A3E4416" w14:textId="77777777" w:rsidR="00984208" w:rsidRDefault="00984208" w:rsidP="003403F3">
      <w:pPr>
        <w:pStyle w:val="FigureTitle"/>
      </w:pPr>
      <w:r w:rsidRPr="00347016">
        <w:t>Figure 3</w:t>
      </w:r>
      <w:r w:rsidR="00347016" w:rsidRPr="00347016">
        <w:t>:</w:t>
      </w:r>
      <w:r w:rsidR="004D78CD" w:rsidRPr="00347016">
        <w:t xml:space="preserve"> </w:t>
      </w:r>
      <w:r w:rsidRPr="003403F3">
        <w:t>Neutrophil</w:t>
      </w:r>
      <w:r>
        <w:t xml:space="preserve"> </w:t>
      </w:r>
      <w:r w:rsidR="00347016">
        <w:t xml:space="preserve">count versus serum trough </w:t>
      </w:r>
      <w:r>
        <w:t xml:space="preserve">SAR </w:t>
      </w:r>
      <w:r w:rsidR="00347016">
        <w:t>c</w:t>
      </w:r>
      <w:r>
        <w:t>oncentration at Week 12 in Part A of Study EFC</w:t>
      </w:r>
      <w:r w:rsidR="00347016">
        <w:t>11072</w:t>
      </w:r>
    </w:p>
    <w:p w14:paraId="51C6E37F" w14:textId="77777777" w:rsidR="00984208" w:rsidRDefault="00984208" w:rsidP="00C22678">
      <w:pPr>
        <w:rPr>
          <w:lang w:eastAsia="ja-JP"/>
        </w:rPr>
      </w:pPr>
      <w:r>
        <w:rPr>
          <w:noProof/>
          <w:lang w:eastAsia="en-AU"/>
        </w:rPr>
        <w:drawing>
          <wp:inline distT="0" distB="0" distL="0" distR="0" wp14:anchorId="153C279C" wp14:editId="4DD777F1">
            <wp:extent cx="5248275" cy="3019425"/>
            <wp:effectExtent l="0" t="0" r="9525" b="9525"/>
            <wp:docPr id="11" name="Picture 11" descr="Neutrophil count versus serum trough SAR concentration at Week 12 in Part A of Study EFC1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48275" cy="3019425"/>
                    </a:xfrm>
                    <a:prstGeom prst="rect">
                      <a:avLst/>
                    </a:prstGeom>
                  </pic:spPr>
                </pic:pic>
              </a:graphicData>
            </a:graphic>
          </wp:inline>
        </w:drawing>
      </w:r>
    </w:p>
    <w:p w14:paraId="5612615E" w14:textId="44BBF6E1" w:rsidR="00984208" w:rsidRPr="00984208" w:rsidRDefault="00984208" w:rsidP="00984208">
      <w:r w:rsidRPr="00984208">
        <w:t xml:space="preserve">The relationship between the percentage change </w:t>
      </w:r>
      <w:r w:rsidR="00F01361">
        <w:t>from Baseline</w:t>
      </w:r>
      <w:r w:rsidRPr="00984208">
        <w:t xml:space="preserve"> in neutrophil count and trough serum concentration of functional SAR was well described by an </w:t>
      </w:r>
      <w:r w:rsidR="008B50BF" w:rsidRPr="00984208">
        <w:t>E</w:t>
      </w:r>
      <w:r w:rsidR="008B50BF" w:rsidRPr="008B50BF">
        <w:rPr>
          <w:vertAlign w:val="subscript"/>
        </w:rPr>
        <w:t>max</w:t>
      </w:r>
      <w:r w:rsidRPr="00984208">
        <w:t xml:space="preserve"> model in Study POH0455.</w:t>
      </w:r>
    </w:p>
    <w:p w14:paraId="1A2E3203" w14:textId="0DE05D96" w:rsidR="004D78CD" w:rsidRDefault="00984208" w:rsidP="00984208">
      <w:r w:rsidRPr="00984208">
        <w:t xml:space="preserve">There was a trend toward greater change </w:t>
      </w:r>
      <w:r w:rsidR="00F01361">
        <w:t>from Baseline</w:t>
      </w:r>
      <w:r w:rsidRPr="00984208">
        <w:t xml:space="preserve"> in the neutrophil count with increasing functional SAR trough serum concentration, when compared with the placebo group. However, the effect reached a plateau over the observed concentration range in </w:t>
      </w:r>
      <w:r w:rsidR="004D78CD">
        <w:t>Phase II</w:t>
      </w:r>
      <w:r w:rsidR="008B50BF">
        <w:t xml:space="preserve"> and III</w:t>
      </w:r>
      <w:r w:rsidRPr="00984208">
        <w:t xml:space="preserve"> studies. The model predicted a 41% decrease from placebo for SAR 200 mg q2w, which was close to the observed neutrophil count decrease of 38% from placebo for the SAR 200 mg q2w group. The same model also predicted a small increased risk of severe neutro</w:t>
      </w:r>
      <w:r w:rsidR="00BA3918">
        <w:t>paenia</w:t>
      </w:r>
      <w:r w:rsidRPr="00984208">
        <w:t xml:space="preserve"> (neutrophil count </w:t>
      </w:r>
      <w:r w:rsidR="008B50BF">
        <w:t>&lt; 1.0 </w:t>
      </w:r>
      <w:r w:rsidRPr="00984208">
        <w:t xml:space="preserve">x </w:t>
      </w:r>
      <w:r w:rsidR="007312A2" w:rsidRPr="00984208">
        <w:t>10</w:t>
      </w:r>
      <w:r w:rsidR="007312A2" w:rsidRPr="007312A2">
        <w:rPr>
          <w:vertAlign w:val="superscript"/>
        </w:rPr>
        <w:t>9</w:t>
      </w:r>
      <w:r w:rsidRPr="00984208">
        <w:t>/L) in patients treated with SAR 200 mg q2w when compared with patients treated with 150 mg q2w, with a smaller increase in risk beyond the 200 mg q2w median concentration range and a decreasing risk over time</w:t>
      </w:r>
      <w:r w:rsidR="004D78CD">
        <w:t>.</w:t>
      </w:r>
    </w:p>
    <w:p w14:paraId="79414EEA" w14:textId="3A56447D" w:rsidR="00984208" w:rsidRPr="00984208" w:rsidRDefault="00984208" w:rsidP="00984208">
      <w:r w:rsidRPr="00984208">
        <w:t xml:space="preserve">The </w:t>
      </w:r>
      <w:r w:rsidR="008B50BF" w:rsidRPr="00984208">
        <w:t>E</w:t>
      </w:r>
      <w:r w:rsidR="008B50BF" w:rsidRPr="008B50BF">
        <w:rPr>
          <w:vertAlign w:val="subscript"/>
        </w:rPr>
        <w:t>max</w:t>
      </w:r>
      <w:r w:rsidRPr="00984208">
        <w:t xml:space="preserve"> model in Study POH0455 also predicted the percentage change </w:t>
      </w:r>
      <w:r w:rsidR="00F01361">
        <w:t>from Baseline</w:t>
      </w:r>
      <w:r w:rsidRPr="00984208">
        <w:t xml:space="preserve"> in the LDL level and trough serum SAR concentration. The lipid raising effect of SAR reached a plateau around the median concentration for SAR 150 mg q2w therapy, with no further effect at the median serum concentration for SAR 200 mg q2w treatment. Study POH0455 also predicted a small trend towards greater change </w:t>
      </w:r>
      <w:r w:rsidR="00F01361">
        <w:t>from Baseline</w:t>
      </w:r>
      <w:r w:rsidRPr="00984208">
        <w:t xml:space="preserve"> in serum ALT in SAR treated patients when </w:t>
      </w:r>
      <w:r w:rsidRPr="00984208">
        <w:lastRenderedPageBreak/>
        <w:t xml:space="preserve">compared to patients treated with placebo as SAR trough serum concentrations increased, but the effect reached a plateau in the concentration range for both doses of SAR observed in the </w:t>
      </w:r>
      <w:r w:rsidR="004D78CD">
        <w:t>Phase III</w:t>
      </w:r>
      <w:r w:rsidRPr="00984208">
        <w:t xml:space="preserve"> studies.</w:t>
      </w:r>
    </w:p>
    <w:p w14:paraId="597D5F31" w14:textId="77777777" w:rsidR="00984208" w:rsidRPr="00984208" w:rsidRDefault="008B50BF" w:rsidP="00984208">
      <w:pPr>
        <w:pStyle w:val="Heading4"/>
      </w:pPr>
      <w:bookmarkStart w:id="148" w:name="_Toc241374304"/>
      <w:bookmarkStart w:id="149" w:name="_Toc272414646"/>
      <w:bookmarkStart w:id="150" w:name="_Toc290888494"/>
      <w:bookmarkStart w:id="151" w:name="_Toc464131530"/>
      <w:r>
        <w:t xml:space="preserve">Genetic, gender and age </w:t>
      </w:r>
      <w:r w:rsidR="00984208" w:rsidRPr="00984208">
        <w:t>related differences in pharmacodynamic response</w:t>
      </w:r>
      <w:bookmarkEnd w:id="148"/>
      <w:bookmarkEnd w:id="149"/>
      <w:bookmarkEnd w:id="150"/>
      <w:bookmarkEnd w:id="151"/>
    </w:p>
    <w:p w14:paraId="39B9C221" w14:textId="77777777" w:rsidR="004D78CD" w:rsidRDefault="00984208" w:rsidP="00984208">
      <w:r w:rsidRPr="00984208">
        <w:t>None of the covariates tested within the population PD models had a relevant effect on the PD response to SAR, including age, gend</w:t>
      </w:r>
      <w:r>
        <w:t>er and subject body weight</w:t>
      </w:r>
      <w:r w:rsidR="004D78CD">
        <w:t>.</w:t>
      </w:r>
    </w:p>
    <w:p w14:paraId="265931F9" w14:textId="77777777" w:rsidR="00984208" w:rsidRPr="00984208" w:rsidRDefault="00984208" w:rsidP="003403F3">
      <w:pPr>
        <w:pStyle w:val="Heading3"/>
      </w:pPr>
      <w:bookmarkStart w:id="152" w:name="_Toc241374303"/>
      <w:bookmarkStart w:id="153" w:name="_Toc272414647"/>
      <w:bookmarkStart w:id="154" w:name="_Toc290888495"/>
      <w:bookmarkStart w:id="155" w:name="_Toc464131531"/>
      <w:bookmarkStart w:id="156" w:name="_Toc519848438"/>
      <w:r w:rsidRPr="003403F3">
        <w:t>Pharmacodynamic</w:t>
      </w:r>
      <w:r w:rsidRPr="00984208">
        <w:t xml:space="preserve"> interactions</w:t>
      </w:r>
      <w:bookmarkEnd w:id="152"/>
      <w:bookmarkEnd w:id="153"/>
      <w:bookmarkEnd w:id="154"/>
      <w:bookmarkEnd w:id="155"/>
      <w:bookmarkEnd w:id="156"/>
    </w:p>
    <w:p w14:paraId="46DEE9F5" w14:textId="77777777" w:rsidR="004D78CD" w:rsidRDefault="00984208" w:rsidP="00984208">
      <w:r w:rsidRPr="00984208">
        <w:t>SAR is not anticipated to interact directly with or modulate the expression of CYP enz</w:t>
      </w:r>
      <w:r w:rsidR="008B50BF">
        <w:t xml:space="preserve">ymes, but such enzymes are down </w:t>
      </w:r>
      <w:r w:rsidRPr="00984208">
        <w:t>regulated by inflammation, including cytokines such as I</w:t>
      </w:r>
      <w:r w:rsidR="008B50BF">
        <w:t>L-6. Hence, IL</w:t>
      </w:r>
      <w:r w:rsidR="008B50BF">
        <w:noBreakHyphen/>
      </w:r>
      <w:r w:rsidRPr="00984208">
        <w:t>6 inhibitors may restore CYP activity to that of the non-inflammatory state, leading to the increased metabolism of CYP substrates. IL-6 can reduce mRNA expression for several CYP450 isoenzymes including CYP1A2, CYP2B6, CYP2C9, CYP2C19, CYP2D6 and CYP3A4. CYP3A4 has been shown to be reversed by another anti-IL-6 therapy (tocilizumab) at clinically relevant concentrations in vivo</w:t>
      </w:r>
      <w:r w:rsidR="004D78CD">
        <w:t>.</w:t>
      </w:r>
    </w:p>
    <w:p w14:paraId="70C2474C" w14:textId="77777777" w:rsidR="004D78CD" w:rsidRDefault="00984208" w:rsidP="00984208">
      <w:r w:rsidRPr="00984208">
        <w:t>The submission did not contain any information about the potential effect of SAR upon the generation of protective antibody titres following vaccination (including non-live vaccines such as influenza)</w:t>
      </w:r>
      <w:r w:rsidR="004D78CD">
        <w:t>.</w:t>
      </w:r>
    </w:p>
    <w:p w14:paraId="68363301" w14:textId="77777777" w:rsidR="00984208" w:rsidRPr="00984208" w:rsidRDefault="00984208" w:rsidP="003403F3">
      <w:pPr>
        <w:pStyle w:val="Heading3"/>
      </w:pPr>
      <w:bookmarkStart w:id="157" w:name="_Ref269983272"/>
      <w:bookmarkStart w:id="158" w:name="_Toc272414648"/>
      <w:bookmarkStart w:id="159" w:name="_Toc290888496"/>
      <w:bookmarkStart w:id="160" w:name="_Toc464131532"/>
      <w:bookmarkStart w:id="161" w:name="_Toc519848439"/>
      <w:r w:rsidRPr="00984208">
        <w:t>Evaluator’s overall conclusions on pharmacodynamics</w:t>
      </w:r>
      <w:bookmarkEnd w:id="157"/>
      <w:bookmarkEnd w:id="158"/>
      <w:bookmarkEnd w:id="159"/>
      <w:bookmarkEnd w:id="160"/>
      <w:bookmarkEnd w:id="161"/>
    </w:p>
    <w:p w14:paraId="024FAC12" w14:textId="53CE691F" w:rsidR="004D78CD" w:rsidRDefault="00984208" w:rsidP="00984208">
      <w:r w:rsidRPr="00984208">
        <w:t xml:space="preserve">In this submission, the PD properties of SAR when used in adult patients aged </w:t>
      </w:r>
      <w:r w:rsidR="007312A2">
        <w:t xml:space="preserve">&gt; </w:t>
      </w:r>
      <w:r w:rsidRPr="00984208">
        <w:t xml:space="preserve">18 years with active RA was assessed from data collected in 5 </w:t>
      </w:r>
      <w:r w:rsidR="004D78CD">
        <w:t>Phase I</w:t>
      </w:r>
      <w:r w:rsidRPr="00984208">
        <w:t xml:space="preserve"> studies, 3 </w:t>
      </w:r>
      <w:r w:rsidR="004D78CD">
        <w:t>Phase II</w:t>
      </w:r>
      <w:r w:rsidR="00BA3918">
        <w:t>/</w:t>
      </w:r>
      <w:r w:rsidR="00A343A3">
        <w:t>III</w:t>
      </w:r>
      <w:r w:rsidRPr="00984208">
        <w:t xml:space="preserve"> trials and 3</w:t>
      </w:r>
      <w:r w:rsidR="00BA3918">
        <w:t> </w:t>
      </w:r>
      <w:r w:rsidRPr="00984208">
        <w:t xml:space="preserve">population PKPD analyses. The studies involved </w:t>
      </w:r>
      <w:r w:rsidR="007312A2">
        <w:t xml:space="preserve">&gt; </w:t>
      </w:r>
      <w:r w:rsidRPr="00984208">
        <w:t>2</w:t>
      </w:r>
      <w:r w:rsidR="008B50BF">
        <w:t>,</w:t>
      </w:r>
      <w:r w:rsidRPr="00984208">
        <w:t xml:space="preserve">000 patients who received SAR by SC injection across a broad dose range (from a single dose of 50 mg to 150 mg qw). In the pivotal </w:t>
      </w:r>
      <w:r w:rsidR="004D78CD">
        <w:t>Phase III</w:t>
      </w:r>
      <w:r w:rsidRPr="00984208">
        <w:t xml:space="preserve"> study (Part B of EFC11072), drug exposure for up to 52 weeks of therapy has been evaluated. The sponsor has appropriately nominated mean changes in serum total IL-6R and sIL-6R levels as the primary PD markers of interest for SAR. Mean or median serum changes in serum inflammatory markers (CRP, SAA, fibrinogen and ESR) were evaluated as the secondary PD biomarkers of relevance. Expectedly for the mechanism of action of SAR, the pivotal and supporting studies demonstrated a rapid and dramatic decrease i</w:t>
      </w:r>
      <w:r w:rsidR="008B50BF">
        <w:t xml:space="preserve">n serum CRP within 2 to </w:t>
      </w:r>
      <w:r w:rsidRPr="00984208">
        <w:t>4</w:t>
      </w:r>
      <w:r w:rsidR="00BA3918">
        <w:t> </w:t>
      </w:r>
      <w:r w:rsidRPr="00984208">
        <w:t xml:space="preserve">days of first drug administration. The median time to nadir CRP levels is 7 days. Other acute phase reactants such as SAA and fibrinogen levels follow a similar time course of effect. CRP </w:t>
      </w:r>
      <w:r w:rsidR="008B50BF">
        <w:t xml:space="preserve">levels return to near normal 15 to </w:t>
      </w:r>
      <w:r w:rsidRPr="00984208">
        <w:t xml:space="preserve">30 days after last drug administration. With repeat SAR dosing by SC administration, CRP levels reach steady state by </w:t>
      </w:r>
      <w:r w:rsidR="002F4291">
        <w:t>Week</w:t>
      </w:r>
      <w:r w:rsidRPr="00984208">
        <w:t xml:space="preserve"> 24 and remain at the same level up to </w:t>
      </w:r>
      <w:r w:rsidR="002F4291">
        <w:t>Week</w:t>
      </w:r>
      <w:r w:rsidRPr="00984208">
        <w:t xml:space="preserve"> 52 of therapy. The mean values for free sIL-6R decreased rapidly (2 weeks) following SC administration of SAR and remained constant thereafter for extended pe</w:t>
      </w:r>
      <w:r w:rsidR="008B50BF">
        <w:t xml:space="preserve">riods of follow-up (at least 24 to </w:t>
      </w:r>
      <w:r w:rsidRPr="00984208">
        <w:t>52 weeks)</w:t>
      </w:r>
      <w:r w:rsidR="004D78CD">
        <w:t>.</w:t>
      </w:r>
    </w:p>
    <w:p w14:paraId="4588E7EF" w14:textId="77777777" w:rsidR="00984208" w:rsidRPr="00984208" w:rsidRDefault="00984208" w:rsidP="00984208">
      <w:r w:rsidRPr="00984208">
        <w:t>Reductions in free sIL-6R, CRP and other PD biomarkers, all correlated with SAR exposure and were accompanied by efficacy improvements. Over the 153</w:t>
      </w:r>
      <w:r w:rsidR="007312A2">
        <w:t xml:space="preserve"> fold</w:t>
      </w:r>
      <w:r w:rsidRPr="00984208">
        <w:t xml:space="preserve"> concentration range following qw (100 and 150 mg qw) and q2w (100, 150, and 200 mg q2w) dose regimens in the </w:t>
      </w:r>
      <w:r w:rsidR="004D78CD">
        <w:t>Phase II</w:t>
      </w:r>
      <w:r w:rsidRPr="00984208">
        <w:t xml:space="preserve"> study, the effect on free sIL-6R and CRP levels, and efficacy endpoints (ACR20, ACR50, and ACR70 scores and the DAS28-CRP) was apparent only at drug concentrations achieved with doses of 150 mg q2w or above. A plateau was reached for all endpoints at the SAR concentration for the 200 mg q2w dose, with further increase in exposure by as much 2.7</w:t>
      </w:r>
      <w:r w:rsidR="007312A2">
        <w:t xml:space="preserve"> fold</w:t>
      </w:r>
      <w:r w:rsidRPr="00984208">
        <w:t xml:space="preserve"> (150 mg qw) providing no significant incremental change in response. The </w:t>
      </w:r>
      <w:r w:rsidR="004D78CD">
        <w:t>Phase II</w:t>
      </w:r>
      <w:r w:rsidRPr="00984208">
        <w:t xml:space="preserve"> study also showed a greater reduction in neutrophil counts with increasing SAR up to 200 mg q2w. The PK/PD analyses supported the conclusion from the </w:t>
      </w:r>
      <w:r w:rsidR="008B50BF">
        <w:t>dose response</w:t>
      </w:r>
      <w:r w:rsidRPr="00984208">
        <w:t xml:space="preserve"> rel</w:t>
      </w:r>
      <w:r w:rsidR="008B50BF">
        <w:t>ationships that the 150 and 200 </w:t>
      </w:r>
      <w:r w:rsidRPr="00984208">
        <w:t xml:space="preserve">mg q2w doses were appropriate for the </w:t>
      </w:r>
      <w:r w:rsidR="004D78CD">
        <w:t>Phase III</w:t>
      </w:r>
      <w:r w:rsidRPr="00984208">
        <w:t xml:space="preserve"> program. In the </w:t>
      </w:r>
      <w:r w:rsidR="004D78CD">
        <w:t>Phase III</w:t>
      </w:r>
      <w:r w:rsidRPr="00984208">
        <w:t xml:space="preserve"> studies, both 150 and 200 mg q2w doses showed near maximal suppression of serum CRP levels, but there </w:t>
      </w:r>
      <w:r w:rsidRPr="00984208">
        <w:lastRenderedPageBreak/>
        <w:t xml:space="preserve">was potentially more rebound toward baseline near the end of the dosing interval for the SAR 150 mg q2w dose than for the 200 mg q2w dose, suggesting that suppression of IL-6 signalling may be more complete with SAR 200 mg q2w therapy. In the pivotal </w:t>
      </w:r>
      <w:r w:rsidR="004D78CD">
        <w:t>Phase III</w:t>
      </w:r>
      <w:r w:rsidRPr="00984208">
        <w:t xml:space="preserve"> studies, CRP levels decreased to within the normal range (</w:t>
      </w:r>
      <w:r w:rsidR="007312A2">
        <w:t xml:space="preserve">&lt; </w:t>
      </w:r>
      <w:r w:rsidRPr="00984208">
        <w:t xml:space="preserve">10 mg/L) and SAA levels were </w:t>
      </w:r>
      <w:r w:rsidR="007312A2">
        <w:t xml:space="preserve">&lt; </w:t>
      </w:r>
      <w:r w:rsidRPr="00984208">
        <w:t xml:space="preserve">20 mg/L when the trough concentration of SAR was above 1 mg/L. The combined </w:t>
      </w:r>
      <w:r w:rsidR="004D78CD">
        <w:t>Phase III</w:t>
      </w:r>
      <w:r w:rsidRPr="00984208">
        <w:t xml:space="preserve"> trial dataset shows that a higher percentage of patients treated with SC SAR 200 mg q2w had SAR trough concentrations above 1 mg/L by </w:t>
      </w:r>
      <w:r w:rsidR="002F4291">
        <w:t>Week</w:t>
      </w:r>
      <w:r w:rsidRPr="00984208">
        <w:t xml:space="preserve"> 24 (86%) than patients treated with SC SAR 150 mg q2w (61%). The sponsor considers this finding as a pivotal piece of evidence in justifying the pro</w:t>
      </w:r>
      <w:r>
        <w:t>posed posology of 200 mg q2w.</w:t>
      </w:r>
    </w:p>
    <w:p w14:paraId="30369AE9" w14:textId="7F124D7D" w:rsidR="004D78CD" w:rsidRDefault="00984208" w:rsidP="00C22678">
      <w:r w:rsidRPr="00984208">
        <w:t>The PK/PD relationships for safety endpoints (neutro</w:t>
      </w:r>
      <w:r w:rsidR="00BA3918">
        <w:t>paenia</w:t>
      </w:r>
      <w:r w:rsidRPr="00984208">
        <w:t>, elevated serum ALT values and raised LDL levels) showed a higher rate of adverse effects with an increasing SAR concentration, but the effect reached a plateau at the lower concentration range observed with SAR 150 mg q2w therapy, apart from neutro</w:t>
      </w:r>
      <w:r w:rsidR="00BA3918">
        <w:t>paenia</w:t>
      </w:r>
      <w:r w:rsidRPr="00984208">
        <w:t xml:space="preserve">. Mean decreases in the neutrophil count </w:t>
      </w:r>
      <w:r w:rsidR="00F01361">
        <w:t>from Baseline</w:t>
      </w:r>
      <w:r w:rsidRPr="00984208">
        <w:t xml:space="preserve"> were predicted to be greater for SAR 200 mg q2w therapy versus SAR 150 mg q2w dosing (39% versus 31%), and there was also a small increased risk of severe neutro</w:t>
      </w:r>
      <w:r w:rsidR="00BA3918">
        <w:t>paenia</w:t>
      </w:r>
      <w:r w:rsidRPr="00984208">
        <w:t xml:space="preserve"> (</w:t>
      </w:r>
      <w:r w:rsidR="004D78CD">
        <w:t>that is</w:t>
      </w:r>
      <w:r w:rsidRPr="00984208">
        <w:t xml:space="preserve"> neutrophil count </w:t>
      </w:r>
      <w:r w:rsidR="007312A2">
        <w:t xml:space="preserve">&lt; </w:t>
      </w:r>
      <w:r w:rsidRPr="00984208">
        <w:t xml:space="preserve">1.0 x </w:t>
      </w:r>
      <w:r w:rsidR="007312A2" w:rsidRPr="00984208">
        <w:t>10</w:t>
      </w:r>
      <w:r w:rsidR="007312A2" w:rsidRPr="007312A2">
        <w:rPr>
          <w:vertAlign w:val="superscript"/>
        </w:rPr>
        <w:t>9</w:t>
      </w:r>
      <w:r w:rsidRPr="00984208">
        <w:t>/L) occurring in patients at the median concentration for SAR 200 mg q2w therapy when compared to the median concentration with SAR 150 mg q2w treatment</w:t>
      </w:r>
      <w:r w:rsidR="004D78CD">
        <w:t>.</w:t>
      </w:r>
    </w:p>
    <w:p w14:paraId="39E1BA61" w14:textId="77777777" w:rsidR="00586F98" w:rsidRDefault="00C22678" w:rsidP="003403F3">
      <w:pPr>
        <w:pStyle w:val="Heading2"/>
      </w:pPr>
      <w:bookmarkStart w:id="162" w:name="_Toc519848440"/>
      <w:r>
        <w:t xml:space="preserve">Dosage </w:t>
      </w:r>
      <w:r w:rsidRPr="003403F3">
        <w:t>selection</w:t>
      </w:r>
      <w:r>
        <w:t xml:space="preserve"> for the pivotal studies</w:t>
      </w:r>
      <w:bookmarkEnd w:id="162"/>
    </w:p>
    <w:p w14:paraId="23B7FDFF" w14:textId="77777777" w:rsidR="004D78CD" w:rsidRDefault="00984208" w:rsidP="00984208">
      <w:r w:rsidRPr="00984208">
        <w:t xml:space="preserve">Dose selection for the </w:t>
      </w:r>
      <w:r w:rsidR="004D78CD">
        <w:t>Phase III</w:t>
      </w:r>
      <w:r w:rsidRPr="00984208">
        <w:t xml:space="preserve"> clinical study program started with interpretation of </w:t>
      </w:r>
      <w:r w:rsidR="008B50BF">
        <w:t xml:space="preserve">the PK and PD data from single and multiple </w:t>
      </w:r>
      <w:r w:rsidRPr="00984208">
        <w:t xml:space="preserve">dose studies in adult patients with active RA taking concomitant MTX. This data informed the dose selections and regimens of SAR (to be used concomitantly with MTX) to be investigated in the </w:t>
      </w:r>
      <w:r w:rsidR="00E0128B">
        <w:t>double blind</w:t>
      </w:r>
      <w:r w:rsidRPr="00984208">
        <w:t xml:space="preserve">, placebo-controlled </w:t>
      </w:r>
      <w:r w:rsidR="004D78CD">
        <w:t>Phase II</w:t>
      </w:r>
      <w:r w:rsidRPr="00984208">
        <w:t xml:space="preserve"> trial (Part A of Study EFC11072)</w:t>
      </w:r>
      <w:r w:rsidR="004D78CD">
        <w:t>.</w:t>
      </w:r>
    </w:p>
    <w:p w14:paraId="6497E28C" w14:textId="77777777" w:rsidR="004D78CD" w:rsidRDefault="00984208" w:rsidP="00984208">
      <w:r w:rsidRPr="00984208">
        <w:t>The selected doses a</w:t>
      </w:r>
      <w:r w:rsidR="008B50BF">
        <w:t xml:space="preserve">nd regimens of SAR in that dose </w:t>
      </w:r>
      <w:r w:rsidRPr="00984208">
        <w:t>finding study were those considered to have the potential to suppress PD markers, such as CRP, SAA and fibrinogen, throughout the dosing interval</w:t>
      </w:r>
      <w:r w:rsidR="004D78CD">
        <w:t>.</w:t>
      </w:r>
    </w:p>
    <w:p w14:paraId="31DAF691" w14:textId="77777777" w:rsidR="00984208" w:rsidRPr="00984208" w:rsidRDefault="00984208" w:rsidP="00984208">
      <w:r w:rsidRPr="00984208">
        <w:t xml:space="preserve">Part A of Study EFC11072 was a </w:t>
      </w:r>
      <w:r w:rsidR="008B50BF">
        <w:t>12 week</w:t>
      </w:r>
      <w:r w:rsidRPr="00984208">
        <w:t xml:space="preserve">, </w:t>
      </w:r>
      <w:r w:rsidR="008B50BF">
        <w:t>6 arm</w:t>
      </w:r>
      <w:r w:rsidRPr="00984208">
        <w:t xml:space="preserve">, </w:t>
      </w:r>
      <w:r w:rsidR="004D78CD">
        <w:t>dose ranging</w:t>
      </w:r>
      <w:r w:rsidR="008B50BF">
        <w:t xml:space="preserve"> study intended to select the 2 </w:t>
      </w:r>
      <w:r w:rsidRPr="00984208">
        <w:t xml:space="preserve">dose regimens of SAR for further evaluation in the </w:t>
      </w:r>
      <w:r w:rsidR="004D78CD">
        <w:t>Phase III</w:t>
      </w:r>
      <w:r w:rsidRPr="00984208">
        <w:t xml:space="preserve"> program. In Part A, subjects were randomly assigned in a ratio of 1:1:1:1:1:1 to receive either </w:t>
      </w:r>
      <w:r w:rsidR="00A343A3">
        <w:t>placebo</w:t>
      </w:r>
      <w:r w:rsidRPr="00984208">
        <w:t xml:space="preserve"> injections once weekly (qw), SAR 100 mg qw, SAR 150 mg qw, SAR 100 mg once every 2 weeks (q2w), SAR 150 mg q2w or SAR 200mg q2w. The maximum duration of study involvement for each individual patient was 22 weeks (up to 4 weeks of screening, followed by 12 weeks for study treatment and 6 weeks of follow-up after their last injection). The complete set of efficacy results reported in Part A of Study EFC1</w:t>
      </w:r>
      <w:r w:rsidR="008B50BF">
        <w:t>1072 is detailed in section 7.1</w:t>
      </w:r>
      <w:r w:rsidRPr="00984208">
        <w:t xml:space="preserve"> of this report. Patients from Part A of Study EFC11072 did not participate in Part B of the trial. However, subjects who completed Part A were eligible to enter an </w:t>
      </w:r>
      <w:r w:rsidR="004D78CD">
        <w:t>open label</w:t>
      </w:r>
      <w:r w:rsidRPr="00984208">
        <w:t xml:space="preserve">, </w:t>
      </w:r>
      <w:r w:rsidR="004D78CD">
        <w:t>long term</w:t>
      </w:r>
      <w:r>
        <w:t xml:space="preserve"> extension study (LTS11210).</w:t>
      </w:r>
    </w:p>
    <w:p w14:paraId="3831ED1F" w14:textId="77777777" w:rsidR="00984208" w:rsidRPr="00984208" w:rsidRDefault="00984208" w:rsidP="00984208">
      <w:r w:rsidRPr="00984208">
        <w:t xml:space="preserve">The dose regimens of SAR investigated in both of the pivotal </w:t>
      </w:r>
      <w:r w:rsidR="004D78CD">
        <w:t>Phase III</w:t>
      </w:r>
      <w:r w:rsidRPr="00984208">
        <w:t xml:space="preserve"> trials (Part B of Study EFC11072 and EFC10832) were selected on the results obtained during the </w:t>
      </w:r>
      <w:r w:rsidR="004D78CD">
        <w:t>Phase I</w:t>
      </w:r>
      <w:r w:rsidR="008B50BF">
        <w:t xml:space="preserve"> and II</w:t>
      </w:r>
      <w:r w:rsidRPr="00984208">
        <w:t xml:space="preserve"> programs. Clinical efficacy results from Part A of Study EFC11072 concluded that 4 doses of SAR (150 mg q2w, 200 mg q2w, 100 mg qw and 150 mg qw) showed efficacy in the adult RA patient population. There was no clear dose response relationship for the incidence of </w:t>
      </w:r>
      <w:r w:rsidR="006062AB">
        <w:t>treatment emergent</w:t>
      </w:r>
      <w:r w:rsidRPr="00984208">
        <w:t xml:space="preserve"> adverse events (TEAE) and serious adverse events (SAEs) were infrequent in all treatment groups. The lowest SAR dose with efficacy (150 mg q2w) and a second dose regimen (200 mg q2w) were chosen for evaluation in the pivotal </w:t>
      </w:r>
      <w:r w:rsidR="004D78CD">
        <w:t>Phase III</w:t>
      </w:r>
      <w:r w:rsidRPr="00984208">
        <w:t xml:space="preserve"> trials based on the benefit-risk ratio analysis. In addition, the sponsor states that from the perspective of patient convenience, a less frequent injection schedule is preferred (once every 2 weeks versus once weekly).</w:t>
      </w:r>
    </w:p>
    <w:p w14:paraId="6E628CEF" w14:textId="77777777" w:rsidR="00984208" w:rsidRPr="00984208" w:rsidRDefault="00984208" w:rsidP="00984208">
      <w:r w:rsidRPr="00984208">
        <w:t xml:space="preserve">Both of the pivotal </w:t>
      </w:r>
      <w:r w:rsidR="004D78CD">
        <w:t>Phase III</w:t>
      </w:r>
      <w:r w:rsidR="008B50BF">
        <w:t xml:space="preserve"> trials were placebo (</w:t>
      </w:r>
      <w:r w:rsidR="00A343A3">
        <w:t>placebo</w:t>
      </w:r>
      <w:r w:rsidR="008B50BF">
        <w:t xml:space="preserve">) controlled for the first 12 to </w:t>
      </w:r>
      <w:r w:rsidRPr="00984208">
        <w:t xml:space="preserve">16 weeks. However, </w:t>
      </w:r>
      <w:r w:rsidR="008B50BF">
        <w:t>35 to 39</w:t>
      </w:r>
      <w:r w:rsidRPr="00984208">
        <w:t xml:space="preserve">% of </w:t>
      </w:r>
      <w:r w:rsidR="00A343A3">
        <w:t>placebo</w:t>
      </w:r>
      <w:r w:rsidRPr="00984208">
        <w:t xml:space="preserve"> treated patients (versus </w:t>
      </w:r>
      <w:r w:rsidR="008B50BF">
        <w:t>13 to 14</w:t>
      </w:r>
      <w:r w:rsidRPr="00984208">
        <w:t xml:space="preserve">% of SAR treated subjects) </w:t>
      </w:r>
      <w:r w:rsidRPr="00984208">
        <w:lastRenderedPageBreak/>
        <w:t xml:space="preserve">were transferred to rescue therapy with SAR before </w:t>
      </w:r>
      <w:r w:rsidR="002F4291">
        <w:t>Week</w:t>
      </w:r>
      <w:r w:rsidRPr="00984208">
        <w:t xml:space="preserve"> 24 because of insufficient clinical response. In addition to </w:t>
      </w:r>
      <w:r w:rsidR="00A343A3">
        <w:t>placebo</w:t>
      </w:r>
      <w:r w:rsidRPr="00984208">
        <w:t xml:space="preserve"> or SAR injections, all patients in both trials received concurrent non-biological DMARD (</w:t>
      </w:r>
      <w:r w:rsidR="007312A2">
        <w:t xml:space="preserve">&gt; </w:t>
      </w:r>
      <w:r w:rsidRPr="00984208">
        <w:t xml:space="preserve">90% of which was weekly low dose oral MTX). The mean and median doses of concomitant background treatment with conventional DMARD therapy (predominately MTX) was consistent with contemporary clinical practice in Australia. However, recent expert opinion concludes that such prior therapy reflects sub-optimal practice before the commencement of biologic therapy in patients with active RA (Duran et al, 2016). In particular, the maximal concurrent dose of MTX should be used in the comparator arm of all biologic therapy trials (up to 25 mg/week, by the SC route if dose </w:t>
      </w:r>
      <w:r w:rsidR="007312A2">
        <w:t xml:space="preserve">&gt; </w:t>
      </w:r>
      <w:r w:rsidRPr="00984208">
        <w:t>15 mg/week for MTX) as sub-optimal MTX dose in the comparator arm may bias efficacy results in favour of biological agents.</w:t>
      </w:r>
      <w:r w:rsidR="004D78CD">
        <w:t xml:space="preserve"> </w:t>
      </w:r>
      <w:r w:rsidRPr="00984208">
        <w:t xml:space="preserve">Moreover, low dose oral corticosteroid (prednisone </w:t>
      </w:r>
      <w:r w:rsidR="007312A2">
        <w:t xml:space="preserve">&gt; </w:t>
      </w:r>
      <w:r w:rsidRPr="00984208">
        <w:t>10 mg/day) and NSAID use was recorded in approximately two-thirds of all patients (equally dispersed among the treatment arms) in the 2 pivotal SAR studies, which reflects appropriate concomitant drug use in individuals with active RA, and is consistent with prescribing patterns in Australia.</w:t>
      </w:r>
    </w:p>
    <w:p w14:paraId="55C5A263" w14:textId="77777777" w:rsidR="00C22678" w:rsidRDefault="00C22678" w:rsidP="003403F3">
      <w:pPr>
        <w:pStyle w:val="Heading2"/>
      </w:pPr>
      <w:bookmarkStart w:id="163" w:name="_Toc519848441"/>
      <w:r w:rsidRPr="003403F3">
        <w:t>Clinical</w:t>
      </w:r>
      <w:r>
        <w:t xml:space="preserve"> efficacy</w:t>
      </w:r>
      <w:bookmarkEnd w:id="163"/>
    </w:p>
    <w:p w14:paraId="664B3B81" w14:textId="1FB4B63F" w:rsidR="001F23CB" w:rsidRDefault="00984208" w:rsidP="00984208">
      <w:bookmarkStart w:id="164" w:name="_Ref271199564"/>
      <w:bookmarkStart w:id="165" w:name="_Toc272414651"/>
      <w:bookmarkStart w:id="166" w:name="_Toc290888499"/>
      <w:bookmarkStart w:id="167" w:name="_Toc464131535"/>
      <w:r w:rsidRPr="00984208">
        <w:t xml:space="preserve">Proposed </w:t>
      </w:r>
      <w:r w:rsidR="001F23CB" w:rsidRPr="00984208">
        <w:t>treatment i</w:t>
      </w:r>
      <w:r w:rsidRPr="00984208">
        <w:t>ndication</w:t>
      </w:r>
      <w:bookmarkEnd w:id="164"/>
      <w:bookmarkEnd w:id="165"/>
      <w:bookmarkEnd w:id="166"/>
      <w:r w:rsidRPr="00984208">
        <w:t xml:space="preserve"> of</w:t>
      </w:r>
      <w:r w:rsidR="001F23CB">
        <w:t>:</w:t>
      </w:r>
    </w:p>
    <w:p w14:paraId="19F389A8" w14:textId="3241E919" w:rsidR="00984208" w:rsidRPr="00984208" w:rsidRDefault="00194D27" w:rsidP="00D356CE">
      <w:pPr>
        <w:ind w:left="720"/>
      </w:pPr>
      <w:r>
        <w:t>‘</w:t>
      </w:r>
      <w:r w:rsidR="00984208" w:rsidRPr="00D356CE">
        <w:rPr>
          <w:i/>
        </w:rPr>
        <w:t>Sarilumab in combination with non-biologic DMARDs is indicated for the treatment of moderate to severe Rheumatoid Arthritis in adult patients who have had an inadequate response or intolerance to one or more DMARDs</w:t>
      </w:r>
      <w:r>
        <w:t>’</w:t>
      </w:r>
      <w:r w:rsidR="00984208" w:rsidRPr="00984208">
        <w:t>.</w:t>
      </w:r>
      <w:bookmarkEnd w:id="167"/>
    </w:p>
    <w:p w14:paraId="2EF4B5C5" w14:textId="77777777" w:rsidR="00984208" w:rsidRPr="00984208" w:rsidRDefault="00984208" w:rsidP="003403F3">
      <w:pPr>
        <w:pStyle w:val="Heading3"/>
      </w:pPr>
      <w:bookmarkStart w:id="168" w:name="_Ref271037274"/>
      <w:bookmarkStart w:id="169" w:name="_Toc272414652"/>
      <w:bookmarkStart w:id="170" w:name="_Toc290888500"/>
      <w:bookmarkStart w:id="171" w:name="_Toc464131536"/>
      <w:bookmarkStart w:id="172" w:name="_Toc519848442"/>
      <w:r w:rsidRPr="00984208">
        <w:t xml:space="preserve">Pivotal </w:t>
      </w:r>
      <w:r w:rsidRPr="003403F3">
        <w:t>efficacy</w:t>
      </w:r>
      <w:r w:rsidRPr="00984208">
        <w:t xml:space="preserve"> studies</w:t>
      </w:r>
      <w:bookmarkEnd w:id="168"/>
      <w:bookmarkEnd w:id="169"/>
      <w:bookmarkEnd w:id="170"/>
      <w:bookmarkEnd w:id="171"/>
      <w:bookmarkEnd w:id="172"/>
    </w:p>
    <w:p w14:paraId="7CEE01D5" w14:textId="77777777" w:rsidR="004D78CD" w:rsidRDefault="00984208" w:rsidP="00984208">
      <w:r w:rsidRPr="00984208">
        <w:t xml:space="preserve">There were 2 pivotal </w:t>
      </w:r>
      <w:r w:rsidR="004D78CD">
        <w:t>Phase III</w:t>
      </w:r>
      <w:r w:rsidRPr="00984208">
        <w:t xml:space="preserve"> trials (Part B of Study EFC11072 and Study EFC10832) in support of the application for the treatment of RA with SAR. Both of the </w:t>
      </w:r>
      <w:r w:rsidR="004D78CD">
        <w:t>Phase III</w:t>
      </w:r>
      <w:r w:rsidRPr="00984208">
        <w:t xml:space="preserve"> </w:t>
      </w:r>
      <w:r w:rsidR="008B50BF">
        <w:t>studies were of similar design;</w:t>
      </w:r>
      <w:r w:rsidRPr="00984208">
        <w:t xml:space="preserve"> randomised, </w:t>
      </w:r>
      <w:r w:rsidR="00E0128B">
        <w:t>double blind</w:t>
      </w:r>
      <w:r w:rsidRPr="00984208">
        <w:t xml:space="preserve">, </w:t>
      </w:r>
      <w:r w:rsidR="008B50BF">
        <w:t xml:space="preserve">parallel group, placebo </w:t>
      </w:r>
      <w:r w:rsidRPr="00984208">
        <w:t xml:space="preserve">controlled trials in adult patients with active RA. Both of the </w:t>
      </w:r>
      <w:r w:rsidR="004D78CD">
        <w:t>Phase III</w:t>
      </w:r>
      <w:r w:rsidRPr="00984208">
        <w:t xml:space="preserve"> trials examined t</w:t>
      </w:r>
      <w:r w:rsidR="008B50BF">
        <w:t>he effect of SAR 150 mg and 200 </w:t>
      </w:r>
      <w:r w:rsidRPr="00984208">
        <w:t xml:space="preserve">mg injections given by SC injection every 2 weeks when added to non-biologic DMARD therapy (mostly, weekly low dose oral MTX). The main difference between the 2 pivotal </w:t>
      </w:r>
      <w:r w:rsidR="008B50BF">
        <w:t>Phase </w:t>
      </w:r>
      <w:r w:rsidR="004D78CD">
        <w:t>III</w:t>
      </w:r>
      <w:r w:rsidRPr="00984208">
        <w:t xml:space="preserve"> studies was the recruitment of subjects with a preceding inadequate response to MTX in Study EFC11072 versus subjects who were inadequate responders or intolerant of anti-</w:t>
      </w:r>
      <w:r>
        <w:t>TNF therapy in Study EFC10832</w:t>
      </w:r>
      <w:r w:rsidR="004D78CD">
        <w:t>.</w:t>
      </w:r>
    </w:p>
    <w:p w14:paraId="51C93C38" w14:textId="77777777" w:rsidR="00984208" w:rsidRPr="00984208" w:rsidRDefault="00984208" w:rsidP="003403F3">
      <w:pPr>
        <w:pStyle w:val="Heading4"/>
      </w:pPr>
      <w:bookmarkStart w:id="173" w:name="_Ref243301615"/>
      <w:bookmarkStart w:id="174" w:name="_Ref271040927"/>
      <w:bookmarkStart w:id="175" w:name="_Ref271040932"/>
      <w:bookmarkStart w:id="176" w:name="_Toc272414653"/>
      <w:bookmarkStart w:id="177" w:name="_Toc290888501"/>
      <w:bookmarkStart w:id="178" w:name="_Toc464131537"/>
      <w:r w:rsidRPr="00984208">
        <w:t xml:space="preserve">Study </w:t>
      </w:r>
      <w:bookmarkEnd w:id="173"/>
      <w:bookmarkEnd w:id="174"/>
      <w:bookmarkEnd w:id="175"/>
      <w:bookmarkEnd w:id="176"/>
      <w:bookmarkEnd w:id="177"/>
      <w:r w:rsidRPr="003403F3">
        <w:t>EFC11072</w:t>
      </w:r>
      <w:r w:rsidRPr="00984208">
        <w:t xml:space="preserve"> - Part B</w:t>
      </w:r>
      <w:bookmarkEnd w:id="178"/>
    </w:p>
    <w:p w14:paraId="3018034A" w14:textId="77777777" w:rsidR="00984208" w:rsidRPr="00984208" w:rsidRDefault="00984208" w:rsidP="003403F3">
      <w:pPr>
        <w:pStyle w:val="Heading5"/>
      </w:pPr>
      <w:r w:rsidRPr="00984208">
        <w:t xml:space="preserve">Study design, objectives, locations </w:t>
      </w:r>
      <w:r w:rsidRPr="003403F3">
        <w:t>and</w:t>
      </w:r>
      <w:r w:rsidRPr="00984208">
        <w:t xml:space="preserve"> dates</w:t>
      </w:r>
    </w:p>
    <w:p w14:paraId="24430AA5" w14:textId="77777777" w:rsidR="00984208" w:rsidRPr="00984208" w:rsidRDefault="00984208" w:rsidP="00984208">
      <w:r w:rsidRPr="00984208">
        <w:t>The primary objectives of Part B of Study EFC11072 were to demonstrate that the efficacy of SAR therapy when added to MTX was superior to placebo (</w:t>
      </w:r>
      <w:r w:rsidR="00A343A3">
        <w:t>placebo</w:t>
      </w:r>
      <w:r w:rsidRPr="00984208">
        <w:t>) injections and continued MTX in:</w:t>
      </w:r>
    </w:p>
    <w:p w14:paraId="3AFC30D6" w14:textId="77777777" w:rsidR="00984208" w:rsidRPr="00984208" w:rsidRDefault="00984208" w:rsidP="003403F3">
      <w:pPr>
        <w:pStyle w:val="ListBullet"/>
      </w:pPr>
      <w:r w:rsidRPr="00984208">
        <w:t xml:space="preserve">Reducing the </w:t>
      </w:r>
      <w:r w:rsidRPr="003403F3">
        <w:t>symptoms</w:t>
      </w:r>
      <w:r w:rsidRPr="00984208">
        <w:t xml:space="preserve"> and</w:t>
      </w:r>
      <w:r w:rsidR="008B50BF">
        <w:t xml:space="preserve"> signs of active RA at 24 weeks</w:t>
      </w:r>
    </w:p>
    <w:p w14:paraId="77EA53DC" w14:textId="77777777" w:rsidR="00984208" w:rsidRPr="00984208" w:rsidRDefault="00984208" w:rsidP="00984208">
      <w:pPr>
        <w:pStyle w:val="ListBullet"/>
      </w:pPr>
      <w:r w:rsidRPr="00984208">
        <w:t>Improving physic</w:t>
      </w:r>
      <w:r w:rsidR="008B50BF">
        <w:t>al functioning at 16 weeks, and</w:t>
      </w:r>
    </w:p>
    <w:p w14:paraId="73A0221E" w14:textId="77777777" w:rsidR="004D78CD" w:rsidRDefault="00984208" w:rsidP="00984208">
      <w:pPr>
        <w:pStyle w:val="ListBullet"/>
      </w:pPr>
      <w:r w:rsidRPr="00984208">
        <w:t>Slowing the progression of structural damage (join</w:t>
      </w:r>
      <w:r w:rsidR="008F134F">
        <w:t>t damage seen on plain X-ray)</w:t>
      </w:r>
      <w:r w:rsidR="004D78CD">
        <w:t>.</w:t>
      </w:r>
    </w:p>
    <w:p w14:paraId="6149DB32" w14:textId="77777777" w:rsidR="00984208" w:rsidRPr="00984208" w:rsidRDefault="00984208" w:rsidP="00984208">
      <w:r w:rsidRPr="00984208">
        <w:t xml:space="preserve">Study EFC11072 had an operationally seamless design that used a </w:t>
      </w:r>
      <w:r w:rsidR="004D78CD">
        <w:t>Phase II</w:t>
      </w:r>
      <w:r w:rsidRPr="00984208">
        <w:t xml:space="preserve"> strategy to select the relevant dose regimens of SAR (Part A, </w:t>
      </w:r>
      <w:r w:rsidR="004D78CD">
        <w:t>dose ranging</w:t>
      </w:r>
      <w:r w:rsidRPr="00984208">
        <w:t xml:space="preserve">), followed by a </w:t>
      </w:r>
      <w:r w:rsidR="004D78CD">
        <w:t>Phase III</w:t>
      </w:r>
      <w:r w:rsidRPr="00984208">
        <w:t xml:space="preserve"> design to test the selected SAR dose regimens (Part B, pivotal), without interruption of patient recruitment and maintenance of the </w:t>
      </w:r>
      <w:r w:rsidR="00E0128B">
        <w:t>double blind</w:t>
      </w:r>
      <w:r w:rsidRPr="00984208">
        <w:t>. The US Food and Drug Administration (FDA) and European Medicines Agency (EMA) agreed upon the design of Study EFC</w:t>
      </w:r>
      <w:r w:rsidR="008F134F">
        <w:t>11072.</w:t>
      </w:r>
    </w:p>
    <w:p w14:paraId="696B0892" w14:textId="3AE69C7B" w:rsidR="004D78CD" w:rsidRDefault="00984208" w:rsidP="00984208">
      <w:r w:rsidRPr="00984208">
        <w:t xml:space="preserve">Part A of Study EFC11072 was a </w:t>
      </w:r>
      <w:r w:rsidR="008B50BF">
        <w:t>12 week</w:t>
      </w:r>
      <w:r w:rsidRPr="00984208">
        <w:t xml:space="preserve">, </w:t>
      </w:r>
      <w:r w:rsidR="008B50BF">
        <w:t>6 arm</w:t>
      </w:r>
      <w:r w:rsidRPr="00984208">
        <w:t xml:space="preserve">, </w:t>
      </w:r>
      <w:r w:rsidR="004D78CD">
        <w:t>dose ranging</w:t>
      </w:r>
      <w:r w:rsidRPr="00984208">
        <w:t xml:space="preserve"> study intended to select the 2 dose regimens of SAR for further evaluation in the </w:t>
      </w:r>
      <w:r w:rsidR="004D78CD">
        <w:t>Phase III</w:t>
      </w:r>
      <w:r w:rsidRPr="00984208">
        <w:t xml:space="preserve"> program. The efficacy results (</w:t>
      </w:r>
      <w:r w:rsidR="004D78CD">
        <w:t xml:space="preserve">that </w:t>
      </w:r>
      <w:r w:rsidR="004D78CD">
        <w:lastRenderedPageBreak/>
        <w:t>is</w:t>
      </w:r>
      <w:r w:rsidRPr="00984208">
        <w:t xml:space="preserve"> reduction in signs and symptoms of RA) of Part A are presented in this report. In Part A, subjects were randomly assigned in an equal ratio to receive either </w:t>
      </w:r>
      <w:r w:rsidR="00A343A3">
        <w:t>placebo</w:t>
      </w:r>
      <w:r w:rsidRPr="00984208">
        <w:t xml:space="preserve"> injections once weekly (qw), SAR 100 mg qw, SAR 150 mg qw, SAR 100 mg once every 2 weeks (q2w), SAR 150 mg q2w or SAR 200mg q2w. The maximum duration of study involvement for each individual patient was 22 weeks (up to 4 weeks of screening, followed by 12 weeks for study treatment and 6 weeks of follow-up after their last injection). Patients from Part A of Study EFC11072 did not participate in Part B of the trial. However, subjects who completed Part A were eligible to enter an </w:t>
      </w:r>
      <w:r w:rsidR="004D78CD">
        <w:t>open label</w:t>
      </w:r>
      <w:r w:rsidRPr="00984208">
        <w:t xml:space="preserve">, </w:t>
      </w:r>
      <w:r w:rsidR="004D78CD">
        <w:t>long term</w:t>
      </w:r>
      <w:r w:rsidR="008F134F">
        <w:t xml:space="preserve"> extension study</w:t>
      </w:r>
      <w:r w:rsidR="003D4A99">
        <w:t xml:space="preserve">, Study </w:t>
      </w:r>
      <w:r w:rsidR="008F134F">
        <w:t>LTS11210</w:t>
      </w:r>
      <w:r w:rsidR="004D78CD">
        <w:t>.</w:t>
      </w:r>
    </w:p>
    <w:p w14:paraId="4A34A919" w14:textId="548498F8" w:rsidR="004D78CD" w:rsidRDefault="00984208" w:rsidP="00984208">
      <w:r w:rsidRPr="00984208">
        <w:t xml:space="preserve">Part B of Study EFC11072 was a </w:t>
      </w:r>
      <w:r w:rsidR="008B50BF">
        <w:t>52 week</w:t>
      </w:r>
      <w:r w:rsidRPr="00984208">
        <w:t xml:space="preserve">, </w:t>
      </w:r>
      <w:r w:rsidR="008B50BF">
        <w:t>6 arm</w:t>
      </w:r>
      <w:r w:rsidRPr="00984208">
        <w:t xml:space="preserve"> study with 2 cohorts, intended to confirm the efficacy and safety of the 2 SAR dose regimens (150 mg q2w and 200 mg q2w) selected from Part A. Patient enrolment in Part B commenced after the last s</w:t>
      </w:r>
      <w:r w:rsidR="008B50BF">
        <w:t xml:space="preserve">ubject was randomised into </w:t>
      </w:r>
      <w:r w:rsidR="008B50BF" w:rsidRPr="008B50BF">
        <w:t>Part </w:t>
      </w:r>
      <w:r w:rsidRPr="008B50BF">
        <w:t>A</w:t>
      </w:r>
      <w:r w:rsidRPr="00984208">
        <w:t xml:space="preserve">, without waiting for the dose selection based on the results of Part A. Hence, subjects enrolled in Cohort 1 of Part B were randomly assigned in an equal ratio (identical to Part A) to receive either </w:t>
      </w:r>
      <w:r w:rsidR="00A343A3">
        <w:t>placebo</w:t>
      </w:r>
      <w:r w:rsidRPr="00984208">
        <w:t xml:space="preserve"> injections qw, SAR 100mg qw, SAR 150 mg qw, SAR 100 mg q2w, SAR 150 mg q2w or SAR 200 mg q2w</w:t>
      </w:r>
      <w:r w:rsidR="008B50BF">
        <w:t xml:space="preserve">; </w:t>
      </w:r>
      <w:r w:rsidRPr="00984208">
        <w:t xml:space="preserve">refer </w:t>
      </w:r>
      <w:r w:rsidRPr="00347016">
        <w:t>to Figure 4. Once</w:t>
      </w:r>
      <w:r w:rsidRPr="00984208">
        <w:t xml:space="preserve"> the results from Part A were known and the doses for further evaluation in Part B were selected, patients in Cohort 1 of Part B who were receiving the final selected doses of SAR (subsequently identified to be 150 mg q2w or 200 mg q2w) or </w:t>
      </w:r>
      <w:r w:rsidR="00A343A3">
        <w:t>placebo</w:t>
      </w:r>
      <w:r w:rsidRPr="00984208">
        <w:t xml:space="preserve"> injections continued on the same allocated treatment regimen. Patients receiving the </w:t>
      </w:r>
      <w:r w:rsidR="00194D27">
        <w:t>‘</w:t>
      </w:r>
      <w:r w:rsidRPr="00984208">
        <w:t>non-selected</w:t>
      </w:r>
      <w:r w:rsidR="00194D27">
        <w:t>’</w:t>
      </w:r>
      <w:r w:rsidRPr="00984208">
        <w:t xml:space="preserve"> SAR dose groups in Cohort 1 were discontinued from Study</w:t>
      </w:r>
      <w:r w:rsidR="00BF33B8">
        <w:t> </w:t>
      </w:r>
      <w:r w:rsidRPr="00984208">
        <w:t xml:space="preserve">EFC11072 and could enter the </w:t>
      </w:r>
      <w:r w:rsidR="004D78CD">
        <w:t>open label</w:t>
      </w:r>
      <w:r w:rsidRPr="00984208">
        <w:t xml:space="preserve">, </w:t>
      </w:r>
      <w:r w:rsidR="004D78CD">
        <w:t>long term</w:t>
      </w:r>
      <w:r w:rsidRPr="00984208">
        <w:t xml:space="preserve"> extension Study LTS11210</w:t>
      </w:r>
      <w:r w:rsidR="004D78CD">
        <w:t>.</w:t>
      </w:r>
    </w:p>
    <w:p w14:paraId="6147F8AD" w14:textId="77777777" w:rsidR="00984208" w:rsidRDefault="008F134F" w:rsidP="003403F3">
      <w:pPr>
        <w:pStyle w:val="FigureTitle"/>
        <w:rPr>
          <w:lang w:eastAsia="ja-JP"/>
        </w:rPr>
      </w:pPr>
      <w:r w:rsidRPr="00347016">
        <w:t>Figure 4</w:t>
      </w:r>
      <w:r w:rsidR="00347016" w:rsidRPr="00347016">
        <w:t xml:space="preserve">: </w:t>
      </w:r>
      <w:r w:rsidRPr="00347016">
        <w:t>Study</w:t>
      </w:r>
      <w:r>
        <w:t xml:space="preserve"> Design of Cohort 1, Part B of Study EFC11072</w:t>
      </w:r>
    </w:p>
    <w:p w14:paraId="211BE176" w14:textId="77777777" w:rsidR="00984208" w:rsidRDefault="008F134F" w:rsidP="00C22678">
      <w:pPr>
        <w:rPr>
          <w:lang w:eastAsia="ja-JP"/>
        </w:rPr>
      </w:pPr>
      <w:r>
        <w:rPr>
          <w:noProof/>
          <w:lang w:eastAsia="en-AU"/>
        </w:rPr>
        <w:drawing>
          <wp:inline distT="0" distB="0" distL="0" distR="0" wp14:anchorId="00146784" wp14:editId="3BB94AF0">
            <wp:extent cx="5184172" cy="2948026"/>
            <wp:effectExtent l="0" t="0" r="0" b="5080"/>
            <wp:docPr id="12" name="Picture 12" descr="Study Design of Cohort 1, Part B of Study EFC11072&#10;a 52 week, 6 arm study with 2 cohorts, intended to confirm the efficacy and safety of the 2 SAR dose regimens (150 mg q2w and 200 mg q2w) selected from Part A. Patient enrolment in Part B commenced after the last subject was randomised into Part A, without waiting for the dose selection based on the results of Part A. Hence, subjects enrolled in Cohort 1 of Part B were randomly assigned in an equal ratio (identical to Part A) to receive either placebo injections qw, SAR 100mg qw, SAR 150 mg qw, SAR 100 mg q2w, SAR 150 mg q2w or SAR 200 mg q2w; refer to Figure 4. Once the results from Part A were known and the doses for further evaluation in Part B were selected, patients in Cohort 1 of Part B who were receiving the final selected doses of SAR (subsequently identified to be 150 mg q2w or 200 mg q2w) or placebo injections continued on the same allocated treatment regimen. Patients receiving the “non-selected” SAR dose groups in Cohort 1 were discontinued from Study EFC11072 and could enter the open label, long term extension Study LTS1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90560" cy="2951658"/>
                    </a:xfrm>
                    <a:prstGeom prst="rect">
                      <a:avLst/>
                    </a:prstGeom>
                  </pic:spPr>
                </pic:pic>
              </a:graphicData>
            </a:graphic>
          </wp:inline>
        </w:drawing>
      </w:r>
    </w:p>
    <w:p w14:paraId="45A532D3" w14:textId="77777777" w:rsidR="004D78CD" w:rsidRDefault="008F134F" w:rsidP="008F134F">
      <w:r>
        <w:t xml:space="preserve">Patients for Cohort 2 of Part B were recruited after dose selection results were available from Part A and were randomly assigned in a ratio of 1:1:1 to receive either </w:t>
      </w:r>
      <w:r w:rsidR="00A343A3">
        <w:t>placebo</w:t>
      </w:r>
      <w:r>
        <w:t xml:space="preserve"> injections q2w, SAR 150 mg q2w or SAR 200 mg q2w</w:t>
      </w:r>
      <w:r w:rsidR="008B50BF">
        <w:t xml:space="preserve">; </w:t>
      </w:r>
      <w:r>
        <w:t xml:space="preserve">refer </w:t>
      </w:r>
      <w:r w:rsidRPr="00347016">
        <w:t>to Figure 5</w:t>
      </w:r>
      <w:r w:rsidR="004D78CD" w:rsidRPr="00347016">
        <w:t>.</w:t>
      </w:r>
    </w:p>
    <w:p w14:paraId="6D9BA303" w14:textId="77777777" w:rsidR="008F134F" w:rsidRDefault="008F134F" w:rsidP="003403F3">
      <w:pPr>
        <w:pStyle w:val="FigureTitle"/>
      </w:pPr>
      <w:r w:rsidRPr="00347016">
        <w:lastRenderedPageBreak/>
        <w:t>Figure 5</w:t>
      </w:r>
      <w:r w:rsidR="00347016" w:rsidRPr="00347016">
        <w:t>:</w:t>
      </w:r>
      <w:r w:rsidR="004D78CD" w:rsidRPr="00347016">
        <w:t xml:space="preserve"> </w:t>
      </w:r>
      <w:r w:rsidRPr="00347016">
        <w:t xml:space="preserve">Study </w:t>
      </w:r>
      <w:r w:rsidRPr="003403F3">
        <w:t>Design</w:t>
      </w:r>
      <w:r w:rsidRPr="00347016">
        <w:t xml:space="preserve"> of Cohort 2, Part B of Study EFC11072</w:t>
      </w:r>
    </w:p>
    <w:p w14:paraId="06C9AC8B" w14:textId="77777777" w:rsidR="00984208" w:rsidRDefault="008F134F" w:rsidP="00C22678">
      <w:pPr>
        <w:rPr>
          <w:lang w:eastAsia="ja-JP"/>
        </w:rPr>
      </w:pPr>
      <w:r>
        <w:rPr>
          <w:noProof/>
          <w:lang w:eastAsia="en-AU"/>
        </w:rPr>
        <w:drawing>
          <wp:inline distT="0" distB="0" distL="0" distR="0" wp14:anchorId="405BA5B9" wp14:editId="60DA7EE5">
            <wp:extent cx="5354726" cy="2553792"/>
            <wp:effectExtent l="0" t="0" r="0" b="0"/>
            <wp:docPr id="13" name="Picture 13" descr="Study Design of Cohort 2, Part B of Study EFC11072&#10;Patients for Cohort 2 of Part B were recruited after dose selection results were available from Part A and were randomly assigned in a ratio of 1:1:1 to receive either placebo injections q2w, SAR 150 mg q2w or SAR 200 mg q2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51358" cy="2552186"/>
                    </a:xfrm>
                    <a:prstGeom prst="rect">
                      <a:avLst/>
                    </a:prstGeom>
                  </pic:spPr>
                </pic:pic>
              </a:graphicData>
            </a:graphic>
          </wp:inline>
        </w:drawing>
      </w:r>
    </w:p>
    <w:p w14:paraId="01ED0D1E" w14:textId="40166195" w:rsidR="004D78CD" w:rsidRDefault="008F134F" w:rsidP="008F134F">
      <w:r w:rsidRPr="008F134F">
        <w:t xml:space="preserve">The design of Part B of Study EFC11072 allowed for early escape to rescue treatment for all patients demonstrating insufficient improvement. This is appropriate for ethical reasons. From </w:t>
      </w:r>
      <w:r w:rsidR="002F4291">
        <w:t>Week</w:t>
      </w:r>
      <w:r w:rsidRPr="008F134F">
        <w:t xml:space="preserve"> 16 onwards, enrolled patients with a lack of efficacy, defined as </w:t>
      </w:r>
      <w:r w:rsidR="007312A2">
        <w:t xml:space="preserve">&lt; </w:t>
      </w:r>
      <w:r w:rsidRPr="008F134F">
        <w:t xml:space="preserve">20% improvement </w:t>
      </w:r>
      <w:r w:rsidR="00F01361">
        <w:t>from Baseline</w:t>
      </w:r>
      <w:r w:rsidRPr="008F134F">
        <w:t xml:space="preserve"> in swollen joint count (SJC) or tender joint count (TJC) for 2 consecutive visits, or any other clear lack of efficacy based on investigator judgement, could be transferred to rescue therapy with </w:t>
      </w:r>
      <w:r w:rsidR="004D78CD">
        <w:t>open label</w:t>
      </w:r>
      <w:r w:rsidRPr="008F134F">
        <w:t xml:space="preserve"> SAR injections at the highest approved dose at the time of transfer into the rescue treatment arm. </w:t>
      </w:r>
      <w:r w:rsidR="004D78CD">
        <w:t>Open label</w:t>
      </w:r>
      <w:r w:rsidRPr="008F134F">
        <w:t xml:space="preserve"> SAR therapy was administered at 150 mg qw until the site was approved to enrol patients into Cohort 2. Once approval was received, patients were switched to SAR 200 mg q2w. These patients were to continue in the trial according to the planned visit schedule. Patients that were not rescued were discontinued from Study EFC11072</w:t>
      </w:r>
      <w:r w:rsidR="004D78CD">
        <w:t>.</w:t>
      </w:r>
    </w:p>
    <w:p w14:paraId="7E1CE959" w14:textId="77777777" w:rsidR="008F134F" w:rsidRPr="008F134F" w:rsidRDefault="008F134F" w:rsidP="008F134F">
      <w:r w:rsidRPr="008F134F">
        <w:t>The maximum duration of involvement in Study EFC11072 for</w:t>
      </w:r>
      <w:r w:rsidR="008B50BF">
        <w:t xml:space="preserve"> each individual patient was 62 </w:t>
      </w:r>
      <w:r w:rsidRPr="008F134F">
        <w:t>weeks (up to 4 weeks for screening, followed by 52 weeks for treatment and 6 weeks of follow-up after their last injection). All patients who completed Part B of Study EFC11072 were el</w:t>
      </w:r>
      <w:r>
        <w:t>igible to enter Study LTS11210.</w:t>
      </w:r>
    </w:p>
    <w:p w14:paraId="3630F70B" w14:textId="6910F68D" w:rsidR="004D78CD" w:rsidRDefault="008F134F" w:rsidP="008F134F">
      <w:r w:rsidRPr="008F134F">
        <w:t xml:space="preserve">In this submission, the pivotal clinical efficacy data up to </w:t>
      </w:r>
      <w:r w:rsidR="002F4291">
        <w:t>Week</w:t>
      </w:r>
      <w:r w:rsidR="008B50BF">
        <w:t xml:space="preserve"> 52 has been included for Study </w:t>
      </w:r>
      <w:r w:rsidRPr="008F134F">
        <w:t xml:space="preserve">EFC11072. In Part B of the trial, clinical efficacy and safety assessments were performed </w:t>
      </w:r>
      <w:r w:rsidR="00F01361">
        <w:t>at Baseline</w:t>
      </w:r>
      <w:r w:rsidRPr="008F134F">
        <w:t xml:space="preserve">; </w:t>
      </w:r>
      <w:r w:rsidR="002F4291">
        <w:t>Week</w:t>
      </w:r>
      <w:r w:rsidRPr="008F134F">
        <w:t xml:space="preserve">s 2 and 4; every 4 weeks until </w:t>
      </w:r>
      <w:r w:rsidR="002F4291">
        <w:t>Week</w:t>
      </w:r>
      <w:r w:rsidRPr="008F134F">
        <w:t xml:space="preserve"> 28; and thereafter every 8 weeks until </w:t>
      </w:r>
      <w:r w:rsidR="002F4291">
        <w:t>Week</w:t>
      </w:r>
      <w:r w:rsidRPr="008F134F">
        <w:t xml:space="preserve"> 52 (</w:t>
      </w:r>
      <w:r w:rsidR="004D78CD">
        <w:t>that is</w:t>
      </w:r>
      <w:r w:rsidRPr="008F134F">
        <w:t xml:space="preserve"> </w:t>
      </w:r>
      <w:r w:rsidR="002F4291">
        <w:t>Week</w:t>
      </w:r>
      <w:r w:rsidRPr="008F134F">
        <w:t xml:space="preserve">s 36, 44 and 52). Part B of Study EFC11072 also collected radiographic data </w:t>
      </w:r>
      <w:r w:rsidR="00F01361">
        <w:t>at Baseline</w:t>
      </w:r>
      <w:r w:rsidRPr="008F134F">
        <w:t xml:space="preserve">, as well as </w:t>
      </w:r>
      <w:r w:rsidR="002F4291">
        <w:t>Week</w:t>
      </w:r>
      <w:r w:rsidRPr="008F134F">
        <w:t>s 24 and 52 in support of the claim to reduce the rate o</w:t>
      </w:r>
      <w:r>
        <w:t>f progression of joint damage</w:t>
      </w:r>
      <w:r w:rsidR="004D78CD">
        <w:t>.</w:t>
      </w:r>
    </w:p>
    <w:p w14:paraId="0F822735" w14:textId="77777777" w:rsidR="004D78CD" w:rsidRDefault="008F134F" w:rsidP="008F134F">
      <w:r w:rsidRPr="008F134F">
        <w:t>Part B of Study EFC11072 was conducted at 199 investigator sites in 30 countries in Europe, North and South America, Asia as well as Australia, New Zealand and South Africa. The first patient was enrolled in March 2011 and the last patient completed follow-up in October 2013. A total of 7 protocol amendments were implemented in Part B of Study EFC11072. The first 2 amendments were instituted before the recruitment of any patients and the other 5 amendments occurr</w:t>
      </w:r>
      <w:r w:rsidR="008B50BF">
        <w:t xml:space="preserve">ed after. Protocol amendments 3 to </w:t>
      </w:r>
      <w:r w:rsidRPr="008F134F">
        <w:t>7 contained many imp</w:t>
      </w:r>
      <w:r>
        <w:t>ortant changes outlined below</w:t>
      </w:r>
      <w:r w:rsidR="004D78CD">
        <w:t>.</w:t>
      </w:r>
    </w:p>
    <w:p w14:paraId="0F26D74D" w14:textId="77777777" w:rsidR="008F134F" w:rsidRPr="008F134F" w:rsidRDefault="008F134F" w:rsidP="008F134F">
      <w:r w:rsidRPr="008F134F">
        <w:t>In amendment 3 (dated 4 April, 2011) the followin</w:t>
      </w:r>
      <w:r w:rsidR="008B50BF">
        <w:t>g significant changes occurred:</w:t>
      </w:r>
    </w:p>
    <w:p w14:paraId="601E5D8B" w14:textId="77777777" w:rsidR="008F134F" w:rsidRPr="008F134F" w:rsidRDefault="008F134F" w:rsidP="008B50BF">
      <w:pPr>
        <w:pStyle w:val="ListBullet"/>
      </w:pPr>
      <w:r w:rsidRPr="008F134F">
        <w:t>Modification of the pre-requisite a</w:t>
      </w:r>
      <w:r w:rsidR="008B50BF">
        <w:t>nd maintenance MTX dose from 10 to 25 mg/week to 6 to 25 </w:t>
      </w:r>
      <w:r w:rsidRPr="008F134F">
        <w:t>mg/week for patients recruited into the study from countries in Asia (Taiwan, South Korea, Malaysia, P</w:t>
      </w:r>
      <w:r w:rsidR="008B50BF">
        <w:t>hilippines, Thailand and India)</w:t>
      </w:r>
    </w:p>
    <w:p w14:paraId="07F77CA9" w14:textId="77777777" w:rsidR="008F134F" w:rsidRPr="008F134F" w:rsidRDefault="008F134F" w:rsidP="008B50BF">
      <w:pPr>
        <w:pStyle w:val="ListBullet"/>
      </w:pPr>
      <w:r w:rsidRPr="008F134F">
        <w:t xml:space="preserve">Reduction in the qualifying C-reactive protein level from </w:t>
      </w:r>
      <w:r w:rsidR="007312A2">
        <w:t xml:space="preserve">&gt; </w:t>
      </w:r>
      <w:r w:rsidRPr="008F134F">
        <w:t xml:space="preserve">10 mg/L at the screening visit to </w:t>
      </w:r>
      <w:r w:rsidR="007312A2">
        <w:t xml:space="preserve">&gt; </w:t>
      </w:r>
      <w:r w:rsidR="008B50BF">
        <w:t>6 mg/L at the screening visit</w:t>
      </w:r>
    </w:p>
    <w:p w14:paraId="3C7606BC" w14:textId="01BFF108" w:rsidR="008F134F" w:rsidRPr="008F134F" w:rsidRDefault="008F134F" w:rsidP="008B50BF">
      <w:pPr>
        <w:pStyle w:val="ListBullet"/>
      </w:pPr>
      <w:r w:rsidRPr="008F134F">
        <w:lastRenderedPageBreak/>
        <w:t xml:space="preserve">Deletion of the exclusion criterion regarding subject weight parameters </w:t>
      </w:r>
      <w:r w:rsidR="00F01361">
        <w:t>at Baseline</w:t>
      </w:r>
      <w:r w:rsidRPr="008F134F">
        <w:t xml:space="preserve"> </w:t>
      </w:r>
      <w:r w:rsidR="00194D27">
        <w:t>‘</w:t>
      </w:r>
      <w:r w:rsidRPr="008F134F">
        <w:t xml:space="preserve">weight </w:t>
      </w:r>
      <w:r w:rsidR="007312A2">
        <w:t xml:space="preserve">&lt; </w:t>
      </w:r>
      <w:r w:rsidRPr="008F134F">
        <w:t xml:space="preserve">50 kg for men </w:t>
      </w:r>
      <w:r w:rsidR="007312A2">
        <w:t xml:space="preserve">&lt; </w:t>
      </w:r>
      <w:r w:rsidRPr="008F134F">
        <w:t xml:space="preserve">45 kg for women or </w:t>
      </w:r>
      <w:r w:rsidR="007312A2">
        <w:t xml:space="preserve">&gt; </w:t>
      </w:r>
      <w:r w:rsidRPr="008F134F">
        <w:t>110 kg for both genders</w:t>
      </w:r>
      <w:r w:rsidR="00194D27">
        <w:t>’</w:t>
      </w:r>
      <w:r w:rsidRPr="008F134F">
        <w:t>, and</w:t>
      </w:r>
    </w:p>
    <w:p w14:paraId="16ED1BA3" w14:textId="77777777" w:rsidR="008F134F" w:rsidRPr="008F134F" w:rsidRDefault="008F134F" w:rsidP="008B50BF">
      <w:pPr>
        <w:pStyle w:val="ListBullet"/>
      </w:pPr>
      <w:r w:rsidRPr="008F134F">
        <w:t>Addition of exclusion criterion regarding patien</w:t>
      </w:r>
      <w:r>
        <w:t>ts with latex hypersensitivity.</w:t>
      </w:r>
    </w:p>
    <w:p w14:paraId="2149FEAE" w14:textId="77777777" w:rsidR="008F134F" w:rsidRPr="008F134F" w:rsidRDefault="008F134F" w:rsidP="008F134F">
      <w:r w:rsidRPr="008F134F">
        <w:t>In protocol amendment 4 (dated 4 November, 2011) the following changes were implemented:</w:t>
      </w:r>
    </w:p>
    <w:p w14:paraId="2EBC111C" w14:textId="77777777" w:rsidR="008F134F" w:rsidRPr="008F134F" w:rsidRDefault="008F134F" w:rsidP="008B50BF">
      <w:pPr>
        <w:pStyle w:val="ListBullet"/>
      </w:pPr>
      <w:r w:rsidRPr="008F134F">
        <w:t>Addition of extra blood test monitoring for haematology and liver function tests to occur every 2</w:t>
      </w:r>
      <w:r w:rsidR="008B50BF">
        <w:t xml:space="preserve"> weeks for the initial 12 weeks</w:t>
      </w:r>
    </w:p>
    <w:p w14:paraId="7FE925FA" w14:textId="77777777" w:rsidR="008F134F" w:rsidRPr="008F134F" w:rsidRDefault="008F134F" w:rsidP="008B50BF">
      <w:pPr>
        <w:pStyle w:val="ListBullet"/>
      </w:pPr>
      <w:r w:rsidRPr="008F134F">
        <w:t>Modification of the exclusion criterion specifying the exclusion of all patients with latent or active tuberculosis, and/or a history of in</w:t>
      </w:r>
      <w:r w:rsidR="008B50BF">
        <w:t>vasive opportunistic infections</w:t>
      </w:r>
    </w:p>
    <w:p w14:paraId="2E62DA9D" w14:textId="77777777" w:rsidR="008F134F" w:rsidRPr="008F134F" w:rsidRDefault="008F134F" w:rsidP="008B50BF">
      <w:pPr>
        <w:pStyle w:val="ListBullet"/>
      </w:pPr>
      <w:r w:rsidRPr="008F134F">
        <w:t xml:space="preserve">Modification of exclusion criterion to increase screening platelet count requirement from </w:t>
      </w:r>
      <w:r w:rsidR="008B50BF">
        <w:t>&lt; </w:t>
      </w:r>
      <w:r w:rsidRPr="008F134F">
        <w:t xml:space="preserve">100 x </w:t>
      </w:r>
      <w:r w:rsidR="007312A2" w:rsidRPr="00984208">
        <w:t>10</w:t>
      </w:r>
      <w:r w:rsidR="007312A2" w:rsidRPr="007312A2">
        <w:rPr>
          <w:vertAlign w:val="superscript"/>
        </w:rPr>
        <w:t>9</w:t>
      </w:r>
      <w:r w:rsidRPr="008F134F">
        <w:t xml:space="preserve">/L to </w:t>
      </w:r>
      <w:r w:rsidR="007312A2">
        <w:t xml:space="preserve">&lt; </w:t>
      </w:r>
      <w:r w:rsidRPr="008F134F">
        <w:t xml:space="preserve">150 x </w:t>
      </w:r>
      <w:r w:rsidR="007312A2" w:rsidRPr="00984208">
        <w:t>10</w:t>
      </w:r>
      <w:r w:rsidR="007312A2" w:rsidRPr="007312A2">
        <w:rPr>
          <w:vertAlign w:val="superscript"/>
        </w:rPr>
        <w:t>9</w:t>
      </w:r>
      <w:r w:rsidR="008B50BF">
        <w:t>/L,</w:t>
      </w:r>
    </w:p>
    <w:p w14:paraId="21697701" w14:textId="77777777" w:rsidR="008F134F" w:rsidRPr="008F134F" w:rsidRDefault="008F134F" w:rsidP="008B50BF">
      <w:pPr>
        <w:pStyle w:val="ListBullet"/>
      </w:pPr>
      <w:r w:rsidRPr="008F134F">
        <w:t>Addition of severe hypercholesterolemia (</w:t>
      </w:r>
      <w:r w:rsidR="007312A2">
        <w:t xml:space="preserve">&gt; </w:t>
      </w:r>
      <w:r w:rsidRPr="008F134F">
        <w:t>350 mg/dL, 9.1 mmol/L) or hypertriglyceridemia (</w:t>
      </w:r>
      <w:r w:rsidR="007312A2">
        <w:t xml:space="preserve">&gt; </w:t>
      </w:r>
      <w:r w:rsidRPr="008F134F">
        <w:t>500 mg/dL, 5.6 mmol/L) at screening or baseline as an exclusion criterion, and</w:t>
      </w:r>
    </w:p>
    <w:p w14:paraId="66071D27" w14:textId="77777777" w:rsidR="008F134F" w:rsidRPr="008F134F" w:rsidRDefault="008F134F" w:rsidP="008B50BF">
      <w:pPr>
        <w:pStyle w:val="ListBullet"/>
      </w:pPr>
      <w:r w:rsidRPr="008F134F">
        <w:t>Addition to exclusion criterion of patients with a history of inflammatory bowel disease or severe diverticulitis or previou</w:t>
      </w:r>
      <w:r>
        <w:t>s gastrointestinal perforation.</w:t>
      </w:r>
    </w:p>
    <w:p w14:paraId="39F65F6C" w14:textId="77777777" w:rsidR="008F134F" w:rsidRPr="008F134F" w:rsidRDefault="008F134F" w:rsidP="008F134F">
      <w:r w:rsidRPr="008F134F">
        <w:t>Protocol amendment 6 (dated 29 October, 2012) was introduced after feedback initially received from the EMA (and later supported by the FDA) regarding the potential claims of improvement in physical function and reduction of structural damage with SAR. To justify the 2 treatment claims (in addition to improving the symptoms and signs of RA), the sponsor was asked to convert the HAQ-DI and mTSS outcome measures from secondary to co-primary efficacy endpoints. This resulted in a substantial revision to the statistical analysis plan and hierarchical order of efficacy outcome testing to align the modifications with the st</w:t>
      </w:r>
      <w:r>
        <w:t>udy objectives and endpoints.</w:t>
      </w:r>
    </w:p>
    <w:p w14:paraId="3BB78E8C" w14:textId="1660821D" w:rsidR="008F134F" w:rsidRPr="008F134F" w:rsidRDefault="008F134F" w:rsidP="008F134F">
      <w:r w:rsidRPr="008F134F">
        <w:t xml:space="preserve">Protocol amendment 7 (dated 8 October, 2013) was introduced after additional feedback received from the FDA, which asked the sponsor to re-define the primary endpoint based on the HAQ-DI. The HAQ-DI remained a co-primary endpoint, but the statistical methodology was altered. The original approach was to calculate the mean change </w:t>
      </w:r>
      <w:r w:rsidR="00F01361">
        <w:t>from Baseline</w:t>
      </w:r>
      <w:r w:rsidRPr="008F134F">
        <w:t xml:space="preserve"> in HAQ-DI score at </w:t>
      </w:r>
      <w:r w:rsidR="002F4291">
        <w:t>Week</w:t>
      </w:r>
      <w:r w:rsidRPr="008F134F">
        <w:t xml:space="preserve"> 52. However, the FDA requested the sponsor to change this calculation to the mean change </w:t>
      </w:r>
      <w:r w:rsidR="00F01361">
        <w:t>from Baseline</w:t>
      </w:r>
      <w:r w:rsidRPr="008F134F">
        <w:t xml:space="preserve"> to </w:t>
      </w:r>
      <w:r w:rsidR="002F4291">
        <w:t>Week</w:t>
      </w:r>
      <w:r w:rsidRPr="008F134F">
        <w:t xml:space="preserve"> 16 in the HAQ-DI. Furthermore, an additional secondary efficacy outcome was added at the request of the FDA. The FDA has developed a new draft guideline for industry regarding drug development in RA which recommends including the endpoint of </w:t>
      </w:r>
      <w:r w:rsidR="00194D27">
        <w:t>‘</w:t>
      </w:r>
      <w:r w:rsidRPr="008F134F">
        <w:t xml:space="preserve">Boolean-based ACR/EULAR remission at </w:t>
      </w:r>
      <w:r w:rsidR="002F4291">
        <w:t>Week</w:t>
      </w:r>
      <w:r w:rsidRPr="008F134F">
        <w:t>s 24 and 52</w:t>
      </w:r>
      <w:r w:rsidR="00194D27">
        <w:t>’</w:t>
      </w:r>
      <w:r w:rsidRPr="008F134F">
        <w:t>.</w:t>
      </w:r>
    </w:p>
    <w:p w14:paraId="0BE4624F" w14:textId="77777777" w:rsidR="008F134F" w:rsidRPr="008F134F" w:rsidRDefault="008F134F" w:rsidP="008F134F">
      <w:pPr>
        <w:pStyle w:val="Heading5"/>
      </w:pPr>
      <w:r w:rsidRPr="008F134F">
        <w:t>Inclusion and exclusion criteria</w:t>
      </w:r>
    </w:p>
    <w:p w14:paraId="539C352F" w14:textId="4164F476" w:rsidR="004D78CD" w:rsidRDefault="008F134F" w:rsidP="008F134F">
      <w:r w:rsidRPr="008F134F">
        <w:t xml:space="preserve">To be eligible for inclusion, patients had to be at least 18 years of age and </w:t>
      </w:r>
      <w:r w:rsidR="007312A2">
        <w:t xml:space="preserve">&lt; </w:t>
      </w:r>
      <w:r w:rsidRPr="008F134F">
        <w:t xml:space="preserve">75 years of age with a diagnosis of RA according to the 1987 American College of Rheumatology (ACR) criteria for RA (functional classes I-III) for at least 3 months. Subjects had to have active disease </w:t>
      </w:r>
      <w:r w:rsidR="00F01361">
        <w:t>at Baseline</w:t>
      </w:r>
      <w:r w:rsidRPr="008F134F">
        <w:t xml:space="preserve"> as evidenced by </w:t>
      </w:r>
      <w:r w:rsidR="007312A2">
        <w:t xml:space="preserve">≥ </w:t>
      </w:r>
      <w:r w:rsidRPr="008F134F">
        <w:t xml:space="preserve">8 tender joints (out of a possible 68), </w:t>
      </w:r>
      <w:r w:rsidR="007312A2">
        <w:t xml:space="preserve">≥ </w:t>
      </w:r>
      <w:r w:rsidRPr="008F134F">
        <w:t xml:space="preserve">6 swollen joints (out of a possible 66) and high sensitivity CRP reading </w:t>
      </w:r>
      <w:r w:rsidR="007312A2">
        <w:t xml:space="preserve">&gt; </w:t>
      </w:r>
      <w:r w:rsidRPr="008F134F">
        <w:t xml:space="preserve">6 mg/L (prior to protocol amendment 3, CRP </w:t>
      </w:r>
      <w:r w:rsidR="007312A2">
        <w:t xml:space="preserve">&gt; </w:t>
      </w:r>
      <w:r w:rsidRPr="008F134F">
        <w:t>10 mg/L was required). In addition, all subjects were required to have at least 1 of the following 3 features for qualification into Part B of Study EFC11072: at least 1 documented bone erosion on plain X-ray (using local site reader), or positive serology for anti-Cyclic Citrullinated Peptide (anti-CCP) antibodies, or positive serolo</w:t>
      </w:r>
      <w:r>
        <w:t>gy for RF (Rheumatoid Factor)</w:t>
      </w:r>
      <w:r w:rsidR="004D78CD">
        <w:t>.</w:t>
      </w:r>
    </w:p>
    <w:p w14:paraId="2AB126AA" w14:textId="77777777" w:rsidR="004D78CD" w:rsidRDefault="008F134F" w:rsidP="008F134F">
      <w:r w:rsidRPr="008F134F">
        <w:t>The eligibility criteria for Part B of Study EFC11072 required subjects to have active RA despite current treatment with MTX for a minimum of12 weeks prior to randomisation. Furthermore, subjects were required t</w:t>
      </w:r>
      <w:r w:rsidR="008B50BF">
        <w:t>o be on a stable dose of MTX 10 to 25 mg/week for a minimum of 6 </w:t>
      </w:r>
      <w:r w:rsidRPr="008F134F">
        <w:t xml:space="preserve">weeks prior to the screening visit, except for patients recruited within Asia (Taiwan, South </w:t>
      </w:r>
      <w:r w:rsidRPr="008F134F">
        <w:lastRenderedPageBreak/>
        <w:t xml:space="preserve">Korea, Malaysia, Philippines, Thailand and India) who were allowed a prior MTX dose of 6-25 mg/week for a minimum </w:t>
      </w:r>
      <w:r>
        <w:t>of 6 weeks prior to screening</w:t>
      </w:r>
      <w:r w:rsidR="004D78CD">
        <w:t>.</w:t>
      </w:r>
    </w:p>
    <w:p w14:paraId="69251262" w14:textId="544633ED" w:rsidR="004D78CD" w:rsidRDefault="008F134F" w:rsidP="008F134F">
      <w:r w:rsidRPr="008F134F">
        <w:t xml:space="preserve">Concomitant treatment with MTX (up to 25 mg/week) was required in Part B of Study EFC11072 if the dose and route of administration had been stable for at least 6 weeks prior to randomisation. Patients taking DMARDs other than MTX were required to cease such therapy for at least 4 weeks prior to screening (or 12 weeks if taking leflunomide </w:t>
      </w:r>
      <w:r w:rsidR="00BF33B8">
        <w:t>(</w:t>
      </w:r>
      <w:r w:rsidRPr="008F134F">
        <w:t>LEF</w:t>
      </w:r>
      <w:r w:rsidR="00BF33B8">
        <w:t>)</w:t>
      </w:r>
      <w:r w:rsidRPr="008F134F">
        <w:t xml:space="preserve"> and it was not removed by cholestyramine washout). The concomitant use of oral corticosteroids (CS) was permitted for subjects taking stable doses (prednisone </w:t>
      </w:r>
      <w:r w:rsidR="00BF33B8">
        <w:t>(</w:t>
      </w:r>
      <w:r w:rsidRPr="008F134F">
        <w:t>or equivalent</w:t>
      </w:r>
      <w:r w:rsidR="00BF33B8">
        <w:t>)</w:t>
      </w:r>
      <w:r w:rsidRPr="008F134F">
        <w:t xml:space="preserve"> </w:t>
      </w:r>
      <w:r w:rsidR="007312A2">
        <w:t xml:space="preserve">&lt; </w:t>
      </w:r>
      <w:r w:rsidRPr="008F134F">
        <w:t>10 mg/day) for at least 4 weeks prior to screening. Low potency topical CS was allowed as background therapy for steroid responsive skin conditions such as psoriasis or eczema. Concomitant NSAID was also permitted, provided subjects were on a stable dose for at least 4 weeks prior to randomisation. Study EFC11072 Part B allowed patients with a history of prior biologic DMARD exposure for RA to be included, as long as such therapy had not been given within 3 months of randomisation. However, a past history of non-response to biological DMARD thera</w:t>
      </w:r>
      <w:r>
        <w:t>py was an exclusion criterion</w:t>
      </w:r>
      <w:r w:rsidR="004D78CD">
        <w:t>.</w:t>
      </w:r>
    </w:p>
    <w:p w14:paraId="4E3F3682" w14:textId="3DEDFAFD" w:rsidR="008F134F" w:rsidRPr="008F134F" w:rsidRDefault="008F134F" w:rsidP="008F134F">
      <w:r w:rsidRPr="008F134F">
        <w:t>There were a large number (n</w:t>
      </w:r>
      <w:r w:rsidR="004D78CD">
        <w:t xml:space="preserve"> = </w:t>
      </w:r>
      <w:r w:rsidRPr="008F134F">
        <w:t xml:space="preserve">39) of exclusion criteria for Part B of Study EFC11072. Co-morbid conditions were an exclusion criterion based on the investigator decision as to their clinical significance (including cardiac, pulmonary, neurologic, psychiatric and any major uncontrolled disease). A past history of substance abuse within the last 5 years, infection requiring treatment within 4 weeks of screening, non-healing or infected skin ulcers, history of latex allergy, any surgery within 4 weeks of screening or anticipated during the study, and a history of recurrent herpes zoster infection or articular infection were to be excluded. A history of malignancy within 5 years (except for excised basal and squamous cell skin cancers, or cervical carcinoma in situ successfully treated by surgery) was also an exclusion criterion. In the initial protocol, a subject weight </w:t>
      </w:r>
      <w:r w:rsidR="00F01361">
        <w:t>at Baseline</w:t>
      </w:r>
      <w:r w:rsidRPr="008F134F">
        <w:t xml:space="preserve"> of </w:t>
      </w:r>
      <w:r w:rsidR="007312A2">
        <w:t xml:space="preserve">&lt; </w:t>
      </w:r>
      <w:r w:rsidRPr="008F134F">
        <w:t xml:space="preserve">50 kg for men and </w:t>
      </w:r>
      <w:r w:rsidR="007312A2">
        <w:t xml:space="preserve">&lt; </w:t>
      </w:r>
      <w:r w:rsidRPr="008F134F">
        <w:t xml:space="preserve">45 kg for women or </w:t>
      </w:r>
      <w:r w:rsidR="007312A2">
        <w:t xml:space="preserve">&gt; </w:t>
      </w:r>
      <w:r w:rsidR="00041F97">
        <w:t>110 </w:t>
      </w:r>
      <w:r w:rsidRPr="008F134F">
        <w:t>kg for both genders was an exclusion. This criterion was subsequently removed with protocol amendment 3. With the implementation of protocol amendment 4, patients with a history of inflammatory bowel disease or severe diverticulitis or previous gastrointestinal perforation were excluded. Regarding vaccination, any live vaccine administered 3 months prior to randomisation (or 12 months prior for BCG vaccination) was an exclusion criterio</w:t>
      </w:r>
      <w:r>
        <w:t>n.</w:t>
      </w:r>
    </w:p>
    <w:p w14:paraId="6A1AEB32" w14:textId="1095A623" w:rsidR="008F134F" w:rsidRPr="008F134F" w:rsidRDefault="008F134F" w:rsidP="008F134F">
      <w:r w:rsidRPr="008F134F">
        <w:t xml:space="preserve">Subjects were screened for Hepatitis B and C, HIV as well as latent Tuberculosis (TB) </w:t>
      </w:r>
      <w:r w:rsidR="00F01361">
        <w:t>at Baseline</w:t>
      </w:r>
      <w:r w:rsidRPr="008F134F">
        <w:t xml:space="preserve">. The screening for latent TB involved either skin testing with PPD (removed with protocol amendment 4) or QuantiFERON TB-Gold testing. Subjects with active TB or a history of reactivated latent TB were excluded. All patients were required </w:t>
      </w:r>
      <w:r w:rsidR="00041F97">
        <w:t>to have a chest X-ray within 12 </w:t>
      </w:r>
      <w:r w:rsidRPr="008F134F">
        <w:t>weeks prior to screening.</w:t>
      </w:r>
    </w:p>
    <w:p w14:paraId="25BDD26E" w14:textId="77777777" w:rsidR="004D78CD" w:rsidRDefault="008F134F" w:rsidP="008F134F">
      <w:r w:rsidRPr="008F134F">
        <w:t xml:space="preserve">Subjects with any significant laboratory abnormalities at screening were also excluded. These included serum transaminases </w:t>
      </w:r>
      <w:r w:rsidR="007312A2">
        <w:t xml:space="preserve">&gt; </w:t>
      </w:r>
      <w:r w:rsidRPr="008F134F">
        <w:t xml:space="preserve">1.5 x Upper Limit Normal (ULN), total serum bilirubin </w:t>
      </w:r>
      <w:r w:rsidR="007312A2">
        <w:t xml:space="preserve">&gt; </w:t>
      </w:r>
      <w:r w:rsidRPr="008F134F">
        <w:t xml:space="preserve">ULN (prior to protocol amendment 4, bilirubin value </w:t>
      </w:r>
      <w:r w:rsidR="007312A2">
        <w:t xml:space="preserve">&gt; </w:t>
      </w:r>
      <w:r w:rsidRPr="008F134F">
        <w:t xml:space="preserve">1.5 x ULN was an exclusion), creatinine clearance </w:t>
      </w:r>
      <w:r w:rsidR="007312A2">
        <w:t xml:space="preserve">&lt; </w:t>
      </w:r>
      <w:r w:rsidRPr="008F134F">
        <w:t xml:space="preserve">30 mL/min, total white blood cell count </w:t>
      </w:r>
      <w:r w:rsidR="007312A2">
        <w:t xml:space="preserve">&lt; </w:t>
      </w:r>
      <w:r w:rsidRPr="008F134F">
        <w:t xml:space="preserve">3.0 x </w:t>
      </w:r>
      <w:r w:rsidR="007312A2" w:rsidRPr="00984208">
        <w:t>10</w:t>
      </w:r>
      <w:r w:rsidR="007312A2" w:rsidRPr="007312A2">
        <w:rPr>
          <w:vertAlign w:val="superscript"/>
        </w:rPr>
        <w:t>9</w:t>
      </w:r>
      <w:r w:rsidRPr="008F134F">
        <w:t xml:space="preserve">/L, neutrophil cell count </w:t>
      </w:r>
      <w:r w:rsidR="00041F97">
        <w:t>&lt; 2.0 x </w:t>
      </w:r>
      <w:r w:rsidR="007312A2" w:rsidRPr="00984208">
        <w:t>10</w:t>
      </w:r>
      <w:r w:rsidR="007312A2" w:rsidRPr="007312A2">
        <w:rPr>
          <w:vertAlign w:val="superscript"/>
        </w:rPr>
        <w:t>9</w:t>
      </w:r>
      <w:r w:rsidRPr="008F134F">
        <w:t xml:space="preserve">/L, platelet count </w:t>
      </w:r>
      <w:r w:rsidR="007312A2">
        <w:t xml:space="preserve">&lt; </w:t>
      </w:r>
      <w:r w:rsidRPr="008F134F">
        <w:t xml:space="preserve">150 x </w:t>
      </w:r>
      <w:r w:rsidR="007312A2" w:rsidRPr="00984208">
        <w:t>10</w:t>
      </w:r>
      <w:r w:rsidR="007312A2" w:rsidRPr="007312A2">
        <w:rPr>
          <w:vertAlign w:val="superscript"/>
        </w:rPr>
        <w:t>9</w:t>
      </w:r>
      <w:r w:rsidRPr="008F134F">
        <w:t xml:space="preserve">/L, haemoglobin </w:t>
      </w:r>
      <w:r w:rsidR="007312A2">
        <w:t xml:space="preserve">&lt; </w:t>
      </w:r>
      <w:r w:rsidRPr="008F134F">
        <w:t xml:space="preserve">8.5 g/dL, serum cholesterol </w:t>
      </w:r>
      <w:r w:rsidR="00041F97">
        <w:t>&gt; 9.1 </w:t>
      </w:r>
      <w:r w:rsidRPr="008F134F">
        <w:t xml:space="preserve">mmol/L, serum triglyceride </w:t>
      </w:r>
      <w:r w:rsidR="007312A2">
        <w:t xml:space="preserve">&gt; </w:t>
      </w:r>
      <w:r w:rsidRPr="008F134F">
        <w:t xml:space="preserve">5.6 mmol/L and HbA1c </w:t>
      </w:r>
      <w:r w:rsidR="007312A2">
        <w:t xml:space="preserve">&gt; </w:t>
      </w:r>
      <w:r w:rsidRPr="008F134F">
        <w:t>9.0%</w:t>
      </w:r>
      <w:r w:rsidR="004D78CD">
        <w:t>.</w:t>
      </w:r>
    </w:p>
    <w:p w14:paraId="7E3E83B3" w14:textId="77777777" w:rsidR="008F134F" w:rsidRPr="008F134F" w:rsidRDefault="008F134F" w:rsidP="008F134F">
      <w:pPr>
        <w:pStyle w:val="Heading5"/>
      </w:pPr>
      <w:r w:rsidRPr="008F134F">
        <w:t>Study treatments</w:t>
      </w:r>
    </w:p>
    <w:p w14:paraId="3F4F5DA4" w14:textId="77777777" w:rsidR="008F134F" w:rsidRPr="008F134F" w:rsidRDefault="008F134F" w:rsidP="008F134F">
      <w:r w:rsidRPr="008F134F">
        <w:t xml:space="preserve">All patients in Study EFC11072 (both cohorts) received investigational study medication (SAR or </w:t>
      </w:r>
      <w:r w:rsidR="00A343A3">
        <w:t>placebo</w:t>
      </w:r>
      <w:r w:rsidRPr="008F134F">
        <w:t>) by subcutaneous (SC) injection at alternating sites of the anterior abdomen (divided into quarters). Each dose administration required a single injection of 1.14 mL (regardless of SAR dose). Investigator site staff gave the first injection of study treatment and trained the subject on self-administration. On days when the patient had a study visit, site staff administered injections following clinic procedures and blood collection. For doses not given at the study site, either the patient, carer or designated site staff</w:t>
      </w:r>
      <w:r>
        <w:t xml:space="preserve"> administered study medication.</w:t>
      </w:r>
    </w:p>
    <w:p w14:paraId="62C840E8" w14:textId="77777777" w:rsidR="008F134F" w:rsidRPr="008F134F" w:rsidRDefault="008F134F" w:rsidP="008F134F">
      <w:r w:rsidRPr="008F134F">
        <w:lastRenderedPageBreak/>
        <w:t xml:space="preserve">In Cohort 1 of Part B, subjects received their injections every 7 days. For patients randomised to the 3 arms of Cohort 1 that were allocated to receive SAR therapy q2w, alternating injections of SAR and </w:t>
      </w:r>
      <w:r w:rsidR="00A343A3">
        <w:t>placebo</w:t>
      </w:r>
      <w:r w:rsidRPr="008F134F">
        <w:t xml:space="preserve"> were administered to maintain the blind. After dose selection from Part A was available, patients in Cohort 1 who were in the selected dose groups were able to take their injectable study medication every 14 days (q2w) once ethics and regulatory approvals were obtained. The change in injection frequency for patients transitioning from Cohort 1 to Cohort 2 of Part B may have had a potential effect on the background rate of injection site reaction (ISR), but should not have influenced efficacy results. Cohort 1 used glass vials of study medication until pre-fi</w:t>
      </w:r>
      <w:r>
        <w:t>lled syringes became available.</w:t>
      </w:r>
    </w:p>
    <w:p w14:paraId="376EE670" w14:textId="77777777" w:rsidR="004D78CD" w:rsidRDefault="008F134F" w:rsidP="008F134F">
      <w:r w:rsidRPr="008F134F">
        <w:t xml:space="preserve">For patients in Cohort 2 of Part B, injectable study medication (presented in pre-filled syringes) was to be taken every 14 days (q2w) with a time window of </w:t>
      </w:r>
      <w:r w:rsidR="007312A2">
        <w:t xml:space="preserve">± </w:t>
      </w:r>
      <w:r w:rsidRPr="008F134F">
        <w:t>3 days. For patients who received rescue treatment, SAR was administered at the highest available dose at the time of transfer into the rescue treatment arm, which was 150 mg qw prior to the availability of dose selection results from Part A and 200 mg q2w after dose selec</w:t>
      </w:r>
      <w:r>
        <w:t>tion results became available</w:t>
      </w:r>
      <w:r w:rsidR="004D78CD">
        <w:t>.</w:t>
      </w:r>
    </w:p>
    <w:p w14:paraId="348B2E94" w14:textId="77777777" w:rsidR="008F134F" w:rsidRPr="008F134F" w:rsidRDefault="008F134F" w:rsidP="008F134F">
      <w:r w:rsidRPr="008F134F">
        <w:t>All patients were required to continue taking MTX during Study EFC11072 at the same weekly dose and route they received prior to enrolment. The dose of MTX could be reduced during the trial for safety related reasons. Concurrent folic acid was recommended according to local guidelines. The concomitant use of stable, pre-existing treatment with oral CS and NSAID was also permitted.</w:t>
      </w:r>
    </w:p>
    <w:p w14:paraId="5A86C013" w14:textId="77777777" w:rsidR="008F134F" w:rsidRPr="008F134F" w:rsidRDefault="008F134F" w:rsidP="008F134F">
      <w:pPr>
        <w:pStyle w:val="Heading5"/>
      </w:pPr>
      <w:r w:rsidRPr="008F134F">
        <w:t>Efficacy variables and outcomes</w:t>
      </w:r>
    </w:p>
    <w:p w14:paraId="7E8390B6" w14:textId="77777777" w:rsidR="008F134F" w:rsidRPr="008F134F" w:rsidRDefault="008F134F" w:rsidP="008F134F">
      <w:r w:rsidRPr="008F134F">
        <w:t>The main efficacy variables were:</w:t>
      </w:r>
    </w:p>
    <w:p w14:paraId="185380F8" w14:textId="1EB9C7AB" w:rsidR="008F134F" w:rsidRPr="008F134F" w:rsidRDefault="008F134F" w:rsidP="008F134F">
      <w:pPr>
        <w:pStyle w:val="ListBullet"/>
      </w:pPr>
      <w:r w:rsidRPr="008F134F">
        <w:t xml:space="preserve">American College of Rheumatology (ACR) response criteria (individual components </w:t>
      </w:r>
      <w:r w:rsidR="00BF33B8">
        <w:t>(</w:t>
      </w:r>
      <w:r w:rsidRPr="008F134F">
        <w:t>n</w:t>
      </w:r>
      <w:r w:rsidR="004D78CD">
        <w:t xml:space="preserve"> = </w:t>
      </w:r>
      <w:r w:rsidRPr="008F134F">
        <w:t>7</w:t>
      </w:r>
      <w:r w:rsidR="00BF33B8">
        <w:t>)</w:t>
      </w:r>
      <w:r w:rsidRPr="008F134F">
        <w:t>; composite ACR20, ACR50, and ACR70 response;</w:t>
      </w:r>
      <w:r w:rsidR="00041F97">
        <w:t xml:space="preserve"> and the ACRn response measure)</w:t>
      </w:r>
    </w:p>
    <w:p w14:paraId="56875E78" w14:textId="77777777" w:rsidR="008F134F" w:rsidRPr="008F134F" w:rsidRDefault="008F134F" w:rsidP="008F134F">
      <w:pPr>
        <w:pStyle w:val="ListBullet"/>
      </w:pPr>
      <w:r w:rsidRPr="008F134F">
        <w:t>Various other validated composite measures of disease activity and response in RA such as the Disease Activity Score 28 (DAS28) score, Clinical Disease Activity Index (CDAI) and the Simplifie</w:t>
      </w:r>
      <w:r w:rsidR="00041F97">
        <w:t>d Disease Activity Index (SDAI)</w:t>
      </w:r>
    </w:p>
    <w:p w14:paraId="223FFA29" w14:textId="77777777" w:rsidR="008F134F" w:rsidRPr="008F134F" w:rsidRDefault="008F134F" w:rsidP="008F134F">
      <w:pPr>
        <w:pStyle w:val="ListBullet"/>
      </w:pPr>
      <w:r w:rsidRPr="008F134F">
        <w:t>Radiographic evaluations of joint damage progression using the van der Heijde modified Total Sharp Score (mTSS); and</w:t>
      </w:r>
    </w:p>
    <w:p w14:paraId="0B6CC533" w14:textId="77777777" w:rsidR="008F134F" w:rsidRPr="008F134F" w:rsidRDefault="008F134F" w:rsidP="00D0181D">
      <w:pPr>
        <w:pStyle w:val="ListBullet"/>
      </w:pPr>
      <w:r w:rsidRPr="008F134F">
        <w:t>Quality-of-Life (QOL) outcomes such as the Short-Form Health Survey (SF-36)</w:t>
      </w:r>
      <w:r w:rsidR="00041F97">
        <w:t xml:space="preserve"> and FACIT</w:t>
      </w:r>
      <w:r w:rsidR="00041F97">
        <w:noBreakHyphen/>
      </w:r>
      <w:r w:rsidRPr="008F134F">
        <w:t>Fatigue questionnaire.</w:t>
      </w:r>
    </w:p>
    <w:p w14:paraId="66D5E1E2" w14:textId="4D99D311" w:rsidR="004D78CD" w:rsidRDefault="008F134F" w:rsidP="00D0181D">
      <w:r w:rsidRPr="008F134F">
        <w:t xml:space="preserve">There were 3 co-primary endpoints in Part B of Study EFC11072: (1) the proportion of patients who achieved an ACR20 response at </w:t>
      </w:r>
      <w:r w:rsidR="002F4291">
        <w:t>Week</w:t>
      </w:r>
      <w:r w:rsidRPr="008F134F">
        <w:t xml:space="preserve"> 24, (2) the mean change </w:t>
      </w:r>
      <w:r w:rsidR="00F01361">
        <w:t>from Baseline</w:t>
      </w:r>
      <w:r w:rsidRPr="008F134F">
        <w:t xml:space="preserve"> to </w:t>
      </w:r>
      <w:r w:rsidR="002F4291">
        <w:t>Week</w:t>
      </w:r>
      <w:r w:rsidRPr="008F134F">
        <w:t xml:space="preserve"> 16 in the HAQ-DI score and (3) the mean change </w:t>
      </w:r>
      <w:r w:rsidR="00F01361">
        <w:t>from Baseline</w:t>
      </w:r>
      <w:r w:rsidRPr="008F134F">
        <w:t xml:space="preserve"> to </w:t>
      </w:r>
      <w:r w:rsidR="002F4291">
        <w:t>Week</w:t>
      </w:r>
      <w:r w:rsidRPr="008F134F">
        <w:t xml:space="preserve"> 52 in the mTSS</w:t>
      </w:r>
      <w:r w:rsidR="004D78CD">
        <w:t>.</w:t>
      </w:r>
    </w:p>
    <w:p w14:paraId="36478952" w14:textId="77777777" w:rsidR="008F134F" w:rsidRPr="008F134F" w:rsidRDefault="008F134F" w:rsidP="008F134F">
      <w:r w:rsidRPr="008F134F">
        <w:t xml:space="preserve">A patient was defined as achieving an ACR20 response </w:t>
      </w:r>
      <w:r w:rsidR="00041F97">
        <w:t>if the following was fulfilled:</w:t>
      </w:r>
    </w:p>
    <w:p w14:paraId="716BF00B" w14:textId="77777777" w:rsidR="008F134F" w:rsidRPr="008F134F" w:rsidRDefault="008F134F" w:rsidP="008F134F">
      <w:pPr>
        <w:pStyle w:val="ListBullet"/>
      </w:pPr>
      <w:r w:rsidRPr="008F134F">
        <w:t>A decrease of at least 20% in the number of tender joints (n</w:t>
      </w:r>
      <w:r w:rsidR="004D78CD">
        <w:t xml:space="preserve"> = </w:t>
      </w:r>
      <w:r w:rsidR="00041F97">
        <w:t>68)</w:t>
      </w:r>
    </w:p>
    <w:p w14:paraId="54E4CD5B" w14:textId="77777777" w:rsidR="008F134F" w:rsidRPr="008F134F" w:rsidRDefault="008F134F" w:rsidP="008F134F">
      <w:pPr>
        <w:pStyle w:val="ListBullet"/>
      </w:pPr>
      <w:r w:rsidRPr="008F134F">
        <w:t>A decrease of at least 20% in the number of swollen joints (n</w:t>
      </w:r>
      <w:r w:rsidR="004D78CD">
        <w:t xml:space="preserve"> = </w:t>
      </w:r>
      <w:r w:rsidR="00041F97">
        <w:t>66), and</w:t>
      </w:r>
    </w:p>
    <w:p w14:paraId="68A70388" w14:textId="77777777" w:rsidR="004D78CD" w:rsidRDefault="008F134F" w:rsidP="008F134F">
      <w:pPr>
        <w:pStyle w:val="ListBullet"/>
      </w:pPr>
      <w:r w:rsidRPr="008F134F">
        <w:t>At least a 20% improvement in 3 of the following 5 criteria: patient assessment of pain on 100mm VAS; patient global assessment of disease status (100 mm VAS); physician global assessment of disease status (100 mm VAS); Health Assessment Questionnaire –Disability Index (HAQ-DI) and serum inflammatory concentration (CRP was used in Study EFC11072)</w:t>
      </w:r>
      <w:r w:rsidR="004D78CD">
        <w:t>.</w:t>
      </w:r>
    </w:p>
    <w:p w14:paraId="6A3F72B0" w14:textId="284C7BBE" w:rsidR="004D78CD" w:rsidRDefault="008F134F" w:rsidP="00D0181D">
      <w:r w:rsidRPr="008F134F">
        <w:t xml:space="preserve">The ACR20 response rate is a validated composite endpoint recommended in the guideline </w:t>
      </w:r>
      <w:r w:rsidR="00194D27">
        <w:t>‘</w:t>
      </w:r>
      <w:r w:rsidRPr="008F134F">
        <w:t>Points to Consider on Clinical Investigation of Medicinal Products other than NSAIDs for treatment of Rheumatoid Arthritis</w:t>
      </w:r>
      <w:r w:rsidR="00194D27">
        <w:t>’</w:t>
      </w:r>
      <w:r w:rsidRPr="008F134F">
        <w:t xml:space="preserve"> (CPMP/EWP/556/95 rev 1/Final). The ACR20 response is considered to be the minimal clinically important threshold for determining response to an intervent</w:t>
      </w:r>
      <w:r>
        <w:t>ion in adult patients with RA</w:t>
      </w:r>
      <w:r w:rsidR="004D78CD">
        <w:t>.</w:t>
      </w:r>
    </w:p>
    <w:p w14:paraId="1F1FB490" w14:textId="516D7598" w:rsidR="004D78CD" w:rsidRDefault="008F134F" w:rsidP="008F134F">
      <w:r w:rsidRPr="008F134F">
        <w:lastRenderedPageBreak/>
        <w:t>The HAQ-DI is a patient reported questionnaire used to provide an assessment of the impact of the disease and its treatment on physical function. It is a validated method for measuring disability in inflammat</w:t>
      </w:r>
      <w:r w:rsidR="00041F97">
        <w:t xml:space="preserve">ory arthritis with a range of 0 to </w:t>
      </w:r>
      <w:r w:rsidRPr="008F134F">
        <w:t>3 (with a higher score indicating more functional impairment). The tool assesses the degree of difficulty experienced by the individual in 8 domains of daily living activities using 20 questions. The domains include dressing and grooming, arising, eating, walking, hygiene, reach, grip and common daily activities, with each domain (activity) consisting of 2 or 3 items.</w:t>
      </w:r>
      <w:r w:rsidR="004D78CD">
        <w:t xml:space="preserve"> </w:t>
      </w:r>
      <w:r w:rsidRPr="008F134F">
        <w:t>For each question, the level of difficulty is scored from 0 to 3 with 0</w:t>
      </w:r>
      <w:r w:rsidR="007312A2">
        <w:t xml:space="preserve"> </w:t>
      </w:r>
      <w:r w:rsidR="004D78CD">
        <w:t>=</w:t>
      </w:r>
      <w:r w:rsidR="007312A2">
        <w:t xml:space="preserve"> </w:t>
      </w:r>
      <w:r w:rsidR="00194D27">
        <w:t>‘</w:t>
      </w:r>
      <w:r w:rsidRPr="008F134F">
        <w:t>without any difficulty</w:t>
      </w:r>
      <w:r w:rsidR="00194D27">
        <w:t>’</w:t>
      </w:r>
      <w:r w:rsidRPr="008F134F">
        <w:t>, 1</w:t>
      </w:r>
      <w:r w:rsidR="004D78CD">
        <w:t xml:space="preserve"> = </w:t>
      </w:r>
      <w:r w:rsidR="00194D27">
        <w:t>‘</w:t>
      </w:r>
      <w:r w:rsidRPr="008F134F">
        <w:t>with some difficulty</w:t>
      </w:r>
      <w:r w:rsidR="00194D27">
        <w:t>’</w:t>
      </w:r>
      <w:r w:rsidRPr="008F134F">
        <w:t>, 2</w:t>
      </w:r>
      <w:r w:rsidR="004D78CD">
        <w:t xml:space="preserve"> = </w:t>
      </w:r>
      <w:r w:rsidR="00194D27">
        <w:t>‘</w:t>
      </w:r>
      <w:r w:rsidRPr="008F134F">
        <w:t>with much difficulty</w:t>
      </w:r>
      <w:r w:rsidR="00194D27">
        <w:t>’</w:t>
      </w:r>
      <w:r w:rsidRPr="008F134F">
        <w:t xml:space="preserve"> and 3</w:t>
      </w:r>
      <w:r w:rsidR="004D78CD">
        <w:t xml:space="preserve"> = </w:t>
      </w:r>
      <w:r w:rsidR="00194D27">
        <w:t>‘</w:t>
      </w:r>
      <w:r w:rsidRPr="008F134F">
        <w:t>unable to do</w:t>
      </w:r>
      <w:r w:rsidR="00194D27">
        <w:t>’</w:t>
      </w:r>
      <w:r w:rsidRPr="008F134F">
        <w:t>.</w:t>
      </w:r>
      <w:r w:rsidR="004D78CD">
        <w:t xml:space="preserve"> </w:t>
      </w:r>
      <w:r w:rsidRPr="008F134F">
        <w:t>If the maximum score equals 0 or 1, but a device related to that activity was used or help from another person was provided for the activity, then the activity score is increased to 2.</w:t>
      </w:r>
      <w:r w:rsidR="004D78CD">
        <w:t xml:space="preserve"> </w:t>
      </w:r>
      <w:r w:rsidRPr="008F134F">
        <w:t>However, if the activity score was already 2 and a device related to that activity was used or help from another person was provided, the score for that activity remains 2.</w:t>
      </w:r>
      <w:r w:rsidR="004D78CD">
        <w:t xml:space="preserve"> </w:t>
      </w:r>
      <w:r w:rsidRPr="008F134F">
        <w:t xml:space="preserve">A total score of between 0 and 3 is obtained from the mean of each activity. A change </w:t>
      </w:r>
      <w:r w:rsidR="00F01361">
        <w:t>from Baseline</w:t>
      </w:r>
      <w:r w:rsidRPr="008F134F">
        <w:t xml:space="preserve"> in the HAQ-DI of at least -0.22 units has been specifically defined for RA in </w:t>
      </w:r>
      <w:r w:rsidR="00041F97">
        <w:t>peer reviewed</w:t>
      </w:r>
      <w:r w:rsidRPr="008F134F">
        <w:t xml:space="preserve"> literature to be the smallest measurable reduction that is clinically significant</w:t>
      </w:r>
      <w:r w:rsidR="004D78CD">
        <w:t>.</w:t>
      </w:r>
    </w:p>
    <w:p w14:paraId="1E5EBE00" w14:textId="77777777" w:rsidR="004D78CD" w:rsidRDefault="008F134F" w:rsidP="008F134F">
      <w:r w:rsidRPr="008F134F">
        <w:t xml:space="preserve">The mTSS (assessed using the van der Heijde 1999 modification of the Total Sharp Scoring system) is a validated composite X-ray scoring system used to quantify structural joint damage due to RA. The mTSS is the sum of the joint space narrowing (JSN) score plus the erosion </w:t>
      </w:r>
      <w:r w:rsidR="00041F97">
        <w:t xml:space="preserve">score (ES) and has a range of 0 to </w:t>
      </w:r>
      <w:r w:rsidRPr="008F134F">
        <w:t>448. A higher score represents greater structural damage. The JSN score</w:t>
      </w:r>
      <w:r w:rsidR="00041F97">
        <w:t xml:space="preserve"> has a range of 0 to </w:t>
      </w:r>
      <w:r w:rsidRPr="008F134F">
        <w:t>168 and is derived from evaluating 30 joints in the hands and 12 joints in the feet, each of which are scored from 0 (no damage</w:t>
      </w:r>
      <w:r w:rsidR="00041F97">
        <w:t>) to 4. The ES has a range of 0 to</w:t>
      </w:r>
      <w:r w:rsidRPr="008F134F">
        <w:t xml:space="preserve">280 and is derived from assessing 32 hand joints and 12 joints in the feet. Each joint is scored 0 (no damage) to 5, except the metatarsophalangeal joints </w:t>
      </w:r>
      <w:r w:rsidR="00041F97">
        <w:t xml:space="preserve">of the feet, which are scored 0 to </w:t>
      </w:r>
      <w:r w:rsidRPr="008F134F">
        <w:t>10</w:t>
      </w:r>
      <w:r w:rsidR="004D78CD">
        <w:t>.</w:t>
      </w:r>
    </w:p>
    <w:p w14:paraId="33ABB6A1" w14:textId="10C51F75" w:rsidR="004D78CD" w:rsidRDefault="008F134F" w:rsidP="008F134F">
      <w:r w:rsidRPr="008F134F">
        <w:t>All enrolled subjects in Part B of Study EFC11072 were required to have plain X-rays taken of both hands and both feet (a single poster</w:t>
      </w:r>
      <w:r w:rsidR="001F23CB">
        <w:t>i</w:t>
      </w:r>
      <w:r w:rsidRPr="008F134F">
        <w:t>o-anterior view o</w:t>
      </w:r>
      <w:r w:rsidR="00041F97">
        <w:t>f each hand, and a single dorso</w:t>
      </w:r>
      <w:r w:rsidR="00041F97">
        <w:noBreakHyphen/>
      </w:r>
      <w:r w:rsidRPr="008F134F">
        <w:t xml:space="preserve">plantar view of each foot) </w:t>
      </w:r>
      <w:r w:rsidR="00F01361">
        <w:t>at Baseline</w:t>
      </w:r>
      <w:r w:rsidRPr="008F134F">
        <w:t xml:space="preserve">, </w:t>
      </w:r>
      <w:r w:rsidR="002F4291">
        <w:t>Week</w:t>
      </w:r>
      <w:r w:rsidRPr="008F134F">
        <w:t xml:space="preserve"> 24 and the </w:t>
      </w:r>
      <w:r w:rsidR="00E0128B">
        <w:t>end of study</w:t>
      </w:r>
      <w:r w:rsidRPr="008F134F">
        <w:t xml:space="preserve"> visit (</w:t>
      </w:r>
      <w:r w:rsidR="004D78CD">
        <w:t>that is</w:t>
      </w:r>
      <w:r w:rsidRPr="008F134F">
        <w:t xml:space="preserve"> </w:t>
      </w:r>
      <w:r w:rsidR="002F4291">
        <w:t>Week</w:t>
      </w:r>
      <w:r w:rsidRPr="008F134F">
        <w:t xml:space="preserve"> 52 or upon early withdrawal). There was to be a window of at least 3 months between X-ray assessments. X-ray images of both hands and feet were obtained using a standardised technique, digitised and assessed by 2 experienced central readers, who were blinded to the treatment group, X-ray sequence and clinical status of the subject. The statistical analysis used the mean score from the 2 readers for all analyses</w:t>
      </w:r>
      <w:r w:rsidR="004D78CD">
        <w:t>.</w:t>
      </w:r>
    </w:p>
    <w:p w14:paraId="5D8A13E8" w14:textId="77777777" w:rsidR="008F134F" w:rsidRPr="008F134F" w:rsidRDefault="008F134F" w:rsidP="008F134F">
      <w:r w:rsidRPr="008F134F">
        <w:t>Although the mTSS is the appropriate radiological scoring method, the minimum time point in which it is assessed is crucial to deciding the validity of a drug’s claim to inhibition of the rate of structural progression of RA. The relevant EU regulatory guideline states that for agents claiming to prevent structural joint damage, it is recommended to demonstrate radiological differences of the hands and forefeet on the basis of before and after treatment comparisons taken not less than 1 year apart, but ideally 2 years, using full randomization and pre-agreed criteria.</w:t>
      </w:r>
    </w:p>
    <w:p w14:paraId="152A87D2" w14:textId="77777777" w:rsidR="004D78CD" w:rsidRDefault="008F134F" w:rsidP="00D0181D">
      <w:r w:rsidRPr="008F134F">
        <w:t>The key secondary endpoint in Part B of Study EFC11072 was the proportion of patients who achieved Major Clinical Response (MCR), defined as an ACR70 response maintained for at least 24 consecutive weeks during the first 52 week study period</w:t>
      </w:r>
      <w:r w:rsidR="004D78CD">
        <w:t>.</w:t>
      </w:r>
    </w:p>
    <w:p w14:paraId="1BA94348" w14:textId="77777777" w:rsidR="008F134F" w:rsidRPr="008F134F" w:rsidRDefault="008F134F" w:rsidP="00D0181D">
      <w:r w:rsidRPr="008F134F">
        <w:t xml:space="preserve">The other secondary efficacy endpoints (reported at </w:t>
      </w:r>
      <w:r w:rsidR="002F4291">
        <w:t>Week</w:t>
      </w:r>
      <w:r w:rsidRPr="008F134F">
        <w:t>s 24 and 52) included:</w:t>
      </w:r>
    </w:p>
    <w:p w14:paraId="4786D947" w14:textId="77777777" w:rsidR="008F134F" w:rsidRPr="008F134F" w:rsidRDefault="008F134F" w:rsidP="00D0181D">
      <w:pPr>
        <w:pStyle w:val="ListBullet"/>
      </w:pPr>
      <w:r w:rsidRPr="008F134F">
        <w:t xml:space="preserve">Mean decrease in </w:t>
      </w:r>
      <w:r w:rsidRPr="00D0181D">
        <w:t>disease</w:t>
      </w:r>
      <w:r w:rsidRPr="008F134F">
        <w:t xml:space="preserve"> activity as measured by DAS28-CRP score;</w:t>
      </w:r>
    </w:p>
    <w:p w14:paraId="1B4A5482" w14:textId="77777777" w:rsidR="008F134F" w:rsidRPr="008F134F" w:rsidRDefault="008F134F" w:rsidP="008F134F">
      <w:pPr>
        <w:pStyle w:val="ListBullet"/>
      </w:pPr>
      <w:r w:rsidRPr="008F134F">
        <w:t>Proportion of patients achieving ACR50 and ACR70 response;</w:t>
      </w:r>
    </w:p>
    <w:p w14:paraId="0D98BF4B" w14:textId="052E2942" w:rsidR="008F134F" w:rsidRPr="008F134F" w:rsidRDefault="008F134F" w:rsidP="008F134F">
      <w:pPr>
        <w:pStyle w:val="ListBullet"/>
      </w:pPr>
      <w:r w:rsidRPr="008F134F">
        <w:t xml:space="preserve">Mean decrease </w:t>
      </w:r>
      <w:r w:rsidR="00F01361">
        <w:t>from Baseline</w:t>
      </w:r>
      <w:r w:rsidRPr="008F134F">
        <w:t xml:space="preserve"> in the CDAI – </w:t>
      </w:r>
      <w:r w:rsidR="002F4291">
        <w:t>Week</w:t>
      </w:r>
      <w:r w:rsidRPr="008F134F">
        <w:t xml:space="preserve"> 24 only;</w:t>
      </w:r>
    </w:p>
    <w:p w14:paraId="37EF5F56" w14:textId="77777777" w:rsidR="008F134F" w:rsidRPr="008F134F" w:rsidRDefault="008F134F" w:rsidP="008F134F">
      <w:pPr>
        <w:pStyle w:val="ListBullet"/>
      </w:pPr>
      <w:r w:rsidRPr="008F134F">
        <w:t>QOL outcomes using the SF-36 survey and FACIT-Fatigue scale; and the</w:t>
      </w:r>
    </w:p>
    <w:p w14:paraId="75293DD5" w14:textId="39C117B4" w:rsidR="004D78CD" w:rsidRDefault="008F134F" w:rsidP="008F134F">
      <w:pPr>
        <w:pStyle w:val="ListBullet"/>
      </w:pPr>
      <w:r w:rsidRPr="008F134F">
        <w:t xml:space="preserve">Proportion of subjects with no radiographic progression (defined as a change </w:t>
      </w:r>
      <w:r w:rsidR="00F01361">
        <w:t>from Baseline</w:t>
      </w:r>
      <w:r w:rsidRPr="008F134F">
        <w:t xml:space="preserve"> of mTSS of </w:t>
      </w:r>
      <w:r w:rsidR="007312A2">
        <w:t xml:space="preserve">&lt; </w:t>
      </w:r>
      <w:r w:rsidRPr="008F134F">
        <w:t xml:space="preserve">0) at </w:t>
      </w:r>
      <w:r w:rsidR="002F4291">
        <w:t>Week</w:t>
      </w:r>
      <w:r w:rsidRPr="008F134F">
        <w:t xml:space="preserve"> 52</w:t>
      </w:r>
      <w:r w:rsidR="004D78CD">
        <w:t>.</w:t>
      </w:r>
    </w:p>
    <w:p w14:paraId="4A35FB2E" w14:textId="77777777" w:rsidR="004D78CD" w:rsidRDefault="008F134F" w:rsidP="008F134F">
      <w:r w:rsidRPr="008F134F">
        <w:lastRenderedPageBreak/>
        <w:t xml:space="preserve">The DAS28 score is a complex mathematical calculation of the 28 joint tender and swollen joint counts, ESR or CRP, and an optional general health assessment (100 mm VAS). The DAS28 score is a validated </w:t>
      </w:r>
      <w:r w:rsidR="00041F97">
        <w:t xml:space="preserve">continuous scale ranging from 0 to </w:t>
      </w:r>
      <w:r w:rsidRPr="008F134F">
        <w:t xml:space="preserve">9.4. The level of RA disease activity can be interpreted as low if the DAS28 score is </w:t>
      </w:r>
      <w:r w:rsidR="00041F97">
        <w:t xml:space="preserve">≤ </w:t>
      </w:r>
      <w:r w:rsidRPr="008F134F">
        <w:t xml:space="preserve">3.2, moderate if between 3.2 and 5.1, or high if </w:t>
      </w:r>
      <w:r w:rsidR="007312A2">
        <w:t xml:space="preserve">&gt; </w:t>
      </w:r>
      <w:r w:rsidRPr="008F134F">
        <w:t xml:space="preserve">5.1. A DAS28 score of </w:t>
      </w:r>
      <w:r w:rsidR="007312A2">
        <w:t xml:space="preserve">&lt; </w:t>
      </w:r>
      <w:r w:rsidRPr="008F134F">
        <w:t>2.6 corresponds to clinical remission</w:t>
      </w:r>
      <w:r w:rsidR="004D78CD">
        <w:t>.</w:t>
      </w:r>
    </w:p>
    <w:p w14:paraId="13F1F5A5" w14:textId="77777777" w:rsidR="004D78CD" w:rsidRDefault="008F134F" w:rsidP="008F134F">
      <w:r w:rsidRPr="008F134F">
        <w:t>The ACR50 and ACR70 response criteria use the same data components as the ACR20, but at a corresponding higher level of response</w:t>
      </w:r>
      <w:r w:rsidR="004D78CD">
        <w:t>.</w:t>
      </w:r>
    </w:p>
    <w:p w14:paraId="44697DED" w14:textId="77777777" w:rsidR="008F134F" w:rsidRPr="008F134F" w:rsidRDefault="008F134F" w:rsidP="008F134F">
      <w:r w:rsidRPr="008F134F">
        <w:t>The SDAI is another composite disease activity score in RA, which incorporates patient, physician and laboratory values. It derives a single score on a continuous scale ranging from 0 to 86. It is the sum of the 28 swollen joint count, 28 tender joint count, patient and investigator global assessments of disease activity on a 100 mm VAS and CRP in mg/dL (</w:t>
      </w:r>
      <w:r w:rsidR="004D78CD">
        <w:t>that is</w:t>
      </w:r>
      <w:r w:rsidRPr="008F134F">
        <w:t xml:space="preserve"> 5 variables in total). A lower score indicates lower disease activity. The CDAI is a modification of the SDAI without the laboratory parameter of CRP to allow for immediate clinical assessment (</w:t>
      </w:r>
      <w:r w:rsidR="004D78CD">
        <w:t>that is</w:t>
      </w:r>
      <w:r w:rsidR="00041F97">
        <w:t xml:space="preserve"> 4 </w:t>
      </w:r>
      <w:r w:rsidRPr="008F134F">
        <w:t>variables in total). I</w:t>
      </w:r>
      <w:r>
        <w:t>t has a score range of 0 to 76.</w:t>
      </w:r>
    </w:p>
    <w:p w14:paraId="1E10D5C6" w14:textId="77777777" w:rsidR="008F134F" w:rsidRPr="008F134F" w:rsidRDefault="008F134F" w:rsidP="008F134F">
      <w:r w:rsidRPr="008F134F">
        <w:t>The SF-36 questionnaire (version 2) consists of 36 questions relating to QOL grouped into 8 sub</w:t>
      </w:r>
      <w:r w:rsidR="00041F97">
        <w:t xml:space="preserve">scales (physical function, role </w:t>
      </w:r>
      <w:r w:rsidRPr="008F134F">
        <w:t>physical, bodily pain, general health, vit</w:t>
      </w:r>
      <w:r w:rsidR="00041F97">
        <w:t xml:space="preserve">ality, social functioning, role </w:t>
      </w:r>
      <w:r w:rsidRPr="008F134F">
        <w:t>emotional, and mental health). Each scale i</w:t>
      </w:r>
      <w:r w:rsidR="00041F97">
        <w:t xml:space="preserve">s directly transformed into a 0 to </w:t>
      </w:r>
      <w:r w:rsidRPr="008F134F">
        <w:t>100 scale with a lower score indicating greater impairment or disability. The 8 subscales can also be used to derive 2 component summary m</w:t>
      </w:r>
      <w:r w:rsidR="00041F97">
        <w:t xml:space="preserve">easures (both with a range of 0 to </w:t>
      </w:r>
      <w:r w:rsidRPr="008F134F">
        <w:t xml:space="preserve">100): physical component summary (PCS) and </w:t>
      </w:r>
      <w:r>
        <w:t>mental component summary (MCS).</w:t>
      </w:r>
    </w:p>
    <w:p w14:paraId="06E5DD42" w14:textId="4B0E339C" w:rsidR="004D78CD" w:rsidRDefault="008F134F" w:rsidP="00D0181D">
      <w:r w:rsidRPr="008F134F">
        <w:t>The Functional Assessment of C</w:t>
      </w:r>
      <w:r w:rsidR="00041F97">
        <w:t>hronic Illness Therapy (FACIT) -</w:t>
      </w:r>
      <w:r w:rsidRPr="008F134F">
        <w:t xml:space="preserve"> F</w:t>
      </w:r>
      <w:r w:rsidR="00041F97">
        <w:t xml:space="preserve">atigue scale is a 13 </w:t>
      </w:r>
      <w:r w:rsidRPr="008F134F">
        <w:t>item instrument designed to assess fatigue and tiredness, and their impact on daily activities and functioning. It was originally developed to measure fatigue in adult patients with cancer, but its content has demonstrated good reliability and validity in numerous chronic health conditions including RA. T</w:t>
      </w:r>
      <w:r w:rsidR="00041F97">
        <w:t xml:space="preserve">he instrument includes items (7 </w:t>
      </w:r>
      <w:r w:rsidRPr="008F134F">
        <w:t>day recall period) such as tiredness, weakness, listlessness, lack of energy, and the impact of these feelings on daily functioning (</w:t>
      </w:r>
      <w:r w:rsidR="007312A2">
        <w:t>for example</w:t>
      </w:r>
      <w:r w:rsidRPr="008F134F">
        <w:t xml:space="preserve"> sleeping and social activities). Each </w:t>
      </w:r>
      <w:r w:rsidR="00041F97">
        <w:t>of 13 questions is rated on a 4 point Likert scale. In Study </w:t>
      </w:r>
      <w:r w:rsidRPr="008F134F">
        <w:t xml:space="preserve">EFC11072, the FACIT-Fatigue endpoint was considered to be clinically meaningful if the LS mean difference between each of the SAR dose groups versus </w:t>
      </w:r>
      <w:r w:rsidR="00A343A3">
        <w:t>placebo</w:t>
      </w:r>
      <w:r w:rsidRPr="008F134F">
        <w:t xml:space="preserve"> was statistically significant, and the within group change </w:t>
      </w:r>
      <w:r w:rsidR="00F01361">
        <w:t>from Baseline</w:t>
      </w:r>
      <w:r w:rsidRPr="008F134F">
        <w:t xml:space="preserve"> reached the group mean level of the minimal clinically imp</w:t>
      </w:r>
      <w:r>
        <w:t>ortant difference of 3 points</w:t>
      </w:r>
      <w:r w:rsidR="004D78CD">
        <w:t>.</w:t>
      </w:r>
    </w:p>
    <w:p w14:paraId="3B65D5AA" w14:textId="77777777" w:rsidR="008F134F" w:rsidRPr="008F134F" w:rsidRDefault="008F134F" w:rsidP="008F134F">
      <w:r w:rsidRPr="008F134F">
        <w:t xml:space="preserve">Other efficacy outcomes in Part B of Study EFC11072 (reported at </w:t>
      </w:r>
      <w:r w:rsidR="002F4291">
        <w:t>Week</w:t>
      </w:r>
      <w:r w:rsidRPr="008F134F">
        <w:t>s 24 and 52) included:</w:t>
      </w:r>
    </w:p>
    <w:p w14:paraId="4CC2A66F" w14:textId="77777777" w:rsidR="008F134F" w:rsidRPr="00D0181D" w:rsidRDefault="008F134F" w:rsidP="00D0181D">
      <w:pPr>
        <w:pStyle w:val="ListBullet"/>
      </w:pPr>
      <w:r w:rsidRPr="008F134F">
        <w:t xml:space="preserve">Proportion of </w:t>
      </w:r>
      <w:r w:rsidRPr="00D0181D">
        <w:t>subject</w:t>
      </w:r>
      <w:r w:rsidR="00041F97" w:rsidRPr="00D0181D">
        <w:t>s achieving DAS28-CRP remission</w:t>
      </w:r>
    </w:p>
    <w:p w14:paraId="6277DBB2" w14:textId="52FFA7BF" w:rsidR="008F134F" w:rsidRPr="00D0181D" w:rsidRDefault="008F134F" w:rsidP="00D0181D">
      <w:pPr>
        <w:pStyle w:val="ListBullet"/>
      </w:pPr>
      <w:r w:rsidRPr="00D0181D">
        <w:t xml:space="preserve">Mean change </w:t>
      </w:r>
      <w:r w:rsidR="00F01361" w:rsidRPr="00D0181D">
        <w:t>from Baseline</w:t>
      </w:r>
      <w:r w:rsidRPr="00D0181D">
        <w:t xml:space="preserve"> in the individual component</w:t>
      </w:r>
      <w:r w:rsidR="00041F97" w:rsidRPr="00D0181D">
        <w:t>s of the ACR response criteria</w:t>
      </w:r>
    </w:p>
    <w:p w14:paraId="2B3420AB" w14:textId="793DCA39" w:rsidR="008F134F" w:rsidRPr="00D0181D" w:rsidRDefault="008F134F" w:rsidP="00D0181D">
      <w:pPr>
        <w:pStyle w:val="ListBullet"/>
      </w:pPr>
      <w:r w:rsidRPr="00D0181D">
        <w:t xml:space="preserve">Mean change </w:t>
      </w:r>
      <w:r w:rsidR="00F01361" w:rsidRPr="00D0181D">
        <w:t>from Baseline</w:t>
      </w:r>
      <w:r w:rsidRPr="00D0181D">
        <w:t xml:space="preserve"> in the Numeric in</w:t>
      </w:r>
      <w:r w:rsidR="00041F97" w:rsidRPr="00D0181D">
        <w:t>dex of the ACR response (ACRn)</w:t>
      </w:r>
    </w:p>
    <w:p w14:paraId="09D61445" w14:textId="1492CEEB" w:rsidR="008F134F" w:rsidRPr="00D0181D" w:rsidRDefault="008F134F" w:rsidP="00D0181D">
      <w:pPr>
        <w:pStyle w:val="ListBullet"/>
      </w:pPr>
      <w:r w:rsidRPr="00D0181D">
        <w:t xml:space="preserve">Mean change </w:t>
      </w:r>
      <w:r w:rsidR="00F01361" w:rsidRPr="00D0181D">
        <w:t>from Baseline</w:t>
      </w:r>
      <w:r w:rsidRPr="00D0181D">
        <w:t xml:space="preserve"> in the SDAI (</w:t>
      </w:r>
      <w:r w:rsidR="002F4291" w:rsidRPr="00D0181D">
        <w:t>Week</w:t>
      </w:r>
      <w:r w:rsidR="00041F97" w:rsidRPr="00D0181D">
        <w:t xml:space="preserve"> 24 only)</w:t>
      </w:r>
    </w:p>
    <w:p w14:paraId="74D44DDD" w14:textId="77777777" w:rsidR="008F134F" w:rsidRPr="00D0181D" w:rsidRDefault="008F134F" w:rsidP="00D0181D">
      <w:pPr>
        <w:pStyle w:val="ListBullet"/>
      </w:pPr>
      <w:r w:rsidRPr="00D0181D">
        <w:t>Bo</w:t>
      </w:r>
      <w:r w:rsidR="00041F97" w:rsidRPr="00D0181D">
        <w:t>olean-based ACR/EULAR remission</w:t>
      </w:r>
    </w:p>
    <w:p w14:paraId="0FBC1D56" w14:textId="77777777" w:rsidR="008F134F" w:rsidRPr="00D0181D" w:rsidRDefault="008F134F" w:rsidP="00D0181D">
      <w:pPr>
        <w:pStyle w:val="ListBullet"/>
      </w:pPr>
      <w:r w:rsidRPr="00D0181D">
        <w:t>Mean percentage improvement in WPAI (</w:t>
      </w:r>
      <w:r w:rsidR="002F4291" w:rsidRPr="00D0181D">
        <w:t>Week</w:t>
      </w:r>
      <w:r w:rsidRPr="00D0181D">
        <w:t>s 12 and 52); and the</w:t>
      </w:r>
    </w:p>
    <w:p w14:paraId="3EBE1E12" w14:textId="77777777" w:rsidR="008F134F" w:rsidRPr="008F134F" w:rsidRDefault="008F134F" w:rsidP="00D0181D">
      <w:pPr>
        <w:pStyle w:val="ListBullet"/>
      </w:pPr>
      <w:r w:rsidRPr="00D0181D">
        <w:t>Mean percentage improvement</w:t>
      </w:r>
      <w:r>
        <w:t xml:space="preserve"> in Sleep.</w:t>
      </w:r>
    </w:p>
    <w:p w14:paraId="1E946A5D" w14:textId="7BE6DBE4" w:rsidR="008F134F" w:rsidRPr="008F134F" w:rsidRDefault="008F134F" w:rsidP="008F134F">
      <w:r w:rsidRPr="008F134F">
        <w:t xml:space="preserve">The ACRn is defined as the average change </w:t>
      </w:r>
      <w:r w:rsidR="00F01361">
        <w:t>from Baseline</w:t>
      </w:r>
      <w:r w:rsidRPr="008F134F">
        <w:t xml:space="preserve"> in the following 3 variables: (i) the percentage change </w:t>
      </w:r>
      <w:r w:rsidR="00F01361">
        <w:t>from Baseline</w:t>
      </w:r>
      <w:r w:rsidRPr="008F134F">
        <w:t xml:space="preserve"> in the number of tender joints, (ii) the percentage change </w:t>
      </w:r>
      <w:r w:rsidR="00F01361">
        <w:t>from Baseline</w:t>
      </w:r>
      <w:r w:rsidRPr="008F134F">
        <w:t xml:space="preserve"> in the number of swollen joints, and (iii) the median of the percentage change </w:t>
      </w:r>
      <w:r w:rsidR="00F01361">
        <w:t>from Baseline</w:t>
      </w:r>
      <w:r w:rsidRPr="008F134F">
        <w:t xml:space="preserve"> for the </w:t>
      </w:r>
      <w:r w:rsidR="00041F97">
        <w:t>other 5 ACR response criteria:</w:t>
      </w:r>
      <w:r w:rsidRPr="008F134F">
        <w:t xml:space="preserve"> patient’s global assessment of disease activity, physician’s global assessment of disease activity, patient’s assessment of pain, HAQ-DI and CRP. The ACRn appears be more sensitive than the ACR20 criteria in detecting small improvements, particularly those that may occur early on in treatment. Furthermore, ACRn is a continuous outcome measure that is different from the ACR20/50/70 response criteria, which are </w:t>
      </w:r>
      <w:r w:rsidRPr="008F134F">
        <w:lastRenderedPageBreak/>
        <w:t>categorical endpoints. By measuring the mean (or median) change in ACRn, this measure provides an assessment of the magnitude of benefit for a typical patient, which is complementary information to the categorical ACR response criteria. For example, a population with an ACRn value of 38 means that the typical patient in that cohort has achieved a 38% improvement in RA by clinical measures.</w:t>
      </w:r>
    </w:p>
    <w:p w14:paraId="3EC132C0" w14:textId="77777777" w:rsidR="008F134F" w:rsidRPr="008F134F" w:rsidRDefault="008F134F" w:rsidP="008F134F">
      <w:r w:rsidRPr="008F134F">
        <w:t xml:space="preserve">Boolean-based ACR/EULAR remission is defined as when a patient satisfies all the following 4 criteria at a given time point: TJC and SJC (based on the assessment of 28 joints) </w:t>
      </w:r>
      <w:r w:rsidR="00041F97">
        <w:t xml:space="preserve">≤ </w:t>
      </w:r>
      <w:r w:rsidRPr="008F134F">
        <w:t xml:space="preserve">1, CRP </w:t>
      </w:r>
      <w:r w:rsidR="00041F97">
        <w:t>≤ 10 </w:t>
      </w:r>
      <w:r w:rsidRPr="008F134F">
        <w:t xml:space="preserve">mg/L and patient global VAS </w:t>
      </w:r>
      <w:r w:rsidR="00041F97">
        <w:t xml:space="preserve">≤ </w:t>
      </w:r>
      <w:r w:rsidRPr="008F134F">
        <w:t>10 mm.</w:t>
      </w:r>
    </w:p>
    <w:p w14:paraId="14C4B5BC" w14:textId="77777777" w:rsidR="008F134F" w:rsidRPr="008F134F" w:rsidRDefault="008F134F" w:rsidP="008F134F">
      <w:r w:rsidRPr="008F134F">
        <w:t>The Work Productivity and Activity Impairment (WPAI) scale i</w:t>
      </w:r>
      <w:r w:rsidR="00041F97">
        <w:t xml:space="preserve">s a 6 </w:t>
      </w:r>
      <w:r w:rsidRPr="008F134F">
        <w:t>item questionnaire which measures the percent of work time missed, percent of impairment while working, overall percent of work impairment and the percent activity impairment due to RA. The scale expresses an impairment percentage with higher numbers indicating greater impairm</w:t>
      </w:r>
      <w:r>
        <w:t>ent and decreased productivity.</w:t>
      </w:r>
    </w:p>
    <w:p w14:paraId="597CB9CC" w14:textId="4C59E9F2" w:rsidR="008F134F" w:rsidRPr="008F134F" w:rsidRDefault="008F134F" w:rsidP="008F134F">
      <w:r w:rsidRPr="008F134F">
        <w:t>Sleep was assessed by a 100 mm VAS with subjects asked to rate how much of a problem sleep has been for them in the past week where 0</w:t>
      </w:r>
      <w:r w:rsidR="004D78CD">
        <w:t xml:space="preserve"> = </w:t>
      </w:r>
      <w:r w:rsidR="00194D27">
        <w:t>‘</w:t>
      </w:r>
      <w:r w:rsidRPr="008F134F">
        <w:t>not a prob</w:t>
      </w:r>
      <w:r>
        <w:t>lem</w:t>
      </w:r>
      <w:r w:rsidR="00194D27">
        <w:t>’</w:t>
      </w:r>
      <w:r>
        <w:t xml:space="preserve"> and 100</w:t>
      </w:r>
      <w:r w:rsidR="004D78CD">
        <w:t xml:space="preserve"> = </w:t>
      </w:r>
      <w:r w:rsidR="00194D27">
        <w:t>‘</w:t>
      </w:r>
      <w:r>
        <w:t>a major problem.</w:t>
      </w:r>
      <w:r w:rsidR="00194D27">
        <w:t>’</w:t>
      </w:r>
    </w:p>
    <w:p w14:paraId="20F0B269" w14:textId="77777777" w:rsidR="008F134F" w:rsidRPr="008F134F" w:rsidRDefault="008F134F" w:rsidP="00D0181D">
      <w:pPr>
        <w:pStyle w:val="Heading5"/>
      </w:pPr>
      <w:r w:rsidRPr="00D0181D">
        <w:t>Randomisation</w:t>
      </w:r>
      <w:r w:rsidRPr="008F134F">
        <w:t xml:space="preserve"> and blinding methods</w:t>
      </w:r>
    </w:p>
    <w:p w14:paraId="4CF91DD1" w14:textId="77777777" w:rsidR="00A343A3" w:rsidRDefault="008F134F" w:rsidP="008F134F">
      <w:r w:rsidRPr="008F134F">
        <w:t xml:space="preserve">In Part B of Study EFC11072, patients were randomised into treatment groups with the use of a centralised, computerised interactive voice response system (IVRS) and stratified according to prior biologic therapy use (yes/no) and region. Subjects eligible to receive rescue treatment after </w:t>
      </w:r>
      <w:r w:rsidR="002F4291">
        <w:t>Week</w:t>
      </w:r>
      <w:r w:rsidRPr="008F134F">
        <w:t xml:space="preserve"> 16 due to lack of efficacy were not re-randomised</w:t>
      </w:r>
      <w:r w:rsidR="00A343A3">
        <w:t>.</w:t>
      </w:r>
    </w:p>
    <w:p w14:paraId="0BF9B332" w14:textId="77777777" w:rsidR="008F134F" w:rsidRPr="008F134F" w:rsidRDefault="008F134F" w:rsidP="008F134F">
      <w:r w:rsidRPr="008F134F">
        <w:t xml:space="preserve">To protect the </w:t>
      </w:r>
      <w:r w:rsidR="00E0128B">
        <w:t>double blind</w:t>
      </w:r>
      <w:r w:rsidRPr="008F134F">
        <w:t xml:space="preserve"> design of Part B of Study EFC11072, SAR and </w:t>
      </w:r>
      <w:r w:rsidR="00A343A3">
        <w:t>placebo</w:t>
      </w:r>
      <w:r w:rsidRPr="008F134F">
        <w:t xml:space="preserve"> injections were supplied in matching pre-filled syringes in identical kits. Independent joint evaluators not involved with any other aspects of the studies quantified joint disease involvement, and X-rays were scored by readers who were blinded to subject treatment and X-ray film sequence.</w:t>
      </w:r>
    </w:p>
    <w:p w14:paraId="055C3798" w14:textId="77777777" w:rsidR="008F134F" w:rsidRPr="008F134F" w:rsidRDefault="008F134F" w:rsidP="008F134F">
      <w:r w:rsidRPr="008F134F">
        <w:t xml:space="preserve">Two patients in the </w:t>
      </w:r>
      <w:r w:rsidR="00A343A3">
        <w:t>placebo</w:t>
      </w:r>
      <w:r w:rsidRPr="008F134F">
        <w:t xml:space="preserve"> group accidentally had their blind broken by the site investigators and both subjects discontinued as per the protocol. Both subjects were included in the efficacy and safety analyses. In addition, 32 subjects (4 in the </w:t>
      </w:r>
      <w:r w:rsidR="00A343A3">
        <w:t>placebo</w:t>
      </w:r>
      <w:r w:rsidRPr="008F134F">
        <w:t xml:space="preserve"> group, 13 in the SAR 150 mg arm and 15 in the SAR 200 mg group) had their blind broken for regulatory purposes. All of the 32 subjects experienced SAEs and were either discontinued as a result of the unblinding or excluded from any analyses. Furthermore, 14 subjects had their CRP data incorrectly provided to site investigators, which may have resu</w:t>
      </w:r>
      <w:r>
        <w:t>lted in potential unblinding.</w:t>
      </w:r>
    </w:p>
    <w:p w14:paraId="3DCD7F10" w14:textId="77777777" w:rsidR="008F134F" w:rsidRPr="008F134F" w:rsidRDefault="008F134F" w:rsidP="008F134F">
      <w:pPr>
        <w:pStyle w:val="Heading5"/>
      </w:pPr>
      <w:r w:rsidRPr="008F134F">
        <w:t>Analysis populations</w:t>
      </w:r>
    </w:p>
    <w:p w14:paraId="0F904F2C" w14:textId="77777777" w:rsidR="008F134F" w:rsidRPr="008F134F" w:rsidRDefault="008F134F" w:rsidP="008F134F">
      <w:r w:rsidRPr="008F134F">
        <w:t>The primary analysis population for efficacy endpoints in Part B of Study EFC11072 was the Intention-To-Treat (ITT) cohort, which consisted of all 1197 patients randomised into Cohort 2 of Part B (</w:t>
      </w:r>
      <w:r w:rsidR="004D78CD">
        <w:t>that is</w:t>
      </w:r>
      <w:r w:rsidRPr="008F134F">
        <w:t xml:space="preserve"> after the implementation of the final SAR dose selection for evaluation). The safety and PK analysis populations consisted of 1</w:t>
      </w:r>
      <w:r w:rsidR="00041F97">
        <w:t>,</w:t>
      </w:r>
      <w:r w:rsidRPr="008F134F">
        <w:t>282 subjects randomised into bo</w:t>
      </w:r>
      <w:r>
        <w:t>th cohort sections of Part B.</w:t>
      </w:r>
    </w:p>
    <w:p w14:paraId="2E3A13F7" w14:textId="77777777" w:rsidR="008F134F" w:rsidRPr="008F134F" w:rsidDel="0081373E" w:rsidRDefault="008F134F" w:rsidP="008F134F">
      <w:r w:rsidRPr="008F134F">
        <w:t xml:space="preserve">Three randomised patients (1 patient allocated to the SAR 200 mg group and 2 patients in the SAR 150 mg arm) did not receive any study treatment in Part B. All 3 subjects were included in the efficacy population analysis, but not the safety population. In addition, 3 patients randomised to SAR 200 mg in Cohort 2 received a single dose of SAR 150 mg and were analysed in the 150 mg group for the safety assessment. Two patients randomised to SAR 150 mg in Cohort 2 received a single dose of SAR 200 mg in error, but were analysed in the SAR 150 mg group for the safety analysis. One subject randomised to </w:t>
      </w:r>
      <w:r w:rsidR="00A343A3">
        <w:t>placebo</w:t>
      </w:r>
      <w:r w:rsidRPr="008F134F">
        <w:t xml:space="preserve"> re</w:t>
      </w:r>
      <w:r w:rsidR="00041F97">
        <w:t>ceived a single dose of SAR 200 </w:t>
      </w:r>
      <w:r w:rsidRPr="008F134F">
        <w:t>mg and was analysed in this arm for the safety assessment.</w:t>
      </w:r>
    </w:p>
    <w:p w14:paraId="051CC16D" w14:textId="77777777" w:rsidR="008F134F" w:rsidRPr="008F134F" w:rsidRDefault="008F134F" w:rsidP="008F134F">
      <w:pPr>
        <w:pStyle w:val="Heading5"/>
      </w:pPr>
      <w:r w:rsidRPr="008F134F" w:rsidDel="0081373E">
        <w:t>Sample size</w:t>
      </w:r>
    </w:p>
    <w:p w14:paraId="3B352C25" w14:textId="743BC2B2" w:rsidR="008F134F" w:rsidRPr="008F134F" w:rsidRDefault="008F134F" w:rsidP="008F134F">
      <w:r w:rsidRPr="008F134F">
        <w:t>The sample size calculation for Part B of Study EFC11072 was based on the primary radiographic endpoint (</w:t>
      </w:r>
      <w:r w:rsidR="004D78CD">
        <w:t>that is</w:t>
      </w:r>
      <w:r w:rsidRPr="008F134F">
        <w:t xml:space="preserve"> change </w:t>
      </w:r>
      <w:r w:rsidR="00F01361">
        <w:t>from Baseline</w:t>
      </w:r>
      <w:r w:rsidRPr="008F134F">
        <w:t xml:space="preserve"> to </w:t>
      </w:r>
      <w:r w:rsidR="002F4291">
        <w:t>Week</w:t>
      </w:r>
      <w:r w:rsidRPr="008F134F">
        <w:t xml:space="preserve"> 52 in mTSS). A requirement for </w:t>
      </w:r>
      <w:r w:rsidRPr="008F134F">
        <w:lastRenderedPageBreak/>
        <w:t xml:space="preserve">372 subjects in each of the 3 treatment groups was estimated based on an alpha level of 0.025 to address multiplicity across the 2 SAR dose regimens being investigated in this trial, 90% statistical power, a mean change in mTSS </w:t>
      </w:r>
      <w:r w:rsidR="00F01361">
        <w:t>from Baseline</w:t>
      </w:r>
      <w:r w:rsidRPr="008F134F">
        <w:t xml:space="preserve"> to </w:t>
      </w:r>
      <w:r w:rsidR="002F4291">
        <w:t>Week</w:t>
      </w:r>
      <w:r w:rsidRPr="008F134F">
        <w:t xml:space="preserve"> 52 of 1.10 for </w:t>
      </w:r>
      <w:r w:rsidR="00A343A3">
        <w:t>placebo</w:t>
      </w:r>
      <w:r w:rsidRPr="008F134F">
        <w:t xml:space="preserve"> and 0.35 for SAR therapy (with an associated standard deviation </w:t>
      </w:r>
      <w:r w:rsidR="00BF33B8">
        <w:t>(</w:t>
      </w:r>
      <w:r w:rsidRPr="008F134F">
        <w:t>SD</w:t>
      </w:r>
      <w:r w:rsidR="00BF33B8">
        <w:t>)</w:t>
      </w:r>
      <w:r w:rsidRPr="008F134F">
        <w:t xml:space="preserve"> of 2.6) and a missing value rate of 15%. The assumed mean changes in the mTSS and SD are based on the results of an alternative anti-IL-6 drug (tocilizumab) pivotal </w:t>
      </w:r>
      <w:r w:rsidR="004D78CD">
        <w:t>Phase III</w:t>
      </w:r>
      <w:r w:rsidRPr="008F134F">
        <w:t xml:space="preserve"> trial data in adult patients with active RA (LITHE Study; Fleischmann et al, 2013).</w:t>
      </w:r>
    </w:p>
    <w:p w14:paraId="01EB4E1A" w14:textId="68A99BF3" w:rsidR="008F134F" w:rsidRPr="008F134F" w:rsidRDefault="008F134F" w:rsidP="008F134F">
      <w:r w:rsidRPr="008F134F">
        <w:t xml:space="preserve">Regarding the clinical efficacy endpoints investigated in Part B of Study EFC11072, a sample size of 372 subjects per treatment group provides </w:t>
      </w:r>
      <w:r w:rsidR="007312A2">
        <w:t xml:space="preserve">&gt; </w:t>
      </w:r>
      <w:r w:rsidRPr="008F134F">
        <w:t xml:space="preserve">99% power for the rate of ACR20 response at </w:t>
      </w:r>
      <w:r w:rsidR="002F4291">
        <w:t>Week</w:t>
      </w:r>
      <w:r w:rsidRPr="008F134F">
        <w:t xml:space="preserve"> 24. Using the tocilizumab dataset (LITHE Study, 2013), the </w:t>
      </w:r>
      <w:r w:rsidR="00041F97">
        <w:t>24 week</w:t>
      </w:r>
      <w:r w:rsidRPr="008F134F">
        <w:t xml:space="preserve"> ACR20 response rates were estimated to be 27% in the </w:t>
      </w:r>
      <w:r w:rsidR="00A343A3">
        <w:t>placebo</w:t>
      </w:r>
      <w:r w:rsidRPr="008F134F">
        <w:t xml:space="preserve"> group and 51% in the SAR treatment arms (alpha level of 0.025 to address multiplicity across the 2 active dose groups with a </w:t>
      </w:r>
      <w:r w:rsidR="00041F97">
        <w:t>2 sided</w:t>
      </w:r>
      <w:r w:rsidRPr="008F134F">
        <w:t xml:space="preserve">, chi-square test). The sample size of 372 subjects per treatment group provides 98% power for the mean change </w:t>
      </w:r>
      <w:r w:rsidR="00F01361">
        <w:t>from Baseline</w:t>
      </w:r>
      <w:r w:rsidRPr="008F134F">
        <w:t xml:space="preserve"> to </w:t>
      </w:r>
      <w:r w:rsidR="002F4291">
        <w:t>Week</w:t>
      </w:r>
      <w:r w:rsidRPr="008F134F">
        <w:t xml:space="preserve"> 16 in the HAQ-DI score. Using data with tocilizumab (Emery et al, 2008), the treatment related difference at 16 weeks in the mean HAQ-DI score was estimated to be 0.3 (SD 0.79; alpha level of 0.025 to address multiplicity across the 2 active dose grou</w:t>
      </w:r>
      <w:r w:rsidR="00041F97">
        <w:t xml:space="preserve">ps with a 2 </w:t>
      </w:r>
      <w:r w:rsidRPr="008F134F">
        <w:t>sided t-test; a</w:t>
      </w:r>
      <w:r>
        <w:t>nd a missing data rate of 30%).</w:t>
      </w:r>
    </w:p>
    <w:p w14:paraId="3B1FF9F0" w14:textId="77777777" w:rsidR="008F134F" w:rsidRPr="008F134F" w:rsidRDefault="008F134F" w:rsidP="008F134F">
      <w:r w:rsidRPr="008F134F">
        <w:t xml:space="preserve">The key secondary efficacy endpoint in Part B of Study EFC11072 was the proportion of patients who achieved MCR at </w:t>
      </w:r>
      <w:r w:rsidR="002F4291">
        <w:t>Week</w:t>
      </w:r>
      <w:r w:rsidRPr="008F134F">
        <w:t xml:space="preserve"> 52. In the LITHE study (Fleischmann et al, 2013), the rate of MCR at </w:t>
      </w:r>
      <w:r w:rsidR="002F4291">
        <w:t>Week</w:t>
      </w:r>
      <w:r w:rsidRPr="008F134F">
        <w:t xml:space="preserve"> 52 was 4% in the tocilizumab 4 mg/kg grou</w:t>
      </w:r>
      <w:r w:rsidR="00041F97">
        <w:t>p and 6.5% in the tocilizumab 8 </w:t>
      </w:r>
      <w:r w:rsidRPr="008F134F">
        <w:t>mg/kg arm versus 0.5% in the control group. If the same rates of MCR for active treatment were observed in Part B of Study EFC11072, then the sample size provides 76% and 97% power, respectively (alpha level of 0.025 to address multiplicity across th</w:t>
      </w:r>
      <w:r w:rsidR="00041F97">
        <w:t xml:space="preserve">e 2 active dose groups with a 2 </w:t>
      </w:r>
      <w:r w:rsidRPr="008F134F">
        <w:t>sided, chi-square test).</w:t>
      </w:r>
    </w:p>
    <w:p w14:paraId="54C43266" w14:textId="77777777" w:rsidR="008F134F" w:rsidRPr="008F134F" w:rsidRDefault="008F134F" w:rsidP="008F134F">
      <w:pPr>
        <w:pStyle w:val="Heading5"/>
      </w:pPr>
      <w:r w:rsidRPr="008F134F">
        <w:t>Statistical methods</w:t>
      </w:r>
    </w:p>
    <w:p w14:paraId="05CE451B" w14:textId="77777777" w:rsidR="004D78CD" w:rsidRDefault="008F134F" w:rsidP="008F134F">
      <w:r w:rsidRPr="008F134F">
        <w:t xml:space="preserve">The co-primary efficacy outcome of the ACR20 response rate at </w:t>
      </w:r>
      <w:r w:rsidR="002F4291">
        <w:t>Week</w:t>
      </w:r>
      <w:r w:rsidRPr="008F134F">
        <w:t xml:space="preserve"> 24 was analysed using the </w:t>
      </w:r>
      <w:r w:rsidR="00041F97">
        <w:t>2 sided</w:t>
      </w:r>
      <w:r w:rsidRPr="008F134F">
        <w:t xml:space="preserve"> Cochran-Mantel-Haenszel (CMH) test stratified by prior biologic use and region. Separate </w:t>
      </w:r>
      <w:r w:rsidR="00041F97">
        <w:t>pair wise</w:t>
      </w:r>
      <w:r w:rsidRPr="008F134F">
        <w:t xml:space="preserve"> comparisons of the response rate between each dose of SAR versus </w:t>
      </w:r>
      <w:r w:rsidR="00A343A3">
        <w:t>placebo</w:t>
      </w:r>
      <w:r w:rsidRPr="008F134F">
        <w:t xml:space="preserve"> were calculated. Testing each SAR dose separately against </w:t>
      </w:r>
      <w:r w:rsidR="00A343A3">
        <w:t>placebo</w:t>
      </w:r>
      <w:r w:rsidRPr="008F134F">
        <w:t xml:space="preserve"> also derived the CMH estimate of the Odds Ratio (OR) and the corresponding 95% confidence intervals (CI). In the primary statistical analysis, patients were considered non-responders if there were insufficient data to determine the ACR20 response status, if they received rescue medication, or if they</w:t>
      </w:r>
      <w:r>
        <w:t xml:space="preserve"> discontinued study treatment</w:t>
      </w:r>
      <w:r w:rsidR="004D78CD">
        <w:t>.</w:t>
      </w:r>
    </w:p>
    <w:p w14:paraId="553DCC50" w14:textId="29BA9096" w:rsidR="004D78CD" w:rsidRDefault="008F134F" w:rsidP="008F134F">
      <w:r w:rsidRPr="008F134F">
        <w:t xml:space="preserve">For the co-primary endpoint of the mean change </w:t>
      </w:r>
      <w:r w:rsidR="00F01361">
        <w:t>from Baseline</w:t>
      </w:r>
      <w:r w:rsidRPr="008F134F">
        <w:t xml:space="preserve"> to </w:t>
      </w:r>
      <w:r w:rsidR="002F4291">
        <w:t>Week</w:t>
      </w:r>
      <w:r w:rsidRPr="008F134F">
        <w:t xml:space="preserve"> 16 in the HAQ-DI score, analysis using a Mixed Model for Repeated Measures (MMRM) was employed. The model included treatment, stratification factors, visit and treatment by visit interaction as fixed effects and baseline as a covariate. Measurements collected from patients after they received rescue medication or discontinued study treatments were </w:t>
      </w:r>
      <w:r>
        <w:t>not included in this analysis</w:t>
      </w:r>
      <w:r w:rsidR="004D78CD">
        <w:t>.</w:t>
      </w:r>
    </w:p>
    <w:p w14:paraId="3ED3F90C" w14:textId="04B2D41F" w:rsidR="004D78CD" w:rsidRDefault="008F134F" w:rsidP="008F134F">
      <w:r w:rsidRPr="008F134F">
        <w:t xml:space="preserve">For the third co-primary endpoint of the mean change </w:t>
      </w:r>
      <w:r w:rsidR="00F01361">
        <w:t>from Baseline</w:t>
      </w:r>
      <w:r w:rsidRPr="008F134F">
        <w:t xml:space="preserve"> to </w:t>
      </w:r>
      <w:r w:rsidR="002F4291">
        <w:t>Week</w:t>
      </w:r>
      <w:r w:rsidRPr="008F134F">
        <w:t xml:space="preserve"> 52 in the van de Heijde mTSS, an analysis using a rank based analysis of covariance (ANCOVA) model adjusted for baseline, prior biologic use and region. A linear extrapolation method was used to impute missing or post </w:t>
      </w:r>
      <w:r>
        <w:t>rescue treatment mTSS results</w:t>
      </w:r>
      <w:r w:rsidR="004D78CD">
        <w:t>.</w:t>
      </w:r>
    </w:p>
    <w:p w14:paraId="65060EFC" w14:textId="33EE7A99" w:rsidR="008F134F" w:rsidRPr="008F134F" w:rsidRDefault="008F134F" w:rsidP="008F134F">
      <w:r w:rsidRPr="008F134F">
        <w:t xml:space="preserve">Sensitivity analyses using alternate methods of handling missing post-baseline data (such as the Last Observation Carried Forward </w:t>
      </w:r>
      <w:r w:rsidR="00BF33B8">
        <w:t>(</w:t>
      </w:r>
      <w:r w:rsidRPr="008F134F">
        <w:t>LOCF</w:t>
      </w:r>
      <w:r w:rsidR="00BF33B8">
        <w:t>)</w:t>
      </w:r>
      <w:r w:rsidRPr="008F134F">
        <w:t xml:space="preserve"> approach) were performed to support the robustness of the primary analyses. Both </w:t>
      </w:r>
      <w:r w:rsidR="004D78CD">
        <w:t>Phase III</w:t>
      </w:r>
      <w:r w:rsidRPr="008F134F">
        <w:t xml:space="preserve"> studies had secondary endpoints to further evaluate the effects of SAR on the signs and symptoms of RA, physical function, structural progression and health-related QOL. The binary secondary efficacy variables of ACR50 and ACR70 response and various measures of remission were analysed using the same CMH test as the ACR20 variable. The same method used for HAQ-DI analysis was used for the continuous secondary efficacy endpoints (</w:t>
      </w:r>
      <w:r w:rsidR="007312A2">
        <w:t>for example</w:t>
      </w:r>
      <w:r w:rsidRPr="008F134F">
        <w:t xml:space="preserve"> ACRn). To adjust for multiplicity and to control the </w:t>
      </w:r>
      <w:r w:rsidR="00041F97">
        <w:t xml:space="preserve">overall Type </w:t>
      </w:r>
      <w:r w:rsidRPr="008F134F">
        <w:t xml:space="preserve">I error </w:t>
      </w:r>
      <w:r w:rsidRPr="008F134F">
        <w:lastRenderedPageBreak/>
        <w:t xml:space="preserve">rate at 0.05, a hierarchical testing procedure was implemented for the co-primary endpoints and for pre-specified secondary endpoints using </w:t>
      </w:r>
      <w:r w:rsidR="00041F97">
        <w:t>α</w:t>
      </w:r>
      <w:r w:rsidR="004D78CD">
        <w:t xml:space="preserve"> = </w:t>
      </w:r>
      <w:r w:rsidRPr="008F134F">
        <w:t>0.02</w:t>
      </w:r>
      <w:r>
        <w:t>5 within each SAR dose regimen.</w:t>
      </w:r>
    </w:p>
    <w:p w14:paraId="3479BA48" w14:textId="77777777" w:rsidR="008F134F" w:rsidRPr="008F134F" w:rsidRDefault="008F134F" w:rsidP="008F134F">
      <w:pPr>
        <w:pStyle w:val="Heading5"/>
      </w:pPr>
      <w:r w:rsidRPr="008F134F">
        <w:t>Participant flow</w:t>
      </w:r>
    </w:p>
    <w:p w14:paraId="3CEC22BD" w14:textId="77777777" w:rsidR="008F134F" w:rsidRPr="008F134F" w:rsidRDefault="008F134F" w:rsidP="008F134F">
      <w:r w:rsidRPr="008F134F">
        <w:t>A total of 2</w:t>
      </w:r>
      <w:r w:rsidR="00041F97">
        <w:t>,</w:t>
      </w:r>
      <w:r w:rsidRPr="008F134F">
        <w:t>978 subjects were screened for involvement in Study EFC11072 (both cohorts) and 1</w:t>
      </w:r>
      <w:r w:rsidR="00041F97">
        <w:t>,</w:t>
      </w:r>
      <w:r w:rsidRPr="008F134F">
        <w:t>609 patients (54.0%) were recorded as screen failures. Screen failures were mainly due to insufficient disease severity to meet the inclusion criterion (22.6% of 1609) and due to meeting the exclusion criterion related to tuberculosis (19.3% of 1609).</w:t>
      </w:r>
    </w:p>
    <w:p w14:paraId="49FD8A8C" w14:textId="77777777" w:rsidR="004D78CD" w:rsidRDefault="008F134F" w:rsidP="008F134F">
      <w:r w:rsidRPr="008F134F">
        <w:t>A total of 1</w:t>
      </w:r>
      <w:r w:rsidR="00041F97">
        <w:t>,</w:t>
      </w:r>
      <w:r w:rsidRPr="008F134F">
        <w:t>369 patients were randomised into Part B of Study EFC11072: 172 subjects into Cohort 1</w:t>
      </w:r>
      <w:r w:rsidR="00041F97">
        <w:t xml:space="preserve"> and 1197 patients in Cohort 2;</w:t>
      </w:r>
      <w:r w:rsidRPr="008F134F">
        <w:t xml:space="preserve"> refer </w:t>
      </w:r>
      <w:r w:rsidRPr="00347016">
        <w:t>to Figure 6. Of</w:t>
      </w:r>
      <w:r w:rsidRPr="008F134F">
        <w:t xml:space="preserve"> the 172 patients randomised into Cohort 1, 88 were allocated to the selected dose groups of SAR therapy and </w:t>
      </w:r>
      <w:r w:rsidR="00A343A3">
        <w:t>placebo</w:t>
      </w:r>
      <w:r w:rsidRPr="008F134F">
        <w:t xml:space="preserve"> evaluated in Cohort 2. A total of 27 patients (30.7% of 88) in the selected dose groups of Cohort 1 switched to rescue treatment, 45 patients (51.1% of 88) completed the treatment phase of the study and 16 patients (18.2% of 88) permanently discontinued during the </w:t>
      </w:r>
      <w:r w:rsidR="00E0128B">
        <w:t>double blind</w:t>
      </w:r>
      <w:r w:rsidRPr="008F134F">
        <w:t xml:space="preserve"> treatment period</w:t>
      </w:r>
      <w:r w:rsidR="004D78CD">
        <w:t>.</w:t>
      </w:r>
    </w:p>
    <w:p w14:paraId="1EB8E731" w14:textId="77777777" w:rsidR="008F134F" w:rsidRDefault="008F134F" w:rsidP="00D0181D">
      <w:pPr>
        <w:pStyle w:val="FigureTitle"/>
      </w:pPr>
      <w:r w:rsidRPr="00347016">
        <w:t>Figure 6</w:t>
      </w:r>
      <w:r w:rsidR="00347016" w:rsidRPr="00347016">
        <w:t>:</w:t>
      </w:r>
      <w:r w:rsidR="004D78CD" w:rsidRPr="00347016">
        <w:t xml:space="preserve"> </w:t>
      </w:r>
      <w:r w:rsidRPr="00347016">
        <w:t>Patient</w:t>
      </w:r>
      <w:r>
        <w:t xml:space="preserve"> </w:t>
      </w:r>
      <w:r w:rsidR="00041F97">
        <w:t>d</w:t>
      </w:r>
      <w:r>
        <w:t>isposition in Cohorts 1 and 2 of Part B of Study EFC11072</w:t>
      </w:r>
    </w:p>
    <w:p w14:paraId="3689FD78" w14:textId="77777777" w:rsidR="00984208" w:rsidRDefault="008F134F" w:rsidP="00C22678">
      <w:pPr>
        <w:rPr>
          <w:lang w:eastAsia="ja-JP"/>
        </w:rPr>
      </w:pPr>
      <w:r>
        <w:rPr>
          <w:noProof/>
          <w:lang w:eastAsia="en-AU"/>
        </w:rPr>
        <w:drawing>
          <wp:inline distT="0" distB="0" distL="0" distR="0" wp14:anchorId="48CB6465" wp14:editId="7CB3A750">
            <wp:extent cx="4200525" cy="5372100"/>
            <wp:effectExtent l="0" t="0" r="9525" b="0"/>
            <wp:docPr id="14" name="Picture 14" descr="Patient disposition in Cohorts 1 and 2 of Part B of Study EFC11072&#10;A total of 1,369 patients were randomised into Part B of Study EFC11072: 172 subjects into Cohort 1 and 1197 patients in Cohort 2; refer to Figure 6. Of the 172 patients randomised into Cohort 1, 88 were allocated to the selected dose groups of SAR therapy and placebo evaluated in Cohort 2. A total of 27 patients (30.7% of 88) in the selected dose groups of Cohort 1 switched to rescue treatment, 45 patients (51.1% of 88) completed the treatment phase of the study and 16 patients (18.2% of 88) permanently discontinued during the double blind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00525" cy="5372100"/>
                    </a:xfrm>
                    <a:prstGeom prst="rect">
                      <a:avLst/>
                    </a:prstGeom>
                  </pic:spPr>
                </pic:pic>
              </a:graphicData>
            </a:graphic>
          </wp:inline>
        </w:drawing>
      </w:r>
    </w:p>
    <w:p w14:paraId="66CDC70C" w14:textId="77777777" w:rsidR="004D78CD" w:rsidRDefault="008F134F" w:rsidP="008F134F">
      <w:r w:rsidRPr="008F134F">
        <w:t>Of the 1</w:t>
      </w:r>
      <w:r w:rsidR="00041F97">
        <w:t>,</w:t>
      </w:r>
      <w:r w:rsidRPr="008F134F">
        <w:t>197 subjects randomised into Cohort 2/Part B of Study EFC11072, 3 patients did not receive any study treatment (1 patient was allocated to the SAR 200 mg group and 2 patients were in the SAR 150 mg arm). All 3 patients were included in the efficacy population analysis, but not the safety population</w:t>
      </w:r>
      <w:r w:rsidR="004D78CD">
        <w:t>.</w:t>
      </w:r>
    </w:p>
    <w:p w14:paraId="7F5A0B1F" w14:textId="2564E359" w:rsidR="004D78CD" w:rsidRDefault="008F134F" w:rsidP="008F134F">
      <w:r w:rsidRPr="008F134F">
        <w:lastRenderedPageBreak/>
        <w:t xml:space="preserve">In Cohort 2, 16.8% (201/1197) of patients discontinued during the </w:t>
      </w:r>
      <w:r w:rsidR="00E0128B">
        <w:t>double blind</w:t>
      </w:r>
      <w:r w:rsidRPr="008F134F">
        <w:t xml:space="preserve"> treatment period and did not take rescue therapy. A greater proportion of SAR treated patients (18.3% </w:t>
      </w:r>
      <w:r w:rsidR="00BF33B8">
        <w:t>(</w:t>
      </w:r>
      <w:r w:rsidRPr="008F134F">
        <w:t>73/400</w:t>
      </w:r>
      <w:r w:rsidR="00BF33B8">
        <w:t>)</w:t>
      </w:r>
      <w:r w:rsidRPr="008F134F">
        <w:t xml:space="preserve"> in the 150 mg group and 20.6% </w:t>
      </w:r>
      <w:r w:rsidR="00BF33B8">
        <w:t>(</w:t>
      </w:r>
      <w:r w:rsidRPr="008F134F">
        <w:t>82/399</w:t>
      </w:r>
      <w:r w:rsidR="00BF33B8">
        <w:t>)</w:t>
      </w:r>
      <w:r w:rsidRPr="008F134F">
        <w:t xml:space="preserve"> in the 200 mg arm) discontinued compared to </w:t>
      </w:r>
      <w:r w:rsidR="00A343A3">
        <w:t>placebo</w:t>
      </w:r>
      <w:r w:rsidRPr="008F134F">
        <w:t xml:space="preserve"> patients (11.6%; 46/398), mainly due to adverse events (10.7% overall)</w:t>
      </w:r>
      <w:r w:rsidR="004D78CD">
        <w:t>.</w:t>
      </w:r>
    </w:p>
    <w:p w14:paraId="3C699674" w14:textId="55953F1A" w:rsidR="004D78CD" w:rsidRDefault="008F134F" w:rsidP="008F134F">
      <w:r w:rsidRPr="008F134F">
        <w:t xml:space="preserve">In Cohort 2 of Study EFC11072, 21.5% (257/1197) of patients switched to </w:t>
      </w:r>
      <w:r w:rsidR="004D78CD">
        <w:t>open label</w:t>
      </w:r>
      <w:r w:rsidRPr="008F134F">
        <w:t xml:space="preserve"> rescue treatment with SAR between </w:t>
      </w:r>
      <w:r w:rsidR="002F4291">
        <w:t>Week</w:t>
      </w:r>
      <w:r w:rsidRPr="008F134F">
        <w:t xml:space="preserve">s 16 and 52. The majority of rescue therapy subjects (13.0% in total; 156/1197) were randomised into the </w:t>
      </w:r>
      <w:r w:rsidR="00A343A3">
        <w:t>placebo</w:t>
      </w:r>
      <w:r w:rsidRPr="008F134F">
        <w:t xml:space="preserve"> arm </w:t>
      </w:r>
      <w:r w:rsidR="00F01361">
        <w:t>at Baseline</w:t>
      </w:r>
      <w:r w:rsidRPr="008F134F">
        <w:t>. A total of 41 patients discontinued treatment during the rescue phase, mainly due to AEs</w:t>
      </w:r>
      <w:r w:rsidR="004D78CD">
        <w:t>.</w:t>
      </w:r>
    </w:p>
    <w:p w14:paraId="39BDB316" w14:textId="514A39D7" w:rsidR="008F134F" w:rsidRPr="008F134F" w:rsidRDefault="00E0128B" w:rsidP="008F134F">
      <w:r>
        <w:t>Double blind</w:t>
      </w:r>
      <w:r w:rsidR="008F134F" w:rsidRPr="008F134F">
        <w:t xml:space="preserve"> treatment without the need for rescue therapy up to </w:t>
      </w:r>
      <w:r w:rsidR="002F4291">
        <w:t>Week</w:t>
      </w:r>
      <w:r w:rsidR="008F134F" w:rsidRPr="008F134F">
        <w:t xml:space="preserve"> 52 was completed by 61.5% (736/1197) of patients. The </w:t>
      </w:r>
      <w:r w:rsidR="008B50BF">
        <w:t>52 week</w:t>
      </w:r>
      <w:r w:rsidR="008F134F" w:rsidRPr="008F134F">
        <w:t xml:space="preserve"> completion rate was higher in the SAR treatment groups (67.5% </w:t>
      </w:r>
      <w:r w:rsidR="00BF33B8">
        <w:t>(</w:t>
      </w:r>
      <w:r w:rsidR="008F134F" w:rsidRPr="008F134F">
        <w:t>270/400</w:t>
      </w:r>
      <w:r w:rsidR="00BF33B8">
        <w:t>)</w:t>
      </w:r>
      <w:r w:rsidR="008F134F" w:rsidRPr="008F134F">
        <w:t xml:space="preserve"> in the 150 mg group and 67.7% </w:t>
      </w:r>
      <w:r w:rsidR="00BF33B8">
        <w:t>(</w:t>
      </w:r>
      <w:r w:rsidR="008F134F" w:rsidRPr="008F134F">
        <w:t>270/399</w:t>
      </w:r>
      <w:r w:rsidR="00BF33B8">
        <w:t>)</w:t>
      </w:r>
      <w:r w:rsidR="008F134F" w:rsidRPr="008F134F">
        <w:t xml:space="preserve"> in the 200 mg arm) compared t</w:t>
      </w:r>
      <w:r w:rsidR="008F134F">
        <w:t xml:space="preserve">o the </w:t>
      </w:r>
      <w:r w:rsidR="00A343A3">
        <w:t>placebo</w:t>
      </w:r>
      <w:r w:rsidR="008F134F">
        <w:t xml:space="preserve"> arm (49.2%; 196/398).</w:t>
      </w:r>
    </w:p>
    <w:p w14:paraId="3D8C2FC1" w14:textId="77777777" w:rsidR="008F134F" w:rsidRPr="008F134F" w:rsidRDefault="008F134F" w:rsidP="008F134F">
      <w:pPr>
        <w:pStyle w:val="Heading5"/>
      </w:pPr>
      <w:r w:rsidRPr="008F134F">
        <w:t>Major protocol violations/deviations</w:t>
      </w:r>
    </w:p>
    <w:p w14:paraId="4610D402" w14:textId="0D9DA61C" w:rsidR="008F134F" w:rsidRPr="008F134F" w:rsidRDefault="008F134F" w:rsidP="008F134F">
      <w:r w:rsidRPr="008F134F">
        <w:t xml:space="preserve">A total of 35 patients (2.9% of 1197) in Cohort 2 of Study EFC11072 were recorded as having an important protocol deviation that had the potential to impact on the efficacy analyses. This included 15 patients (3.8% of 398) in the </w:t>
      </w:r>
      <w:r w:rsidR="00A343A3">
        <w:t>placebo</w:t>
      </w:r>
      <w:r w:rsidRPr="008F134F">
        <w:t xml:space="preserve"> group and 20 patients in the SAR treatment arms (8 subjects </w:t>
      </w:r>
      <w:r w:rsidR="00BF33B8">
        <w:t>(</w:t>
      </w:r>
      <w:r w:rsidRPr="008F134F">
        <w:t>2.0%</w:t>
      </w:r>
      <w:r w:rsidR="00BF33B8">
        <w:t>)</w:t>
      </w:r>
      <w:r w:rsidRPr="008F134F">
        <w:t xml:space="preserve"> in the 150 mg dose group and 12 patients </w:t>
      </w:r>
      <w:r w:rsidR="00BF33B8">
        <w:t>(</w:t>
      </w:r>
      <w:r w:rsidRPr="008F134F">
        <w:t>3.0%</w:t>
      </w:r>
      <w:r w:rsidR="00BF33B8">
        <w:t>)</w:t>
      </w:r>
      <w:r w:rsidRPr="008F134F">
        <w:t xml:space="preserve"> in the 200 mg dose arm). A total of 29 patients (equally spread across the 3 treatment groups) did not meet the trial entry criteria (</w:t>
      </w:r>
      <w:r w:rsidR="007312A2">
        <w:t>for example</w:t>
      </w:r>
      <w:r w:rsidRPr="008F134F">
        <w:t xml:space="preserve"> baseline CRP </w:t>
      </w:r>
      <w:r w:rsidR="007312A2">
        <w:t xml:space="preserve">&lt; </w:t>
      </w:r>
      <w:r w:rsidRPr="008F134F">
        <w:t xml:space="preserve">6 mg/L or seronegative RA with no bony erosions) and were recorded as significant protocol deviations. Four patients (2 in the </w:t>
      </w:r>
      <w:r w:rsidR="00A343A3">
        <w:t>placebo</w:t>
      </w:r>
      <w:r w:rsidRPr="008F134F">
        <w:t xml:space="preserve"> group and 2 in the SAR 200 mg dose arm) did not receive MTX for at least 12 wee</w:t>
      </w:r>
      <w:r w:rsidR="00041F97">
        <w:t>ks prior to randomisation and 2 </w:t>
      </w:r>
      <w:r w:rsidRPr="008F134F">
        <w:t xml:space="preserve">subjects (both in the SAR 200 mg dose group) were recorded as receiving oral CS </w:t>
      </w:r>
      <w:r w:rsidR="007312A2">
        <w:t xml:space="preserve">&gt; </w:t>
      </w:r>
      <w:r w:rsidRPr="008F134F">
        <w:t>10 mg/day within 4 weeks prior to randomisation. None of the data from these patients was excluded from the efficacy analyses as the primary analyses are based on the ITT population as d</w:t>
      </w:r>
      <w:r>
        <w:t>efined in the statistical plan.</w:t>
      </w:r>
    </w:p>
    <w:p w14:paraId="0EA222DA" w14:textId="5F75BA35" w:rsidR="008F134F" w:rsidRPr="008F134F" w:rsidRDefault="008F134F" w:rsidP="008F134F">
      <w:r w:rsidRPr="008F134F">
        <w:t xml:space="preserve">A total of 23 patients (7 in the </w:t>
      </w:r>
      <w:r w:rsidR="00A343A3">
        <w:t>placebo</w:t>
      </w:r>
      <w:r w:rsidRPr="008F134F">
        <w:t xml:space="preserve"> group and 8</w:t>
      </w:r>
      <w:r w:rsidR="00041F97">
        <w:t xml:space="preserve"> subjects in each SAR dose arm;</w:t>
      </w:r>
      <w:r w:rsidRPr="008F134F">
        <w:t xml:space="preserve"> 2.0% in each group) in Cohort 2 of Study EFC11072 had randomisation or study drug allocation irregularities. Furthermore, 47 patients (15 patients </w:t>
      </w:r>
      <w:r w:rsidR="00BF33B8">
        <w:t>(</w:t>
      </w:r>
      <w:r w:rsidRPr="008F134F">
        <w:t>3.8%</w:t>
      </w:r>
      <w:r w:rsidR="00BF33B8">
        <w:t>)</w:t>
      </w:r>
      <w:r w:rsidRPr="008F134F">
        <w:t xml:space="preserve"> in the </w:t>
      </w:r>
      <w:r w:rsidR="00A343A3">
        <w:t>placebo</w:t>
      </w:r>
      <w:r w:rsidRPr="008F134F">
        <w:t xml:space="preserve"> group, 14 subjects </w:t>
      </w:r>
      <w:r w:rsidR="00BF33B8">
        <w:t>(</w:t>
      </w:r>
      <w:r w:rsidRPr="008F134F">
        <w:t>3.5%</w:t>
      </w:r>
      <w:r w:rsidR="00BF33B8">
        <w:t>)</w:t>
      </w:r>
      <w:r w:rsidRPr="008F134F">
        <w:t xml:space="preserve"> in the SAR 150 mg dose arm and 18 patients </w:t>
      </w:r>
      <w:r w:rsidR="00BF33B8">
        <w:t>(</w:t>
      </w:r>
      <w:r w:rsidRPr="008F134F">
        <w:t>4.5%</w:t>
      </w:r>
      <w:r w:rsidR="00BF33B8">
        <w:t>)</w:t>
      </w:r>
      <w:r w:rsidRPr="008F134F">
        <w:t xml:space="preserve"> in the SAR 200 mg group) were recorded as having </w:t>
      </w:r>
      <w:r w:rsidR="00194D27">
        <w:t>‘</w:t>
      </w:r>
      <w:r w:rsidRPr="008F134F">
        <w:t>other important protocol deviations</w:t>
      </w:r>
      <w:r w:rsidR="00194D27">
        <w:t>’</w:t>
      </w:r>
      <w:r w:rsidRPr="008F134F">
        <w:t xml:space="preserve">. The majority of the </w:t>
      </w:r>
      <w:r w:rsidR="00194D27">
        <w:t>‘</w:t>
      </w:r>
      <w:r w:rsidRPr="008F134F">
        <w:t>other important protocol deviations</w:t>
      </w:r>
      <w:r w:rsidR="00194D27">
        <w:t>’</w:t>
      </w:r>
      <w:r w:rsidRPr="008F134F">
        <w:t xml:space="preserve"> reflected inadequate safety screening procedures, including subjects having a PPD test performed prior to signed consent (13 patients), and having a medical history or screening laboratory test fulfilling exclusion criterion (11 patients). However, 6 of the subjects (1 in the </w:t>
      </w:r>
      <w:r w:rsidR="00A343A3">
        <w:t>placebo</w:t>
      </w:r>
      <w:r w:rsidRPr="008F134F">
        <w:t xml:space="preserve"> group with neutro</w:t>
      </w:r>
      <w:r w:rsidR="00BA3918">
        <w:t>paenia</w:t>
      </w:r>
      <w:r w:rsidRPr="008F134F">
        <w:t xml:space="preserve">, 2 subjects in the SAR 150 mg arm with elevated serum transaminases and 3 patients in the SAR </w:t>
      </w:r>
      <w:r w:rsidR="00041F97">
        <w:t>200 mg group;</w:t>
      </w:r>
      <w:r w:rsidRPr="008F134F">
        <w:t xml:space="preserve"> 2 with elevated serum transaminases and 1 with severe thrombocyto</w:t>
      </w:r>
      <w:r w:rsidR="00BA3918">
        <w:t>paenia</w:t>
      </w:r>
      <w:r w:rsidRPr="008F134F">
        <w:t xml:space="preserve"> </w:t>
      </w:r>
      <w:r w:rsidR="00BF33B8">
        <w:t>(</w:t>
      </w:r>
      <w:r w:rsidRPr="008F134F">
        <w:t xml:space="preserve">platelet count </w:t>
      </w:r>
      <w:r w:rsidR="007312A2">
        <w:t xml:space="preserve">&lt; </w:t>
      </w:r>
      <w:r w:rsidRPr="008F134F">
        <w:t xml:space="preserve">50 x </w:t>
      </w:r>
      <w:r w:rsidR="007312A2" w:rsidRPr="00984208">
        <w:t>10</w:t>
      </w:r>
      <w:r w:rsidR="007312A2" w:rsidRPr="007312A2">
        <w:rPr>
          <w:vertAlign w:val="superscript"/>
        </w:rPr>
        <w:t>9</w:t>
      </w:r>
      <w:r w:rsidRPr="008F134F">
        <w:t>/L) with abnormal baseline laboratory tests requiring exclusion, continued their allocated study treatment during the trial. Two patients had positive screening tests for hepatitis B virus core antibody. One subject discontinued SAR 150 mg therapy after receiving one dose due to this finding. The other patient received SAR 200 mg injections during the trial and completed the study treatment period with an AE of thrombocyto</w:t>
      </w:r>
      <w:r w:rsidR="00BA3918">
        <w:t>paenia</w:t>
      </w:r>
      <w:r w:rsidRPr="008F134F">
        <w:t xml:space="preserve"> recorded during the study. Liver function tests remained within </w:t>
      </w:r>
      <w:r>
        <w:t>normal ranges during the trial.</w:t>
      </w:r>
    </w:p>
    <w:p w14:paraId="7D1FBBAA" w14:textId="77777777" w:rsidR="008F134F" w:rsidRPr="008F134F" w:rsidRDefault="008F134F" w:rsidP="008F134F">
      <w:pPr>
        <w:pStyle w:val="Heading5"/>
      </w:pPr>
      <w:r w:rsidRPr="008F134F">
        <w:t>Baseline data</w:t>
      </w:r>
    </w:p>
    <w:p w14:paraId="456F6AFC" w14:textId="77777777" w:rsidR="004D78CD" w:rsidRDefault="008F134F" w:rsidP="008F134F">
      <w:r w:rsidRPr="008F134F">
        <w:t xml:space="preserve">The randomised population for Cohort 2 and the selected doses of therapy (SAR and </w:t>
      </w:r>
      <w:r w:rsidR="00A343A3">
        <w:t>placebo</w:t>
      </w:r>
      <w:r w:rsidRPr="008F134F">
        <w:t xml:space="preserve"> arms) in Cohort 1 was comprised of 1</w:t>
      </w:r>
      <w:r w:rsidR="00041F97">
        <w:t>,</w:t>
      </w:r>
      <w:r w:rsidRPr="008F134F">
        <w:t>285 patients. However, the primary efficacy analysis of Part B of Study EFC11072 was conducted using the Cohort 2 data only (n</w:t>
      </w:r>
      <w:r w:rsidR="004D78CD">
        <w:t xml:space="preserve"> = </w:t>
      </w:r>
      <w:r w:rsidRPr="008F134F">
        <w:t>1</w:t>
      </w:r>
      <w:r w:rsidR="00041F97">
        <w:t>,</w:t>
      </w:r>
      <w:r w:rsidRPr="008F134F">
        <w:t xml:space="preserve">197 subjects). The baseline population data for Cohort 2 alone versus Cohort 2 plus selected dose groups in Cohort 1 are highly similar. In this report, the baseline characteristics for the Cohort 2 alone dataset will be presented as this was used for </w:t>
      </w:r>
      <w:r>
        <w:t>the primary efficacy analysis</w:t>
      </w:r>
      <w:r w:rsidR="004D78CD">
        <w:t>.</w:t>
      </w:r>
    </w:p>
    <w:p w14:paraId="5E6813B2" w14:textId="07CF79E9" w:rsidR="008F134F" w:rsidRPr="008F134F" w:rsidRDefault="008F134F" w:rsidP="008F134F">
      <w:r w:rsidRPr="008F134F">
        <w:lastRenderedPageBreak/>
        <w:t>The 3 treatment groups in Cohort 2 were well balanced with respect to demographic characteristics. Overall, subjects had a me</w:t>
      </w:r>
      <w:r w:rsidR="00041F97">
        <w:t xml:space="preserve">dian age of 52 years (range: 18 to </w:t>
      </w:r>
      <w:r w:rsidRPr="008F134F">
        <w:t>75 years) with a small percentage of elderly subjects (10.9%; 131/1197). The majority of recruited subjects were female (81.6%; 977/1197) and have Caucasian ethnicity (86.1%; 1031/1197). The overall median BMI was 27.3 kg/</w:t>
      </w:r>
      <w:r w:rsidR="00041F97" w:rsidRPr="008F134F">
        <w:t>m</w:t>
      </w:r>
      <w:r w:rsidR="00041F97" w:rsidRPr="00041F97">
        <w:rPr>
          <w:vertAlign w:val="superscript"/>
        </w:rPr>
        <w:t>2</w:t>
      </w:r>
      <w:r w:rsidRPr="008F134F">
        <w:t xml:space="preserve">, with almost one third of subjects (32.5%; 387/1197) being obese </w:t>
      </w:r>
      <w:r w:rsidR="00F01361">
        <w:t>at Baseline</w:t>
      </w:r>
      <w:r w:rsidRPr="008F134F">
        <w:t xml:space="preserve"> (</w:t>
      </w:r>
      <w:r w:rsidR="004D78CD">
        <w:t>that is</w:t>
      </w:r>
      <w:r w:rsidRPr="008F134F">
        <w:t xml:space="preserve"> BMI </w:t>
      </w:r>
      <w:r w:rsidR="007312A2">
        <w:t xml:space="preserve">&gt; </w:t>
      </w:r>
      <w:r w:rsidRPr="008F134F">
        <w:t>30 kg/</w:t>
      </w:r>
      <w:r w:rsidR="00041F97" w:rsidRPr="008F134F">
        <w:t>m</w:t>
      </w:r>
      <w:r w:rsidR="00041F97" w:rsidRPr="00041F97">
        <w:rPr>
          <w:vertAlign w:val="superscript"/>
        </w:rPr>
        <w:t>2</w:t>
      </w:r>
      <w:r w:rsidRPr="008F134F">
        <w:t>). By geographic region, the largest percentage of patients came from Eastern Europe and Asia (</w:t>
      </w:r>
      <w:r w:rsidR="004D78CD">
        <w:t>that is</w:t>
      </w:r>
      <w:r w:rsidRPr="008F134F">
        <w:t xml:space="preserve"> Region 3: 42.4%; 508/1197) followed by South America and Mexico (</w:t>
      </w:r>
      <w:r w:rsidR="004D78CD">
        <w:t>that is</w:t>
      </w:r>
      <w:r w:rsidRPr="008F134F">
        <w:t xml:space="preserve"> Region 2: 38.8%; 465/1197). Region 1 included patients from Western Europe, North America, Australia and New Zealand, and contributed 18.7% (224/1197) of subjects into Cohort 2/Part B of Study EFC11072.</w:t>
      </w:r>
    </w:p>
    <w:p w14:paraId="59C87ECF" w14:textId="139C0F7F" w:rsidR="008F134F" w:rsidRPr="008F134F" w:rsidRDefault="008F134F" w:rsidP="008F134F">
      <w:r w:rsidRPr="008F134F">
        <w:t>The treatment groups were similar with respect to baseline RA disease characteristics. The mean duration of RA for all subjects was 9.04 years</w:t>
      </w:r>
      <w:r w:rsidR="00041F97">
        <w:t xml:space="preserve"> (median 7.09 years, range: 0.3 to </w:t>
      </w:r>
      <w:r w:rsidRPr="008F134F">
        <w:t xml:space="preserve">44.7 years). Most patients were recorded as having functional class II RA </w:t>
      </w:r>
      <w:r w:rsidR="00F01361">
        <w:t>at Baseline</w:t>
      </w:r>
      <w:r w:rsidRPr="008F134F">
        <w:t xml:space="preserve"> (67.3%; 805/1197). Expectedly, the majority of patients were seropositive for RA </w:t>
      </w:r>
      <w:r w:rsidR="00F01361">
        <w:t>at Baseline</w:t>
      </w:r>
      <w:r w:rsidRPr="008F134F">
        <w:t xml:space="preserve"> (84.7% </w:t>
      </w:r>
      <w:r w:rsidR="00BF33B8">
        <w:t>(</w:t>
      </w:r>
      <w:r w:rsidRPr="008F134F">
        <w:t>1009/1197</w:t>
      </w:r>
      <w:r w:rsidR="00BF33B8">
        <w:t>)</w:t>
      </w:r>
      <w:r w:rsidRPr="008F134F">
        <w:t xml:space="preserve"> were positive for rheumatoid factor and 86.8% </w:t>
      </w:r>
      <w:r w:rsidR="00BF33B8">
        <w:t>(</w:t>
      </w:r>
      <w:r w:rsidRPr="008F134F">
        <w:t>1036/1197</w:t>
      </w:r>
      <w:r w:rsidR="00BF33B8">
        <w:t>)</w:t>
      </w:r>
      <w:r w:rsidRPr="008F134F">
        <w:t xml:space="preserve"> were positive for anti-CCP antibodies). It was unclear what proportion of subjects met the inclusion criterion of</w:t>
      </w:r>
      <w:r w:rsidR="00041F97">
        <w:t>;</w:t>
      </w:r>
      <w:r w:rsidRPr="008F134F">
        <w:t xml:space="preserve"> at least 1 radiograph</w:t>
      </w:r>
      <w:r>
        <w:t xml:space="preserve">ic erosion present </w:t>
      </w:r>
      <w:r w:rsidR="00F01361">
        <w:t>at Baseline</w:t>
      </w:r>
      <w:r>
        <w:t>.</w:t>
      </w:r>
    </w:p>
    <w:p w14:paraId="7BB5C1A8" w14:textId="5D88FEA6" w:rsidR="004D78CD" w:rsidRDefault="008F134F" w:rsidP="008F134F">
      <w:r w:rsidRPr="008F134F">
        <w:t xml:space="preserve">In terms of RA disease activity </w:t>
      </w:r>
      <w:r w:rsidR="00F01361">
        <w:t>at Baseline</w:t>
      </w:r>
      <w:r w:rsidRPr="008F134F">
        <w:t xml:space="preserve">, the mean numbers of tender and swollen joints were similar for the </w:t>
      </w:r>
      <w:r w:rsidR="00A343A3">
        <w:t>placebo</w:t>
      </w:r>
      <w:r w:rsidRPr="008F134F">
        <w:t xml:space="preserve"> (26.8 and 16.7, respectively), SAR 150mg (27.2 and 16.6, respectively) and SAR 200 mg groups (</w:t>
      </w:r>
      <w:r w:rsidR="00041F97">
        <w:t xml:space="preserve">26.5 and 16.75, respectively); </w:t>
      </w:r>
      <w:r w:rsidRPr="008F134F">
        <w:t xml:space="preserve">refer </w:t>
      </w:r>
      <w:r w:rsidRPr="00D16242">
        <w:t xml:space="preserve">to </w:t>
      </w:r>
      <w:r w:rsidR="00D16242" w:rsidRPr="00D16242">
        <w:t>Table 6</w:t>
      </w:r>
      <w:r w:rsidRPr="00D16242">
        <w:t>. All</w:t>
      </w:r>
      <w:r w:rsidRPr="008F134F">
        <w:t xml:space="preserve"> 3 treatment groups recorded mean DAS28-CRP scores t</w:t>
      </w:r>
      <w:r w:rsidR="00041F97">
        <w:t xml:space="preserve">hat were high </w:t>
      </w:r>
      <w:r w:rsidR="00F01361">
        <w:t>at Baseline</w:t>
      </w:r>
      <w:r w:rsidR="00041F97">
        <w:t xml:space="preserve"> (5.93 to </w:t>
      </w:r>
      <w:r w:rsidRPr="008F134F">
        <w:t xml:space="preserve">5.97). The median HAQ-DI score was slightly lower in the </w:t>
      </w:r>
      <w:r w:rsidR="00A343A3">
        <w:t>placebo</w:t>
      </w:r>
      <w:r w:rsidRPr="008F134F">
        <w:t xml:space="preserve"> arm (1.69) compared to the 2 SAR treatment groups (1.75). The mean CRP for subjects in the </w:t>
      </w:r>
      <w:r w:rsidR="00A343A3">
        <w:t>placebo</w:t>
      </w:r>
      <w:r w:rsidRPr="008F134F">
        <w:t xml:space="preserve"> arm was lower at 20.46 mg/L compared to th</w:t>
      </w:r>
      <w:r w:rsidR="00041F97">
        <w:t xml:space="preserve">e 2 SAR treatment groups (22.19 to </w:t>
      </w:r>
      <w:r w:rsidRPr="008F134F">
        <w:t xml:space="preserve">22.53 mg/L). Overall, the clinical measures of baseline disease activity are consistent with severely active RA. The mean (and median) baseline mTSS were similar in the </w:t>
      </w:r>
      <w:r w:rsidR="00A343A3">
        <w:t>placebo</w:t>
      </w:r>
      <w:r w:rsidRPr="008F134F">
        <w:t xml:space="preserve"> and SAR 200 mg treatment groups (48.01 </w:t>
      </w:r>
      <w:r w:rsidR="00BF33B8">
        <w:t>(</w:t>
      </w:r>
      <w:r w:rsidRPr="008F134F">
        <w:t>24.08</w:t>
      </w:r>
      <w:r w:rsidR="00BF33B8">
        <w:t>)</w:t>
      </w:r>
      <w:r w:rsidRPr="008F134F">
        <w:t xml:space="preserve"> and 46.34 </w:t>
      </w:r>
      <w:r w:rsidR="00BF33B8">
        <w:t>(</w:t>
      </w:r>
      <w:r w:rsidRPr="008F134F">
        <w:t>23.50</w:t>
      </w:r>
      <w:r w:rsidR="00BF33B8">
        <w:t>)</w:t>
      </w:r>
      <w:r w:rsidRPr="008F134F">
        <w:t xml:space="preserve">, respectively) but somewhat higher and indicating more X-ray damage </w:t>
      </w:r>
      <w:r w:rsidR="00F01361">
        <w:t>at Baseline</w:t>
      </w:r>
      <w:r w:rsidRPr="008F134F">
        <w:t xml:space="preserve"> in the SAR 150 mg a</w:t>
      </w:r>
      <w:r>
        <w:t>rm at 54.67 (median of 29.75)</w:t>
      </w:r>
      <w:r w:rsidR="004D78CD">
        <w:t>.</w:t>
      </w:r>
    </w:p>
    <w:p w14:paraId="06D350E8" w14:textId="77777777" w:rsidR="00984208" w:rsidRPr="008F134F" w:rsidRDefault="00D16242" w:rsidP="008F134F">
      <w:pPr>
        <w:pStyle w:val="Tabletitle"/>
      </w:pPr>
      <w:r w:rsidRPr="00D16242">
        <w:lastRenderedPageBreak/>
        <w:t>Table 6:</w:t>
      </w:r>
      <w:r w:rsidR="004D78CD" w:rsidRPr="00D16242">
        <w:t xml:space="preserve"> </w:t>
      </w:r>
      <w:r w:rsidR="008F134F" w:rsidRPr="00D16242">
        <w:t>Baseline</w:t>
      </w:r>
      <w:r w:rsidR="008F134F" w:rsidRPr="008F134F">
        <w:t xml:space="preserve"> </w:t>
      </w:r>
      <w:r w:rsidR="00041F97" w:rsidRPr="008F134F">
        <w:t>activity of rheumatoid arthritis</w:t>
      </w:r>
      <w:r w:rsidR="008F134F" w:rsidRPr="008F134F">
        <w:t xml:space="preserve"> in Cohort 2/Part B of Study EFC11072</w:t>
      </w:r>
    </w:p>
    <w:p w14:paraId="73D385F5" w14:textId="77777777" w:rsidR="00984208" w:rsidRDefault="008F134F" w:rsidP="00C22678">
      <w:pPr>
        <w:rPr>
          <w:lang w:eastAsia="ja-JP"/>
        </w:rPr>
      </w:pPr>
      <w:r>
        <w:rPr>
          <w:noProof/>
          <w:lang w:eastAsia="en-AU"/>
        </w:rPr>
        <w:drawing>
          <wp:inline distT="0" distB="0" distL="0" distR="0" wp14:anchorId="099DB30C" wp14:editId="399B8937">
            <wp:extent cx="5227262" cy="5530291"/>
            <wp:effectExtent l="0" t="0" r="0" b="0"/>
            <wp:docPr id="15" name="Picture 15" descr="Baseline activity of rheumatoid arthritis in Cohort 2/Part B of Study EFC1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26805" cy="5529808"/>
                    </a:xfrm>
                    <a:prstGeom prst="rect">
                      <a:avLst/>
                    </a:prstGeom>
                  </pic:spPr>
                </pic:pic>
              </a:graphicData>
            </a:graphic>
          </wp:inline>
        </w:drawing>
      </w:r>
    </w:p>
    <w:p w14:paraId="14C6F241" w14:textId="77777777" w:rsidR="008F134F" w:rsidRPr="008F134F" w:rsidRDefault="008F134F" w:rsidP="008F134F">
      <w:r w:rsidRPr="008F134F">
        <w:t>As per the study protocol, all but 4 patients (2 randomise</w:t>
      </w:r>
      <w:r w:rsidR="00041F97">
        <w:t>d to the SAR 150 mg group and 1 </w:t>
      </w:r>
      <w:r w:rsidRPr="008F134F">
        <w:t>subject in each of the other 2 treatment arms) were treated with a stable dose of MTX prior to and during Part B of Study EFC11072 (n</w:t>
      </w:r>
      <w:r w:rsidR="004D78CD">
        <w:t xml:space="preserve"> = </w:t>
      </w:r>
      <w:r w:rsidRPr="008F134F">
        <w:t>1</w:t>
      </w:r>
      <w:r w:rsidR="00041F97">
        <w:t>,</w:t>
      </w:r>
      <w:r w:rsidRPr="008F134F">
        <w:t xml:space="preserve">285 subjects). The submitted data for concomitant therapies presented the combined information for Cohort 2 and final selected doses of treatment from Cohort 1. The baseline mean MTX dose was similar across the treatment groups ranging from 15.3 to 15.60 mg/week (median weekly MTX dose of 15 mg in all 3 treatment groups). The submission did not contain about the duration of preceding MTX use. All 3 treatment groups had high rates of folic </w:t>
      </w:r>
      <w:r w:rsidR="00041F97">
        <w:t xml:space="preserve">acid administration (97.7 to </w:t>
      </w:r>
      <w:r w:rsidRPr="008F134F">
        <w:t>99.3%) during the study.</w:t>
      </w:r>
    </w:p>
    <w:p w14:paraId="2F4870F8" w14:textId="77777777" w:rsidR="004D78CD" w:rsidRDefault="008F134F" w:rsidP="008F134F">
      <w:r w:rsidRPr="008F134F">
        <w:t xml:space="preserve">At baseline, the majority of subjects in each treatment group had received prior treatment with systemic CS: 61.9% (265/428) patients in the </w:t>
      </w:r>
      <w:r w:rsidR="00A343A3">
        <w:t>placebo</w:t>
      </w:r>
      <w:r w:rsidRPr="008F134F">
        <w:t xml:space="preserve"> group, 65.3% (283/430) of subjects in the SAR 150 mg arm and 64.6% (276/427) of patients in the SAR 200 mg group. During Part B of the trial, 62.1% (266/428) of patients in the </w:t>
      </w:r>
      <w:r w:rsidR="00A343A3">
        <w:t>placebo</w:t>
      </w:r>
      <w:r w:rsidRPr="008F134F">
        <w:t xml:space="preserve"> arm, 67.0% (</w:t>
      </w:r>
      <w:r w:rsidR="00041F97">
        <w:t>288/430) of subjects in the SAR </w:t>
      </w:r>
      <w:r w:rsidRPr="008F134F">
        <w:t xml:space="preserve">150 mg arm and 64.2% (274/427) of patients in the SAR 200 mg group received treatment with systemic CS, nearly all as oral preparations. At baseline, 68.0% (291/428) of patients in the </w:t>
      </w:r>
      <w:r w:rsidR="00A343A3">
        <w:t>placebo</w:t>
      </w:r>
      <w:r w:rsidRPr="008F134F">
        <w:t xml:space="preserve"> group, 67.0% (288/430) of subjects in the SAR 150 mg arm and 67.2% (287/427) of patients in the SAR 200 mg group were treated with NSAID. During the study, 71.7% (307/428) </w:t>
      </w:r>
      <w:r w:rsidRPr="008F134F">
        <w:lastRenderedPageBreak/>
        <w:t xml:space="preserve">of patients in the </w:t>
      </w:r>
      <w:r w:rsidR="00A343A3">
        <w:t>placebo</w:t>
      </w:r>
      <w:r w:rsidRPr="008F134F">
        <w:t xml:space="preserve"> group, 70.5% (303/430) of subjects in the SAR 150 mg arm and 69.6% (297/427) of patients in the SAR 200 mg group were treated with NSAID</w:t>
      </w:r>
      <w:r w:rsidR="004D78CD">
        <w:t>.</w:t>
      </w:r>
    </w:p>
    <w:p w14:paraId="0922AD45" w14:textId="77777777" w:rsidR="004D78CD" w:rsidRDefault="008F134F" w:rsidP="008F134F">
      <w:r w:rsidRPr="008F134F">
        <w:t xml:space="preserve">In total, 293 patients had a prior history of receiving biologic drugs for RA: 23.6% (101/428) in the </w:t>
      </w:r>
      <w:r w:rsidR="00A343A3">
        <w:t>placebo</w:t>
      </w:r>
      <w:r w:rsidRPr="008F134F">
        <w:t xml:space="preserve"> group, 23.0% (99/430) in the SAR 150 mg arm and 21.8% (93/427) in the SAR 200 mg group. The clinical study report for Part B of Study EFC11072 did not specify the number of prior biological therapies (single or multiple) in biologic experienced subjects and the reasons for their prior discontinuation (</w:t>
      </w:r>
      <w:r w:rsidR="007312A2">
        <w:t>for example</w:t>
      </w:r>
      <w:r w:rsidRPr="008F134F">
        <w:t xml:space="preserve"> lack of efficacy, side-effects or loss of access to the drug). The 3 most commonly used prior biologic drugs were tocilizumab (5.4%; 69/1285), golimumab (3.8%; 49/1285) and etanercept (3.3%; 42/1285). Smaller proportions of subjects had previously taken other anti-TNF drugs (adalimumab, infliximab and certolizumab), abatacept (2.4%; 31/1285), rituximab (1.3%; 16/1285) and anakinra (1 </w:t>
      </w:r>
      <w:r w:rsidR="00A343A3">
        <w:t>placebo</w:t>
      </w:r>
      <w:r w:rsidRPr="008F134F">
        <w:t xml:space="preserve"> subject and 3 patients in the SAR 20</w:t>
      </w:r>
      <w:r>
        <w:t>0 mg group)</w:t>
      </w:r>
      <w:r w:rsidR="004D78CD">
        <w:t>.</w:t>
      </w:r>
    </w:p>
    <w:p w14:paraId="125DD502" w14:textId="7F92B7CB" w:rsidR="004D78CD" w:rsidRDefault="008F134F" w:rsidP="008F134F">
      <w:r w:rsidRPr="008F134F">
        <w:t xml:space="preserve">The incidence of relevant co-morbid conditions was similar in the 3 treatment groups. Regarding risk factors for cardiovascular disease, a past history of hypertension was recorded in 29.6% of all subjects (381/1285), 6.3% (81/1285) reported hyperlipidaemia, 2.4% (31/1285) recorded diabetes mellitus and 2.6% (34/1285) had an established history of coronary artery disease. During Part B of Study EFC11072, 7.9% (34/428) of patients in the </w:t>
      </w:r>
      <w:r w:rsidR="00A343A3">
        <w:t>placebo</w:t>
      </w:r>
      <w:r w:rsidRPr="008F134F">
        <w:t xml:space="preserve"> group, 9.5% (41/430) of subjects in the SAR 150 mg arm and 8.0% (34/427) of patients in the SAR 200 mg group were treated with concomitant lipid lowering therapy, mostly statin drugs. The use of new concomitant lipid lowering therapy during the trial (</w:t>
      </w:r>
      <w:r w:rsidR="004D78CD">
        <w:t>that is</w:t>
      </w:r>
      <w:r w:rsidRPr="008F134F">
        <w:t xml:space="preserve"> no such drug intake </w:t>
      </w:r>
      <w:r w:rsidR="00F01361">
        <w:t>at Baseline</w:t>
      </w:r>
      <w:r w:rsidRPr="008F134F">
        <w:t>) was higher in the 2 SAR t</w:t>
      </w:r>
      <w:r w:rsidR="00041F97">
        <w:t xml:space="preserve">reatment groups at 3.0% (13/427 to </w:t>
      </w:r>
      <w:r w:rsidRPr="008F134F">
        <w:t>430) compared with the control arm (0.7%; 3/428)</w:t>
      </w:r>
      <w:r w:rsidR="004D78CD">
        <w:t>.</w:t>
      </w:r>
    </w:p>
    <w:p w14:paraId="34C17642" w14:textId="77777777" w:rsidR="008F134F" w:rsidRPr="008F134F" w:rsidRDefault="008F134F" w:rsidP="009C5B58">
      <w:pPr>
        <w:pStyle w:val="Heading5"/>
      </w:pPr>
      <w:r w:rsidRPr="008F134F">
        <w:t xml:space="preserve">Results for </w:t>
      </w:r>
      <w:r w:rsidRPr="009C5B58">
        <w:t>the</w:t>
      </w:r>
      <w:r w:rsidRPr="008F134F">
        <w:t xml:space="preserve"> primary efficacy outcome</w:t>
      </w:r>
    </w:p>
    <w:p w14:paraId="7CE29538" w14:textId="77777777" w:rsidR="008F134F" w:rsidRPr="008F134F" w:rsidRDefault="008F134F" w:rsidP="008F134F">
      <w:pPr>
        <w:pStyle w:val="Heading6"/>
      </w:pPr>
      <w:r w:rsidRPr="008F134F">
        <w:t xml:space="preserve">ACR20 </w:t>
      </w:r>
      <w:r w:rsidR="00041F97" w:rsidRPr="008F134F">
        <w:t>response r</w:t>
      </w:r>
      <w:r w:rsidRPr="008F134F">
        <w:t>ate at Week 24</w:t>
      </w:r>
    </w:p>
    <w:p w14:paraId="1B837DFB" w14:textId="41668C98" w:rsidR="008F134F" w:rsidRPr="008F134F" w:rsidRDefault="008F134F" w:rsidP="008F134F">
      <w:r w:rsidRPr="008F134F">
        <w:t xml:space="preserve">The proportion of patients achieving an ACR20 response at </w:t>
      </w:r>
      <w:r w:rsidR="002F4291">
        <w:t>Week</w:t>
      </w:r>
      <w:r w:rsidRPr="008F134F">
        <w:t xml:space="preserve"> 24 was statistically higher in those treated with SAR (58.0% </w:t>
      </w:r>
      <w:r w:rsidR="00BF33B8">
        <w:t>(</w:t>
      </w:r>
      <w:r w:rsidRPr="008F134F">
        <w:t>232/400</w:t>
      </w:r>
      <w:r w:rsidR="00BF33B8">
        <w:t>)</w:t>
      </w:r>
      <w:r w:rsidRPr="008F134F">
        <w:t xml:space="preserve"> in the 150 mg group</w:t>
      </w:r>
      <w:r w:rsidR="00041F97">
        <w:t xml:space="preserve"> and 66.4% </w:t>
      </w:r>
      <w:r w:rsidR="00BF33B8">
        <w:t>(</w:t>
      </w:r>
      <w:r w:rsidR="00041F97">
        <w:t>265/399</w:t>
      </w:r>
      <w:r w:rsidR="00BF33B8">
        <w:t>)</w:t>
      </w:r>
      <w:r w:rsidR="00041F97">
        <w:t xml:space="preserve"> in the 200 </w:t>
      </w:r>
      <w:r w:rsidRPr="008F134F">
        <w:t xml:space="preserve">mg arm) compared to patients treated with </w:t>
      </w:r>
      <w:r w:rsidR="00A343A3">
        <w:t>placebo</w:t>
      </w:r>
      <w:r w:rsidRPr="008F134F">
        <w:t xml:space="preserve"> (33.4%; 133/398) with p-values </w:t>
      </w:r>
      <w:r w:rsidR="007312A2">
        <w:t xml:space="preserve">&lt; </w:t>
      </w:r>
      <w:r w:rsidRPr="008F134F">
        <w:t xml:space="preserve">0.0001 in favour of both SAR doses compared with </w:t>
      </w:r>
      <w:r w:rsidR="00A343A3">
        <w:t>placebo</w:t>
      </w:r>
      <w:r w:rsidRPr="008F134F">
        <w:t xml:space="preserve">. The Odds Ratio (OR) of achieving an ACR20 response at 24 weeks was 2.773 (95% CI 2.077, 3.703) for SAR 150 mg therapy versus </w:t>
      </w:r>
      <w:r w:rsidR="00A343A3">
        <w:t>placebo</w:t>
      </w:r>
      <w:r w:rsidRPr="008F134F">
        <w:t>, and 3.975 (95% CI 2.957, 5.344) for SAR</w:t>
      </w:r>
      <w:r>
        <w:t xml:space="preserve"> 200 mg treatment versus </w:t>
      </w:r>
      <w:r w:rsidR="00A343A3">
        <w:t>placebo</w:t>
      </w:r>
      <w:r>
        <w:t>.</w:t>
      </w:r>
    </w:p>
    <w:p w14:paraId="1E84CABF" w14:textId="77777777" w:rsidR="008F134F" w:rsidRPr="008F134F" w:rsidRDefault="008F134F" w:rsidP="008F134F">
      <w:r w:rsidRPr="008F134F">
        <w:t xml:space="preserve">In Part B of Study EFC11072, patients could receive rescue treatment after </w:t>
      </w:r>
      <w:r w:rsidR="002F4291">
        <w:t>Week</w:t>
      </w:r>
      <w:r w:rsidRPr="008F134F">
        <w:t xml:space="preserve"> 16 if no</w:t>
      </w:r>
      <w:r w:rsidR="00041F97">
        <w:t>n</w:t>
      </w:r>
      <w:r w:rsidR="00041F97">
        <w:noBreakHyphen/>
      </w:r>
      <w:r w:rsidRPr="008F134F">
        <w:t xml:space="preserve">responders. In the primary analysis, patients were considered as non-responders for all time points after they started rescue medication or discontinued study treatment. A total of 257 patients (156 in the </w:t>
      </w:r>
      <w:r w:rsidR="00A343A3">
        <w:t>placebo</w:t>
      </w:r>
      <w:r w:rsidRPr="008F134F">
        <w:t xml:space="preserve"> group, 55 in the SAR 150 mg arm and 46 in the SAR 200 mg group) were rescued.</w:t>
      </w:r>
    </w:p>
    <w:p w14:paraId="6762BC94" w14:textId="34CAD303" w:rsidR="004D78CD" w:rsidRDefault="008F134F" w:rsidP="008F134F">
      <w:r w:rsidRPr="008F134F">
        <w:t xml:space="preserve">Sensitivity analysis for the rate of ACR20 response at </w:t>
      </w:r>
      <w:r w:rsidR="002F4291">
        <w:t>Week</w:t>
      </w:r>
      <w:r w:rsidRPr="008F134F">
        <w:t xml:space="preserve"> 24 using the LOCF method for handling of missing data demonstrated results similar to those reported in the primary analysis. The proportion of patients achieving an ACR20 response at </w:t>
      </w:r>
      <w:r w:rsidR="002F4291">
        <w:t>Week</w:t>
      </w:r>
      <w:r w:rsidRPr="008F134F">
        <w:t xml:space="preserve"> 24 was higher in patients treated with SAR (64.0% </w:t>
      </w:r>
      <w:r w:rsidR="00BF33B8">
        <w:t>(</w:t>
      </w:r>
      <w:r w:rsidRPr="008F134F">
        <w:t>256/400</w:t>
      </w:r>
      <w:r w:rsidR="00BF33B8">
        <w:t>)</w:t>
      </w:r>
      <w:r w:rsidRPr="008F134F">
        <w:t xml:space="preserve"> for the 150 mg dose group and 71.4% </w:t>
      </w:r>
      <w:r w:rsidR="00BF33B8">
        <w:t>(</w:t>
      </w:r>
      <w:r w:rsidRPr="008F134F">
        <w:t>285/399</w:t>
      </w:r>
      <w:r w:rsidR="00BF33B8">
        <w:t>)</w:t>
      </w:r>
      <w:r w:rsidRPr="008F134F">
        <w:t xml:space="preserve"> for the 200 mg arm) compared to subjects treated i</w:t>
      </w:r>
      <w:r w:rsidR="00041F97">
        <w:t xml:space="preserve">n the </w:t>
      </w:r>
      <w:r w:rsidR="00A343A3">
        <w:t>placebo</w:t>
      </w:r>
      <w:r w:rsidR="00041F97">
        <w:t xml:space="preserve"> group (32.7%; 142/398</w:t>
      </w:r>
      <w:r w:rsidRPr="008F134F">
        <w:t>;</w:t>
      </w:r>
      <w:r w:rsidR="00041F97">
        <w:t xml:space="preserve"> </w:t>
      </w:r>
      <w:r w:rsidRPr="008F134F">
        <w:t xml:space="preserve">p-value </w:t>
      </w:r>
      <w:r w:rsidR="007312A2">
        <w:t xml:space="preserve">&lt; </w:t>
      </w:r>
      <w:r w:rsidRPr="008F134F">
        <w:t xml:space="preserve">0.0001 for both comparisons </w:t>
      </w:r>
      <w:r>
        <w:t xml:space="preserve">of SAR versus </w:t>
      </w:r>
      <w:r w:rsidR="00A343A3">
        <w:t>placebo</w:t>
      </w:r>
      <w:r>
        <w:t>)</w:t>
      </w:r>
      <w:r w:rsidR="004D78CD">
        <w:t>.</w:t>
      </w:r>
    </w:p>
    <w:p w14:paraId="51E966A3" w14:textId="77777777" w:rsidR="004D78CD" w:rsidRDefault="008F134F" w:rsidP="008F134F">
      <w:r w:rsidRPr="008F134F">
        <w:t xml:space="preserve">An analysis of the proportion of patients achieving ACR20 response at </w:t>
      </w:r>
      <w:r w:rsidR="002F4291">
        <w:t>Week</w:t>
      </w:r>
      <w:r w:rsidRPr="008F134F">
        <w:t xml:space="preserve"> 24 was also conducted for population subgroups based on gender, race, region, age group (</w:t>
      </w:r>
      <w:r w:rsidR="007312A2">
        <w:t xml:space="preserve">&lt; </w:t>
      </w:r>
      <w:r w:rsidRPr="008F134F">
        <w:t xml:space="preserve">65 years, </w:t>
      </w:r>
      <w:r w:rsidR="00B77556">
        <w:t>&gt; 65 </w:t>
      </w:r>
      <w:r w:rsidRPr="008F134F">
        <w:t>years), baseline weight (</w:t>
      </w:r>
      <w:r w:rsidR="007312A2">
        <w:t xml:space="preserve">&lt; </w:t>
      </w:r>
      <w:r w:rsidR="00041F97">
        <w:t xml:space="preserve">50 kg, 50 to </w:t>
      </w:r>
      <w:r w:rsidRPr="008F134F">
        <w:t xml:space="preserve">100 kg, </w:t>
      </w:r>
      <w:r w:rsidR="007312A2">
        <w:t xml:space="preserve">&gt; </w:t>
      </w:r>
      <w:r w:rsidRPr="008F134F">
        <w:t>100 kg), BMI (</w:t>
      </w:r>
      <w:r w:rsidR="007312A2">
        <w:t xml:space="preserve">&lt; </w:t>
      </w:r>
      <w:r w:rsidR="00B77556">
        <w:t xml:space="preserve">25, 25 to </w:t>
      </w:r>
      <w:r w:rsidRPr="008F134F">
        <w:t xml:space="preserve">30, </w:t>
      </w:r>
      <w:r w:rsidR="007312A2">
        <w:t xml:space="preserve">&gt; </w:t>
      </w:r>
      <w:r w:rsidRPr="008F134F">
        <w:t>30 kg/</w:t>
      </w:r>
      <w:r w:rsidR="00041F97" w:rsidRPr="008F134F">
        <w:t>m</w:t>
      </w:r>
      <w:r w:rsidR="00041F97" w:rsidRPr="00041F97">
        <w:rPr>
          <w:vertAlign w:val="superscript"/>
        </w:rPr>
        <w:t>2</w:t>
      </w:r>
      <w:r w:rsidRPr="008F134F">
        <w:t>), prior biologic use (yes, no), RF status (positive/negative), anti-CCP antibody status (positive/negative), baseline CRP (</w:t>
      </w:r>
      <w:r w:rsidR="007312A2">
        <w:t xml:space="preserve">&lt; </w:t>
      </w:r>
      <w:r w:rsidRPr="008F134F">
        <w:t xml:space="preserve">15 mg/L, </w:t>
      </w:r>
      <w:r w:rsidR="007312A2">
        <w:t xml:space="preserve">&gt; </w:t>
      </w:r>
      <w:r w:rsidRPr="008F134F">
        <w:t>15 mg/L), duration of RA (</w:t>
      </w:r>
      <w:r w:rsidR="007312A2">
        <w:t xml:space="preserve">&lt; </w:t>
      </w:r>
      <w:r w:rsidRPr="008F134F">
        <w:t xml:space="preserve">3 years, </w:t>
      </w:r>
      <w:r w:rsidR="007312A2">
        <w:t xml:space="preserve">&gt; </w:t>
      </w:r>
      <w:r w:rsidRPr="008F134F">
        <w:t xml:space="preserve">3 years), number of prior DMARD drugs (1, </w:t>
      </w:r>
      <w:r w:rsidR="007312A2">
        <w:t xml:space="preserve">&gt; </w:t>
      </w:r>
      <w:r w:rsidRPr="008F134F">
        <w:t xml:space="preserve">2), and smoking history (yes, no). The subgroup interaction analysis for the anti-CCP antibody subgroup (anti-CCP antibody positive versus negative </w:t>
      </w:r>
      <w:r w:rsidR="00B77556">
        <w:t xml:space="preserve">patients) showed a 13.5 to </w:t>
      </w:r>
      <w:r w:rsidRPr="008F134F">
        <w:t xml:space="preserve">16.3% lower rate of ACR20 response in anti-CCP antibody negative </w:t>
      </w:r>
      <w:r w:rsidRPr="008F134F">
        <w:lastRenderedPageBreak/>
        <w:t>patients versus anti-CCP positive patients (nominal p-value</w:t>
      </w:r>
      <w:r w:rsidR="007312A2">
        <w:t xml:space="preserve"> </w:t>
      </w:r>
      <w:r w:rsidR="004D78CD">
        <w:t>=</w:t>
      </w:r>
      <w:r w:rsidR="007312A2">
        <w:t xml:space="preserve"> </w:t>
      </w:r>
      <w:r w:rsidRPr="008F134F">
        <w:t>0.001). However, no evidence of a treatment related interaction was observed</w:t>
      </w:r>
      <w:r>
        <w:t xml:space="preserve"> for other subgroups (p</w:t>
      </w:r>
      <w:r w:rsidR="00B77556">
        <w:t xml:space="preserve"> </w:t>
      </w:r>
      <w:r w:rsidR="007312A2">
        <w:t xml:space="preserve">&gt; </w:t>
      </w:r>
      <w:r>
        <w:t>0.05)</w:t>
      </w:r>
      <w:r w:rsidR="004D78CD">
        <w:t>.</w:t>
      </w:r>
    </w:p>
    <w:p w14:paraId="02135223" w14:textId="77777777" w:rsidR="008F134F" w:rsidRPr="008F134F" w:rsidRDefault="008F134F" w:rsidP="008F134F">
      <w:pPr>
        <w:pStyle w:val="Heading6"/>
      </w:pPr>
      <w:r w:rsidRPr="008F134F">
        <w:t xml:space="preserve">HAQ-DI </w:t>
      </w:r>
      <w:r w:rsidR="00B77556">
        <w:t>s</w:t>
      </w:r>
      <w:r w:rsidRPr="008F134F">
        <w:t>core at Week 16</w:t>
      </w:r>
    </w:p>
    <w:p w14:paraId="3A42B0CD" w14:textId="21C12524" w:rsidR="004D78CD" w:rsidRDefault="008F134F" w:rsidP="008F134F">
      <w:r w:rsidRPr="008F134F">
        <w:t xml:space="preserve">The mean change </w:t>
      </w:r>
      <w:r w:rsidR="00F01361">
        <w:t>from Baseline</w:t>
      </w:r>
      <w:r w:rsidRPr="008F134F">
        <w:t xml:space="preserve"> to </w:t>
      </w:r>
      <w:r w:rsidR="002F4291">
        <w:t>Week</w:t>
      </w:r>
      <w:r w:rsidRPr="008F134F">
        <w:t xml:space="preserve"> 16 in the HAQ-DI score was statistically greater in patients treated with SAR (-0.54 for the 150 mg group and -0.58 for the 200 mg arm) than in sub</w:t>
      </w:r>
      <w:r w:rsidR="00B77556">
        <w:t xml:space="preserve">jects treated with </w:t>
      </w:r>
      <w:r w:rsidR="00A343A3">
        <w:t>placebo</w:t>
      </w:r>
      <w:r w:rsidR="00B77556">
        <w:t xml:space="preserve"> (-0.30);</w:t>
      </w:r>
      <w:r w:rsidRPr="008F134F">
        <w:t xml:space="preserve"> </w:t>
      </w:r>
      <w:r w:rsidRPr="00D16242">
        <w:t xml:space="preserve">refer to Table </w:t>
      </w:r>
      <w:r w:rsidR="00D16242" w:rsidRPr="00D16242">
        <w:t>7</w:t>
      </w:r>
      <w:r w:rsidRPr="00D16242">
        <w:t>. The results</w:t>
      </w:r>
      <w:r w:rsidRPr="008F134F">
        <w:t xml:space="preserve"> for both individual doses of SAR compared to </w:t>
      </w:r>
      <w:r w:rsidR="00A343A3">
        <w:t>placebo</w:t>
      </w:r>
      <w:r w:rsidRPr="008F134F">
        <w:t xml:space="preserve"> demonstrated a statistically significant difference (</w:t>
      </w:r>
      <w:r w:rsidR="00B77556">
        <w:t>p &lt;</w:t>
      </w:r>
      <w:r w:rsidR="007312A2">
        <w:t xml:space="preserve"> </w:t>
      </w:r>
      <w:r w:rsidRPr="008F134F">
        <w:t>0.0001) in improvement of physical function in favour of both SAR</w:t>
      </w:r>
      <w:r w:rsidR="004D78CD">
        <w:t>.</w:t>
      </w:r>
    </w:p>
    <w:p w14:paraId="2B858922" w14:textId="77777777" w:rsidR="00B3199B" w:rsidRDefault="00B3199B" w:rsidP="00B3199B">
      <w:pPr>
        <w:pStyle w:val="Tabletitle"/>
      </w:pPr>
      <w:r w:rsidRPr="00D16242">
        <w:t xml:space="preserve">Table </w:t>
      </w:r>
      <w:r w:rsidR="00D16242" w:rsidRPr="00D16242">
        <w:t>7</w:t>
      </w:r>
      <w:r w:rsidRPr="00D16242">
        <w:t>: Change</w:t>
      </w:r>
      <w:r>
        <w:t xml:space="preserve"> from Baseline to Week 16 in HAQ-DI Score in Cohort 2 of Study EFC11072</w:t>
      </w:r>
    </w:p>
    <w:p w14:paraId="3CEAB3F8" w14:textId="77777777" w:rsidR="00984208" w:rsidRDefault="00B3199B" w:rsidP="00C22678">
      <w:pPr>
        <w:rPr>
          <w:lang w:eastAsia="ja-JP"/>
        </w:rPr>
      </w:pPr>
      <w:r>
        <w:rPr>
          <w:noProof/>
          <w:lang w:eastAsia="en-AU"/>
        </w:rPr>
        <w:drawing>
          <wp:inline distT="0" distB="0" distL="0" distR="0" wp14:anchorId="1B5AE767" wp14:editId="1EEBCFA2">
            <wp:extent cx="5354726" cy="3072102"/>
            <wp:effectExtent l="0" t="0" r="0" b="0"/>
            <wp:docPr id="16" name="Picture 16" descr="Change from Baseline to Week 16 in HAQ-DI Score in Cohort 2 of Study EFC1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51358" cy="3070170"/>
                    </a:xfrm>
                    <a:prstGeom prst="rect">
                      <a:avLst/>
                    </a:prstGeom>
                  </pic:spPr>
                </pic:pic>
              </a:graphicData>
            </a:graphic>
          </wp:inline>
        </w:drawing>
      </w:r>
    </w:p>
    <w:p w14:paraId="13070A09" w14:textId="3A709503" w:rsidR="00B3199B" w:rsidRPr="00B3199B" w:rsidRDefault="00B3199B" w:rsidP="00B3199B">
      <w:r w:rsidRPr="00B3199B">
        <w:t xml:space="preserve">Sensitivity analysis of the mean change </w:t>
      </w:r>
      <w:r w:rsidR="00F01361">
        <w:t>from Baseline</w:t>
      </w:r>
      <w:r w:rsidRPr="00B3199B">
        <w:t xml:space="preserve"> in the HAQ-DI score at </w:t>
      </w:r>
      <w:r w:rsidR="002F4291">
        <w:t>Week</w:t>
      </w:r>
      <w:r w:rsidRPr="00B3199B">
        <w:t xml:space="preserve"> 16 using the LOCF method for handling of missing data showed results similar to those observed in the primary analysis. The LS mean change </w:t>
      </w:r>
      <w:r w:rsidR="00F01361">
        <w:t>from Baseline</w:t>
      </w:r>
      <w:r w:rsidRPr="00B3199B">
        <w:t xml:space="preserve"> in the HAQ-DI score at </w:t>
      </w:r>
      <w:r w:rsidR="002F4291">
        <w:t>Week</w:t>
      </w:r>
      <w:r w:rsidRPr="00B3199B">
        <w:t xml:space="preserve"> 16 was greater in patients treated with SAR (-0.50 for the 150 mg group and -0.52 for the 200 mg arm) compared to -0.28 in the </w:t>
      </w:r>
      <w:r w:rsidR="00A343A3">
        <w:t>placebo</w:t>
      </w:r>
      <w:r w:rsidRPr="00B3199B">
        <w:t xml:space="preserve"> group (p-value </w:t>
      </w:r>
      <w:r w:rsidR="007312A2">
        <w:t xml:space="preserve">&lt; </w:t>
      </w:r>
      <w:r w:rsidRPr="00B3199B">
        <w:t xml:space="preserve">0.0001 for both doses of SAR versus </w:t>
      </w:r>
      <w:r w:rsidR="00A343A3">
        <w:t>placebo</w:t>
      </w:r>
      <w:r w:rsidRPr="00B3199B">
        <w:t>).</w:t>
      </w:r>
    </w:p>
    <w:p w14:paraId="1018C60D" w14:textId="13CDC177" w:rsidR="00B3199B" w:rsidRPr="00B3199B" w:rsidRDefault="00B3199B" w:rsidP="00B3199B">
      <w:r w:rsidRPr="00B3199B">
        <w:t>The subgroup interaction analyses for the anti-CCP antibody and RF subgroups (anti-CCP antibody positive versus negative; and RF positive versus negative patients) showed a lower mean HAQ-DI response in seronegative patients (nominal p-value</w:t>
      </w:r>
      <w:r w:rsidR="004D78CD">
        <w:t xml:space="preserve"> = </w:t>
      </w:r>
      <w:r w:rsidRPr="00B3199B">
        <w:t>0.0028 for anti-CCP antibody status and nominal p-value</w:t>
      </w:r>
      <w:r w:rsidR="004D78CD">
        <w:t xml:space="preserve"> = </w:t>
      </w:r>
      <w:r w:rsidRPr="00B3199B">
        <w:t xml:space="preserve">0.0417 for RF status). The LS mean change </w:t>
      </w:r>
      <w:r w:rsidR="00F01361">
        <w:t>from Baseline</w:t>
      </w:r>
      <w:r w:rsidRPr="00B3199B">
        <w:t xml:space="preserve"> in the HAQ-DI score at </w:t>
      </w:r>
      <w:r w:rsidR="002F4291">
        <w:t>Week</w:t>
      </w:r>
      <w:r w:rsidRPr="00B3199B">
        <w:t xml:space="preserve"> 16 was 0.25 units lower for seronegative versus seropositive patients treated with SAR 150 mg and 0.12 units lower for seronegative versus seropositive subjects treated with 200 mg. No evidence of interaction was observed for other population subgroups (nominal p-values </w:t>
      </w:r>
      <w:r w:rsidR="007312A2">
        <w:t xml:space="preserve">&gt; </w:t>
      </w:r>
      <w:r w:rsidRPr="00B3199B">
        <w:t>0.05).</w:t>
      </w:r>
    </w:p>
    <w:p w14:paraId="21729ED7" w14:textId="77777777" w:rsidR="00B3199B" w:rsidRPr="00B3199B" w:rsidRDefault="00B3199B" w:rsidP="00B3199B">
      <w:pPr>
        <w:pStyle w:val="Heading6"/>
      </w:pPr>
      <w:r w:rsidRPr="00B3199B">
        <w:t>Van der Heijde modified Total Sharp Score at Week 52</w:t>
      </w:r>
    </w:p>
    <w:p w14:paraId="454467D6" w14:textId="15D72441" w:rsidR="00B3199B" w:rsidRPr="00B3199B" w:rsidRDefault="00B3199B" w:rsidP="00B3199B">
      <w:r w:rsidRPr="00B3199B">
        <w:t xml:space="preserve">At </w:t>
      </w:r>
      <w:r w:rsidR="002F4291">
        <w:t>Week</w:t>
      </w:r>
      <w:r w:rsidRPr="00B3199B">
        <w:t xml:space="preserve"> 52, smaller increases </w:t>
      </w:r>
      <w:r w:rsidR="00F01361">
        <w:t>from Baseline</w:t>
      </w:r>
      <w:r w:rsidRPr="00B3199B">
        <w:t xml:space="preserve"> in the mTSS were observed in subjects treated with SAR (0.90 for the 150 mg group and 0.25 for the 200 mg arm) th</w:t>
      </w:r>
      <w:r w:rsidR="00B77556">
        <w:t xml:space="preserve">an in patients treated with </w:t>
      </w:r>
      <w:r w:rsidR="00A343A3">
        <w:t>placebo</w:t>
      </w:r>
      <w:r w:rsidR="00B77556">
        <w:t> </w:t>
      </w:r>
      <w:r w:rsidRPr="00B3199B">
        <w:t>(2.78), indicating relative inhibition of progression of struct</w:t>
      </w:r>
      <w:r w:rsidR="00B77556">
        <w:t>ural damage with SAR treatment;</w:t>
      </w:r>
      <w:r w:rsidRPr="00B3199B">
        <w:t xml:space="preserve"> refer </w:t>
      </w:r>
      <w:r w:rsidRPr="00D16242">
        <w:t xml:space="preserve">to Table </w:t>
      </w:r>
      <w:r w:rsidR="00D16242" w:rsidRPr="00D16242">
        <w:t>8</w:t>
      </w:r>
      <w:r w:rsidRPr="00D16242">
        <w:t>. The differences</w:t>
      </w:r>
      <w:r w:rsidRPr="00B3199B">
        <w:t xml:space="preserve"> compared with </w:t>
      </w:r>
      <w:r w:rsidR="00A343A3">
        <w:t>placebo</w:t>
      </w:r>
      <w:r w:rsidRPr="00B3199B">
        <w:t xml:space="preserve"> were statistically significant (p-value </w:t>
      </w:r>
      <w:r w:rsidR="007312A2">
        <w:t xml:space="preserve">&lt; </w:t>
      </w:r>
      <w:r w:rsidRPr="00B3199B">
        <w:t xml:space="preserve">0.0001) in favour of both SAR doses. No </w:t>
      </w:r>
      <w:r w:rsidR="00041F97">
        <w:t>pair wise</w:t>
      </w:r>
      <w:r w:rsidRPr="00B3199B">
        <w:t xml:space="preserve"> statistical testing between</w:t>
      </w:r>
      <w:r w:rsidR="00B77556">
        <w:t xml:space="preserve"> the 2 </w:t>
      </w:r>
      <w:r w:rsidRPr="00B3199B">
        <w:t xml:space="preserve">SAR dose groups was performed in this trial. Although the mean mTSS change </w:t>
      </w:r>
      <w:r w:rsidR="00F01361">
        <w:t>from Baseline</w:t>
      </w:r>
      <w:r w:rsidRPr="00B3199B">
        <w:t xml:space="preserve"> to </w:t>
      </w:r>
      <w:r w:rsidR="002F4291">
        <w:t>Week</w:t>
      </w:r>
      <w:r w:rsidRPr="00B3199B">
        <w:t xml:space="preserve"> 52 was numerically lower in the SAR 200 mg versus SAR 150 mg group (0.25 versus </w:t>
      </w:r>
      <w:r w:rsidRPr="00B3199B">
        <w:lastRenderedPageBreak/>
        <w:t>0.90), the interquartile median change in both SAR treatment groups was identical at 0</w:t>
      </w:r>
      <w:r>
        <w:t xml:space="preserve"> (with 95% CIs overlapping 0).</w:t>
      </w:r>
    </w:p>
    <w:p w14:paraId="6C504C63" w14:textId="77777777" w:rsidR="00B3199B" w:rsidRPr="00B3199B" w:rsidRDefault="00B3199B" w:rsidP="00B3199B">
      <w:pPr>
        <w:pStyle w:val="Tabletitle"/>
      </w:pPr>
      <w:r w:rsidRPr="00D16242">
        <w:t xml:space="preserve">Table </w:t>
      </w:r>
      <w:r w:rsidR="00D16242" w:rsidRPr="00D16242">
        <w:t>8:</w:t>
      </w:r>
      <w:r w:rsidR="004D78CD">
        <w:t xml:space="preserve"> </w:t>
      </w:r>
      <w:r w:rsidRPr="00B3199B">
        <w:t>Change from Baseline in modified Total Sharp Score at Week 52 in Cohort 2 of EFC11072</w:t>
      </w:r>
    </w:p>
    <w:p w14:paraId="5F8F7563" w14:textId="77777777" w:rsidR="00984208" w:rsidRDefault="00B3199B" w:rsidP="00C22678">
      <w:pPr>
        <w:rPr>
          <w:lang w:eastAsia="ja-JP"/>
        </w:rPr>
      </w:pPr>
      <w:r>
        <w:rPr>
          <w:noProof/>
          <w:lang w:eastAsia="en-AU"/>
        </w:rPr>
        <w:drawing>
          <wp:inline distT="0" distB="0" distL="0" distR="0" wp14:anchorId="12CDE251" wp14:editId="57894CB9">
            <wp:extent cx="5105123" cy="3584448"/>
            <wp:effectExtent l="0" t="0" r="635" b="0"/>
            <wp:docPr id="17" name="Picture 17" descr="Change from Baseline in modified Total Sharp Score at Week 52 in Cohort 2 of EFC1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06255" cy="3585243"/>
                    </a:xfrm>
                    <a:prstGeom prst="rect">
                      <a:avLst/>
                    </a:prstGeom>
                  </pic:spPr>
                </pic:pic>
              </a:graphicData>
            </a:graphic>
          </wp:inline>
        </w:drawing>
      </w:r>
    </w:p>
    <w:p w14:paraId="1D9747E2" w14:textId="3B965380" w:rsidR="00B3199B" w:rsidRPr="00B3199B" w:rsidRDefault="00B3199B" w:rsidP="00B3199B">
      <w:r w:rsidRPr="00B3199B">
        <w:t>To evaluate the impact of patients with no post-baseline X-ray data, 5 sensitivity analyses were performed to demonstrate the robustness of the primary radiographic analysis. With sensitivity analyses using approaches 1 (mean rank imputation), 2 (LOCF), 4 (observed cases) and 5 (linear extrapolation including post-treatment discontinuation and rescue data), both doses of SAR therapy were statistically superior (p</w:t>
      </w:r>
      <w:r w:rsidR="00B77556">
        <w:t xml:space="preserve"> </w:t>
      </w:r>
      <w:r w:rsidR="007312A2">
        <w:t xml:space="preserve">&lt; </w:t>
      </w:r>
      <w:r w:rsidRPr="00B3199B">
        <w:t xml:space="preserve">0.0001) to </w:t>
      </w:r>
      <w:r w:rsidR="00A343A3">
        <w:t>placebo</w:t>
      </w:r>
      <w:r w:rsidRPr="00B3199B">
        <w:t xml:space="preserve"> for the mean change </w:t>
      </w:r>
      <w:r w:rsidR="00F01361">
        <w:t>from Baseline</w:t>
      </w:r>
      <w:r w:rsidRPr="00B3199B">
        <w:t xml:space="preserve"> to </w:t>
      </w:r>
      <w:r w:rsidR="002F4291">
        <w:t>Week</w:t>
      </w:r>
      <w:r w:rsidRPr="00B3199B">
        <w:t xml:space="preserve"> 52 in mean mTSS. When the third sensitivity approach</w:t>
      </w:r>
      <w:r w:rsidR="00B77556">
        <w:t xml:space="preserve"> (observed cases excluding post </w:t>
      </w:r>
      <w:r w:rsidRPr="00B3199B">
        <w:t>treatment discontinuation or rescue data) was applied to the dataset there was a statistically significant result for both SAR doses (p</w:t>
      </w:r>
      <w:r w:rsidR="004D78CD">
        <w:t xml:space="preserve"> = </w:t>
      </w:r>
      <w:r w:rsidRPr="00B3199B">
        <w:t>0.0010 for SAR 150 mg versus and p</w:t>
      </w:r>
      <w:r w:rsidR="00B77556">
        <w:t> &lt; </w:t>
      </w:r>
      <w:r w:rsidRPr="00B3199B">
        <w:t xml:space="preserve">0.0001 for SAR 200 mg versus </w:t>
      </w:r>
      <w:r w:rsidR="00A343A3">
        <w:t>placebo</w:t>
      </w:r>
      <w:r w:rsidRPr="00B3199B">
        <w:t>).</w:t>
      </w:r>
    </w:p>
    <w:p w14:paraId="4FAD78AD" w14:textId="77777777" w:rsidR="00B3199B" w:rsidRPr="00B3199B" w:rsidRDefault="00B3199B" w:rsidP="00B3199B">
      <w:r w:rsidRPr="00B3199B">
        <w:t>The subgroup interaction analysis revealed that smoking history (</w:t>
      </w:r>
      <w:r w:rsidR="004D78CD">
        <w:t>that is</w:t>
      </w:r>
      <w:r w:rsidRPr="00B3199B">
        <w:t xml:space="preserve"> self-reported current or former smoker versus no smoking history) was associated with increased radiographic progression (nominal p-value</w:t>
      </w:r>
      <w:r w:rsidR="004D78CD">
        <w:t xml:space="preserve"> = </w:t>
      </w:r>
      <w:r w:rsidRPr="00B3199B">
        <w:t xml:space="preserve">0.0386). No evidence of interaction was observed for other population subgroups (nominal p-values </w:t>
      </w:r>
      <w:r w:rsidR="007312A2">
        <w:t xml:space="preserve">&gt; </w:t>
      </w:r>
      <w:r w:rsidRPr="00B3199B">
        <w:t>0.05).</w:t>
      </w:r>
    </w:p>
    <w:p w14:paraId="4CFB5AF1" w14:textId="77777777" w:rsidR="00B3199B" w:rsidRPr="00B3199B" w:rsidRDefault="00B3199B" w:rsidP="00B3199B">
      <w:pPr>
        <w:pStyle w:val="Heading5"/>
      </w:pPr>
      <w:r w:rsidRPr="00B3199B">
        <w:t>Results for other efficacy outcomes</w:t>
      </w:r>
    </w:p>
    <w:p w14:paraId="61DC9E13" w14:textId="77777777" w:rsidR="00B3199B" w:rsidRPr="00B3199B" w:rsidRDefault="00B3199B" w:rsidP="000413B6">
      <w:pPr>
        <w:pStyle w:val="Heading6"/>
      </w:pPr>
      <w:r w:rsidRPr="00B3199B">
        <w:t xml:space="preserve">Major </w:t>
      </w:r>
      <w:r w:rsidR="00B77556" w:rsidRPr="00B3199B">
        <w:t xml:space="preserve">clinical response </w:t>
      </w:r>
      <w:r w:rsidRPr="00B3199B">
        <w:t>at Week 52</w:t>
      </w:r>
    </w:p>
    <w:p w14:paraId="67A92687" w14:textId="71BB7B60" w:rsidR="00B3199B" w:rsidRPr="00B3199B" w:rsidRDefault="00B3199B" w:rsidP="00B3199B">
      <w:r w:rsidRPr="00B3199B">
        <w:t xml:space="preserve">The main secondary efficacy endpoint of Part B of Study EFC11072 was MCR, which is defined as achieving and maintaining an ACR70 response for at least 24 consecutive weeks during the </w:t>
      </w:r>
      <w:r w:rsidR="008B50BF">
        <w:t>52 week</w:t>
      </w:r>
      <w:r w:rsidRPr="00B3199B">
        <w:t xml:space="preserve"> trial period. A higher proportion of patients in the SAR treatment groups achieved MCR (12.8% </w:t>
      </w:r>
      <w:r w:rsidR="00BF33B8">
        <w:t>(</w:t>
      </w:r>
      <w:r w:rsidRPr="00B3199B">
        <w:t>51/400</w:t>
      </w:r>
      <w:r w:rsidR="00BF33B8">
        <w:t>)</w:t>
      </w:r>
      <w:r w:rsidRPr="00B3199B">
        <w:t xml:space="preserve"> in the 150 mg group and 14.8% </w:t>
      </w:r>
      <w:r w:rsidR="00BF33B8">
        <w:t>(</w:t>
      </w:r>
      <w:r w:rsidRPr="00B3199B">
        <w:t>59/399</w:t>
      </w:r>
      <w:r w:rsidR="00BF33B8">
        <w:t>)</w:t>
      </w:r>
      <w:r w:rsidRPr="00B3199B">
        <w:t xml:space="preserve"> in the 200 mg arm) compared to </w:t>
      </w:r>
      <w:r w:rsidR="00A343A3">
        <w:t>placebo</w:t>
      </w:r>
      <w:r w:rsidRPr="00B3199B">
        <w:t xml:space="preserve"> (3.0%; 12/398), and the differences between each SAR group and </w:t>
      </w:r>
      <w:r w:rsidR="00A343A3">
        <w:t>placebo</w:t>
      </w:r>
      <w:r w:rsidRPr="00B3199B">
        <w:t xml:space="preserve"> were statistically significant (</w:t>
      </w:r>
      <w:r w:rsidR="00B77556">
        <w:t>p &lt;</w:t>
      </w:r>
      <w:r w:rsidR="007312A2">
        <w:t xml:space="preserve"> </w:t>
      </w:r>
      <w:r w:rsidRPr="00B3199B">
        <w:t xml:space="preserve">0.0001). The OR of achieving an MCR was 4.661 (95% CI 2.451, 8.863) for SAR 150 mg therapy versus </w:t>
      </w:r>
      <w:r w:rsidR="00A343A3">
        <w:t>placebo</w:t>
      </w:r>
      <w:r w:rsidRPr="00B3199B">
        <w:t>, and 5.565 (95% CI 2.946, 10.515) for SAR</w:t>
      </w:r>
      <w:r w:rsidR="000413B6">
        <w:t xml:space="preserve"> 200 mg treatment versus </w:t>
      </w:r>
      <w:r w:rsidR="00A343A3">
        <w:t>placebo</w:t>
      </w:r>
      <w:r w:rsidR="000413B6">
        <w:t>.</w:t>
      </w:r>
    </w:p>
    <w:p w14:paraId="5F37EAE6" w14:textId="77777777" w:rsidR="00B3199B" w:rsidRPr="00B3199B" w:rsidRDefault="00B3199B" w:rsidP="000413B6">
      <w:pPr>
        <w:pStyle w:val="Heading6"/>
      </w:pPr>
      <w:r w:rsidRPr="00B3199B">
        <w:lastRenderedPageBreak/>
        <w:t>Other Secondary Efficacy Endpoints</w:t>
      </w:r>
    </w:p>
    <w:p w14:paraId="7F3B5BEF" w14:textId="77777777" w:rsidR="004D78CD" w:rsidRDefault="00B3199B" w:rsidP="00B3199B">
      <w:r w:rsidRPr="00D16242">
        <w:t xml:space="preserve">Table </w:t>
      </w:r>
      <w:r w:rsidR="00D16242" w:rsidRPr="00D16242">
        <w:t>9</w:t>
      </w:r>
      <w:r w:rsidRPr="00D16242">
        <w:t xml:space="preserve"> shows the results for the pre-specified hierarchy of primary and secondary efficacy</w:t>
      </w:r>
      <w:r w:rsidRPr="00B3199B">
        <w:t xml:space="preserve"> endpoints including various assessments of clinical respons</w:t>
      </w:r>
      <w:r w:rsidR="00B77556">
        <w:t>e and QOL. According to the pre</w:t>
      </w:r>
      <w:r w:rsidR="00B77556">
        <w:noBreakHyphen/>
      </w:r>
      <w:r w:rsidRPr="00B3199B">
        <w:t xml:space="preserve">specified order of analysis, the results were statistically significant in favour of both doses of SAR versus </w:t>
      </w:r>
      <w:r w:rsidR="00A343A3">
        <w:t>placebo</w:t>
      </w:r>
      <w:r w:rsidRPr="00B3199B">
        <w:t xml:space="preserve"> for each efficacy endpoint up to and including the PCS of SF-36 at </w:t>
      </w:r>
      <w:r w:rsidR="002F4291">
        <w:t>Week</w:t>
      </w:r>
      <w:r w:rsidRPr="00B3199B">
        <w:t xml:space="preserve"> 52 (all values in bold </w:t>
      </w:r>
      <w:r w:rsidRPr="00D16242">
        <w:t xml:space="preserve">in Table </w:t>
      </w:r>
      <w:r w:rsidR="00D16242" w:rsidRPr="00D16242">
        <w:t>9</w:t>
      </w:r>
      <w:r w:rsidRPr="00D16242">
        <w:t xml:space="preserve"> are statistically</w:t>
      </w:r>
      <w:r w:rsidR="000413B6">
        <w:t xml:space="preserve"> in favour of SAR versus </w:t>
      </w:r>
      <w:r w:rsidR="00A343A3">
        <w:t>placebo</w:t>
      </w:r>
      <w:r w:rsidR="000413B6">
        <w:t>)</w:t>
      </w:r>
      <w:r w:rsidR="004D78CD">
        <w:t>.</w:t>
      </w:r>
    </w:p>
    <w:p w14:paraId="2342CC9F" w14:textId="77777777" w:rsidR="00B3199B" w:rsidRPr="00B3199B" w:rsidRDefault="00B3199B" w:rsidP="000413B6">
      <w:pPr>
        <w:pStyle w:val="Tabletitle"/>
      </w:pPr>
      <w:r w:rsidRPr="00D16242">
        <w:t xml:space="preserve">Table </w:t>
      </w:r>
      <w:r w:rsidR="00D16242" w:rsidRPr="00D16242">
        <w:t>9</w:t>
      </w:r>
      <w:r w:rsidR="00D16242">
        <w:t>:</w:t>
      </w:r>
      <w:r w:rsidR="004D78CD">
        <w:t xml:space="preserve"> </w:t>
      </w:r>
      <w:r w:rsidRPr="00B3199B">
        <w:t xml:space="preserve">Summary </w:t>
      </w:r>
      <w:r w:rsidR="00D16242" w:rsidRPr="00B3199B">
        <w:t xml:space="preserve">of primary and secondary efficacy endpoint results </w:t>
      </w:r>
      <w:r w:rsidRPr="00B3199B">
        <w:t>in Part B of EFC11072</w:t>
      </w:r>
    </w:p>
    <w:p w14:paraId="54B0BFB6" w14:textId="77777777" w:rsidR="00984208" w:rsidRDefault="000413B6" w:rsidP="00C22678">
      <w:pPr>
        <w:rPr>
          <w:lang w:eastAsia="ja-JP"/>
        </w:rPr>
      </w:pPr>
      <w:r>
        <w:rPr>
          <w:noProof/>
          <w:lang w:eastAsia="en-AU"/>
        </w:rPr>
        <w:drawing>
          <wp:inline distT="0" distB="0" distL="0" distR="0" wp14:anchorId="047C7F77" wp14:editId="49512B00">
            <wp:extent cx="5447692" cy="6649517"/>
            <wp:effectExtent l="0" t="0" r="635" b="0"/>
            <wp:docPr id="18" name="Picture 18" descr="Summary of primary and secondary efficacy endpoint results in Part B of EFC1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49731" cy="6652006"/>
                    </a:xfrm>
                    <a:prstGeom prst="rect">
                      <a:avLst/>
                    </a:prstGeom>
                  </pic:spPr>
                </pic:pic>
              </a:graphicData>
            </a:graphic>
          </wp:inline>
        </w:drawing>
      </w:r>
    </w:p>
    <w:p w14:paraId="1BB77BB1" w14:textId="77777777" w:rsidR="000413B6" w:rsidRPr="000413B6" w:rsidRDefault="00B77556" w:rsidP="000413B6">
      <w:pPr>
        <w:pStyle w:val="Heading7"/>
      </w:pPr>
      <w:r>
        <w:rPr>
          <w:sz w:val="20"/>
        </w:rPr>
        <w:lastRenderedPageBreak/>
        <w:t xml:space="preserve">(a) DAS28-CRP; </w:t>
      </w:r>
      <w:r w:rsidR="000413B6" w:rsidRPr="000413B6">
        <w:rPr>
          <w:sz w:val="20"/>
        </w:rPr>
        <w:t>Week 24 and 52</w:t>
      </w:r>
    </w:p>
    <w:p w14:paraId="6910EF38" w14:textId="1E140AAC" w:rsidR="000413B6" w:rsidRPr="000413B6" w:rsidRDefault="000413B6" w:rsidP="000413B6">
      <w:r w:rsidRPr="000413B6">
        <w:t xml:space="preserve">At baseline, all 3 treatment groups had similar DAS28-CRP values ranging from 5.87 to 5.97 indicating severely active RA. During Part 2 of Study EFC11072, all treatment groups showed a mean decrease in DAS28-CRP score </w:t>
      </w:r>
      <w:r w:rsidR="00F01361">
        <w:t>from Baseline</w:t>
      </w:r>
      <w:r w:rsidRPr="000413B6">
        <w:t xml:space="preserve"> indicating improvement in RA disease activity. At </w:t>
      </w:r>
      <w:r w:rsidR="002F4291">
        <w:t>Week</w:t>
      </w:r>
      <w:r w:rsidRPr="000413B6">
        <w:t xml:space="preserve"> 24, the LS mean change </w:t>
      </w:r>
      <w:r w:rsidR="00F01361">
        <w:t>from Baseline</w:t>
      </w:r>
      <w:r w:rsidRPr="000413B6">
        <w:t xml:space="preserve"> in DAS28-CRP score was -1.17 for the </w:t>
      </w:r>
      <w:r w:rsidR="00A343A3">
        <w:t>placebo</w:t>
      </w:r>
      <w:r w:rsidRPr="000413B6">
        <w:t xml:space="preserve"> group, -2.45 for SAR 150 mg and -2.82 for SAR 200 mg therapy (</w:t>
      </w:r>
      <w:r w:rsidR="00B77556">
        <w:t>p &lt;</w:t>
      </w:r>
      <w:r w:rsidR="007312A2">
        <w:t xml:space="preserve"> </w:t>
      </w:r>
      <w:r w:rsidRPr="000413B6">
        <w:t xml:space="preserve">0.0001 for both doses of SAR versus </w:t>
      </w:r>
      <w:r w:rsidR="00A343A3">
        <w:t>placebo</w:t>
      </w:r>
      <w:r w:rsidRPr="000413B6">
        <w:t xml:space="preserve">). At </w:t>
      </w:r>
      <w:r w:rsidR="002F4291">
        <w:t>Week</w:t>
      </w:r>
      <w:r w:rsidRPr="000413B6">
        <w:t xml:space="preserve"> 52, the LS mean change </w:t>
      </w:r>
      <w:r w:rsidR="00F01361">
        <w:t>from Baseline</w:t>
      </w:r>
      <w:r w:rsidRPr="000413B6">
        <w:t xml:space="preserve"> in DAS28-CRP score was </w:t>
      </w:r>
      <w:r w:rsidR="00B77556">
        <w:noBreakHyphen/>
      </w:r>
      <w:r w:rsidRPr="000413B6">
        <w:t xml:space="preserve">1.36 for the </w:t>
      </w:r>
      <w:r w:rsidR="00A343A3">
        <w:t>placebo</w:t>
      </w:r>
      <w:r w:rsidRPr="000413B6">
        <w:t xml:space="preserve"> group, -2.78 for SAR 150 mg and -2.95 for SAR 200 mg therapy (</w:t>
      </w:r>
      <w:r w:rsidR="00B77556">
        <w:t>p &lt; </w:t>
      </w:r>
      <w:r w:rsidRPr="000413B6">
        <w:t xml:space="preserve">0.0001 for both doses of SAR versus </w:t>
      </w:r>
      <w:r w:rsidR="00A343A3">
        <w:t>placebo</w:t>
      </w:r>
      <w:r w:rsidRPr="000413B6">
        <w:t>).</w:t>
      </w:r>
    </w:p>
    <w:p w14:paraId="49B620D8" w14:textId="13A1B844" w:rsidR="004D78CD" w:rsidRDefault="000413B6" w:rsidP="000413B6">
      <w:r w:rsidRPr="000413B6">
        <w:t>A statistically higher proportion of patients in the SAR treatment groups achieved DAS28-CRP remission (</w:t>
      </w:r>
      <w:r w:rsidR="004D78CD">
        <w:t>that is</w:t>
      </w:r>
      <w:r w:rsidRPr="000413B6">
        <w:t xml:space="preserve"> DAS28-CRP score </w:t>
      </w:r>
      <w:r w:rsidR="007312A2">
        <w:t xml:space="preserve">&lt; </w:t>
      </w:r>
      <w:r w:rsidRPr="000413B6">
        <w:t xml:space="preserve">2.6) at </w:t>
      </w:r>
      <w:r w:rsidR="002F4291">
        <w:t>Week</w:t>
      </w:r>
      <w:r w:rsidRPr="000413B6">
        <w:t xml:space="preserve"> 24 (27.8% </w:t>
      </w:r>
      <w:r w:rsidR="00BF33B8">
        <w:t>(</w:t>
      </w:r>
      <w:r w:rsidRPr="000413B6">
        <w:t>111/400</w:t>
      </w:r>
      <w:r w:rsidR="00BF33B8">
        <w:t>)</w:t>
      </w:r>
      <w:r w:rsidRPr="000413B6">
        <w:t xml:space="preserve"> in the 150 mg group and 34.1% </w:t>
      </w:r>
      <w:r w:rsidR="00BF33B8">
        <w:t>(</w:t>
      </w:r>
      <w:r w:rsidRPr="000413B6">
        <w:t>136/399</w:t>
      </w:r>
      <w:r w:rsidR="00BF33B8">
        <w:t>)</w:t>
      </w:r>
      <w:r w:rsidRPr="000413B6">
        <w:t xml:space="preserve"> in the 200 mg arm) compared to </w:t>
      </w:r>
      <w:r w:rsidR="00A343A3">
        <w:t>placebo</w:t>
      </w:r>
      <w:r w:rsidRPr="000413B6">
        <w:t xml:space="preserve"> (10.1%; 40/398; </w:t>
      </w:r>
      <w:r w:rsidR="00B77556">
        <w:t>p &lt;</w:t>
      </w:r>
      <w:r w:rsidR="007312A2">
        <w:t xml:space="preserve"> </w:t>
      </w:r>
      <w:r w:rsidRPr="000413B6">
        <w:t xml:space="preserve">0.0001 for the difference between each SAR group and </w:t>
      </w:r>
      <w:r w:rsidR="00A343A3">
        <w:t>placebo</w:t>
      </w:r>
      <w:r w:rsidRPr="000413B6">
        <w:t xml:space="preserve">). At </w:t>
      </w:r>
      <w:r w:rsidR="002F4291">
        <w:t>Week</w:t>
      </w:r>
      <w:r w:rsidRPr="000413B6">
        <w:t xml:space="preserve"> 52, a higher proportion of patients in the SAR treatment groups achieved DAS28-CRP remission (31.0% </w:t>
      </w:r>
      <w:r w:rsidR="00BF33B8">
        <w:t>(</w:t>
      </w:r>
      <w:r w:rsidRPr="000413B6">
        <w:t>124/400</w:t>
      </w:r>
      <w:r w:rsidR="00BF33B8">
        <w:t>)</w:t>
      </w:r>
      <w:r w:rsidRPr="000413B6">
        <w:t xml:space="preserve"> in the 150 mg group and 34.1% </w:t>
      </w:r>
      <w:r w:rsidR="00BF33B8">
        <w:t>(</w:t>
      </w:r>
      <w:r w:rsidRPr="000413B6">
        <w:t>136/399</w:t>
      </w:r>
      <w:r w:rsidR="00BF33B8">
        <w:t>)</w:t>
      </w:r>
      <w:r w:rsidRPr="000413B6">
        <w:t xml:space="preserve"> in the 200 mg arm) compared to </w:t>
      </w:r>
      <w:r w:rsidR="00A343A3">
        <w:t>placebo</w:t>
      </w:r>
      <w:r w:rsidRPr="000413B6">
        <w:t xml:space="preserve"> (8.5%; 34/398), and the differences between each SAR group and </w:t>
      </w:r>
      <w:r w:rsidR="00A343A3">
        <w:t>placebo</w:t>
      </w:r>
      <w:r w:rsidRPr="000413B6">
        <w:t xml:space="preserve"> were statistically significant (</w:t>
      </w:r>
      <w:r w:rsidR="00B77556">
        <w:t>p &lt;</w:t>
      </w:r>
      <w:r w:rsidR="007312A2">
        <w:t xml:space="preserve"> </w:t>
      </w:r>
      <w:r w:rsidRPr="000413B6">
        <w:t>0.0001)</w:t>
      </w:r>
      <w:r w:rsidR="004D78CD">
        <w:t>.</w:t>
      </w:r>
    </w:p>
    <w:p w14:paraId="6B16CEB7" w14:textId="77777777" w:rsidR="000413B6" w:rsidRPr="000413B6" w:rsidRDefault="000413B6" w:rsidP="000413B6">
      <w:pPr>
        <w:pStyle w:val="Heading7"/>
        <w:rPr>
          <w:sz w:val="20"/>
        </w:rPr>
      </w:pPr>
      <w:r w:rsidRPr="000413B6">
        <w:rPr>
          <w:sz w:val="20"/>
        </w:rPr>
        <w:t xml:space="preserve">(b) ACR50 and ACR70 </w:t>
      </w:r>
      <w:r w:rsidR="00B77556" w:rsidRPr="000413B6">
        <w:rPr>
          <w:sz w:val="20"/>
        </w:rPr>
        <w:t xml:space="preserve">response rates and individual </w:t>
      </w:r>
      <w:r w:rsidRPr="000413B6">
        <w:rPr>
          <w:sz w:val="20"/>
        </w:rPr>
        <w:t xml:space="preserve">ACR </w:t>
      </w:r>
      <w:r w:rsidR="00B77556" w:rsidRPr="000413B6">
        <w:rPr>
          <w:sz w:val="20"/>
        </w:rPr>
        <w:t>c</w:t>
      </w:r>
      <w:r w:rsidR="00B77556">
        <w:rPr>
          <w:sz w:val="20"/>
        </w:rPr>
        <w:t>omponents;</w:t>
      </w:r>
      <w:r w:rsidRPr="000413B6">
        <w:rPr>
          <w:sz w:val="20"/>
        </w:rPr>
        <w:t xml:space="preserve"> Week 24 and 52</w:t>
      </w:r>
    </w:p>
    <w:p w14:paraId="650530EC" w14:textId="086CBBD3" w:rsidR="000413B6" w:rsidRPr="000413B6" w:rsidRDefault="000413B6" w:rsidP="000413B6">
      <w:r w:rsidRPr="000413B6">
        <w:t xml:space="preserve">A statistically higher proportion of patients in the SAR treatment groups achieved ACR50 response at 24 weeks (37.0% </w:t>
      </w:r>
      <w:r w:rsidR="00BF33B8">
        <w:t>(</w:t>
      </w:r>
      <w:r w:rsidRPr="000413B6">
        <w:t>148/400</w:t>
      </w:r>
      <w:r w:rsidR="00BF33B8">
        <w:t>)</w:t>
      </w:r>
      <w:r w:rsidRPr="000413B6">
        <w:t xml:space="preserve"> in the 150 mg group and 45.6% </w:t>
      </w:r>
      <w:r w:rsidR="00BF33B8">
        <w:t>(</w:t>
      </w:r>
      <w:r w:rsidRPr="000413B6">
        <w:t>182/399</w:t>
      </w:r>
      <w:r w:rsidR="00BF33B8">
        <w:t>)</w:t>
      </w:r>
      <w:r w:rsidRPr="000413B6">
        <w:t xml:space="preserve"> in the 200 mg arm) compared to </w:t>
      </w:r>
      <w:r w:rsidR="00A343A3">
        <w:t>placebo</w:t>
      </w:r>
      <w:r w:rsidRPr="000413B6">
        <w:t xml:space="preserve"> (16.6%; 66/398; </w:t>
      </w:r>
      <w:r w:rsidR="00B77556">
        <w:t>p &lt;</w:t>
      </w:r>
      <w:r w:rsidR="007312A2">
        <w:t xml:space="preserve"> </w:t>
      </w:r>
      <w:r w:rsidRPr="000413B6">
        <w:t xml:space="preserve">0.0001 for the difference between each SAR group and </w:t>
      </w:r>
      <w:r w:rsidR="00A343A3">
        <w:t>placebo</w:t>
      </w:r>
      <w:r w:rsidRPr="000413B6">
        <w:t xml:space="preserve">). At </w:t>
      </w:r>
      <w:r w:rsidR="002F4291">
        <w:t>Week</w:t>
      </w:r>
      <w:r w:rsidRPr="000413B6">
        <w:t xml:space="preserve"> 52, a higher proportion of patients in the SAR treatment groups achieved ACR50 response (40.0% </w:t>
      </w:r>
      <w:r w:rsidR="00BF33B8">
        <w:t>(</w:t>
      </w:r>
      <w:r w:rsidRPr="000413B6">
        <w:t>160/400</w:t>
      </w:r>
      <w:r w:rsidR="00BF33B8">
        <w:t>)</w:t>
      </w:r>
      <w:r w:rsidRPr="000413B6">
        <w:t xml:space="preserve"> in the 150 mg group and 42.9% </w:t>
      </w:r>
      <w:r w:rsidR="00BF33B8">
        <w:t>(</w:t>
      </w:r>
      <w:r w:rsidRPr="000413B6">
        <w:t>171/399</w:t>
      </w:r>
      <w:r w:rsidR="00BF33B8">
        <w:t>)</w:t>
      </w:r>
      <w:r w:rsidRPr="000413B6">
        <w:t xml:space="preserve"> in the 200 mg arm) compared to </w:t>
      </w:r>
      <w:r w:rsidR="00A343A3">
        <w:t>placebo</w:t>
      </w:r>
      <w:r w:rsidRPr="000413B6">
        <w:t xml:space="preserve"> (18.1%; 72/398), and the differences between each SAR group and </w:t>
      </w:r>
      <w:r w:rsidR="00A343A3">
        <w:t>placebo</w:t>
      </w:r>
      <w:r w:rsidRPr="000413B6">
        <w:t xml:space="preserve"> were statistically significant (</w:t>
      </w:r>
      <w:r w:rsidR="00B77556">
        <w:t>p &lt;</w:t>
      </w:r>
      <w:r w:rsidR="007312A2">
        <w:t xml:space="preserve"> </w:t>
      </w:r>
      <w:r w:rsidRPr="000413B6">
        <w:t>0.0001).</w:t>
      </w:r>
    </w:p>
    <w:p w14:paraId="1332C40D" w14:textId="5B4AED88" w:rsidR="000413B6" w:rsidRPr="000413B6" w:rsidRDefault="000413B6" w:rsidP="000413B6">
      <w:r w:rsidRPr="000413B6">
        <w:t xml:space="preserve">A statistically higher proportion of patients in the SAR treatment groups achieved ACR70 response at 24 weeks (19.8% </w:t>
      </w:r>
      <w:r w:rsidR="00BF33B8">
        <w:t>(</w:t>
      </w:r>
      <w:r w:rsidRPr="000413B6">
        <w:t>79/400</w:t>
      </w:r>
      <w:r w:rsidR="00BF33B8">
        <w:t>)</w:t>
      </w:r>
      <w:r w:rsidRPr="000413B6">
        <w:t xml:space="preserve"> in the 150 mg group and 24.8% </w:t>
      </w:r>
      <w:r w:rsidR="00BF33B8">
        <w:t>(</w:t>
      </w:r>
      <w:r w:rsidRPr="000413B6">
        <w:t>99/399</w:t>
      </w:r>
      <w:r w:rsidR="00BF33B8">
        <w:t>)</w:t>
      </w:r>
      <w:r w:rsidRPr="000413B6">
        <w:t xml:space="preserve"> in the 200 mg arm) compared to </w:t>
      </w:r>
      <w:r w:rsidR="00A343A3">
        <w:t>placebo</w:t>
      </w:r>
      <w:r w:rsidRPr="000413B6">
        <w:t xml:space="preserve"> (7.3%; 29/398; </w:t>
      </w:r>
      <w:r w:rsidR="00B77556">
        <w:t>p &lt;</w:t>
      </w:r>
      <w:r w:rsidR="007312A2">
        <w:t xml:space="preserve"> </w:t>
      </w:r>
      <w:r w:rsidRPr="000413B6">
        <w:t xml:space="preserve">0.0001 for the difference between each SAR group and </w:t>
      </w:r>
      <w:r w:rsidR="00A343A3">
        <w:t>placebo</w:t>
      </w:r>
      <w:r w:rsidRPr="000413B6">
        <w:t xml:space="preserve">). At </w:t>
      </w:r>
      <w:r w:rsidR="002F4291">
        <w:t>Week</w:t>
      </w:r>
      <w:r w:rsidRPr="000413B6">
        <w:t xml:space="preserve"> 52, a higher proportion of patients in the SAR treatment groups achieved ACR70 response (24.8% </w:t>
      </w:r>
      <w:r w:rsidR="00BF33B8">
        <w:t>(</w:t>
      </w:r>
      <w:r w:rsidRPr="000413B6">
        <w:t>99/400</w:t>
      </w:r>
      <w:r w:rsidR="00BF33B8">
        <w:t>)</w:t>
      </w:r>
      <w:r w:rsidRPr="000413B6">
        <w:t xml:space="preserve"> in the 150 mg group and 26.8% </w:t>
      </w:r>
      <w:r w:rsidR="00BF33B8">
        <w:t>(</w:t>
      </w:r>
      <w:r w:rsidRPr="000413B6">
        <w:t>107/399</w:t>
      </w:r>
      <w:r w:rsidR="00BF33B8">
        <w:t>)</w:t>
      </w:r>
      <w:r w:rsidRPr="000413B6">
        <w:t xml:space="preserve"> in the 200 mg arm) compared to </w:t>
      </w:r>
      <w:r w:rsidR="00A343A3">
        <w:t>placebo</w:t>
      </w:r>
      <w:r w:rsidRPr="000413B6">
        <w:t xml:space="preserve"> (9.0%; 36/398), and the differences between each SAR group and </w:t>
      </w:r>
      <w:r w:rsidR="00A343A3">
        <w:t>placebo</w:t>
      </w:r>
      <w:r w:rsidRPr="000413B6">
        <w:t xml:space="preserve"> were statistically significant (</w:t>
      </w:r>
      <w:r w:rsidR="00B77556">
        <w:t>p &lt;</w:t>
      </w:r>
      <w:r w:rsidR="007312A2">
        <w:t xml:space="preserve"> </w:t>
      </w:r>
      <w:r w:rsidRPr="000413B6">
        <w:t>0.0001).</w:t>
      </w:r>
    </w:p>
    <w:p w14:paraId="1D97D2EF" w14:textId="77777777" w:rsidR="000413B6" w:rsidRPr="000413B6" w:rsidRDefault="000413B6" w:rsidP="000413B6">
      <w:r w:rsidRPr="000413B6">
        <w:t xml:space="preserve">There are 7 components comprising the ACR response criteria. At both </w:t>
      </w:r>
      <w:r w:rsidR="002F4291">
        <w:t>Week</w:t>
      </w:r>
      <w:r w:rsidRPr="000413B6">
        <w:t xml:space="preserve">s 24 and 52, both doses of SAR were statistically superior to </w:t>
      </w:r>
      <w:r w:rsidR="00A343A3">
        <w:t>placebo</w:t>
      </w:r>
      <w:r w:rsidRPr="000413B6">
        <w:t xml:space="preserve"> for each of the 7 variables. This observation is supportive of the validity of the primary efficacy results regarding higher ACR20 response rates with either dose of SAR therapy versus </w:t>
      </w:r>
      <w:r w:rsidR="00A343A3">
        <w:t>placebo</w:t>
      </w:r>
      <w:r w:rsidRPr="000413B6">
        <w:t>.</w:t>
      </w:r>
    </w:p>
    <w:p w14:paraId="6483D4BE" w14:textId="3B15C2E7" w:rsidR="000413B6" w:rsidRPr="000413B6" w:rsidRDefault="000413B6" w:rsidP="000413B6">
      <w:r w:rsidRPr="000413B6">
        <w:t xml:space="preserve">The ACRn is the average score derived from improvement in the following 3 variables: percentage improvement in the tender joint count, percentage improvement in the swollen joint count and the median improvement score of the 5 remaining ACR components. An increase in the ACRn score represents clinical improvement. All treatment groups showed an increase in ACRn in Study EFC11072. At </w:t>
      </w:r>
      <w:r w:rsidR="002F4291">
        <w:t>Week</w:t>
      </w:r>
      <w:r w:rsidRPr="000413B6">
        <w:t xml:space="preserve"> 24, the LS mean change </w:t>
      </w:r>
      <w:r w:rsidR="00F01361">
        <w:t>from Baseline</w:t>
      </w:r>
      <w:r w:rsidRPr="000413B6">
        <w:t xml:space="preserve"> in ACRn was 6.13 for the </w:t>
      </w:r>
      <w:r w:rsidR="00A343A3">
        <w:t>placebo</w:t>
      </w:r>
      <w:r w:rsidRPr="000413B6">
        <w:t xml:space="preserve"> group, 34.2 for SAR 150 mg and 42.45 for SAR </w:t>
      </w:r>
      <w:r w:rsidR="00B77556">
        <w:t>200 mg therapy (nominal p</w:t>
      </w:r>
      <w:r w:rsidR="00B77556">
        <w:noBreakHyphen/>
        <w:t>value &lt; </w:t>
      </w:r>
      <w:r w:rsidRPr="000413B6">
        <w:t xml:space="preserve">0.0001 for both doses of SAR versus </w:t>
      </w:r>
      <w:r w:rsidR="00A343A3">
        <w:t>placebo</w:t>
      </w:r>
      <w:r w:rsidRPr="000413B6">
        <w:t xml:space="preserve">). At </w:t>
      </w:r>
      <w:r w:rsidR="002F4291">
        <w:t>Week</w:t>
      </w:r>
      <w:r w:rsidRPr="000413B6">
        <w:t xml:space="preserve"> 52, the LS mean change </w:t>
      </w:r>
      <w:r w:rsidR="00F01361">
        <w:t>from Baseline</w:t>
      </w:r>
      <w:r w:rsidRPr="000413B6">
        <w:t xml:space="preserve"> in ACRn was 12.0 for the </w:t>
      </w:r>
      <w:r w:rsidR="00A343A3">
        <w:t>placebo</w:t>
      </w:r>
      <w:r w:rsidRPr="000413B6">
        <w:t xml:space="preserve"> group, 43.8 for SAR 150 mg and 48.2 for SAR 200 mg therapy (nominal p-value </w:t>
      </w:r>
      <w:r w:rsidR="007312A2">
        <w:t xml:space="preserve">&lt; </w:t>
      </w:r>
      <w:r w:rsidRPr="000413B6">
        <w:t xml:space="preserve">0.0001 for both doses of SAR versus </w:t>
      </w:r>
      <w:r w:rsidR="00A343A3">
        <w:t>placebo</w:t>
      </w:r>
      <w:r w:rsidRPr="000413B6">
        <w:t>).</w:t>
      </w:r>
    </w:p>
    <w:p w14:paraId="30856686" w14:textId="77777777" w:rsidR="000413B6" w:rsidRPr="000413B6" w:rsidRDefault="000413B6" w:rsidP="000413B6">
      <w:pPr>
        <w:pStyle w:val="Heading7"/>
        <w:rPr>
          <w:sz w:val="20"/>
        </w:rPr>
      </w:pPr>
      <w:r w:rsidRPr="000413B6">
        <w:rPr>
          <w:sz w:val="20"/>
        </w:rPr>
        <w:t>(c) HAQ-DI AUC up to Week 52</w:t>
      </w:r>
    </w:p>
    <w:p w14:paraId="08BAF2EE" w14:textId="6E84D691" w:rsidR="004D78CD" w:rsidRDefault="000413B6" w:rsidP="000413B6">
      <w:r w:rsidRPr="000413B6">
        <w:t xml:space="preserve">The LS mean change </w:t>
      </w:r>
      <w:r w:rsidR="00F01361">
        <w:t>from Baseline</w:t>
      </w:r>
      <w:r w:rsidRPr="000413B6">
        <w:t xml:space="preserve"> to </w:t>
      </w:r>
      <w:r w:rsidR="002F4291">
        <w:t>Week</w:t>
      </w:r>
      <w:r w:rsidRPr="000413B6">
        <w:t xml:space="preserve"> 52 in the standardised AUC for the HAQ-DI score was numerically greater in patients treated with SAR (-0.47 for 150 mg and -0.50 for 200 mg </w:t>
      </w:r>
      <w:r w:rsidRPr="000413B6">
        <w:lastRenderedPageBreak/>
        <w:t xml:space="preserve">dose) than for subjects in the </w:t>
      </w:r>
      <w:r w:rsidR="00A343A3">
        <w:t>placebo</w:t>
      </w:r>
      <w:r w:rsidRPr="000413B6">
        <w:t xml:space="preserve"> group (-0.25). The differences between each dose of SAR and </w:t>
      </w:r>
      <w:r w:rsidR="00A343A3">
        <w:t>placebo</w:t>
      </w:r>
      <w:r w:rsidRPr="000413B6">
        <w:t xml:space="preserve"> were statistically significant (</w:t>
      </w:r>
      <w:r w:rsidR="00B77556">
        <w:t>p &lt;</w:t>
      </w:r>
      <w:r w:rsidR="007312A2">
        <w:t xml:space="preserve"> </w:t>
      </w:r>
      <w:r w:rsidRPr="000413B6">
        <w:t>0.0001)</w:t>
      </w:r>
      <w:r w:rsidR="004D78CD">
        <w:t>.</w:t>
      </w:r>
    </w:p>
    <w:p w14:paraId="07065C8C" w14:textId="77777777" w:rsidR="000413B6" w:rsidRPr="000413B6" w:rsidRDefault="000413B6" w:rsidP="000413B6">
      <w:pPr>
        <w:pStyle w:val="Heading7"/>
        <w:rPr>
          <w:sz w:val="20"/>
        </w:rPr>
      </w:pPr>
      <w:r w:rsidRPr="000413B6">
        <w:rPr>
          <w:sz w:val="20"/>
        </w:rPr>
        <w:t xml:space="preserve">(d) Secondary </w:t>
      </w:r>
      <w:r w:rsidR="00B77556">
        <w:rPr>
          <w:sz w:val="20"/>
        </w:rPr>
        <w:t>radiographic outcomes;</w:t>
      </w:r>
      <w:r w:rsidRPr="000413B6">
        <w:rPr>
          <w:sz w:val="20"/>
        </w:rPr>
        <w:t xml:space="preserve"> Week 52 </w:t>
      </w:r>
    </w:p>
    <w:p w14:paraId="1A19104C" w14:textId="27AE6699" w:rsidR="004D78CD" w:rsidRDefault="000413B6" w:rsidP="000413B6">
      <w:r w:rsidRPr="000413B6">
        <w:t xml:space="preserve">At </w:t>
      </w:r>
      <w:r w:rsidR="002F4291">
        <w:t>Week</w:t>
      </w:r>
      <w:r w:rsidRPr="000413B6">
        <w:t xml:space="preserve"> 52, a greater proportion of patients in the SAR treatment groups showed no progression </w:t>
      </w:r>
      <w:r w:rsidR="00F01361">
        <w:t>from Baseline</w:t>
      </w:r>
      <w:r w:rsidRPr="000413B6">
        <w:t xml:space="preserve"> in mTSS (47.8% </w:t>
      </w:r>
      <w:r w:rsidR="00BF33B8">
        <w:t>(</w:t>
      </w:r>
      <w:r w:rsidRPr="000413B6">
        <w:t>191/400</w:t>
      </w:r>
      <w:r w:rsidR="00BF33B8">
        <w:t>)</w:t>
      </w:r>
      <w:r w:rsidRPr="000413B6">
        <w:t xml:space="preserve"> in the 150 mg group and 55.6% </w:t>
      </w:r>
      <w:r w:rsidR="00BF33B8">
        <w:t>(</w:t>
      </w:r>
      <w:r w:rsidRPr="000413B6">
        <w:t>222/399</w:t>
      </w:r>
      <w:r w:rsidR="00BF33B8">
        <w:t>)</w:t>
      </w:r>
      <w:r w:rsidRPr="000413B6">
        <w:t xml:space="preserve"> in the 200 mg arm) compared to </w:t>
      </w:r>
      <w:r w:rsidR="00A343A3">
        <w:t>placebo</w:t>
      </w:r>
      <w:r w:rsidRPr="000413B6">
        <w:t xml:space="preserve"> (38.7%; 154/398). The rates of no X-ray progression between each SAR group versus </w:t>
      </w:r>
      <w:r w:rsidR="00A343A3">
        <w:t>placebo</w:t>
      </w:r>
      <w:r w:rsidRPr="000413B6">
        <w:t xml:space="preserve"> were statistically significant (p</w:t>
      </w:r>
      <w:r w:rsidR="004D78CD">
        <w:t xml:space="preserve"> = </w:t>
      </w:r>
      <w:r w:rsidRPr="000413B6">
        <w:t xml:space="preserve">0.0081 for SAR 150 mg versus </w:t>
      </w:r>
      <w:r w:rsidR="00A343A3">
        <w:t>placebo</w:t>
      </w:r>
      <w:r w:rsidRPr="000413B6">
        <w:t xml:space="preserve"> and </w:t>
      </w:r>
      <w:r w:rsidR="00B77556">
        <w:t>p &lt;</w:t>
      </w:r>
      <w:r w:rsidR="007312A2">
        <w:t xml:space="preserve"> </w:t>
      </w:r>
      <w:r w:rsidRPr="000413B6">
        <w:t xml:space="preserve">0.0001 for SAR 200 mg versus </w:t>
      </w:r>
      <w:r w:rsidR="00A343A3">
        <w:t>placebo</w:t>
      </w:r>
      <w:r w:rsidRPr="000413B6">
        <w:t xml:space="preserve">). The OR of demonstrating no X-ray progression was 1.453 (95% CI 1.095, 1.926) for SAR 150 mg therapy versus </w:t>
      </w:r>
      <w:r w:rsidR="00A343A3">
        <w:t>placebo</w:t>
      </w:r>
      <w:r w:rsidRPr="000413B6">
        <w:t xml:space="preserve">, and 2.001 (95% CI 1.506, 2.660) for SAR 200 mg treatment versus </w:t>
      </w:r>
      <w:r w:rsidR="00A343A3">
        <w:t>placebo</w:t>
      </w:r>
      <w:r w:rsidRPr="000413B6">
        <w:t>. This result supports the robustness of the primary radiographic endpoint demonstrating that SAR therapy is associated with significantly less radiographic progression of structural damage than MTX alone (control arm), which is a clinically relevant observation</w:t>
      </w:r>
      <w:r w:rsidR="004D78CD">
        <w:t>.</w:t>
      </w:r>
    </w:p>
    <w:p w14:paraId="4E92F83E" w14:textId="5C26FAA3" w:rsidR="004D78CD" w:rsidRDefault="000413B6" w:rsidP="000413B6">
      <w:r w:rsidRPr="000413B6">
        <w:t>The ES and JSN scores are the 2 components of th</w:t>
      </w:r>
      <w:r w:rsidR="00B77556">
        <w:t xml:space="preserve">e mTSS. The ES has a range of 0 to </w:t>
      </w:r>
      <w:r w:rsidRPr="000413B6">
        <w:t>280 and is derived from assessing 32 hand joints and 12 joints in the feet. Each joint is scored from 0 (no damage) to 5, except for the metatarsophalangeal joints of the f</w:t>
      </w:r>
      <w:r w:rsidR="00B77556">
        <w:t xml:space="preserve">eet, which are scored 0 to </w:t>
      </w:r>
      <w:r w:rsidRPr="000413B6">
        <w:t>10.</w:t>
      </w:r>
      <w:r w:rsidR="004D78CD">
        <w:t xml:space="preserve"> </w:t>
      </w:r>
      <w:r w:rsidRPr="000413B6">
        <w:t xml:space="preserve">An increase in the ES represents radiographic progression. At </w:t>
      </w:r>
      <w:r w:rsidR="002F4291">
        <w:t>Week</w:t>
      </w:r>
      <w:r w:rsidRPr="000413B6">
        <w:t xml:space="preserve"> 52, smaller increases </w:t>
      </w:r>
      <w:r w:rsidR="00F01361">
        <w:t>from Baseline</w:t>
      </w:r>
      <w:r w:rsidRPr="000413B6">
        <w:t xml:space="preserve"> in the ES were observed in patients treated with SAR than those in the </w:t>
      </w:r>
      <w:r w:rsidR="00A343A3">
        <w:t>placebo</w:t>
      </w:r>
      <w:r w:rsidRPr="000413B6">
        <w:t xml:space="preserve"> arm (</w:t>
      </w:r>
      <w:r w:rsidR="00B77556">
        <w:t>p &lt; </w:t>
      </w:r>
      <w:r w:rsidRPr="000413B6">
        <w:t xml:space="preserve">0.0001 for both doses of SAR versus </w:t>
      </w:r>
      <w:r w:rsidR="00A343A3">
        <w:t>placebo</w:t>
      </w:r>
      <w:r w:rsidRPr="000413B6">
        <w:t xml:space="preserve">). At </w:t>
      </w:r>
      <w:r w:rsidR="002F4291">
        <w:t>Week</w:t>
      </w:r>
      <w:r w:rsidRPr="000413B6">
        <w:t xml:space="preserve"> 52, the mean increases </w:t>
      </w:r>
      <w:r w:rsidR="00F01361">
        <w:t>from Baseline</w:t>
      </w:r>
      <w:r w:rsidRPr="000413B6">
        <w:t xml:space="preserve"> in the ES were 1.46 units for the </w:t>
      </w:r>
      <w:r w:rsidR="00A343A3">
        <w:t>placebo</w:t>
      </w:r>
      <w:r w:rsidRPr="000413B6">
        <w:t xml:space="preserve"> group (baseline mean ES 22.0; n</w:t>
      </w:r>
      <w:r w:rsidR="004D78CD">
        <w:t xml:space="preserve"> = </w:t>
      </w:r>
      <w:r w:rsidR="00B77556">
        <w:t>352), 0.42 units for SAR </w:t>
      </w:r>
      <w:r w:rsidRPr="000413B6">
        <w:t>150 mg therapy (baseline mean ES 24.4; n</w:t>
      </w:r>
      <w:r w:rsidR="004D78CD">
        <w:t xml:space="preserve"> = </w:t>
      </w:r>
      <w:r w:rsidRPr="000413B6">
        <w:t>352) and 0.05 units for the SAR 200 mg group (baseline mean ES 19.1; n</w:t>
      </w:r>
      <w:r w:rsidR="004D78CD">
        <w:t xml:space="preserve"> = </w:t>
      </w:r>
      <w:r w:rsidRPr="000413B6">
        <w:t xml:space="preserve">359). At </w:t>
      </w:r>
      <w:r w:rsidR="002F4291">
        <w:t>Week</w:t>
      </w:r>
      <w:r w:rsidRPr="000413B6">
        <w:t xml:space="preserve"> 52, the proportion of patients who had no progression in ES was higher in the SAR treatment groups (54.8% </w:t>
      </w:r>
      <w:r w:rsidR="00BF33B8">
        <w:t>(</w:t>
      </w:r>
      <w:r w:rsidRPr="000413B6">
        <w:t>219/400</w:t>
      </w:r>
      <w:r w:rsidR="00BF33B8">
        <w:t>)</w:t>
      </w:r>
      <w:r w:rsidRPr="000413B6">
        <w:t xml:space="preserve"> in the 150 mg group and 62.2% </w:t>
      </w:r>
      <w:r w:rsidR="00BF33B8">
        <w:t>(</w:t>
      </w:r>
      <w:r w:rsidRPr="000413B6">
        <w:t>248/399</w:t>
      </w:r>
      <w:r w:rsidR="00BF33B8">
        <w:t>)</w:t>
      </w:r>
      <w:r w:rsidRPr="000413B6">
        <w:t xml:space="preserve"> in the 200 mg arm) compared to </w:t>
      </w:r>
      <w:r w:rsidR="00A343A3">
        <w:t>placebo</w:t>
      </w:r>
      <w:r w:rsidRPr="000413B6">
        <w:t xml:space="preserve"> (43.5%; 173/398). The rates of no ES progression between each SAR group versus </w:t>
      </w:r>
      <w:r w:rsidR="00A343A3">
        <w:t>placebo</w:t>
      </w:r>
      <w:r w:rsidRPr="000413B6">
        <w:t xml:space="preserve"> were statistically significant (p</w:t>
      </w:r>
      <w:r w:rsidR="00B77556">
        <w:t> = </w:t>
      </w:r>
      <w:r w:rsidRPr="000413B6">
        <w:t xml:space="preserve">0.0013 for SAR 150 mg versus </w:t>
      </w:r>
      <w:r w:rsidR="00A343A3">
        <w:t>placebo</w:t>
      </w:r>
      <w:r w:rsidRPr="000413B6">
        <w:t xml:space="preserve"> and </w:t>
      </w:r>
      <w:r w:rsidR="00B77556">
        <w:t>p &lt;</w:t>
      </w:r>
      <w:r w:rsidR="007312A2">
        <w:t xml:space="preserve"> </w:t>
      </w:r>
      <w:r w:rsidRPr="000413B6">
        <w:t xml:space="preserve">0.0001 for SAR 200 mg versus </w:t>
      </w:r>
      <w:r w:rsidR="00A343A3">
        <w:t>placebo</w:t>
      </w:r>
      <w:r w:rsidRPr="000413B6">
        <w:t>)</w:t>
      </w:r>
      <w:r w:rsidR="004D78CD">
        <w:t>.</w:t>
      </w:r>
    </w:p>
    <w:p w14:paraId="774A4B0C" w14:textId="1D9B52DF" w:rsidR="000413B6" w:rsidRPr="000413B6" w:rsidRDefault="00B77556" w:rsidP="000413B6">
      <w:r>
        <w:t xml:space="preserve">The JSN score has a range of 0 to </w:t>
      </w:r>
      <w:r w:rsidR="000413B6" w:rsidRPr="000413B6">
        <w:t xml:space="preserve">168 and is derived from evaluating 30 joints in the hands and 12 joints in the feet, each of which are scored from 0 (no damage) to 4. An increase in the JSN score represents radiographic progression. At </w:t>
      </w:r>
      <w:r w:rsidR="002F4291">
        <w:t>Week</w:t>
      </w:r>
      <w:r w:rsidR="000413B6" w:rsidRPr="000413B6">
        <w:t xml:space="preserve"> 52, smaller increases </w:t>
      </w:r>
      <w:r w:rsidR="00F01361">
        <w:t>from Baseline</w:t>
      </w:r>
      <w:r w:rsidR="000413B6" w:rsidRPr="000413B6">
        <w:t xml:space="preserve"> in the JSN score were observed in patients treated with SAR than subjects in the </w:t>
      </w:r>
      <w:r w:rsidR="00A343A3">
        <w:t>placebo</w:t>
      </w:r>
      <w:r w:rsidR="000413B6" w:rsidRPr="000413B6">
        <w:t xml:space="preserve"> arm (p</w:t>
      </w:r>
      <w:r w:rsidR="004D78CD">
        <w:t xml:space="preserve"> = </w:t>
      </w:r>
      <w:r w:rsidR="000413B6" w:rsidRPr="000413B6">
        <w:t xml:space="preserve">0.0005 for SAR 150 mg versus </w:t>
      </w:r>
      <w:r w:rsidR="00A343A3">
        <w:t>placebo</w:t>
      </w:r>
      <w:r w:rsidR="000413B6" w:rsidRPr="000413B6">
        <w:t xml:space="preserve"> and </w:t>
      </w:r>
      <w:r>
        <w:t>p &lt;</w:t>
      </w:r>
      <w:r w:rsidR="007312A2">
        <w:t xml:space="preserve"> </w:t>
      </w:r>
      <w:r w:rsidR="000413B6" w:rsidRPr="000413B6">
        <w:t xml:space="preserve">0.0001 for SAR 200 mg versus </w:t>
      </w:r>
      <w:r w:rsidR="00A343A3">
        <w:t>placebo</w:t>
      </w:r>
      <w:r w:rsidR="000413B6" w:rsidRPr="000413B6">
        <w:t xml:space="preserve">). At </w:t>
      </w:r>
      <w:r w:rsidR="002F4291">
        <w:t>Week</w:t>
      </w:r>
      <w:r w:rsidR="000413B6" w:rsidRPr="000413B6">
        <w:t xml:space="preserve"> 52, the mean increases </w:t>
      </w:r>
      <w:r w:rsidR="00F01361">
        <w:t>from Baseline</w:t>
      </w:r>
      <w:r w:rsidR="000413B6" w:rsidRPr="000413B6">
        <w:t xml:space="preserve"> in the JSN scores were 1.32 units for </w:t>
      </w:r>
      <w:r>
        <w:t xml:space="preserve">the </w:t>
      </w:r>
      <w:r w:rsidR="00A343A3">
        <w:t>placebo</w:t>
      </w:r>
      <w:r>
        <w:t xml:space="preserve"> group (baseline mean ES </w:t>
      </w:r>
      <w:r w:rsidR="000413B6" w:rsidRPr="000413B6">
        <w:t>25.8; n</w:t>
      </w:r>
      <w:r w:rsidR="004D78CD">
        <w:t xml:space="preserve"> = </w:t>
      </w:r>
      <w:r w:rsidR="000413B6" w:rsidRPr="000413B6">
        <w:t>352), 0.47 units for SAR 150 mg therapy (baseline mean ES 30.4; n</w:t>
      </w:r>
      <w:r w:rsidR="004D78CD">
        <w:t xml:space="preserve"> = </w:t>
      </w:r>
      <w:r>
        <w:t>352) and 0.20 </w:t>
      </w:r>
      <w:r w:rsidR="000413B6" w:rsidRPr="000413B6">
        <w:t>units for the SAR 200 mg group (baseline mean ES 26.7; n</w:t>
      </w:r>
      <w:r w:rsidR="004D78CD">
        <w:t xml:space="preserve"> = </w:t>
      </w:r>
      <w:r w:rsidR="000413B6" w:rsidRPr="000413B6">
        <w:t xml:space="preserve">359). At </w:t>
      </w:r>
      <w:r w:rsidR="002F4291">
        <w:t>Week</w:t>
      </w:r>
      <w:r w:rsidR="000413B6" w:rsidRPr="000413B6">
        <w:t xml:space="preserve"> 52, the proportion of patients who had no progression in JSN score was higher in SAR treatment groups (61.8% </w:t>
      </w:r>
      <w:r w:rsidR="00BF33B8">
        <w:t>(</w:t>
      </w:r>
      <w:r w:rsidR="000413B6" w:rsidRPr="000413B6">
        <w:t>247/400</w:t>
      </w:r>
      <w:r w:rsidR="00BF33B8">
        <w:t>)</w:t>
      </w:r>
      <w:r w:rsidR="000413B6" w:rsidRPr="000413B6">
        <w:t xml:space="preserve"> in the 150 mg group and 70.4% </w:t>
      </w:r>
      <w:r w:rsidR="00BF33B8">
        <w:t>(</w:t>
      </w:r>
      <w:r w:rsidR="000413B6" w:rsidRPr="000413B6">
        <w:t>281/399</w:t>
      </w:r>
      <w:r w:rsidR="00BF33B8">
        <w:t>)</w:t>
      </w:r>
      <w:r w:rsidR="000413B6" w:rsidRPr="000413B6">
        <w:t xml:space="preserve"> in the 200 mg arm) compared to </w:t>
      </w:r>
      <w:r w:rsidR="00A343A3">
        <w:t>placebo</w:t>
      </w:r>
      <w:r w:rsidR="000413B6" w:rsidRPr="000413B6">
        <w:t xml:space="preserve"> (55.3%; 220/398). The rates of no JSN progression between each SAR group and </w:t>
      </w:r>
      <w:r w:rsidR="00A343A3">
        <w:t>placebo</w:t>
      </w:r>
      <w:r w:rsidR="000413B6" w:rsidRPr="000413B6">
        <w:t xml:space="preserve"> were statistically significant for SAR 200 mg versus </w:t>
      </w:r>
      <w:r w:rsidR="00A343A3">
        <w:t>placebo</w:t>
      </w:r>
      <w:r w:rsidR="000413B6" w:rsidRPr="000413B6">
        <w:t xml:space="preserve"> (</w:t>
      </w:r>
      <w:r>
        <w:t>p &lt;</w:t>
      </w:r>
      <w:r w:rsidR="007312A2">
        <w:t xml:space="preserve"> </w:t>
      </w:r>
      <w:r w:rsidR="000413B6" w:rsidRPr="000413B6">
        <w:t xml:space="preserve">0.0001), but not for SAR 150 mg versus </w:t>
      </w:r>
      <w:r w:rsidR="00A343A3">
        <w:t>placebo</w:t>
      </w:r>
      <w:r w:rsidR="000413B6" w:rsidRPr="000413B6">
        <w:t xml:space="preserve"> (p</w:t>
      </w:r>
      <w:r w:rsidR="004D78CD">
        <w:t xml:space="preserve"> = </w:t>
      </w:r>
      <w:r w:rsidR="000413B6" w:rsidRPr="000413B6">
        <w:t>0.0619).</w:t>
      </w:r>
    </w:p>
    <w:p w14:paraId="782DF41B" w14:textId="77777777" w:rsidR="000413B6" w:rsidRPr="000413B6" w:rsidRDefault="000413B6" w:rsidP="000413B6">
      <w:pPr>
        <w:pStyle w:val="Heading7"/>
      </w:pPr>
      <w:r w:rsidRPr="000413B6">
        <w:rPr>
          <w:sz w:val="20"/>
        </w:rPr>
        <w:t>(e) Simplified Di</w:t>
      </w:r>
      <w:r w:rsidR="00B77556">
        <w:rPr>
          <w:sz w:val="20"/>
        </w:rPr>
        <w:t>sease Activity Index (SDAI);</w:t>
      </w:r>
      <w:r w:rsidRPr="000413B6">
        <w:rPr>
          <w:sz w:val="20"/>
        </w:rPr>
        <w:t xml:space="preserve"> Week 24</w:t>
      </w:r>
    </w:p>
    <w:p w14:paraId="15FAAD9E" w14:textId="7682BAAE" w:rsidR="004D78CD" w:rsidRDefault="000413B6" w:rsidP="000413B6">
      <w:r w:rsidRPr="000413B6">
        <w:t xml:space="preserve">Baseline SDAI values were similar across the 3 treatment groups ranging from 41.2 to 42.7. All 3 arms showed a decrease </w:t>
      </w:r>
      <w:r w:rsidR="00F01361">
        <w:t>from Baseline</w:t>
      </w:r>
      <w:r w:rsidRPr="000413B6">
        <w:t xml:space="preserve"> in SDAI. At </w:t>
      </w:r>
      <w:r w:rsidR="002F4291">
        <w:t>Week</w:t>
      </w:r>
      <w:r w:rsidRPr="000413B6">
        <w:t xml:space="preserve"> 24, the LS mean change </w:t>
      </w:r>
      <w:r w:rsidR="00F01361">
        <w:t>from Baseline</w:t>
      </w:r>
      <w:r w:rsidRPr="000413B6">
        <w:t xml:space="preserve"> in SDAI was -14.4 for the </w:t>
      </w:r>
      <w:r w:rsidR="00A343A3">
        <w:t>placebo</w:t>
      </w:r>
      <w:r w:rsidRPr="000413B6">
        <w:t xml:space="preserve"> group, -25.3 for the SAR 150 m</w:t>
      </w:r>
      <w:r w:rsidR="00B77556">
        <w:t>g arm and -27.5 for the SAR 200 </w:t>
      </w:r>
      <w:r w:rsidRPr="000413B6">
        <w:t xml:space="preserve">mg dose group. At 52 weeks, the LS mean change </w:t>
      </w:r>
      <w:r w:rsidR="00F01361">
        <w:t>from Baseline</w:t>
      </w:r>
      <w:r w:rsidRPr="000413B6">
        <w:t xml:space="preserve"> in SDAI was -17.1 for the </w:t>
      </w:r>
      <w:r w:rsidR="00A343A3">
        <w:t>placebo</w:t>
      </w:r>
      <w:r w:rsidRPr="000413B6">
        <w:t xml:space="preserve"> group, -28.2 for the SAR 150 mg arm and -28.95 for the SAR 200 mg group. At </w:t>
      </w:r>
      <w:r w:rsidR="002F4291">
        <w:t>Week</w:t>
      </w:r>
      <w:r w:rsidRPr="000413B6">
        <w:t xml:space="preserve">s 24 and 52, the difference in mean SDAI </w:t>
      </w:r>
      <w:r w:rsidR="00F01361">
        <w:t>from Baseline</w:t>
      </w:r>
      <w:r w:rsidRPr="000413B6">
        <w:t xml:space="preserve"> was statistically greater in both SAR treatment groups compared with </w:t>
      </w:r>
      <w:r w:rsidR="00A343A3">
        <w:t>placebo</w:t>
      </w:r>
      <w:r w:rsidRPr="000413B6">
        <w:t xml:space="preserve"> (nominal p-values </w:t>
      </w:r>
      <w:r w:rsidR="007312A2">
        <w:t xml:space="preserve">&lt; </w:t>
      </w:r>
      <w:r w:rsidRPr="000413B6">
        <w:t>0.0001)</w:t>
      </w:r>
      <w:r w:rsidR="004D78CD">
        <w:t>.</w:t>
      </w:r>
    </w:p>
    <w:p w14:paraId="4CE338F9" w14:textId="77777777" w:rsidR="004D78CD" w:rsidRDefault="000413B6" w:rsidP="000413B6">
      <w:r w:rsidRPr="000413B6">
        <w:t>Furthermore, the proportion of patients achieving SDAI remission (</w:t>
      </w:r>
      <w:r w:rsidR="004D78CD">
        <w:t>that is</w:t>
      </w:r>
      <w:r w:rsidRPr="000413B6">
        <w:t xml:space="preserve"> SDAI </w:t>
      </w:r>
      <w:r w:rsidR="00041F97">
        <w:t xml:space="preserve">≤ </w:t>
      </w:r>
      <w:r w:rsidRPr="000413B6">
        <w:t xml:space="preserve">3.3) was numerically higher in SAR treated patients when compared with </w:t>
      </w:r>
      <w:r w:rsidR="00A343A3">
        <w:t>placebo</w:t>
      </w:r>
      <w:r w:rsidRPr="000413B6">
        <w:t xml:space="preserve"> at </w:t>
      </w:r>
      <w:r w:rsidR="002F4291">
        <w:t>Week</w:t>
      </w:r>
      <w:r w:rsidRPr="000413B6">
        <w:t xml:space="preserve">s 24 and 52 </w:t>
      </w:r>
      <w:r w:rsidRPr="000413B6">
        <w:lastRenderedPageBreak/>
        <w:t>(</w:t>
      </w:r>
      <w:r w:rsidR="002F4291">
        <w:t>Week</w:t>
      </w:r>
      <w:r w:rsidR="00B77556">
        <w:t xml:space="preserve"> 24;</w:t>
      </w:r>
      <w:r w:rsidRPr="000413B6">
        <w:t xml:space="preserve"> 4.8% for </w:t>
      </w:r>
      <w:r w:rsidR="00A343A3">
        <w:t>placebo</w:t>
      </w:r>
      <w:r w:rsidRPr="000413B6">
        <w:t xml:space="preserve">, 10.3% for SAR 150 mg and 13.0% for SAR 200 mg; and at </w:t>
      </w:r>
      <w:r w:rsidR="002F4291">
        <w:t>Week</w:t>
      </w:r>
      <w:r w:rsidR="00B77556">
        <w:t xml:space="preserve"> 52;</w:t>
      </w:r>
      <w:r w:rsidRPr="000413B6">
        <w:t xml:space="preserve"> 4.0% for </w:t>
      </w:r>
      <w:r w:rsidR="00A343A3">
        <w:t>placebo</w:t>
      </w:r>
      <w:r w:rsidRPr="000413B6">
        <w:t>, 15.0% for SAR 150 mg therapy and 18.5% for SAR 200 mg treatment)</w:t>
      </w:r>
      <w:r w:rsidR="004D78CD">
        <w:t>.</w:t>
      </w:r>
    </w:p>
    <w:p w14:paraId="440D9999" w14:textId="77777777" w:rsidR="000413B6" w:rsidRPr="000413B6" w:rsidRDefault="000413B6" w:rsidP="000413B6">
      <w:pPr>
        <w:pStyle w:val="Heading7"/>
        <w:rPr>
          <w:sz w:val="20"/>
        </w:rPr>
      </w:pPr>
      <w:r w:rsidRPr="000413B6">
        <w:rPr>
          <w:sz w:val="20"/>
        </w:rPr>
        <w:t>(f) Clinical Disease Activity Index</w:t>
      </w:r>
      <w:r w:rsidR="00B77556">
        <w:rPr>
          <w:sz w:val="20"/>
        </w:rPr>
        <w:t xml:space="preserve"> (CDAI);</w:t>
      </w:r>
      <w:r w:rsidRPr="000413B6">
        <w:rPr>
          <w:sz w:val="20"/>
        </w:rPr>
        <w:t xml:space="preserve"> Week 24</w:t>
      </w:r>
    </w:p>
    <w:p w14:paraId="58CA670F" w14:textId="62C56EA7" w:rsidR="000413B6" w:rsidRPr="000413B6" w:rsidRDefault="000413B6" w:rsidP="000413B6">
      <w:r w:rsidRPr="000413B6">
        <w:t xml:space="preserve">Baseline CDAI values were similar across the 3 treatment groups in Part B of Study EFC11072 ranging from 40.34 to 40.39. All treatment arms showed a mean decrease </w:t>
      </w:r>
      <w:r w:rsidR="00F01361">
        <w:t>from Baseline</w:t>
      </w:r>
      <w:r w:rsidRPr="000413B6">
        <w:t xml:space="preserve"> in CDAI. At </w:t>
      </w:r>
      <w:r w:rsidR="002F4291">
        <w:t>Week</w:t>
      </w:r>
      <w:r w:rsidRPr="000413B6">
        <w:t xml:space="preserve"> 24, the LS mean change in CDAI was -14.5 for the </w:t>
      </w:r>
      <w:r w:rsidR="00A343A3">
        <w:t>placebo</w:t>
      </w:r>
      <w:r w:rsidRPr="000413B6">
        <w:t xml:space="preserve"> group, -23.9 for the SAR 150 mg arm and -25.8 for the SAR 200 mg dose group. At </w:t>
      </w:r>
      <w:r w:rsidR="002F4291">
        <w:t>Week</w:t>
      </w:r>
      <w:r w:rsidRPr="000413B6">
        <w:t xml:space="preserve"> 24, the differences between each of the SAR dose groups and </w:t>
      </w:r>
      <w:r w:rsidR="00A343A3">
        <w:t>placebo</w:t>
      </w:r>
      <w:r w:rsidRPr="000413B6">
        <w:t xml:space="preserve"> were statistically significant (p-values </w:t>
      </w:r>
      <w:r w:rsidR="007312A2">
        <w:t xml:space="preserve">&lt; </w:t>
      </w:r>
      <w:r w:rsidRPr="000413B6">
        <w:t xml:space="preserve">0.0001). At </w:t>
      </w:r>
      <w:r w:rsidR="002F4291">
        <w:t>Week</w:t>
      </w:r>
      <w:r w:rsidRPr="000413B6">
        <w:t xml:space="preserve"> 52, the LS mean change in CDAI was -17.5 for the </w:t>
      </w:r>
      <w:r w:rsidR="00A343A3">
        <w:t>placebo</w:t>
      </w:r>
      <w:r w:rsidRPr="000413B6">
        <w:t xml:space="preserve"> group, -27.0 for the SAR 150 mg arm and -27.25 for the SAR 200 mg group. At 52 weeks, the LS mean change in CDAI was statistically greater in both SAR groups compared to </w:t>
      </w:r>
      <w:r w:rsidR="00A343A3">
        <w:t>placebo</w:t>
      </w:r>
      <w:r w:rsidRPr="000413B6">
        <w:t xml:space="preserve"> (nominal p-values </w:t>
      </w:r>
      <w:r w:rsidR="007312A2">
        <w:t xml:space="preserve">&lt; </w:t>
      </w:r>
      <w:r w:rsidRPr="000413B6">
        <w:t>0.0001).</w:t>
      </w:r>
    </w:p>
    <w:p w14:paraId="67E09A8A" w14:textId="77777777" w:rsidR="000413B6" w:rsidRPr="000413B6" w:rsidRDefault="000413B6" w:rsidP="000413B6">
      <w:r w:rsidRPr="000413B6">
        <w:t>In addition, the proportion of patients achieving CDAI remission (</w:t>
      </w:r>
      <w:r w:rsidR="004D78CD">
        <w:t>that is</w:t>
      </w:r>
      <w:r w:rsidRPr="000413B6">
        <w:t xml:space="preserve"> CDAI </w:t>
      </w:r>
      <w:r w:rsidR="00041F97">
        <w:t xml:space="preserve">≤ </w:t>
      </w:r>
      <w:r w:rsidRPr="000413B6">
        <w:t xml:space="preserve">2.8) was higher in SAR treated patients versus </w:t>
      </w:r>
      <w:r w:rsidR="00A343A3">
        <w:t>placebo</w:t>
      </w:r>
      <w:r w:rsidRPr="000413B6">
        <w:t xml:space="preserve"> at both </w:t>
      </w:r>
      <w:r w:rsidR="002F4291">
        <w:t>Week</w:t>
      </w:r>
      <w:r w:rsidRPr="000413B6">
        <w:t>s 24 and 52 (</w:t>
      </w:r>
      <w:r w:rsidR="002F4291">
        <w:t>Week</w:t>
      </w:r>
      <w:r w:rsidR="00B77556">
        <w:t xml:space="preserve"> 24;</w:t>
      </w:r>
      <w:r w:rsidRPr="000413B6">
        <w:t xml:space="preserve"> 5.0% for </w:t>
      </w:r>
      <w:r w:rsidR="00A343A3">
        <w:t>placebo</w:t>
      </w:r>
      <w:r w:rsidRPr="000413B6">
        <w:t xml:space="preserve">, 10.3% for SAR 150 mg and 13.8% for SAR 200 mg; and at </w:t>
      </w:r>
      <w:r w:rsidR="002F4291">
        <w:t>Week</w:t>
      </w:r>
      <w:r w:rsidR="00B77556">
        <w:t xml:space="preserve"> 52;</w:t>
      </w:r>
      <w:r w:rsidRPr="000413B6">
        <w:t xml:space="preserve"> 4.8% for </w:t>
      </w:r>
      <w:r w:rsidR="00A343A3">
        <w:t>placebo</w:t>
      </w:r>
      <w:r w:rsidRPr="000413B6">
        <w:t xml:space="preserve">, 14.8% for SAR 150 mg and 18.0% for SAR 200 mg therapy). The nominal p-value for testing the difference in the incidence of achieving CDAI remission between each of the SAR groups and </w:t>
      </w:r>
      <w:r w:rsidR="00A343A3">
        <w:t>placebo</w:t>
      </w:r>
      <w:r w:rsidRPr="000413B6">
        <w:t xml:space="preserve"> was </w:t>
      </w:r>
      <w:r w:rsidR="00B77556">
        <w:t>p &lt;</w:t>
      </w:r>
      <w:r w:rsidR="007312A2">
        <w:t xml:space="preserve"> </w:t>
      </w:r>
      <w:r w:rsidRPr="000413B6">
        <w:t xml:space="preserve">0.001 at </w:t>
      </w:r>
      <w:r w:rsidR="002F4291">
        <w:t>Week</w:t>
      </w:r>
      <w:r w:rsidRPr="000413B6">
        <w:t>s 24 and 52.</w:t>
      </w:r>
    </w:p>
    <w:p w14:paraId="2E959625" w14:textId="77777777" w:rsidR="000413B6" w:rsidRPr="000413B6" w:rsidRDefault="000413B6" w:rsidP="000413B6">
      <w:pPr>
        <w:pStyle w:val="Heading7"/>
        <w:rPr>
          <w:sz w:val="20"/>
        </w:rPr>
      </w:pPr>
      <w:r w:rsidRPr="000413B6">
        <w:rPr>
          <w:sz w:val="20"/>
        </w:rPr>
        <w:t xml:space="preserve">(g) Boolean-based ACR/EULAR </w:t>
      </w:r>
      <w:r w:rsidR="00B77556">
        <w:rPr>
          <w:sz w:val="20"/>
        </w:rPr>
        <w:t>remission;</w:t>
      </w:r>
      <w:r w:rsidRPr="000413B6">
        <w:rPr>
          <w:sz w:val="20"/>
        </w:rPr>
        <w:t xml:space="preserve"> Weeks 24 and 52</w:t>
      </w:r>
    </w:p>
    <w:p w14:paraId="3BADE681" w14:textId="77777777" w:rsidR="000413B6" w:rsidRPr="000413B6" w:rsidRDefault="000413B6" w:rsidP="000413B6">
      <w:r w:rsidRPr="000413B6">
        <w:t xml:space="preserve">The proportion of patients achieving Boolean-based ACR/EULAR remission at </w:t>
      </w:r>
      <w:r w:rsidR="002F4291">
        <w:t>Week</w:t>
      </w:r>
      <w:r w:rsidRPr="000413B6">
        <w:t>s 24 and 52 was numerically higher in pat</w:t>
      </w:r>
      <w:r w:rsidR="00B77556">
        <w:t>ients treated with SAR (150 mg;</w:t>
      </w:r>
      <w:r w:rsidRPr="000413B6">
        <w:t xml:space="preserve"> 6.5% at </w:t>
      </w:r>
      <w:r w:rsidR="002F4291">
        <w:t>Week</w:t>
      </w:r>
      <w:r w:rsidRPr="000413B6">
        <w:t xml:space="preserve"> 24 and 10.5% at </w:t>
      </w:r>
      <w:r w:rsidR="002F4291">
        <w:t>Week</w:t>
      </w:r>
      <w:r w:rsidR="00B77556">
        <w:t xml:space="preserve"> 52; 200 mg;</w:t>
      </w:r>
      <w:r w:rsidRPr="000413B6">
        <w:t xml:space="preserve"> 10.5% at </w:t>
      </w:r>
      <w:r w:rsidR="002F4291">
        <w:t>Week</w:t>
      </w:r>
      <w:r w:rsidRPr="000413B6">
        <w:t xml:space="preserve"> 24 and 14.0% at </w:t>
      </w:r>
      <w:r w:rsidR="002F4291">
        <w:t>Week</w:t>
      </w:r>
      <w:r w:rsidRPr="000413B6">
        <w:t xml:space="preserve"> 52) compared with </w:t>
      </w:r>
      <w:r w:rsidR="00A343A3">
        <w:t>placebo</w:t>
      </w:r>
      <w:r w:rsidRPr="000413B6">
        <w:t xml:space="preserve"> treated patients (3.8% at </w:t>
      </w:r>
      <w:r w:rsidR="002F4291">
        <w:t>Week</w:t>
      </w:r>
      <w:r w:rsidRPr="000413B6">
        <w:t xml:space="preserve"> 24 and 3.0% at </w:t>
      </w:r>
      <w:r w:rsidR="002F4291">
        <w:t>Week</w:t>
      </w:r>
      <w:r w:rsidRPr="000413B6">
        <w:t xml:space="preserve"> 52). At Week 24, the nominal p-values for testing the difference in Boolean-based ACR/EULAR response between each of the SAR treatment groups and </w:t>
      </w:r>
      <w:r w:rsidR="00A343A3">
        <w:t>placebo</w:t>
      </w:r>
      <w:r w:rsidRPr="000413B6">
        <w:t xml:space="preserve"> were p</w:t>
      </w:r>
      <w:r w:rsidR="004D78CD">
        <w:t xml:space="preserve"> = </w:t>
      </w:r>
      <w:r w:rsidRPr="000413B6">
        <w:t xml:space="preserve">0.09 for SAR 150 mg versus </w:t>
      </w:r>
      <w:r w:rsidR="00A343A3">
        <w:t>placebo</w:t>
      </w:r>
      <w:r w:rsidRPr="000413B6">
        <w:t>, and p</w:t>
      </w:r>
      <w:r w:rsidR="004D78CD">
        <w:t xml:space="preserve"> = </w:t>
      </w:r>
      <w:r w:rsidRPr="000413B6">
        <w:t xml:space="preserve">0.0002 for SAR 200 mg versus </w:t>
      </w:r>
      <w:r w:rsidR="00A343A3">
        <w:t>placebo</w:t>
      </w:r>
      <w:r w:rsidRPr="000413B6">
        <w:t xml:space="preserve">. At </w:t>
      </w:r>
      <w:r w:rsidR="002F4291">
        <w:t>Week</w:t>
      </w:r>
      <w:r w:rsidRPr="000413B6">
        <w:t xml:space="preserve"> 52, the nominal p-values were p </w:t>
      </w:r>
      <w:r w:rsidR="007312A2">
        <w:t xml:space="preserve">&lt; </w:t>
      </w:r>
      <w:r w:rsidRPr="000413B6">
        <w:t xml:space="preserve">0.0001 for both comparisons between SAR and </w:t>
      </w:r>
      <w:r w:rsidR="00A343A3">
        <w:t>placebo</w:t>
      </w:r>
      <w:r w:rsidRPr="000413B6">
        <w:t>.</w:t>
      </w:r>
    </w:p>
    <w:p w14:paraId="1970AD45" w14:textId="77777777" w:rsidR="000413B6" w:rsidRPr="000413B6" w:rsidRDefault="00B77556" w:rsidP="000413B6">
      <w:pPr>
        <w:pStyle w:val="Heading7"/>
        <w:rPr>
          <w:sz w:val="20"/>
        </w:rPr>
      </w:pPr>
      <w:r>
        <w:rPr>
          <w:sz w:val="20"/>
        </w:rPr>
        <w:t>(h) Quality of Life Outcomes;</w:t>
      </w:r>
      <w:r w:rsidR="000413B6" w:rsidRPr="000413B6">
        <w:rPr>
          <w:sz w:val="20"/>
        </w:rPr>
        <w:t xml:space="preserve"> Week 24 and 52</w:t>
      </w:r>
    </w:p>
    <w:p w14:paraId="12B3F1B5" w14:textId="56F0C118" w:rsidR="004D78CD" w:rsidRDefault="000413B6" w:rsidP="000413B6">
      <w:r w:rsidRPr="000413B6">
        <w:t xml:space="preserve">At </w:t>
      </w:r>
      <w:r w:rsidR="002F4291">
        <w:t>Week</w:t>
      </w:r>
      <w:r w:rsidRPr="000413B6">
        <w:t xml:space="preserve">s 24 and 52, both doses of SAR demonstrated statistically significant differences (improvement) in the SF-36 PCS scores compared to </w:t>
      </w:r>
      <w:r w:rsidR="00A343A3">
        <w:t>placebo</w:t>
      </w:r>
      <w:r w:rsidRPr="000413B6">
        <w:t xml:space="preserve"> (all p-values </w:t>
      </w:r>
      <w:r w:rsidR="007312A2">
        <w:t xml:space="preserve">&lt; </w:t>
      </w:r>
      <w:r w:rsidR="00347016">
        <w:t>0.0001</w:t>
      </w:r>
      <w:r w:rsidR="00347016" w:rsidRPr="00347016">
        <w:t>)</w:t>
      </w:r>
      <w:r w:rsidRPr="00347016">
        <w:t>. A</w:t>
      </w:r>
      <w:r w:rsidRPr="00D16242">
        <w:t>t</w:t>
      </w:r>
      <w:r w:rsidRPr="000413B6">
        <w:t xml:space="preserve"> </w:t>
      </w:r>
      <w:r w:rsidR="002F4291">
        <w:t>Week</w:t>
      </w:r>
      <w:r w:rsidRPr="000413B6">
        <w:t xml:space="preserve"> 24, both doses of SAR were statistically better than </w:t>
      </w:r>
      <w:r w:rsidR="00A343A3">
        <w:t>placebo</w:t>
      </w:r>
      <w:r w:rsidRPr="000413B6">
        <w:t xml:space="preserve"> for the mean differences (improvement) </w:t>
      </w:r>
      <w:r w:rsidR="00F01361">
        <w:t>from Baseline</w:t>
      </w:r>
      <w:r w:rsidRPr="000413B6">
        <w:t xml:space="preserve"> in the SF-36 MCS scores, but this was observed at </w:t>
      </w:r>
      <w:r w:rsidR="002F4291">
        <w:t>Week</w:t>
      </w:r>
      <w:r w:rsidRPr="000413B6">
        <w:t xml:space="preserve"> 52 for the SAR 150 mg dose group vers</w:t>
      </w:r>
      <w:r w:rsidR="00B77556">
        <w:t xml:space="preserve">us </w:t>
      </w:r>
      <w:r w:rsidR="00A343A3">
        <w:t>placebo</w:t>
      </w:r>
      <w:r w:rsidR="00347016">
        <w:t xml:space="preserve">. </w:t>
      </w:r>
      <w:r w:rsidRPr="00D16242">
        <w:t>The</w:t>
      </w:r>
      <w:r w:rsidRPr="000413B6">
        <w:t xml:space="preserve"> SAR 200 mg dose arm showed a statistically significant improvement compared to </w:t>
      </w:r>
      <w:r w:rsidR="00A343A3">
        <w:t>placebo</w:t>
      </w:r>
      <w:r w:rsidRPr="000413B6">
        <w:t xml:space="preserve"> at </w:t>
      </w:r>
      <w:r w:rsidR="002F4291">
        <w:t>Week</w:t>
      </w:r>
      <w:r w:rsidRPr="000413B6">
        <w:t xml:space="preserve"> 52 for the mean change </w:t>
      </w:r>
      <w:r w:rsidR="00F01361">
        <w:t>from Baseline</w:t>
      </w:r>
      <w:r w:rsidRPr="000413B6">
        <w:t xml:space="preserve"> in the SF-36 PCS score</w:t>
      </w:r>
      <w:r w:rsidR="004D78CD">
        <w:t>.</w:t>
      </w:r>
    </w:p>
    <w:p w14:paraId="1C4C64BA" w14:textId="7B2E47CA" w:rsidR="000413B6" w:rsidRPr="000413B6" w:rsidRDefault="000413B6" w:rsidP="000413B6">
      <w:r w:rsidRPr="000413B6">
        <w:t xml:space="preserve">At </w:t>
      </w:r>
      <w:r w:rsidR="002F4291">
        <w:t>Week</w:t>
      </w:r>
      <w:r w:rsidRPr="000413B6">
        <w:t>s 24 and 52, both SAR treatment groups demonstrated statistically significant differences</w:t>
      </w:r>
      <w:r>
        <w:t xml:space="preserve"> </w:t>
      </w:r>
      <w:r w:rsidRPr="000413B6">
        <w:t xml:space="preserve">compared to </w:t>
      </w:r>
      <w:r w:rsidR="00A343A3">
        <w:t>placebo</w:t>
      </w:r>
      <w:r w:rsidRPr="000413B6">
        <w:t xml:space="preserve"> for the mean change </w:t>
      </w:r>
      <w:r w:rsidR="00F01361">
        <w:t>from Baseline</w:t>
      </w:r>
      <w:r w:rsidR="00B77556">
        <w:t xml:space="preserve"> in FACIT-Fatigue scores (all p</w:t>
      </w:r>
      <w:r w:rsidR="00B77556">
        <w:noBreakHyphen/>
      </w:r>
      <w:r w:rsidRPr="000413B6">
        <w:t>values</w:t>
      </w:r>
      <w:r w:rsidR="007312A2">
        <w:t xml:space="preserve">&lt; </w:t>
      </w:r>
      <w:r w:rsidRPr="000413B6">
        <w:t xml:space="preserve">0.0001). Similarly, at </w:t>
      </w:r>
      <w:r w:rsidR="002F4291">
        <w:t>Week</w:t>
      </w:r>
      <w:r w:rsidRPr="000413B6">
        <w:t xml:space="preserve">s 24 and 52, both SAR treatment groups demonstrated statistically significant differences compared to </w:t>
      </w:r>
      <w:r w:rsidR="00A343A3">
        <w:t>placebo</w:t>
      </w:r>
      <w:r w:rsidRPr="000413B6">
        <w:t xml:space="preserve"> for the mean change </w:t>
      </w:r>
      <w:r w:rsidR="00F01361">
        <w:t>from Baseline</w:t>
      </w:r>
      <w:r w:rsidRPr="000413B6">
        <w:t xml:space="preserve"> in sleep VAS (all p-values </w:t>
      </w:r>
      <w:r w:rsidR="007312A2">
        <w:t xml:space="preserve">&lt; </w:t>
      </w:r>
      <w:r w:rsidRPr="000413B6">
        <w:t>0.003).</w:t>
      </w:r>
    </w:p>
    <w:p w14:paraId="39C10159" w14:textId="77777777" w:rsidR="004D78CD" w:rsidRDefault="000413B6" w:rsidP="000413B6">
      <w:r w:rsidRPr="000413B6">
        <w:t xml:space="preserve">At </w:t>
      </w:r>
      <w:r w:rsidR="002F4291">
        <w:t>Week</w:t>
      </w:r>
      <w:r w:rsidRPr="000413B6">
        <w:t xml:space="preserve"> 12, both SAR treatment groups (-19.6% for SAR 150 mg and -17.24% for SAR 200 mg) showed less overall work impairment due to RA compared to </w:t>
      </w:r>
      <w:r w:rsidR="00A343A3">
        <w:t>placebo</w:t>
      </w:r>
      <w:r w:rsidRPr="000413B6">
        <w:t xml:space="preserve"> (-10.1%). The difference in WPAI percentage of overall work impairment was statistically significant between SAR 150 mg and </w:t>
      </w:r>
      <w:r w:rsidR="00A343A3">
        <w:t>placebo</w:t>
      </w:r>
      <w:r w:rsidRPr="000413B6">
        <w:t xml:space="preserve"> (p</w:t>
      </w:r>
      <w:r w:rsidR="004D78CD">
        <w:t xml:space="preserve"> = </w:t>
      </w:r>
      <w:r w:rsidRPr="000413B6">
        <w:t xml:space="preserve">0.0127), but the difference in WPAI percentage of overall work impairment was not statistically significant between the SAR 200 mg arm and </w:t>
      </w:r>
      <w:r w:rsidR="00A343A3">
        <w:t>placebo</w:t>
      </w:r>
      <w:r w:rsidRPr="000413B6">
        <w:t xml:space="preserve"> (p</w:t>
      </w:r>
      <w:r w:rsidR="004D78CD">
        <w:t xml:space="preserve"> = </w:t>
      </w:r>
      <w:r w:rsidRPr="000413B6">
        <w:t xml:space="preserve">0.0631). At </w:t>
      </w:r>
      <w:r w:rsidR="002F4291">
        <w:t>Week</w:t>
      </w:r>
      <w:r w:rsidRPr="000413B6">
        <w:t xml:space="preserve"> 52, the difference in WPAI percentage of overall work impairment due to RA was not statistically significant for either SAR (-21.8% for SAR 150 mg and -25.6</w:t>
      </w:r>
      <w:r w:rsidR="00B77556">
        <w:t xml:space="preserve">% for 200 mg) compared to </w:t>
      </w:r>
      <w:r w:rsidR="00A343A3">
        <w:t>placebo</w:t>
      </w:r>
      <w:r w:rsidR="00B77556">
        <w:t xml:space="preserve"> (</w:t>
      </w:r>
      <w:r w:rsidR="00B77556">
        <w:noBreakHyphen/>
      </w:r>
      <w:r w:rsidRPr="000413B6">
        <w:t>16.83%)</w:t>
      </w:r>
      <w:r w:rsidR="004D78CD">
        <w:t>.</w:t>
      </w:r>
    </w:p>
    <w:p w14:paraId="3C5D7BA3" w14:textId="77777777" w:rsidR="000413B6" w:rsidRPr="000413B6" w:rsidRDefault="000413B6" w:rsidP="000413B6">
      <w:pPr>
        <w:pStyle w:val="Heading4"/>
      </w:pPr>
      <w:bookmarkStart w:id="179" w:name="_Toc290888502"/>
      <w:bookmarkStart w:id="180" w:name="_Toc464131538"/>
      <w:r w:rsidRPr="000413B6">
        <w:lastRenderedPageBreak/>
        <w:t xml:space="preserve">Study </w:t>
      </w:r>
      <w:bookmarkEnd w:id="179"/>
      <w:r w:rsidRPr="000413B6">
        <w:t>EFC10832</w:t>
      </w:r>
      <w:bookmarkEnd w:id="180"/>
    </w:p>
    <w:p w14:paraId="695D00EB" w14:textId="77777777" w:rsidR="000413B6" w:rsidRPr="000413B6" w:rsidRDefault="000413B6" w:rsidP="000413B6">
      <w:pPr>
        <w:pStyle w:val="Heading5"/>
      </w:pPr>
      <w:r w:rsidRPr="000413B6">
        <w:t>Study design, objectives, locations and dates</w:t>
      </w:r>
    </w:p>
    <w:p w14:paraId="2FF91602" w14:textId="6DE415A8" w:rsidR="000413B6" w:rsidRPr="000413B6" w:rsidRDefault="00B77556" w:rsidP="000413B6">
      <w:r>
        <w:t xml:space="preserve">Study EFC10832 was a 3 </w:t>
      </w:r>
      <w:r w:rsidR="000413B6" w:rsidRPr="000413B6">
        <w:t xml:space="preserve">arm, randomised, </w:t>
      </w:r>
      <w:r w:rsidR="00E0128B">
        <w:t>double blind</w:t>
      </w:r>
      <w:r>
        <w:t xml:space="preserve">, parallel group, </w:t>
      </w:r>
      <w:r w:rsidR="00A343A3">
        <w:t>placebo</w:t>
      </w:r>
      <w:r>
        <w:t xml:space="preserve"> </w:t>
      </w:r>
      <w:r w:rsidR="000413B6" w:rsidRPr="000413B6">
        <w:t xml:space="preserve">controlled </w:t>
      </w:r>
      <w:r>
        <w:t>Phase </w:t>
      </w:r>
      <w:r w:rsidR="004D78CD">
        <w:t>III</w:t>
      </w:r>
      <w:r w:rsidR="000413B6" w:rsidRPr="000413B6">
        <w:t xml:space="preserve"> trial of 24 weeks duration in patients with active RA who were inadequate responders to or intolerant of anti-TNF therapy. Subjects were randomised in equal ratio to receive SC injections of SAR 150 mg q2w, SAR 200 mg q2w or </w:t>
      </w:r>
      <w:r w:rsidR="00A343A3">
        <w:t>placebo</w:t>
      </w:r>
      <w:r w:rsidR="000413B6" w:rsidRPr="000413B6">
        <w:t xml:space="preserve"> q2w. The maximum duration of participation in Study EFC10832 for each individual patient was 34 weeks (up to 4 weeks for screening, followed by 24 weeks for treatment and 6 weeks for follow-up following the last injection). All patients who completed Study EFC10832 were eligible to enter Study LTS11210. No interim analysis was performed in this trial. In Study EFC10832, clinical efficacy and safety assessments were performed </w:t>
      </w:r>
      <w:r w:rsidR="00F01361">
        <w:t>at Baseline</w:t>
      </w:r>
      <w:r w:rsidR="000413B6" w:rsidRPr="000413B6">
        <w:t xml:space="preserve">; every 2 weeks until </w:t>
      </w:r>
      <w:r w:rsidR="002F4291">
        <w:t>Week</w:t>
      </w:r>
      <w:r>
        <w:t xml:space="preserve"> 12; and thereafter every 4 </w:t>
      </w:r>
      <w:r w:rsidR="000413B6" w:rsidRPr="000413B6">
        <w:t xml:space="preserve">weeks until </w:t>
      </w:r>
      <w:r w:rsidR="002F4291">
        <w:t>Week</w:t>
      </w:r>
      <w:r w:rsidR="000413B6" w:rsidRPr="000413B6">
        <w:t xml:space="preserve"> 24. No joint radiographic data was collected in this trial.</w:t>
      </w:r>
    </w:p>
    <w:p w14:paraId="01CE0E04" w14:textId="1C9365F8" w:rsidR="000413B6" w:rsidRPr="000413B6" w:rsidRDefault="000413B6" w:rsidP="000413B6">
      <w:r w:rsidRPr="000413B6">
        <w:t xml:space="preserve">From </w:t>
      </w:r>
      <w:r w:rsidR="002F4291">
        <w:t>Week</w:t>
      </w:r>
      <w:r w:rsidRPr="000413B6">
        <w:t xml:space="preserve"> 12 onwards, Study EFC10832 allowed for early escape to rescue treatment for all patients demonstrating lack of efficacy, which is ethically appropriate. Lack of efficacy was defined as </w:t>
      </w:r>
      <w:r w:rsidR="007312A2">
        <w:t xml:space="preserve">&lt; </w:t>
      </w:r>
      <w:r w:rsidRPr="000413B6">
        <w:t xml:space="preserve">20% improvement </w:t>
      </w:r>
      <w:r w:rsidR="00F01361">
        <w:t>from Baseline</w:t>
      </w:r>
      <w:r w:rsidRPr="000413B6">
        <w:t xml:space="preserve"> in SJC or TJC for 2 assessments that were at least 4 weeks apart. Rescue therapy subjects were offered </w:t>
      </w:r>
      <w:r w:rsidR="004D78CD">
        <w:t>open label</w:t>
      </w:r>
      <w:r w:rsidRPr="000413B6">
        <w:t xml:space="preserve"> SAR inject</w:t>
      </w:r>
      <w:r w:rsidR="00B77556">
        <w:t>ions as part of Study </w:t>
      </w:r>
      <w:r>
        <w:t>LTS11210.</w:t>
      </w:r>
    </w:p>
    <w:p w14:paraId="58FC6746" w14:textId="77777777" w:rsidR="004D78CD" w:rsidRDefault="000413B6" w:rsidP="000413B6">
      <w:r w:rsidRPr="000413B6">
        <w:t>The primary objectives of Study EFC10832 were to demonst</w:t>
      </w:r>
      <w:r w:rsidR="00B77556">
        <w:t>rate that SAR when added to non</w:t>
      </w:r>
      <w:r w:rsidR="00B77556">
        <w:noBreakHyphen/>
      </w:r>
      <w:r w:rsidRPr="000413B6">
        <w:t xml:space="preserve">biologic DMARD therapy was effective in reducing the symptoms and signs at </w:t>
      </w:r>
      <w:r w:rsidR="002F4291">
        <w:t>Week</w:t>
      </w:r>
      <w:r w:rsidRPr="000413B6">
        <w:t xml:space="preserve"> 24 and improving physical function at </w:t>
      </w:r>
      <w:r w:rsidR="002F4291">
        <w:t>Week</w:t>
      </w:r>
      <w:r w:rsidRPr="000413B6">
        <w:t xml:space="preserve"> 12 in adult patients with active RA who were inadequate responders to or intolerant of anti-TNF therapy</w:t>
      </w:r>
      <w:r w:rsidR="004D78CD">
        <w:t>.</w:t>
      </w:r>
    </w:p>
    <w:p w14:paraId="6612CEA2" w14:textId="77777777" w:rsidR="004D78CD" w:rsidRDefault="000413B6" w:rsidP="000413B6">
      <w:r w:rsidRPr="000413B6">
        <w:t>Study EFC10832 was conducted at 240 investigator sites in 27 countries in Europe, North and South America, Asia as well as Australia, New Zealand and Israel. The first patient was enrolled in October 2012 and the last patient completed follow-up in March 2015</w:t>
      </w:r>
      <w:r w:rsidR="004D78CD">
        <w:t>.</w:t>
      </w:r>
    </w:p>
    <w:p w14:paraId="7A8E0466" w14:textId="4F1F6341" w:rsidR="004D78CD" w:rsidRDefault="000413B6" w:rsidP="000413B6">
      <w:r w:rsidRPr="000413B6">
        <w:t>A total of 3 protocol amendments were implemented in Study EFC10832. The first amendment was implemented before the enrolment of any patients and notably added 2 new exclusion criteria at screening relating to the presence of interstitial lung disease and a lower threshold for the determination of significant thrombocyto</w:t>
      </w:r>
      <w:r w:rsidR="00BA3918">
        <w:t>paenia</w:t>
      </w:r>
      <w:r w:rsidRPr="000413B6">
        <w:t xml:space="preserve"> (platelet count </w:t>
      </w:r>
      <w:r w:rsidR="007312A2">
        <w:t xml:space="preserve">&lt; </w:t>
      </w:r>
      <w:r w:rsidRPr="000413B6">
        <w:t xml:space="preserve">100 x </w:t>
      </w:r>
      <w:r w:rsidR="007312A2" w:rsidRPr="00984208">
        <w:t>10</w:t>
      </w:r>
      <w:r w:rsidR="007312A2" w:rsidRPr="007312A2">
        <w:rPr>
          <w:vertAlign w:val="superscript"/>
        </w:rPr>
        <w:t>9</w:t>
      </w:r>
      <w:r w:rsidRPr="000413B6">
        <w:t xml:space="preserve">/L) </w:t>
      </w:r>
      <w:r w:rsidR="00F01361">
        <w:t>at Baseline</w:t>
      </w:r>
      <w:r w:rsidRPr="000413B6">
        <w:t>. The second protocol amendment clarified details regarding the dosages of co</w:t>
      </w:r>
      <w:r w:rsidR="00B77556">
        <w:t>ncurrent non</w:t>
      </w:r>
      <w:r w:rsidR="00B77556">
        <w:noBreakHyphen/>
      </w:r>
      <w:r w:rsidRPr="000413B6">
        <w:t xml:space="preserve">biological DMARD therapy, treatment of dyslipidaemia and the handling of subjects for temporary or permanent treatment discontinuation. In the third protocol amendment the sponsor converted the HAQ-DI efficacy outcome from a secondary to co-primary efficacy endpoint, which required revision of the statistical analysis plan. Furthermore, the sponsor changed the calculation of the HAQ-DI endpoint as the mean change </w:t>
      </w:r>
      <w:r w:rsidR="00F01361">
        <w:t>from Baseline</w:t>
      </w:r>
      <w:r w:rsidRPr="000413B6">
        <w:t xml:space="preserve"> to </w:t>
      </w:r>
      <w:r w:rsidR="002F4291">
        <w:t>Week</w:t>
      </w:r>
      <w:r w:rsidRPr="000413B6">
        <w:t xml:space="preserve"> 12. These changes are highly similar to what occurred with protocol amendments 6 and 7 in Part B of Study EFC11072</w:t>
      </w:r>
      <w:r w:rsidR="004D78CD">
        <w:t>.</w:t>
      </w:r>
    </w:p>
    <w:p w14:paraId="354BBE4F" w14:textId="77777777" w:rsidR="000413B6" w:rsidRPr="000413B6" w:rsidRDefault="000413B6" w:rsidP="000413B6">
      <w:pPr>
        <w:pStyle w:val="Heading5"/>
      </w:pPr>
      <w:r w:rsidRPr="000413B6">
        <w:t>Inclusion and exclusion criteria</w:t>
      </w:r>
    </w:p>
    <w:p w14:paraId="35D09CEA" w14:textId="41A51CF0" w:rsidR="000413B6" w:rsidRPr="000413B6" w:rsidRDefault="000413B6" w:rsidP="000413B6">
      <w:r w:rsidRPr="000413B6">
        <w:t xml:space="preserve">To be eligible for inclusion in Study EFC10832, patients had to be at least 18 years of age with a diagnosis of RA for at least 6 months according to the 2010 ACR/EULAR classification criteria. Subjects were required to be of ACR Class I-III functional status based on the 1991 revised criteria. Subjects had to have active disease </w:t>
      </w:r>
      <w:r w:rsidR="00F01361">
        <w:t>at Baseline</w:t>
      </w:r>
      <w:r w:rsidRPr="000413B6">
        <w:t xml:space="preserve"> as evidenced by </w:t>
      </w:r>
      <w:r w:rsidR="007312A2">
        <w:t xml:space="preserve">≥ </w:t>
      </w:r>
      <w:r w:rsidRPr="000413B6">
        <w:t xml:space="preserve">8 tender (out of a possible 68), </w:t>
      </w:r>
      <w:r w:rsidR="007312A2">
        <w:t xml:space="preserve">≥ </w:t>
      </w:r>
      <w:r w:rsidRPr="000413B6">
        <w:t xml:space="preserve">6 swollen joints (out of a possible 66) and a high sensitivity CRP reading </w:t>
      </w:r>
      <w:r w:rsidR="007312A2">
        <w:t xml:space="preserve">&gt; </w:t>
      </w:r>
      <w:r w:rsidRPr="000413B6">
        <w:t>8 mg/L.</w:t>
      </w:r>
    </w:p>
    <w:p w14:paraId="1F208A09" w14:textId="77777777" w:rsidR="004D78CD" w:rsidRDefault="000413B6" w:rsidP="000413B6">
      <w:r w:rsidRPr="000413B6">
        <w:t>The eligibility criteria for Study EFC10832 required subjects to have active RA despite current treatment with 1 or more non-biologic DMARD drugs for a minimum of 12 weeks prior to randomisation and at a stable dose for a minimum of 6 weeks. The non-biologic DMARD options for eligibility specified the follow</w:t>
      </w:r>
      <w:r w:rsidR="00B77556">
        <w:t xml:space="preserve">ing pre-requisite doses: MTX 10 to </w:t>
      </w:r>
      <w:r w:rsidRPr="000413B6">
        <w:t xml:space="preserve">25 mg/week </w:t>
      </w:r>
      <w:r w:rsidR="00B77556">
        <w:t xml:space="preserve">(oral or intramuscular), LEF 10 to 20 mg/daily, SSZ 1000 to 3000 mg/daily and/or HCQ 200 to </w:t>
      </w:r>
      <w:r w:rsidRPr="000413B6">
        <w:t>400 mg daily</w:t>
      </w:r>
      <w:r w:rsidR="004D78CD">
        <w:t>.</w:t>
      </w:r>
    </w:p>
    <w:p w14:paraId="3E5C4A9E" w14:textId="77777777" w:rsidR="004D78CD" w:rsidRDefault="000413B6" w:rsidP="000413B6">
      <w:r w:rsidRPr="000413B6">
        <w:lastRenderedPageBreak/>
        <w:t>All subjects were required to have failed or be intolerant of at least one anti-TNF drug. Anti-TNF failure was defined as patients with an inadequate response for at least 3 consecutive months. Intolerance to anti-TNF was defined as a need for treatment discontinuation from therapy. It was a requirement that anti-TNF therapies were ceased at least 42 days prior to randomisation (at least 28 days prior to randomisation for preceding etanercept therapy). Prior treatment with abatacept, anakinra and rituximab was permitted if an appropriate washout period had ensued. However, any prior history of exposure to tocilizumab or a Janus kinase inhibitor th</w:t>
      </w:r>
      <w:r>
        <w:t>erapy was an exclusion event</w:t>
      </w:r>
      <w:r w:rsidR="004D78CD">
        <w:t>.</w:t>
      </w:r>
    </w:p>
    <w:p w14:paraId="75A776F2" w14:textId="4C0FB303" w:rsidR="004D78CD" w:rsidRDefault="000413B6" w:rsidP="000413B6">
      <w:r w:rsidRPr="000413B6">
        <w:t>Concomitant treatment with non-biological DMARD therapy (</w:t>
      </w:r>
      <w:r w:rsidR="007312A2">
        <w:t>for example</w:t>
      </w:r>
      <w:r w:rsidR="00B77556">
        <w:t xml:space="preserve"> MTX 10 to 25 </w:t>
      </w:r>
      <w:r w:rsidRPr="000413B6">
        <w:t xml:space="preserve">mg/week) was required in Study EFC10832 if the dose and route of administration had been stable for at least 6 weeks prior to randomisation. The concomitant use of oral corticosteroids (CS) was permitted for subjects taking stable doses (prednisone </w:t>
      </w:r>
      <w:r w:rsidR="00BF33B8">
        <w:t>(</w:t>
      </w:r>
      <w:r w:rsidRPr="000413B6">
        <w:t>or equivalent</w:t>
      </w:r>
      <w:r w:rsidR="00BF33B8">
        <w:t>)</w:t>
      </w:r>
      <w:r w:rsidRPr="000413B6">
        <w:t xml:space="preserve"> </w:t>
      </w:r>
      <w:r w:rsidR="007312A2">
        <w:t xml:space="preserve">&lt; </w:t>
      </w:r>
      <w:r w:rsidRPr="000413B6">
        <w:t>10 mg/day) for at least 4 weeks prior to screening. Parenteral or intra-articular CS injections within 4 weeks of randomisation were an exclusion criterion. Concomitant NSAID was also permitted, provided subjects were on a stable dose for at least 4 weeks prior to randomisation</w:t>
      </w:r>
      <w:r w:rsidR="004D78CD">
        <w:t>.</w:t>
      </w:r>
    </w:p>
    <w:p w14:paraId="348B232B" w14:textId="77777777" w:rsidR="000413B6" w:rsidRPr="000413B6" w:rsidRDefault="000413B6" w:rsidP="000413B6">
      <w:r w:rsidRPr="000413B6">
        <w:t>There were a large number (n</w:t>
      </w:r>
      <w:r w:rsidR="004D78CD">
        <w:t xml:space="preserve"> = </w:t>
      </w:r>
      <w:r w:rsidRPr="000413B6">
        <w:t>39) of exclusion criteria in Study EFC10832. Co-morbid conditions were an exclusion criterion based on the investigator decision as to their clinical significance (including cardiac, pulmonary, neurologic, psychiatric and any major uncontrolled disease). A past history of substance abuse within the last 5 years, infection requiring treatment within 4 weeks of screening, non-healing or previously infected skin ulcers, any surgery within 4 weeks of screening or anticipated during the study, and a history of active or recurrent herpes zoster infection or articular infection were to be excluded. A</w:t>
      </w:r>
      <w:r w:rsidR="00B77556">
        <w:t xml:space="preserve"> history of malignancy within 5 </w:t>
      </w:r>
      <w:r w:rsidRPr="000413B6">
        <w:t>years (except for excised basal and squamous cell skin cancers, or cervical carcinoma in situ successfully treated by surgery) was also an exclusion criterion.</w:t>
      </w:r>
    </w:p>
    <w:p w14:paraId="58D0E8D5" w14:textId="77777777" w:rsidR="000413B6" w:rsidRPr="000413B6" w:rsidRDefault="000413B6" w:rsidP="000413B6">
      <w:r w:rsidRPr="000413B6">
        <w:t>Other significant disease associated exclusion criteria included history of inflammatory bowel disease, severe diverticulitis, previous gastrointestinal perforation, interstitial lung disease, past severe systemic manifestations of RA such as Felty’s syndrome or vasculitis, and history of any invasive opportunistic infection. New treatment with or a dose adjustment of any medication for dyslipidaemia within 6 weeks of randomisation was also an exclusion criterion.</w:t>
      </w:r>
    </w:p>
    <w:p w14:paraId="618126C4" w14:textId="190B07EE" w:rsidR="000413B6" w:rsidRPr="000413B6" w:rsidRDefault="000413B6" w:rsidP="009C5B58">
      <w:r w:rsidRPr="000413B6">
        <w:t xml:space="preserve">Subjects were screened for Hepatitis B and C, HIV as well as TB </w:t>
      </w:r>
      <w:r w:rsidR="00F01361">
        <w:t>at Baseline</w:t>
      </w:r>
      <w:r w:rsidRPr="000413B6">
        <w:t>. The screening for latent TB involved either skin testing with PPD (removed with protocol amendment 4) or QuantiFERON TB-Gold testing. Subjects with active TB or a history of reactivated latent TB were excluded. All patients were required to have a chest X-ray within 12 weeks prior to screening. Regarding vaccination, any live vaccine administered 3 month</w:t>
      </w:r>
      <w:r w:rsidR="00B77556">
        <w:t>s prior to randomisation (or 12 </w:t>
      </w:r>
      <w:r w:rsidRPr="000413B6">
        <w:t>months prior for BCG vaccination) was an exclusion criterion.</w:t>
      </w:r>
    </w:p>
    <w:p w14:paraId="32B922EB" w14:textId="77777777" w:rsidR="000413B6" w:rsidRPr="000413B6" w:rsidRDefault="000413B6" w:rsidP="000413B6">
      <w:r w:rsidRPr="000413B6">
        <w:t xml:space="preserve">Subjects with any significant laboratory abnormalities at screening were also excluded. These included serum transaminases </w:t>
      </w:r>
      <w:r w:rsidR="007312A2">
        <w:t xml:space="preserve">&gt; </w:t>
      </w:r>
      <w:r w:rsidRPr="000413B6">
        <w:t xml:space="preserve">1.5 x ULN, total serum bilirubin </w:t>
      </w:r>
      <w:r w:rsidR="007312A2">
        <w:t xml:space="preserve">&gt; </w:t>
      </w:r>
      <w:r w:rsidRPr="000413B6">
        <w:t xml:space="preserve">ULN (unless documented Gilbert’s disease), creatinine clearance </w:t>
      </w:r>
      <w:r w:rsidR="007312A2">
        <w:t xml:space="preserve">&lt; </w:t>
      </w:r>
      <w:r w:rsidRPr="000413B6">
        <w:t xml:space="preserve">30 mL/minute, total white blood cell count </w:t>
      </w:r>
      <w:r w:rsidR="007312A2">
        <w:t xml:space="preserve">&lt; </w:t>
      </w:r>
      <w:r w:rsidRPr="000413B6">
        <w:t xml:space="preserve">3.0 x </w:t>
      </w:r>
      <w:r w:rsidR="007312A2" w:rsidRPr="00984208">
        <w:t>10</w:t>
      </w:r>
      <w:r w:rsidR="007312A2" w:rsidRPr="007312A2">
        <w:rPr>
          <w:vertAlign w:val="superscript"/>
        </w:rPr>
        <w:t>9</w:t>
      </w:r>
      <w:r w:rsidRPr="000413B6">
        <w:t xml:space="preserve">/L, neutrophil cell count </w:t>
      </w:r>
      <w:r w:rsidR="007312A2">
        <w:t xml:space="preserve">&lt; </w:t>
      </w:r>
      <w:r w:rsidRPr="000413B6">
        <w:t xml:space="preserve">2.0 x </w:t>
      </w:r>
      <w:r w:rsidR="007312A2" w:rsidRPr="00984208">
        <w:t>10</w:t>
      </w:r>
      <w:r w:rsidR="007312A2" w:rsidRPr="007312A2">
        <w:rPr>
          <w:vertAlign w:val="superscript"/>
        </w:rPr>
        <w:t>9</w:t>
      </w:r>
      <w:r w:rsidRPr="000413B6">
        <w:t xml:space="preserve">/L, platelet count </w:t>
      </w:r>
      <w:r w:rsidR="007312A2">
        <w:t xml:space="preserve">&lt; </w:t>
      </w:r>
      <w:r w:rsidRPr="000413B6">
        <w:t xml:space="preserve">100 x </w:t>
      </w:r>
      <w:r w:rsidR="007312A2" w:rsidRPr="00984208">
        <w:t>10</w:t>
      </w:r>
      <w:r w:rsidR="007312A2" w:rsidRPr="007312A2">
        <w:rPr>
          <w:vertAlign w:val="superscript"/>
        </w:rPr>
        <w:t>9</w:t>
      </w:r>
      <w:r w:rsidRPr="000413B6">
        <w:t xml:space="preserve">/L, haemoglobin </w:t>
      </w:r>
      <w:r w:rsidR="007312A2">
        <w:t xml:space="preserve">&lt; </w:t>
      </w:r>
      <w:r w:rsidRPr="000413B6">
        <w:t xml:space="preserve">8.5 g/dL, serum cholesterol </w:t>
      </w:r>
      <w:r w:rsidR="007312A2">
        <w:t xml:space="preserve">&gt; </w:t>
      </w:r>
      <w:r w:rsidRPr="000413B6">
        <w:t xml:space="preserve">9.1 mmol/L, serum triglyceride </w:t>
      </w:r>
      <w:r w:rsidR="007312A2">
        <w:t xml:space="preserve">&gt; </w:t>
      </w:r>
      <w:r w:rsidRPr="000413B6">
        <w:t xml:space="preserve">5.6 mmol/L and HbA1c </w:t>
      </w:r>
      <w:r w:rsidR="007312A2">
        <w:t xml:space="preserve">&gt; </w:t>
      </w:r>
      <w:r>
        <w:t>9.0% at the screening visit.</w:t>
      </w:r>
    </w:p>
    <w:p w14:paraId="037D5290" w14:textId="77777777" w:rsidR="000413B6" w:rsidRPr="000413B6" w:rsidRDefault="000413B6" w:rsidP="000413B6">
      <w:pPr>
        <w:pStyle w:val="Heading5"/>
      </w:pPr>
      <w:r w:rsidRPr="000413B6">
        <w:t>Study treatments</w:t>
      </w:r>
    </w:p>
    <w:p w14:paraId="79D512D6" w14:textId="77777777" w:rsidR="004D78CD" w:rsidRDefault="000413B6" w:rsidP="000413B6">
      <w:r w:rsidRPr="000413B6">
        <w:t xml:space="preserve">All patients in Study EFC10832 received investigational study medication (SAR or </w:t>
      </w:r>
      <w:r w:rsidR="00A343A3">
        <w:t>placebo</w:t>
      </w:r>
      <w:r w:rsidRPr="000413B6">
        <w:t>) by SC injection at alternating sites of the anterior abdomen (divided into quarters). Each dose administration required a single injection of 1.14 mL (regardless of SAR dose). Investigator site staff gave the first injection of study treatment and train</w:t>
      </w:r>
      <w:r w:rsidR="00B77556">
        <w:t>ed the subject or carer on self</w:t>
      </w:r>
      <w:r w:rsidR="00B77556">
        <w:noBreakHyphen/>
      </w:r>
      <w:r w:rsidRPr="000413B6">
        <w:t xml:space="preserve">administration. Subjects or their carer were encouraged to administer all doses of study medication. In Study EFC10832, all subjects received their injections of study medication every 14 days (q2w) with a time window of </w:t>
      </w:r>
      <w:r w:rsidR="007312A2">
        <w:t xml:space="preserve">± </w:t>
      </w:r>
      <w:r w:rsidRPr="000413B6">
        <w:t>3 days</w:t>
      </w:r>
      <w:r w:rsidR="004D78CD">
        <w:t>.</w:t>
      </w:r>
    </w:p>
    <w:p w14:paraId="7E40823E" w14:textId="77777777" w:rsidR="000413B6" w:rsidRPr="000413B6" w:rsidRDefault="000413B6" w:rsidP="000413B6">
      <w:r w:rsidRPr="000413B6">
        <w:lastRenderedPageBreak/>
        <w:t>All patients were required to continue taking stable non-biol</w:t>
      </w:r>
      <w:r w:rsidR="00B77556">
        <w:t>ogic DMARD therapy during Study </w:t>
      </w:r>
      <w:r w:rsidRPr="000413B6">
        <w:t>EFC10832 at the same dose and route they received prio</w:t>
      </w:r>
      <w:r w:rsidR="00B77556">
        <w:t>r to enrolment. The dose of non</w:t>
      </w:r>
      <w:r w:rsidR="00B77556">
        <w:noBreakHyphen/>
      </w:r>
      <w:r w:rsidRPr="000413B6">
        <w:t>biological DMARD could be reduced during the trial for safety or tolerability related reasons. The concomitant use of stable, pre-existing treatment with oral CS and NSAID was also permitted. Non-investigational medicinal products (including non-biological DMARD drugs) were not provided by the sponsor and were dispensed according to local practice.</w:t>
      </w:r>
    </w:p>
    <w:p w14:paraId="0BD170F3" w14:textId="77777777" w:rsidR="000413B6" w:rsidRPr="000413B6" w:rsidRDefault="000413B6" w:rsidP="000413B6">
      <w:pPr>
        <w:pStyle w:val="Heading5"/>
      </w:pPr>
      <w:r w:rsidRPr="000413B6">
        <w:t>Efficacy variables and outcomes</w:t>
      </w:r>
    </w:p>
    <w:p w14:paraId="7CE6C775" w14:textId="377289FE" w:rsidR="000413B6" w:rsidRPr="000413B6" w:rsidRDefault="000413B6" w:rsidP="000413B6">
      <w:r w:rsidRPr="000413B6">
        <w:t xml:space="preserve">The co-primary efficacy outcomes in Study EFC10832 were the rate of ACR20 response at </w:t>
      </w:r>
      <w:r w:rsidR="002F4291">
        <w:t>Week</w:t>
      </w:r>
      <w:r w:rsidR="00B77556">
        <w:t> </w:t>
      </w:r>
      <w:r w:rsidRPr="000413B6">
        <w:t xml:space="preserve">24 and the mean change </w:t>
      </w:r>
      <w:r w:rsidR="00F01361">
        <w:t>from Baseline</w:t>
      </w:r>
      <w:r w:rsidRPr="000413B6">
        <w:t xml:space="preserve"> to </w:t>
      </w:r>
      <w:r w:rsidR="002F4291">
        <w:t>Week</w:t>
      </w:r>
      <w:r w:rsidRPr="000413B6">
        <w:t xml:space="preserve"> 12 in the HAQ-DI score.</w:t>
      </w:r>
    </w:p>
    <w:p w14:paraId="3C7EC1A6" w14:textId="77777777" w:rsidR="000413B6" w:rsidRPr="000413B6" w:rsidRDefault="000413B6" w:rsidP="000413B6">
      <w:r w:rsidRPr="000413B6">
        <w:t xml:space="preserve">The secondary efficacy endpoints (reported at </w:t>
      </w:r>
      <w:r w:rsidR="002F4291">
        <w:t>Week</w:t>
      </w:r>
      <w:r w:rsidR="00B77556">
        <w:t xml:space="preserve"> 24) included:</w:t>
      </w:r>
    </w:p>
    <w:p w14:paraId="65D7D7BE" w14:textId="77777777" w:rsidR="000413B6" w:rsidRPr="000413B6" w:rsidRDefault="000413B6" w:rsidP="000413B6">
      <w:pPr>
        <w:pStyle w:val="ListBullet"/>
      </w:pPr>
      <w:r w:rsidRPr="000413B6">
        <w:t>Mean decrease in disease activity</w:t>
      </w:r>
      <w:r w:rsidR="00B77556">
        <w:t xml:space="preserve"> as measured by DAS28-CRP score</w:t>
      </w:r>
    </w:p>
    <w:p w14:paraId="247C7715" w14:textId="77777777" w:rsidR="000413B6" w:rsidRPr="000413B6" w:rsidRDefault="000413B6" w:rsidP="000413B6">
      <w:pPr>
        <w:pStyle w:val="ListBullet"/>
      </w:pPr>
      <w:r w:rsidRPr="000413B6">
        <w:t>Proportion of patients achieving ACR50</w:t>
      </w:r>
      <w:r w:rsidR="00B77556">
        <w:t xml:space="preserve"> and ACR70 response</w:t>
      </w:r>
    </w:p>
    <w:p w14:paraId="55F1190D" w14:textId="77777777" w:rsidR="000413B6" w:rsidRPr="000413B6" w:rsidRDefault="000413B6" w:rsidP="000413B6">
      <w:pPr>
        <w:pStyle w:val="ListBullet"/>
      </w:pPr>
      <w:r w:rsidRPr="000413B6">
        <w:t xml:space="preserve">Proportion of subjects achieving DAS28-CRP scores of </w:t>
      </w:r>
      <w:r w:rsidR="007312A2">
        <w:t xml:space="preserve">&lt; </w:t>
      </w:r>
      <w:r w:rsidRPr="000413B6">
        <w:t>2.6 (</w:t>
      </w:r>
      <w:r w:rsidR="004D78CD">
        <w:t>that is</w:t>
      </w:r>
      <w:r w:rsidR="00B77556">
        <w:t xml:space="preserve"> clinical remission)</w:t>
      </w:r>
    </w:p>
    <w:p w14:paraId="1D5AD8F3" w14:textId="5E5AE382" w:rsidR="000413B6" w:rsidRPr="000413B6" w:rsidRDefault="000413B6" w:rsidP="009C5B58">
      <w:pPr>
        <w:pStyle w:val="ListBullet"/>
      </w:pPr>
      <w:r w:rsidRPr="000413B6">
        <w:t>Mean decr</w:t>
      </w:r>
      <w:r w:rsidR="00B77556">
        <w:t xml:space="preserve">ease </w:t>
      </w:r>
      <w:r w:rsidR="00F01361">
        <w:t>from Baseline</w:t>
      </w:r>
      <w:r w:rsidR="00B77556">
        <w:t xml:space="preserve"> </w:t>
      </w:r>
      <w:r w:rsidR="00B77556" w:rsidRPr="009C5B58">
        <w:t>in</w:t>
      </w:r>
      <w:r w:rsidR="00B77556">
        <w:t xml:space="preserve"> the CDAI</w:t>
      </w:r>
    </w:p>
    <w:p w14:paraId="414191DB" w14:textId="75D29FDE" w:rsidR="000413B6" w:rsidRPr="000413B6" w:rsidRDefault="000413B6" w:rsidP="000413B6">
      <w:pPr>
        <w:pStyle w:val="ListBullet"/>
      </w:pPr>
      <w:r w:rsidRPr="000413B6">
        <w:t xml:space="preserve">Mean decrease </w:t>
      </w:r>
      <w:r w:rsidR="00F01361">
        <w:t>from Baseline</w:t>
      </w:r>
      <w:r w:rsidR="00B77556">
        <w:t xml:space="preserve"> in HAQ-DI score; and</w:t>
      </w:r>
    </w:p>
    <w:p w14:paraId="0B856583" w14:textId="77777777" w:rsidR="000413B6" w:rsidRPr="000413B6" w:rsidRDefault="000413B6" w:rsidP="000413B6">
      <w:pPr>
        <w:pStyle w:val="ListBullet"/>
      </w:pPr>
      <w:r w:rsidRPr="000413B6">
        <w:t>QOL outcomes using the SF-36 survey and FACIT-Fatigue scale.</w:t>
      </w:r>
    </w:p>
    <w:p w14:paraId="17941C19" w14:textId="77777777" w:rsidR="000413B6" w:rsidRPr="000413B6" w:rsidRDefault="000413B6" w:rsidP="000413B6">
      <w:r w:rsidRPr="000413B6">
        <w:t xml:space="preserve">Other efficacy outcomes in Study EFC10832 (reported at </w:t>
      </w:r>
      <w:r w:rsidR="002F4291">
        <w:t>Week</w:t>
      </w:r>
      <w:r w:rsidRPr="000413B6">
        <w:t xml:space="preserve"> 24) included:</w:t>
      </w:r>
    </w:p>
    <w:p w14:paraId="2806A5D4" w14:textId="57257BC4" w:rsidR="000413B6" w:rsidRPr="000413B6" w:rsidRDefault="000413B6" w:rsidP="000413B6">
      <w:pPr>
        <w:pStyle w:val="ListBullet"/>
      </w:pPr>
      <w:r w:rsidRPr="000413B6">
        <w:t xml:space="preserve">Mean change </w:t>
      </w:r>
      <w:r w:rsidR="00F01361">
        <w:t>from Baseline</w:t>
      </w:r>
      <w:r w:rsidRPr="000413B6">
        <w:t xml:space="preserve"> in the individual component</w:t>
      </w:r>
      <w:r w:rsidR="00B77556">
        <w:t>s of the ACR response criteria</w:t>
      </w:r>
    </w:p>
    <w:p w14:paraId="22147914" w14:textId="40B43537" w:rsidR="000413B6" w:rsidRPr="000413B6" w:rsidRDefault="000413B6" w:rsidP="000413B6">
      <w:pPr>
        <w:pStyle w:val="ListBullet"/>
      </w:pPr>
      <w:r w:rsidRPr="000413B6">
        <w:t>Mea</w:t>
      </w:r>
      <w:r w:rsidR="00B77556">
        <w:t xml:space="preserve">n change </w:t>
      </w:r>
      <w:r w:rsidR="00F01361">
        <w:t>from Baseline</w:t>
      </w:r>
      <w:r w:rsidR="00B77556">
        <w:t xml:space="preserve"> in ACRn</w:t>
      </w:r>
    </w:p>
    <w:p w14:paraId="0675BD8D" w14:textId="6BA2D1F0" w:rsidR="000413B6" w:rsidRPr="000413B6" w:rsidRDefault="000413B6" w:rsidP="000413B6">
      <w:pPr>
        <w:pStyle w:val="ListBullet"/>
      </w:pPr>
      <w:r w:rsidRPr="000413B6">
        <w:t>Mean c</w:t>
      </w:r>
      <w:r w:rsidR="00B77556">
        <w:t xml:space="preserve">hange </w:t>
      </w:r>
      <w:r w:rsidR="00F01361">
        <w:t>from Baseline</w:t>
      </w:r>
      <w:r w:rsidR="00B77556">
        <w:t xml:space="preserve"> in the SDAI</w:t>
      </w:r>
    </w:p>
    <w:p w14:paraId="6DF5700F" w14:textId="77777777" w:rsidR="000413B6" w:rsidRPr="000413B6" w:rsidRDefault="000413B6" w:rsidP="000413B6">
      <w:pPr>
        <w:pStyle w:val="ListBullet"/>
      </w:pPr>
      <w:r w:rsidRPr="000413B6">
        <w:t>Boolean-based ACR/EULAR remission; and</w:t>
      </w:r>
    </w:p>
    <w:p w14:paraId="7BD8E53C" w14:textId="77777777" w:rsidR="000413B6" w:rsidRPr="000413B6" w:rsidRDefault="000413B6" w:rsidP="000413B6">
      <w:pPr>
        <w:pStyle w:val="ListBullet"/>
      </w:pPr>
      <w:r w:rsidRPr="000413B6">
        <w:t>Mean percentage improvement in patient reported outcomes such as duration of morning stiffness, WPS (Work Productivity Survey), RAID (RA Impact of Disease) and EQ-5D-3L.</w:t>
      </w:r>
    </w:p>
    <w:p w14:paraId="4ADF1D51" w14:textId="77777777" w:rsidR="000413B6" w:rsidRPr="000413B6" w:rsidRDefault="000413B6" w:rsidP="000413B6">
      <w:r w:rsidRPr="000413B6">
        <w:t>The WPS is a validated questionnaire that evaluates productivity limitations within work and home associated with RA over the previous month. The RA Impact of Disease (RAID) score is a composite measure of the impact of RA on patients that takes into account 7 domains: pain, functional disability, fatigue, physical and emotional well-being, quality of sleep, and coping evaluated as continuous variables from 0 (best) to 10 (w</w:t>
      </w:r>
      <w:r w:rsidR="00B77556">
        <w:t>orst). The EQ-5D-3L comprises 5 </w:t>
      </w:r>
      <w:r w:rsidRPr="000413B6">
        <w:t>questions on mobility, self-care, pain, usual activities, and psychological status with 3 possible answers for each item (1</w:t>
      </w:r>
      <w:r w:rsidR="004D78CD">
        <w:t xml:space="preserve"> = </w:t>
      </w:r>
      <w:r w:rsidRPr="000413B6">
        <w:t>no problem, 2</w:t>
      </w:r>
      <w:r w:rsidR="004D78CD">
        <w:t xml:space="preserve"> = </w:t>
      </w:r>
      <w:r w:rsidRPr="000413B6">
        <w:t>moderate problems, 3</w:t>
      </w:r>
      <w:r w:rsidR="004D78CD">
        <w:t xml:space="preserve"> = </w:t>
      </w:r>
      <w:r w:rsidRPr="000413B6">
        <w:t>severe</w:t>
      </w:r>
      <w:r w:rsidR="00B77556">
        <w:t xml:space="preserve"> problems). The 5 dimensional 3 </w:t>
      </w:r>
      <w:r w:rsidRPr="000413B6">
        <w:t>level systems are converted into a single index utility score.</w:t>
      </w:r>
    </w:p>
    <w:p w14:paraId="6C748344" w14:textId="77777777" w:rsidR="000413B6" w:rsidRPr="000413B6" w:rsidRDefault="000413B6" w:rsidP="000413B6">
      <w:pPr>
        <w:pStyle w:val="Heading5"/>
      </w:pPr>
      <w:r w:rsidRPr="000413B6">
        <w:t>Randomisation and blinding methods</w:t>
      </w:r>
    </w:p>
    <w:p w14:paraId="4CDCB58C" w14:textId="77777777" w:rsidR="000413B6" w:rsidRPr="000413B6" w:rsidRDefault="000413B6" w:rsidP="000413B6">
      <w:r w:rsidRPr="000413B6">
        <w:t xml:space="preserve">In Study EFC10832, patients were randomised into treatment groups with the use of a centralised, computerised interactive voice response system and stratified according to number of prior anti-TNF drugs used (1 versus </w:t>
      </w:r>
      <w:r w:rsidR="007312A2">
        <w:t xml:space="preserve">&gt; </w:t>
      </w:r>
      <w:r w:rsidRPr="000413B6">
        <w:t xml:space="preserve">1) and region. Subjects eligible to receive rescue treatment after </w:t>
      </w:r>
      <w:r w:rsidR="002F4291">
        <w:t>Week</w:t>
      </w:r>
      <w:r w:rsidRPr="000413B6">
        <w:t xml:space="preserve"> 12 due to lack of efficacy were not re-randomised.</w:t>
      </w:r>
    </w:p>
    <w:p w14:paraId="4A2DA0CA" w14:textId="77777777" w:rsidR="004D78CD" w:rsidRDefault="000413B6" w:rsidP="000413B6">
      <w:r w:rsidRPr="000413B6">
        <w:t xml:space="preserve">To protect the </w:t>
      </w:r>
      <w:r w:rsidR="00E0128B">
        <w:t>double blind</w:t>
      </w:r>
      <w:r w:rsidRPr="000413B6">
        <w:t xml:space="preserve"> design of Study EFC10832, the sponsor provided SAR and </w:t>
      </w:r>
      <w:r w:rsidR="00A343A3">
        <w:t>placebo</w:t>
      </w:r>
      <w:r w:rsidRPr="000413B6">
        <w:t xml:space="preserve"> therapy in matching glass prefilled syringes in identical kits. Independent joint evaluators not involved with any other aspect of the trial were used to quantify joint disease involvement. As per the protocol, no patients in Study EFC10832 had their blinding broken by site investigators. Three subjects (1 in each treatment group) had their treatment blinding broken for regulatory purposes. These subjects experienced SAEs and were discontinued as a result</w:t>
      </w:r>
      <w:r w:rsidR="004D78CD">
        <w:t>.</w:t>
      </w:r>
    </w:p>
    <w:p w14:paraId="537E328F" w14:textId="77777777" w:rsidR="000413B6" w:rsidRPr="000413B6" w:rsidRDefault="000413B6" w:rsidP="000413B6">
      <w:pPr>
        <w:pStyle w:val="Heading5"/>
      </w:pPr>
      <w:r w:rsidRPr="000413B6">
        <w:lastRenderedPageBreak/>
        <w:t>Analysis populations</w:t>
      </w:r>
    </w:p>
    <w:p w14:paraId="2B66753D" w14:textId="77777777" w:rsidR="000413B6" w:rsidRPr="000413B6" w:rsidDel="0081373E" w:rsidRDefault="000413B6" w:rsidP="000413B6">
      <w:r w:rsidRPr="000413B6">
        <w:t>The primary efficacy analysis was performed using the ITT population, which consisted of all randomised patients. All patients were analysed for efficacy outcomes according to the treatment to which they were randomised, but not necessarily received.</w:t>
      </w:r>
    </w:p>
    <w:p w14:paraId="14AC5E1C" w14:textId="77777777" w:rsidR="000413B6" w:rsidRPr="000413B6" w:rsidDel="0081373E" w:rsidRDefault="000413B6" w:rsidP="000413B6">
      <w:pPr>
        <w:pStyle w:val="Heading5"/>
      </w:pPr>
      <w:r w:rsidRPr="000413B6" w:rsidDel="0081373E">
        <w:t>Sample size</w:t>
      </w:r>
    </w:p>
    <w:p w14:paraId="33A30D72" w14:textId="35000369" w:rsidR="004D78CD" w:rsidRDefault="000413B6" w:rsidP="000413B6">
      <w:r w:rsidRPr="000413B6">
        <w:t xml:space="preserve">The sample size determination was based on the mean change </w:t>
      </w:r>
      <w:r w:rsidR="00F01361">
        <w:t>from Baseline</w:t>
      </w:r>
      <w:r w:rsidRPr="000413B6">
        <w:t xml:space="preserve"> in the HAQ-DI score at 24 weeks (initial protocol). The following assumptions were made in this calculation: mean changes of -0.05 and -0.35 in the </w:t>
      </w:r>
      <w:r w:rsidR="00A343A3">
        <w:t>placebo</w:t>
      </w:r>
      <w:r w:rsidRPr="000413B6">
        <w:t xml:space="preserve"> and SAR groups, respectively; common SD of 0.79 and a 2 group t-test of equal means at a two-sided alpha</w:t>
      </w:r>
      <w:r w:rsidR="004D78CD">
        <w:t xml:space="preserve"> = </w:t>
      </w:r>
      <w:r w:rsidRPr="000413B6">
        <w:t>0.025 level with 90% power. Based on the above assumptions, 174 patients per treatment group were required (total cohort of 522 patients). The assumed mean changes and SD in the HAQ-DI scores are based on the results from the tocilizumab trial program</w:t>
      </w:r>
      <w:r w:rsidR="004D78CD">
        <w:t>.</w:t>
      </w:r>
    </w:p>
    <w:p w14:paraId="1147ADE0" w14:textId="3F54A323" w:rsidR="000413B6" w:rsidRPr="000413B6" w:rsidRDefault="000413B6" w:rsidP="000413B6">
      <w:r w:rsidRPr="000413B6">
        <w:t xml:space="preserve">The study protocol for EFC10832 was amended to change the timing of the HAQ-DI primary endpoint from 24 weeks to 12 weeks. Using the sample size of 174 per group, the study power was calculated based on the available data from Part B of Study EFC11072, which had a SD of 0.52 and a treatment difference of 0.2 in the low dose SAR group versus </w:t>
      </w:r>
      <w:r w:rsidR="00A343A3">
        <w:t>placebo</w:t>
      </w:r>
      <w:r w:rsidRPr="000413B6">
        <w:t xml:space="preserve"> and a treatment difference of 0.28 in the high dose SAR arm at </w:t>
      </w:r>
      <w:r w:rsidR="002F4291">
        <w:t>Week</w:t>
      </w:r>
      <w:r w:rsidRPr="000413B6">
        <w:t xml:space="preserve"> 12. Using these assumptions, the statistical power for the mean change </w:t>
      </w:r>
      <w:r w:rsidR="00F01361">
        <w:t>from Baseline</w:t>
      </w:r>
      <w:r w:rsidRPr="000413B6">
        <w:t xml:space="preserve"> to </w:t>
      </w:r>
      <w:r w:rsidR="002F4291">
        <w:t>Week</w:t>
      </w:r>
      <w:r w:rsidRPr="000413B6">
        <w:t xml:space="preserve"> 12 in the HAQ-DI score was 90% for the low dose SAR group and </w:t>
      </w:r>
      <w:r w:rsidR="007312A2">
        <w:t xml:space="preserve">&gt; </w:t>
      </w:r>
      <w:r w:rsidRPr="000413B6">
        <w:t>90% for the high dose SAR arm.</w:t>
      </w:r>
    </w:p>
    <w:p w14:paraId="05E62D97" w14:textId="77777777" w:rsidR="000413B6" w:rsidRPr="000413B6" w:rsidRDefault="000413B6" w:rsidP="000413B6">
      <w:r w:rsidRPr="000413B6">
        <w:t xml:space="preserve">For the co-primary endpoint of ACR20 response at </w:t>
      </w:r>
      <w:r w:rsidR="002F4291">
        <w:t>Week</w:t>
      </w:r>
      <w:r w:rsidRPr="000413B6">
        <w:t xml:space="preserve"> 24, the above sample size provided 99% power. The following assumptions were made in this calculation: ACR20 response rates at </w:t>
      </w:r>
      <w:r w:rsidR="002F4291">
        <w:t>Week</w:t>
      </w:r>
      <w:r w:rsidRPr="000413B6">
        <w:t xml:space="preserve"> 24 of 20% in the </w:t>
      </w:r>
      <w:r w:rsidR="00A343A3">
        <w:t>placebo</w:t>
      </w:r>
      <w:r w:rsidRPr="000413B6">
        <w:t xml:space="preserve"> group versus 50%</w:t>
      </w:r>
      <w:r w:rsidR="00B77556">
        <w:t xml:space="preserve"> in the SAR treatment and a two </w:t>
      </w:r>
      <w:r w:rsidRPr="000413B6">
        <w:t>sided chi-square test with an alpha of 0.025 to address the multiplicity across the 2 active dose regimens.</w:t>
      </w:r>
    </w:p>
    <w:p w14:paraId="6A6FAAB5" w14:textId="77777777" w:rsidR="000413B6" w:rsidRPr="000413B6" w:rsidRDefault="000413B6" w:rsidP="000413B6">
      <w:pPr>
        <w:pStyle w:val="Heading5"/>
      </w:pPr>
      <w:r w:rsidRPr="000413B6">
        <w:t>Statistical methods</w:t>
      </w:r>
    </w:p>
    <w:p w14:paraId="58F4CC13" w14:textId="77777777" w:rsidR="000413B6" w:rsidRPr="000413B6" w:rsidRDefault="000413B6" w:rsidP="000413B6">
      <w:r w:rsidRPr="000413B6">
        <w:t xml:space="preserve">The co-primary endpoint of ACR20 response rate at </w:t>
      </w:r>
      <w:r w:rsidR="002F4291">
        <w:t>Week</w:t>
      </w:r>
      <w:r w:rsidRPr="000413B6">
        <w:t xml:space="preserve"> 24 was analysed using the </w:t>
      </w:r>
      <w:r w:rsidR="00041F97">
        <w:t>2 sided</w:t>
      </w:r>
      <w:r w:rsidRPr="000413B6">
        <w:t xml:space="preserve">, CMH test stratified by region and number of prior anti-TNF drugs to compare each dose regimen of SAR with </w:t>
      </w:r>
      <w:r w:rsidR="00A343A3">
        <w:t>placebo</w:t>
      </w:r>
      <w:r w:rsidRPr="000413B6">
        <w:t xml:space="preserve">. The CMH estimate of the OR and the corresponding 95% CI were derived by testing each SAR group against </w:t>
      </w:r>
      <w:r w:rsidR="00A343A3">
        <w:t>placebo</w:t>
      </w:r>
      <w:r w:rsidRPr="000413B6">
        <w:t>. Patients with insufficient data or missing ACR components (</w:t>
      </w:r>
      <w:r w:rsidR="007312A2">
        <w:t>for example</w:t>
      </w:r>
      <w:r w:rsidRPr="000413B6">
        <w:t xml:space="preserve"> they transferred into Study LTS11210 for rescue SAR therapy or discontinued study treatment) were considered as non-responders for all time points thereafter. In a sensitivity analysis, ACR component data (minimum of 5 available variables) collected after treatment discontinuation was imputed using the LOCF method.</w:t>
      </w:r>
    </w:p>
    <w:p w14:paraId="4245EB70" w14:textId="4218D36C" w:rsidR="004D78CD" w:rsidRDefault="000413B6" w:rsidP="000413B6">
      <w:r w:rsidRPr="000413B6">
        <w:t xml:space="preserve">For the co-primary outcome of the mean change </w:t>
      </w:r>
      <w:r w:rsidR="00F01361">
        <w:t>from Baseline</w:t>
      </w:r>
      <w:r w:rsidRPr="000413B6">
        <w:t xml:space="preserve"> to </w:t>
      </w:r>
      <w:r w:rsidR="002F4291">
        <w:t>Week</w:t>
      </w:r>
      <w:r w:rsidRPr="000413B6">
        <w:t xml:space="preserve"> 12 in the HAQ-DI score, an analysis with MMRM using SAS PROC MIXED was conducted with baseline covariate factors and treatment, region, number of prior anti-TNF drugs and visit. In the primary statistical analysis, data collected on or before Week 12 were used. Data collected after treatment discontinuation or rescue was set to missing. No imputation was performed. A multiplicity adjustment approach was used to control the overall Type-1 </w:t>
      </w:r>
      <w:r w:rsidR="00B77556">
        <w:t>error rate at 0.05 for the 2 co</w:t>
      </w:r>
      <w:r w:rsidR="00B77556">
        <w:noBreakHyphen/>
      </w:r>
      <w:r w:rsidRPr="000413B6">
        <w:t>primary endpoints across the dose regimens. Sensitivity analyses using different methods for handling of missing data such as the LOCF method and multiple imputations were also explored</w:t>
      </w:r>
      <w:r w:rsidR="004D78CD">
        <w:t>.</w:t>
      </w:r>
    </w:p>
    <w:p w14:paraId="0F660F2B" w14:textId="44F70B48" w:rsidR="004D78CD" w:rsidRDefault="000413B6" w:rsidP="000413B6">
      <w:r w:rsidRPr="000413B6">
        <w:t xml:space="preserve">Study EFC10832 was to be declared successful if any dose regimen of SAR versus </w:t>
      </w:r>
      <w:r w:rsidR="00A343A3">
        <w:t>placebo</w:t>
      </w:r>
      <w:r w:rsidRPr="000413B6">
        <w:t xml:space="preserve"> achieves statistical significance for the rate of ACR20 response at </w:t>
      </w:r>
      <w:r w:rsidR="002F4291">
        <w:t>Week</w:t>
      </w:r>
      <w:r w:rsidRPr="000413B6">
        <w:t xml:space="preserve"> 24. A hierarchical testing procedure was used for the multiple endpoints at α</w:t>
      </w:r>
      <w:r w:rsidR="004D78CD">
        <w:t xml:space="preserve"> = </w:t>
      </w:r>
      <w:r w:rsidRPr="000413B6">
        <w:t xml:space="preserve">0.025 (simple Bonferroni adjustment) for each dose regimen separately. The rate of ACR20 response at </w:t>
      </w:r>
      <w:r w:rsidR="002F4291">
        <w:t>Week</w:t>
      </w:r>
      <w:r w:rsidRPr="000413B6">
        <w:t xml:space="preserve"> 24 was first ranked in the hierarchical order and the mean change </w:t>
      </w:r>
      <w:r w:rsidR="00F01361">
        <w:t>from Baseline</w:t>
      </w:r>
      <w:r w:rsidRPr="000413B6">
        <w:t xml:space="preserve"> in HAQ-DI at </w:t>
      </w:r>
      <w:r w:rsidR="002F4291">
        <w:t>Week</w:t>
      </w:r>
      <w:r w:rsidRPr="000413B6">
        <w:t xml:space="preserve"> 12 was second</w:t>
      </w:r>
      <w:r w:rsidR="004D78CD">
        <w:t>.</w:t>
      </w:r>
    </w:p>
    <w:p w14:paraId="5960922D" w14:textId="77777777" w:rsidR="000413B6" w:rsidRPr="000413B6" w:rsidRDefault="000413B6" w:rsidP="000413B6">
      <w:r w:rsidRPr="000413B6">
        <w:t>The binary secondary efficacy variables of ACR50 and ACR70 response and various measures of remission were analysed using the same CMH test as the ACR20 variable. The same method used for HAQ-DI analysis was used for the continuous secondary efficacy endpoints (</w:t>
      </w:r>
      <w:r w:rsidR="007312A2">
        <w:t xml:space="preserve">for </w:t>
      </w:r>
      <w:r w:rsidR="007312A2">
        <w:lastRenderedPageBreak/>
        <w:t>example</w:t>
      </w:r>
      <w:r w:rsidRPr="000413B6">
        <w:t xml:space="preserve"> ACRn). For the secondary efficacy endpoints, each selected dose of SAR was tested versus </w:t>
      </w:r>
      <w:r w:rsidR="00A343A3">
        <w:t>placebo</w:t>
      </w:r>
      <w:r w:rsidRPr="000413B6">
        <w:t xml:space="preserve"> in a pre-specified hierarchical order of testing controlling for multiplicity.</w:t>
      </w:r>
    </w:p>
    <w:p w14:paraId="68D4B2F8" w14:textId="77777777" w:rsidR="000413B6" w:rsidRPr="000413B6" w:rsidRDefault="000413B6" w:rsidP="000413B6">
      <w:pPr>
        <w:pStyle w:val="Heading5"/>
      </w:pPr>
      <w:r w:rsidRPr="000413B6">
        <w:t>Participant flow</w:t>
      </w:r>
    </w:p>
    <w:p w14:paraId="42E2C024" w14:textId="7DD16567" w:rsidR="000413B6" w:rsidRPr="000413B6" w:rsidRDefault="000413B6" w:rsidP="000413B6">
      <w:r w:rsidRPr="000413B6">
        <w:t>Of the 1</w:t>
      </w:r>
      <w:r w:rsidR="00B77556">
        <w:t>,</w:t>
      </w:r>
      <w:r w:rsidRPr="000413B6">
        <w:t xml:space="preserve">224 patients that were screened for participation in Study EFC10832, 678 subjects (55.4%) were recorded as screen failures. One patient was not randomised but mistakenly received one dose of SAR 200 mg during the screening period without incident. Screen failures were mainly due to insufficient RA activity </w:t>
      </w:r>
      <w:r w:rsidR="00F01361">
        <w:t>at Baseline</w:t>
      </w:r>
      <w:r w:rsidRPr="000413B6">
        <w:t xml:space="preserve"> (53% of 678) or due to meeting the exclusion criterion related to tuberculosis (21% of 678).</w:t>
      </w:r>
    </w:p>
    <w:p w14:paraId="0FF1FC13" w14:textId="36A1EC1C" w:rsidR="004D78CD" w:rsidRDefault="000413B6" w:rsidP="000413B6">
      <w:r w:rsidRPr="000413B6">
        <w:t>A total of 546 patients were randomised and treated within Study EFC10832: 181 subjects into the control and SAR 150 mg groups and 184 pa</w:t>
      </w:r>
      <w:r w:rsidR="00B77556">
        <w:t>tients into the SAR 200 mg arm;</w:t>
      </w:r>
      <w:r w:rsidRPr="000413B6">
        <w:t xml:space="preserve"> refer to </w:t>
      </w:r>
      <w:r w:rsidR="00D16242" w:rsidRPr="00D16242">
        <w:t>Table 10</w:t>
      </w:r>
      <w:r w:rsidRPr="00D16242">
        <w:t xml:space="preserve">. The </w:t>
      </w:r>
      <w:r w:rsidR="00041F97" w:rsidRPr="00D16242">
        <w:t>24</w:t>
      </w:r>
      <w:r w:rsidR="00041F97">
        <w:t xml:space="preserve"> week</w:t>
      </w:r>
      <w:r w:rsidRPr="000413B6">
        <w:t xml:space="preserve"> completion rate without the need for rescue therapy was higher in the </w:t>
      </w:r>
      <w:r w:rsidR="00B77556">
        <w:t>two</w:t>
      </w:r>
      <w:r w:rsidRPr="000413B6">
        <w:t xml:space="preserve"> SAR treatment groups (69.1% </w:t>
      </w:r>
      <w:r w:rsidR="00BF33B8">
        <w:t>(</w:t>
      </w:r>
      <w:r w:rsidRPr="000413B6">
        <w:t>125/181</w:t>
      </w:r>
      <w:r w:rsidR="00BF33B8">
        <w:t>)</w:t>
      </w:r>
      <w:r w:rsidRPr="000413B6">
        <w:t xml:space="preserve"> in the 150 mg group and 72.3% </w:t>
      </w:r>
      <w:r w:rsidR="00BF33B8">
        <w:t>(</w:t>
      </w:r>
      <w:r w:rsidRPr="000413B6">
        <w:t>133/184</w:t>
      </w:r>
      <w:r w:rsidR="00BF33B8">
        <w:t>)</w:t>
      </w:r>
      <w:r w:rsidRPr="000413B6">
        <w:t xml:space="preserve"> in the 200 mg arm) compared to the </w:t>
      </w:r>
      <w:r w:rsidR="00A343A3">
        <w:t>placebo</w:t>
      </w:r>
      <w:r w:rsidRPr="000413B6">
        <w:t xml:space="preserve"> arm (55.8%; 101/181). However, there was also a higher rate of discontinuation without uptake of rescue therapy in SAR treated patients (17.1% </w:t>
      </w:r>
      <w:r w:rsidR="00BF33B8">
        <w:t>(</w:t>
      </w:r>
      <w:r w:rsidRPr="000413B6">
        <w:t>33/181</w:t>
      </w:r>
      <w:r w:rsidR="00BF33B8">
        <w:t>)</w:t>
      </w:r>
      <w:r w:rsidRPr="000413B6">
        <w:t xml:space="preserve"> in the 150 mg group and 13.6% </w:t>
      </w:r>
      <w:r w:rsidR="00BF33B8">
        <w:t>(</w:t>
      </w:r>
      <w:r w:rsidRPr="000413B6">
        <w:t>25/184</w:t>
      </w:r>
      <w:r w:rsidR="00BF33B8">
        <w:t>)</w:t>
      </w:r>
      <w:r w:rsidRPr="000413B6">
        <w:t xml:space="preserve"> in the 200 mg arm) compared to </w:t>
      </w:r>
      <w:r w:rsidR="00A343A3">
        <w:t>placebo</w:t>
      </w:r>
      <w:r w:rsidRPr="000413B6">
        <w:t xml:space="preserve"> subjects (9.4%; 17/181), mainly due to adverse events (9.9% </w:t>
      </w:r>
      <w:r w:rsidR="00BF33B8">
        <w:t>(</w:t>
      </w:r>
      <w:r w:rsidRPr="000413B6">
        <w:t>18/181</w:t>
      </w:r>
      <w:r w:rsidR="00BF33B8">
        <w:t>)</w:t>
      </w:r>
      <w:r w:rsidRPr="000413B6">
        <w:t xml:space="preserve"> in the 150 mg group and 9.2% </w:t>
      </w:r>
      <w:r w:rsidR="00BF33B8">
        <w:t>(</w:t>
      </w:r>
      <w:r w:rsidRPr="000413B6">
        <w:t>17/184</w:t>
      </w:r>
      <w:r w:rsidR="00BF33B8">
        <w:t>)</w:t>
      </w:r>
      <w:r w:rsidRPr="000413B6">
        <w:t xml:space="preserve"> in the 200 mg arm). In Study EFC10832, more patients in the </w:t>
      </w:r>
      <w:r w:rsidR="00A343A3">
        <w:t>placebo</w:t>
      </w:r>
      <w:r w:rsidRPr="000413B6">
        <w:t xml:space="preserve"> arm (34.8%; 63/181) switched to </w:t>
      </w:r>
      <w:r w:rsidR="004D78CD">
        <w:t>open label</w:t>
      </w:r>
      <w:r w:rsidRPr="000413B6">
        <w:t xml:space="preserve"> rescue treatment with SAR in Study LTS11210 due to a lack of efficacy (compared with 13.8% </w:t>
      </w:r>
      <w:r w:rsidR="00BF33B8">
        <w:t>(</w:t>
      </w:r>
      <w:r w:rsidRPr="000413B6">
        <w:t>25/181</w:t>
      </w:r>
      <w:r w:rsidR="00BF33B8">
        <w:t>)</w:t>
      </w:r>
      <w:r w:rsidRPr="000413B6">
        <w:t xml:space="preserve"> in the 150 mg group and 14.1% </w:t>
      </w:r>
      <w:r w:rsidR="00BF33B8">
        <w:t>(</w:t>
      </w:r>
      <w:r w:rsidRPr="000413B6">
        <w:t>26/184</w:t>
      </w:r>
      <w:r w:rsidR="00BF33B8">
        <w:t>)</w:t>
      </w:r>
      <w:r w:rsidRPr="000413B6">
        <w:t xml:space="preserve"> in the 200 mg arm)</w:t>
      </w:r>
      <w:r w:rsidR="004D78CD">
        <w:t>.</w:t>
      </w:r>
    </w:p>
    <w:p w14:paraId="516013F5" w14:textId="77777777" w:rsidR="000413B6" w:rsidRPr="000413B6" w:rsidRDefault="000413B6" w:rsidP="000413B6">
      <w:pPr>
        <w:pStyle w:val="Tabletitle"/>
      </w:pPr>
      <w:r w:rsidRPr="00D16242">
        <w:t xml:space="preserve">Table </w:t>
      </w:r>
      <w:r w:rsidR="00D16242" w:rsidRPr="00D16242">
        <w:t>10</w:t>
      </w:r>
      <w:r w:rsidRPr="00D16242">
        <w:t>: Participant</w:t>
      </w:r>
      <w:r w:rsidRPr="000413B6">
        <w:t xml:space="preserve"> Flow in Study EFC10832</w:t>
      </w:r>
    </w:p>
    <w:p w14:paraId="6DEA7A8A" w14:textId="77777777" w:rsidR="00984208" w:rsidRDefault="000413B6" w:rsidP="00C22678">
      <w:pPr>
        <w:rPr>
          <w:lang w:eastAsia="ja-JP"/>
        </w:rPr>
      </w:pPr>
      <w:r>
        <w:rPr>
          <w:noProof/>
          <w:lang w:eastAsia="en-AU"/>
        </w:rPr>
        <w:drawing>
          <wp:inline distT="0" distB="0" distL="0" distR="0" wp14:anchorId="2D459830" wp14:editId="49EB7804">
            <wp:extent cx="5455389" cy="3891687"/>
            <wp:effectExtent l="0" t="0" r="0" b="0"/>
            <wp:docPr id="19" name="Picture 19" descr="Participant Flow in Study EFC1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54675" cy="3891178"/>
                    </a:xfrm>
                    <a:prstGeom prst="rect">
                      <a:avLst/>
                    </a:prstGeom>
                  </pic:spPr>
                </pic:pic>
              </a:graphicData>
            </a:graphic>
          </wp:inline>
        </w:drawing>
      </w:r>
    </w:p>
    <w:p w14:paraId="576BE67C" w14:textId="77777777" w:rsidR="000413B6" w:rsidRPr="000413B6" w:rsidRDefault="000413B6" w:rsidP="000413B6">
      <w:pPr>
        <w:pStyle w:val="Heading5"/>
      </w:pPr>
      <w:r w:rsidRPr="000413B6">
        <w:t>Major protocol violations/deviations</w:t>
      </w:r>
    </w:p>
    <w:p w14:paraId="617601AE" w14:textId="77777777" w:rsidR="000413B6" w:rsidRPr="000413B6" w:rsidRDefault="000413B6" w:rsidP="000413B6">
      <w:r w:rsidRPr="000413B6">
        <w:t xml:space="preserve">A total of 6 patients (1.1% of 546) were recorded as having important protocol deviations that had the potential to impact their efficacy results. The 6 affected subjects included 1 subject in the </w:t>
      </w:r>
      <w:r w:rsidR="00A343A3">
        <w:t>placebo</w:t>
      </w:r>
      <w:r w:rsidRPr="000413B6">
        <w:t xml:space="preserve"> arm (0.6% of 181), 3 patients (1.7% of 181) in the SAR 150 mg group and 2 patients (1.1% of 184) in the SAR 200 mg group.</w:t>
      </w:r>
      <w:r w:rsidR="004D78CD">
        <w:t xml:space="preserve"> </w:t>
      </w:r>
      <w:r w:rsidRPr="000413B6">
        <w:t xml:space="preserve">None of the data from these patients was excluded from </w:t>
      </w:r>
      <w:r w:rsidRPr="000413B6">
        <w:lastRenderedPageBreak/>
        <w:t>the primary efficacy analysis. Two patients (1 in each SAR treatment group) had no past history of anti-TNF therapy failure, but had previously demonstrated an inadequate response to abatacept. Another subject in the SAR 150 mg dose arm had not taken the pre-requisite duration of prior non-biological DMARD at a stable dose. One patient in each treatment group did not meet the requirement for prior anti-TNF failure or intolerance.</w:t>
      </w:r>
    </w:p>
    <w:p w14:paraId="072B59DD" w14:textId="77777777" w:rsidR="000413B6" w:rsidRPr="000413B6" w:rsidRDefault="000413B6" w:rsidP="000413B6">
      <w:r w:rsidRPr="000413B6">
        <w:t>Randomisation errors (all related to errors of stratification, mainly for single versus multiple prior anti-TNF exposure) affected 33 subjects in total: 6 su</w:t>
      </w:r>
      <w:r w:rsidR="00B77556">
        <w:t xml:space="preserve">bjects (3.3% of 181) in the </w:t>
      </w:r>
      <w:r w:rsidR="00A343A3">
        <w:t>placebo</w:t>
      </w:r>
      <w:r w:rsidR="00B77556">
        <w:t> </w:t>
      </w:r>
      <w:r w:rsidRPr="000413B6">
        <w:t>group, 12 patients (6.6% of 181) in the SAR 150 mg arm and 15 subjects (8.2% of 184) in the SAR 200 mg group.</w:t>
      </w:r>
    </w:p>
    <w:p w14:paraId="25232B1C" w14:textId="77777777" w:rsidR="000413B6" w:rsidRPr="000413B6" w:rsidRDefault="000413B6" w:rsidP="000413B6">
      <w:pPr>
        <w:pStyle w:val="Heading5"/>
      </w:pPr>
      <w:r w:rsidRPr="000413B6">
        <w:t>Baseline data</w:t>
      </w:r>
    </w:p>
    <w:p w14:paraId="51399103" w14:textId="54120FA7" w:rsidR="000413B6" w:rsidRPr="000413B6" w:rsidRDefault="000413B6" w:rsidP="000413B6">
      <w:r w:rsidRPr="000413B6">
        <w:t xml:space="preserve">Demographic characteristics </w:t>
      </w:r>
      <w:r w:rsidR="00F01361">
        <w:t>at Baseline</w:t>
      </w:r>
      <w:r w:rsidRPr="000413B6">
        <w:t xml:space="preserve"> were well balanced and comparable among all treatment groups. Subjects recruited into Study EFC10832 had a me</w:t>
      </w:r>
      <w:r w:rsidR="00B77556">
        <w:t xml:space="preserve">dian age of 54 years (range: 19 to </w:t>
      </w:r>
      <w:r w:rsidRPr="000413B6">
        <w:t xml:space="preserve">88 years) with one sixth of all subjects (16.5%; 90/546) aged at least 65 years </w:t>
      </w:r>
      <w:r w:rsidR="00F01361">
        <w:t>at Baseline</w:t>
      </w:r>
      <w:r w:rsidRPr="000413B6">
        <w:t>. The majority of recruited subjects were female (81.9%; 447/596) and have Caucasian ethnicity (71.1%; 388/596). The overall median BMI was 28.2 kg/</w:t>
      </w:r>
      <w:r w:rsidR="00041F97" w:rsidRPr="008F134F">
        <w:t>m</w:t>
      </w:r>
      <w:r w:rsidR="00041F97" w:rsidRPr="00041F97">
        <w:rPr>
          <w:vertAlign w:val="superscript"/>
        </w:rPr>
        <w:t>2</w:t>
      </w:r>
      <w:r w:rsidRPr="000413B6">
        <w:t xml:space="preserve">, with more than one third of subjects (37.7%; 206/596) being obese </w:t>
      </w:r>
      <w:r w:rsidR="00F01361">
        <w:t>at Baseline</w:t>
      </w:r>
      <w:r w:rsidRPr="000413B6">
        <w:t xml:space="preserve"> (</w:t>
      </w:r>
      <w:r w:rsidR="004D78CD">
        <w:t>that is</w:t>
      </w:r>
      <w:r w:rsidRPr="000413B6">
        <w:t xml:space="preserve"> BMI </w:t>
      </w:r>
      <w:r w:rsidR="007312A2">
        <w:t xml:space="preserve">&gt; </w:t>
      </w:r>
      <w:r w:rsidRPr="000413B6">
        <w:t>30 kg/</w:t>
      </w:r>
      <w:r w:rsidR="00041F97" w:rsidRPr="008F134F">
        <w:t>m</w:t>
      </w:r>
      <w:r w:rsidR="00041F97" w:rsidRPr="00041F97">
        <w:rPr>
          <w:vertAlign w:val="superscript"/>
        </w:rPr>
        <w:t>2</w:t>
      </w:r>
      <w:r w:rsidRPr="000413B6">
        <w:t>). By geographic region, the largest percentage of patients came from Western countries (</w:t>
      </w:r>
      <w:r w:rsidR="004D78CD">
        <w:t>that is</w:t>
      </w:r>
      <w:r w:rsidRPr="000413B6">
        <w:t xml:space="preserve"> Region 1: 42.7%; 233/596) followed by South America and Mexico (</w:t>
      </w:r>
      <w:r w:rsidR="004D78CD">
        <w:t>that is</w:t>
      </w:r>
      <w:r w:rsidRPr="000413B6">
        <w:t xml:space="preserve"> Region 2: 40.7%; 222/596). Region 1 consisted of countries in Western Europe, Israel, Australia, New Zealand and North America. Region 3 (rest of the world) included patients from Eastern Europe, South Korea and Taiwan, and these countries contributed 16.7% (69/596) of subjects into Study EFC10832. A small proportion of enrolled subjects were current smokers (12.6%; 69/596), which is a factor associated with a diminished response to treatment in RA. Just over one fifth of all recruited patients (21.1%; 126/596) consumed alcohol on a regular basis at screening, which may be a risk factor for certain types of AEs such as abnormal liver function tests.</w:t>
      </w:r>
    </w:p>
    <w:p w14:paraId="287CF0A4" w14:textId="3324AB12" w:rsidR="000413B6" w:rsidRPr="000413B6" w:rsidRDefault="000413B6" w:rsidP="000413B6">
      <w:r w:rsidRPr="000413B6">
        <w:t>The treatment groups were similar with respect to baseline RA disease characteristics. The mean duration of RA for all subjects was 12.1 year</w:t>
      </w:r>
      <w:r w:rsidR="00424445">
        <w:t xml:space="preserve">s (median 9.9 years, range: 0.6 to </w:t>
      </w:r>
      <w:r w:rsidRPr="000413B6">
        <w:t xml:space="preserve">54.0 years). Most patients were recorded as having functional class II RA </w:t>
      </w:r>
      <w:r w:rsidR="00F01361">
        <w:t>at Baseline</w:t>
      </w:r>
      <w:r w:rsidRPr="000413B6">
        <w:t xml:space="preserve"> (57.7%; 315/596). Expectedly, the majority of patients were seropositive for RA </w:t>
      </w:r>
      <w:r w:rsidR="00F01361">
        <w:t>at Baseline</w:t>
      </w:r>
      <w:r w:rsidRPr="000413B6">
        <w:t xml:space="preserve"> (75.5% </w:t>
      </w:r>
      <w:r w:rsidR="00BF33B8">
        <w:t>(</w:t>
      </w:r>
      <w:r w:rsidRPr="000413B6">
        <w:t>409/596</w:t>
      </w:r>
      <w:r w:rsidR="00BF33B8">
        <w:t>)</w:t>
      </w:r>
      <w:r w:rsidRPr="000413B6">
        <w:t xml:space="preserve"> were positive for rheumatoid factor and 78.1% </w:t>
      </w:r>
      <w:r w:rsidR="00BF33B8">
        <w:t>(</w:t>
      </w:r>
      <w:r w:rsidRPr="000413B6">
        <w:t>422/596</w:t>
      </w:r>
      <w:r w:rsidR="00BF33B8">
        <w:t>)</w:t>
      </w:r>
      <w:r w:rsidRPr="000413B6">
        <w:t xml:space="preserve"> were pos</w:t>
      </w:r>
      <w:r>
        <w:t>itive for anti-CCP antibodies).</w:t>
      </w:r>
    </w:p>
    <w:p w14:paraId="5C28812B" w14:textId="4F1F5319" w:rsidR="004D78CD" w:rsidRDefault="000413B6" w:rsidP="000413B6">
      <w:r w:rsidRPr="000413B6">
        <w:t xml:space="preserve">In terms of RA disease activity </w:t>
      </w:r>
      <w:r w:rsidR="00F01361">
        <w:t>at Baseline</w:t>
      </w:r>
      <w:r w:rsidRPr="000413B6">
        <w:t xml:space="preserve">, the mean numbers of tender and swollen joints were similar for the </w:t>
      </w:r>
      <w:r w:rsidR="00A343A3">
        <w:t>placebo</w:t>
      </w:r>
      <w:r w:rsidRPr="000413B6">
        <w:t xml:space="preserve"> (29.4 and 20.2, respectively), SAR 150 mg (27.7 and 19.6, respectively) and SAR 200 mg groups</w:t>
      </w:r>
      <w:r w:rsidR="00424445">
        <w:t xml:space="preserve"> (29.6 and 20.0, respectively);</w:t>
      </w:r>
      <w:r w:rsidRPr="000413B6">
        <w:t xml:space="preserve"> refer </w:t>
      </w:r>
      <w:r w:rsidRPr="00D16242">
        <w:t xml:space="preserve">to Table </w:t>
      </w:r>
      <w:r w:rsidR="00D16242" w:rsidRPr="00D16242">
        <w:t>11</w:t>
      </w:r>
      <w:r w:rsidR="004D78CD" w:rsidRPr="00D16242">
        <w:t>.</w:t>
      </w:r>
    </w:p>
    <w:p w14:paraId="18F0344D" w14:textId="77777777" w:rsidR="00984208" w:rsidRPr="000413B6" w:rsidRDefault="000413B6" w:rsidP="000413B6">
      <w:pPr>
        <w:pStyle w:val="Tabletitle"/>
      </w:pPr>
      <w:r w:rsidRPr="00D16242">
        <w:lastRenderedPageBreak/>
        <w:t xml:space="preserve">Table </w:t>
      </w:r>
      <w:r w:rsidR="00D16242" w:rsidRPr="00D16242">
        <w:t>11</w:t>
      </w:r>
      <w:r w:rsidRPr="00D16242">
        <w:t>:</w:t>
      </w:r>
      <w:r>
        <w:t xml:space="preserve"> </w:t>
      </w:r>
      <w:r w:rsidRPr="000413B6">
        <w:t xml:space="preserve">Baseline </w:t>
      </w:r>
      <w:r w:rsidR="00D16242" w:rsidRPr="000413B6">
        <w:t xml:space="preserve">activity of rheumatoid arthritis </w:t>
      </w:r>
      <w:r w:rsidRPr="000413B6">
        <w:t>in Study EFC10832</w:t>
      </w:r>
    </w:p>
    <w:p w14:paraId="5213341B" w14:textId="77777777" w:rsidR="000413B6" w:rsidRDefault="000413B6" w:rsidP="00C22678">
      <w:pPr>
        <w:rPr>
          <w:lang w:eastAsia="ja-JP"/>
        </w:rPr>
      </w:pPr>
      <w:r>
        <w:rPr>
          <w:noProof/>
          <w:lang w:eastAsia="en-AU"/>
        </w:rPr>
        <w:drawing>
          <wp:inline distT="0" distB="0" distL="0" distR="0" wp14:anchorId="3C9C31F8" wp14:editId="69680333">
            <wp:extent cx="5372459" cy="5259629"/>
            <wp:effectExtent l="0" t="0" r="0" b="0"/>
            <wp:docPr id="20" name="Picture 20" descr="Baseline activity of rheumatoid arthritis in Study EFC1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72823" cy="5259985"/>
                    </a:xfrm>
                    <a:prstGeom prst="rect">
                      <a:avLst/>
                    </a:prstGeom>
                  </pic:spPr>
                </pic:pic>
              </a:graphicData>
            </a:graphic>
          </wp:inline>
        </w:drawing>
      </w:r>
    </w:p>
    <w:p w14:paraId="45C2CA3F" w14:textId="01F4F509" w:rsidR="000413B6" w:rsidRPr="00E27F6E" w:rsidRDefault="00424445" w:rsidP="00E27F6E">
      <w:r>
        <w:t xml:space="preserve">All 3 </w:t>
      </w:r>
      <w:r w:rsidR="000413B6" w:rsidRPr="00E27F6E">
        <w:t>treatment groups recorded mean DAS28-CRP scores that w</w:t>
      </w:r>
      <w:r>
        <w:t xml:space="preserve">ere very high </w:t>
      </w:r>
      <w:r w:rsidR="00F01361">
        <w:t>at Baseline</w:t>
      </w:r>
      <w:r>
        <w:t xml:space="preserve"> (6.09 to </w:t>
      </w:r>
      <w:r w:rsidR="000413B6" w:rsidRPr="00E27F6E">
        <w:t xml:space="preserve">6.23). The median HAQ-DI score was slightly lower in the SAR 150 mg arm (1.72) compared to the </w:t>
      </w:r>
      <w:r w:rsidR="00A343A3">
        <w:t>placebo</w:t>
      </w:r>
      <w:r w:rsidR="000413B6" w:rsidRPr="00E27F6E">
        <w:t xml:space="preserve"> (1.80) and SAR 200 mg treatment groups (1.82). The mean CRP for subjects in the SAR 150 mg arm was lower at 23.60 mg/L compared to the </w:t>
      </w:r>
      <w:r w:rsidR="00A343A3">
        <w:t>placebo</w:t>
      </w:r>
      <w:r>
        <w:t xml:space="preserve"> (26.02 mg/L) and the SAR 200 </w:t>
      </w:r>
      <w:r w:rsidR="000413B6" w:rsidRPr="00E27F6E">
        <w:t xml:space="preserve">mg treatment groups (30.77 mg/L). More than half of all subjects in each of the treatment groups had baseline readings </w:t>
      </w:r>
      <w:r w:rsidR="007312A2">
        <w:t xml:space="preserve">&gt; </w:t>
      </w:r>
      <w:r w:rsidR="000413B6" w:rsidRPr="00E27F6E">
        <w:t xml:space="preserve">15 mg/L, but this was particularly prevalent in the SAR </w:t>
      </w:r>
      <w:r>
        <w:t xml:space="preserve">200 mg group (63.0% versus 54.1 to </w:t>
      </w:r>
      <w:r w:rsidR="000413B6" w:rsidRPr="00E27F6E">
        <w:t>54.7% in the 2 other arms). Overall, the measures of baseline disease activity are consistent with severely active RA.</w:t>
      </w:r>
    </w:p>
    <w:p w14:paraId="5CD5B5F1" w14:textId="77777777" w:rsidR="004D78CD" w:rsidRDefault="000413B6" w:rsidP="00E27F6E">
      <w:r w:rsidRPr="00E27F6E">
        <w:t>Per protocol, patients were to be treated with a stable dose of 1 or more conventional synthetic DMARD drugs (MTX, SSZ, LEF, or HCQ; with the exception of the simultaneous use of LEF and MTX) during Study EFC10832. The percentage of patients who received concomitant medications (DMARD, NSAID and low dose oral CS) in Study EFC10832 was simil</w:t>
      </w:r>
      <w:r w:rsidR="00424445">
        <w:t>ar across the treatment groups;</w:t>
      </w:r>
      <w:r w:rsidRPr="00E27F6E">
        <w:t xml:space="preserve"> </w:t>
      </w:r>
      <w:r w:rsidRPr="00D16242">
        <w:t>refer to Table 1</w:t>
      </w:r>
      <w:r w:rsidR="00D16242" w:rsidRPr="00D16242">
        <w:t>2</w:t>
      </w:r>
      <w:r w:rsidR="004D78CD" w:rsidRPr="00D16242">
        <w:t>.</w:t>
      </w:r>
    </w:p>
    <w:p w14:paraId="0DB1BD57" w14:textId="77777777" w:rsidR="000413B6" w:rsidRPr="00E27F6E" w:rsidRDefault="000413B6" w:rsidP="00E27F6E">
      <w:pPr>
        <w:pStyle w:val="Tabletitle"/>
      </w:pPr>
      <w:r w:rsidRPr="00D16242">
        <w:lastRenderedPageBreak/>
        <w:t>Table 1</w:t>
      </w:r>
      <w:r w:rsidR="00D16242" w:rsidRPr="00D16242">
        <w:t>2:</w:t>
      </w:r>
      <w:r w:rsidR="004D78CD" w:rsidRPr="00D16242">
        <w:t xml:space="preserve"> </w:t>
      </w:r>
      <w:r w:rsidRPr="00D16242">
        <w:t xml:space="preserve">Concomitant non-biologic DMARD, Folic </w:t>
      </w:r>
      <w:r w:rsidR="00D16242">
        <w:t>Acid, NSAID and corticosteroid u</w:t>
      </w:r>
      <w:r w:rsidRPr="00D16242">
        <w:t>se</w:t>
      </w:r>
      <w:r w:rsidRPr="00E27F6E">
        <w:t xml:space="preserve"> ongoing at the Time of the first dose of Injectable Study Medication in Study EFC10832</w:t>
      </w:r>
    </w:p>
    <w:p w14:paraId="76B95D76" w14:textId="77777777" w:rsidR="00E27F6E" w:rsidRDefault="00E27F6E" w:rsidP="00E27F6E">
      <w:r>
        <w:rPr>
          <w:noProof/>
          <w:lang w:eastAsia="en-AU"/>
        </w:rPr>
        <w:drawing>
          <wp:inline distT="0" distB="0" distL="0" distR="0" wp14:anchorId="5F6C292F" wp14:editId="564F9BE2">
            <wp:extent cx="5484862" cy="5098694"/>
            <wp:effectExtent l="0" t="0" r="1905" b="6985"/>
            <wp:docPr id="21" name="Picture 21" descr="Concomitant non-biologic DMARD, Folic Acid, NSAID and Corticosteroid Use ongoing at the Time of the first dose of Injectable Study Medication in Study EFC1083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7449" cy="5101099"/>
                    </a:xfrm>
                    <a:prstGeom prst="rect">
                      <a:avLst/>
                    </a:prstGeom>
                  </pic:spPr>
                </pic:pic>
              </a:graphicData>
            </a:graphic>
          </wp:inline>
        </w:drawing>
      </w:r>
    </w:p>
    <w:p w14:paraId="4043742C" w14:textId="6EE67F24" w:rsidR="004D78CD" w:rsidRDefault="00E27F6E" w:rsidP="009C5B58">
      <w:r w:rsidRPr="00E27F6E">
        <w:t xml:space="preserve">At the initiation of injectable trial medication in Study EFC10832, the majority of subjects in each of the 3 treatment groups were taking a single concurrent, non-biologic DMARD (92.9%; 507/546), which most frequently was low dose weekly MTX (78.9%; 431/546). A small proportion of subjects in each treatment arm were taking 2 conventional DMARD drugs (6.4%; 35/546), which was observed at a slightly higher frequency in the 2 SAR treatment groups (8.7% </w:t>
      </w:r>
      <w:r w:rsidR="00BF33B8">
        <w:t>(</w:t>
      </w:r>
      <w:r w:rsidRPr="00E27F6E">
        <w:t>16/184</w:t>
      </w:r>
      <w:r w:rsidR="00BF33B8">
        <w:t>)</w:t>
      </w:r>
      <w:r w:rsidRPr="00E27F6E">
        <w:t xml:space="preserve"> in the 200 mg dose arm and 6.6% </w:t>
      </w:r>
      <w:r w:rsidR="00BF33B8">
        <w:t>(</w:t>
      </w:r>
      <w:r w:rsidRPr="00E27F6E">
        <w:t>12/181</w:t>
      </w:r>
      <w:r w:rsidR="00BF33B8">
        <w:t>)</w:t>
      </w:r>
      <w:r w:rsidRPr="00E27F6E">
        <w:t xml:space="preserve"> in the 150 mg group) versus the control arm (3.9%; 7/181). The baseline and concomitant mean MTX dose was similar across the treatment groups ranging from 15.9 to 16.3 mg/week (median weekly MTX dose of 15 mg in all 3 treatment groups). However, the submission did not provide information about the duration of preceding MTX use. Folic acid was used according to local guidelines and the majority of subjects in each treatment group took this</w:t>
      </w:r>
      <w:r w:rsidR="00424445">
        <w:t xml:space="preserve"> therapy during the study (87.5 to </w:t>
      </w:r>
      <w:r w:rsidRPr="00E27F6E">
        <w:t>91.2%). Other conventional DMARD therapies were used at the recommended doses in subjects who received such therapies. The median daily dose of LEF was 20 mg in each of the 3 treatment groups (n</w:t>
      </w:r>
      <w:r w:rsidR="004D78CD">
        <w:t xml:space="preserve"> = </w:t>
      </w:r>
      <w:r w:rsidR="00424445">
        <w:t xml:space="preserve">17 to </w:t>
      </w:r>
      <w:r w:rsidRPr="00E27F6E">
        <w:t xml:space="preserve">18 subjects in each group), 2000 mg for SSZ in the </w:t>
      </w:r>
      <w:r w:rsidR="00A343A3">
        <w:t>placebo</w:t>
      </w:r>
      <w:r w:rsidRPr="00E27F6E">
        <w:t xml:space="preserve"> (n</w:t>
      </w:r>
      <w:r w:rsidR="004D78CD">
        <w:t xml:space="preserve"> = </w:t>
      </w:r>
      <w:r w:rsidRPr="00E27F6E">
        <w:t>5</w:t>
      </w:r>
      <w:r w:rsidR="00424445">
        <w:t>) and SAR 200 </w:t>
      </w:r>
      <w:r w:rsidRPr="00E27F6E">
        <w:t>mg arms (n</w:t>
      </w:r>
      <w:r w:rsidR="004D78CD">
        <w:t xml:space="preserve"> = </w:t>
      </w:r>
      <w:r w:rsidRPr="00E27F6E">
        <w:t>15) and 1000 mg in the SAR 150 mg group (n</w:t>
      </w:r>
      <w:r w:rsidR="004D78CD">
        <w:t xml:space="preserve"> = </w:t>
      </w:r>
      <w:r w:rsidR="00424445">
        <w:t>12 subjects), and 300 to 400 </w:t>
      </w:r>
      <w:r w:rsidRPr="00E27F6E">
        <w:t>mg for HCQ (n</w:t>
      </w:r>
      <w:r w:rsidR="004D78CD">
        <w:t xml:space="preserve"> = </w:t>
      </w:r>
      <w:r w:rsidRPr="00E27F6E">
        <w:t>10-14 subjects in each treatment group)</w:t>
      </w:r>
      <w:r w:rsidR="004D78CD">
        <w:t>.</w:t>
      </w:r>
    </w:p>
    <w:p w14:paraId="76CCA302" w14:textId="77777777" w:rsidR="00E27F6E" w:rsidRPr="00E27F6E" w:rsidRDefault="00E27F6E" w:rsidP="00E27F6E">
      <w:r w:rsidRPr="00E27F6E">
        <w:t xml:space="preserve">At baseline and during the trial, 72.9% (132/181) of patients in the </w:t>
      </w:r>
      <w:r w:rsidR="00A343A3">
        <w:t>placebo</w:t>
      </w:r>
      <w:r w:rsidRPr="00E27F6E">
        <w:t xml:space="preserve"> group, 70.2% (127/181) of subjects in the SAR 150 mg arm and 66.8% (123/</w:t>
      </w:r>
      <w:r w:rsidR="00424445">
        <w:t xml:space="preserve">184) of patients in the </w:t>
      </w:r>
      <w:r w:rsidR="00424445">
        <w:lastRenderedPageBreak/>
        <w:t>SAR 200 </w:t>
      </w:r>
      <w:r w:rsidRPr="00E27F6E">
        <w:t xml:space="preserve">mg group were treated with NSAID. Furthermore, </w:t>
      </w:r>
      <w:r w:rsidR="00424445">
        <w:t xml:space="preserve">more than 60% of patients (61.4 to </w:t>
      </w:r>
      <w:r w:rsidRPr="00E27F6E">
        <w:t>64.1%) in each treatment group were treated with oral CS during Study EFC10832.</w:t>
      </w:r>
    </w:p>
    <w:p w14:paraId="23967A91" w14:textId="77777777" w:rsidR="004D78CD" w:rsidRDefault="00E27F6E" w:rsidP="00E27F6E">
      <w:r w:rsidRPr="00E27F6E">
        <w:t>At baseline, 92.3% of subjects (504/546) recorded an inadequ</w:t>
      </w:r>
      <w:r w:rsidR="00424445">
        <w:t>ate response to their last anti</w:t>
      </w:r>
      <w:r w:rsidR="00424445">
        <w:noBreakHyphen/>
      </w:r>
      <w:r w:rsidRPr="00E27F6E">
        <w:t xml:space="preserve">TNF therapy and 7.0% of patients (38/546) were considered intolerant of their last prior anti-TNF therapy by the site investigator. Of the 4 patients listed as having most recently failed anti-TNF therapy due to other reasons, 3 were due to cost and 1 subject had drug access difficulty. However, all 4 of those subjects had either previously failed another anti-TNF due to inadequate response (3 patients) or intolerance (1 patient). Two patients had no past history of anti-TNF therapy failure, but had previously demonstrated an inadequate response to abatacept. These 2 patients were incorrectly randomised into Study EFC10832 and were documented as major protocol deviations. At a similar incidence among the 3 treatment groups, three quarters of all subjects had a history of only 1 prior anti-TNF therapy (76.8%; 418/546) versus </w:t>
      </w:r>
      <w:r w:rsidR="007312A2">
        <w:t xml:space="preserve">&gt; </w:t>
      </w:r>
      <w:r w:rsidRPr="00E27F6E">
        <w:t>1 prior anti-TNF drug exposure (23.2%; 126/546). In descending frequency of use, the most commonly used prior anti-TNF drugs were etanercept (34.4%; 188/546), adalimumab (30.6%; 167/546), infliximab (18.1%; 99/546), golimumab (14.1%; 77/546) and certolizumab (9.3%; 51/546)</w:t>
      </w:r>
      <w:r w:rsidR="004D78CD">
        <w:t>.</w:t>
      </w:r>
    </w:p>
    <w:p w14:paraId="5EE8C372" w14:textId="4DDA94A8" w:rsidR="00E27F6E" w:rsidRPr="00E27F6E" w:rsidRDefault="00E27F6E" w:rsidP="00E27F6E">
      <w:r w:rsidRPr="00E27F6E">
        <w:t xml:space="preserve">The incidence of relevant co-morbid conditions was similar in the 3 treatment groups. Regarding risk factors for cardiovascular disease, a past history of hypertension was recorded in 37.2% of all subjects (203/546), 15.0% (82/546) reported hyperlipidaemia, 9.2% (50/546) recorded diabetes mellitus and 3.1% (17/546) had an established history of coronary artery disease. Past history of depression was recorded in 9.2% of patients (50/546). At baseline in Study EFC10832, 12.7% (23/181) of patients in the </w:t>
      </w:r>
      <w:r w:rsidR="00A343A3">
        <w:t>placebo</w:t>
      </w:r>
      <w:r w:rsidRPr="00E27F6E">
        <w:t xml:space="preserve"> group, 16.0% (29/181) of subjects in the SAR 150 mg arm and 13.0% (24/184) of patients in the SAR 200 mg group were treated with concomitant lipid lowering therapy, mostly statin drugs. The use of new concomitant lipid lowering therapy during the trial was higher in the 2 SAR treatment groups at (6.6% </w:t>
      </w:r>
      <w:r w:rsidR="00BF33B8">
        <w:t>(</w:t>
      </w:r>
      <w:r w:rsidRPr="00E27F6E">
        <w:t>12/181</w:t>
      </w:r>
      <w:r w:rsidR="00BF33B8">
        <w:t>)</w:t>
      </w:r>
      <w:r w:rsidRPr="00E27F6E">
        <w:t xml:space="preserve"> in the SAR 150 mg group and 4.3% </w:t>
      </w:r>
      <w:r w:rsidR="00BF33B8">
        <w:t>(</w:t>
      </w:r>
      <w:r w:rsidRPr="00E27F6E">
        <w:t>8/184</w:t>
      </w:r>
      <w:r w:rsidR="00BF33B8">
        <w:t>)</w:t>
      </w:r>
      <w:r w:rsidRPr="00E27F6E">
        <w:t xml:space="preserve"> in the SAR 200 mg arm) compared wi</w:t>
      </w:r>
      <w:r>
        <w:t xml:space="preserve">th the </w:t>
      </w:r>
      <w:r w:rsidR="00A343A3">
        <w:t>placebo</w:t>
      </w:r>
      <w:r>
        <w:t xml:space="preserve"> group (1.7%; 3/181).</w:t>
      </w:r>
    </w:p>
    <w:p w14:paraId="229EE427" w14:textId="77777777" w:rsidR="00E27F6E" w:rsidRPr="00E27F6E" w:rsidRDefault="00E27F6E" w:rsidP="00E27F6E">
      <w:pPr>
        <w:pStyle w:val="Heading5"/>
      </w:pPr>
      <w:r w:rsidRPr="00E27F6E">
        <w:t>Results for the primary efficacy outcome</w:t>
      </w:r>
    </w:p>
    <w:p w14:paraId="44A369AF" w14:textId="77777777" w:rsidR="00E27F6E" w:rsidRPr="00E27F6E" w:rsidRDefault="00E27F6E" w:rsidP="00E27F6E">
      <w:pPr>
        <w:pStyle w:val="Heading6"/>
      </w:pPr>
      <w:r w:rsidRPr="00E27F6E">
        <w:t xml:space="preserve">ACR20 </w:t>
      </w:r>
      <w:r w:rsidR="00424445" w:rsidRPr="00E27F6E">
        <w:t xml:space="preserve">response rate </w:t>
      </w:r>
      <w:r w:rsidRPr="00E27F6E">
        <w:t>at Week 24</w:t>
      </w:r>
    </w:p>
    <w:p w14:paraId="4C1A3D48" w14:textId="3F6D1AFE" w:rsidR="00E27F6E" w:rsidRPr="00E27F6E" w:rsidRDefault="00E27F6E" w:rsidP="00E27F6E">
      <w:r w:rsidRPr="00E27F6E">
        <w:t xml:space="preserve">The proportion of patients achieving an ACR20 response at </w:t>
      </w:r>
      <w:r w:rsidR="002F4291">
        <w:t>Week</w:t>
      </w:r>
      <w:r w:rsidRPr="00E27F6E">
        <w:t xml:space="preserve"> 24 was statistically higher in the SAR treatment groups (55.8% </w:t>
      </w:r>
      <w:r w:rsidR="00BF33B8">
        <w:t>(</w:t>
      </w:r>
      <w:r w:rsidRPr="00E27F6E">
        <w:t>101/181</w:t>
      </w:r>
      <w:r w:rsidR="00BF33B8">
        <w:t>)</w:t>
      </w:r>
      <w:r w:rsidRPr="00E27F6E">
        <w:t xml:space="preserve"> in the 150 mg arm and 60.9% </w:t>
      </w:r>
      <w:r w:rsidR="00BF33B8">
        <w:t>(</w:t>
      </w:r>
      <w:r w:rsidRPr="00E27F6E">
        <w:t>112/184</w:t>
      </w:r>
      <w:r w:rsidR="00BF33B8">
        <w:t>)</w:t>
      </w:r>
      <w:r w:rsidRPr="00E27F6E">
        <w:t xml:space="preserve"> in the 200 mg group) compared to patients treated with </w:t>
      </w:r>
      <w:r w:rsidR="00A343A3">
        <w:t>placebo</w:t>
      </w:r>
      <w:r w:rsidRPr="00E27F6E">
        <w:t xml:space="preserve"> in</w:t>
      </w:r>
      <w:r w:rsidR="00424445">
        <w:t>jections (33.7%; 61/181) with p</w:t>
      </w:r>
      <w:r w:rsidR="00424445">
        <w:noBreakHyphen/>
      </w:r>
      <w:r w:rsidRPr="00E27F6E">
        <w:t xml:space="preserve">values </w:t>
      </w:r>
      <w:r w:rsidR="007312A2">
        <w:t xml:space="preserve">&lt; </w:t>
      </w:r>
      <w:r w:rsidRPr="00E27F6E">
        <w:t xml:space="preserve">0.0001 in favour of both doses of SAR compared with </w:t>
      </w:r>
      <w:r w:rsidR="00A343A3">
        <w:t>placebo</w:t>
      </w:r>
      <w:r w:rsidRPr="00E27F6E">
        <w:t xml:space="preserve">. The OR of achieving an ACR20 response at 24 weeks was 2.711 (95% CI 1.730, 4.247) for SAR 150 mg therapy versus </w:t>
      </w:r>
      <w:r w:rsidR="00A343A3">
        <w:t>placebo</w:t>
      </w:r>
      <w:r w:rsidRPr="00E27F6E">
        <w:t xml:space="preserve">, and 3.284 (95% CI 2.108, 5.115) for SAR 200 mg treatment versus </w:t>
      </w:r>
      <w:r w:rsidR="00A343A3">
        <w:t>placebo</w:t>
      </w:r>
      <w:r w:rsidRPr="00E27F6E">
        <w:t>.</w:t>
      </w:r>
    </w:p>
    <w:p w14:paraId="25ADE3C7" w14:textId="77777777" w:rsidR="00E27F6E" w:rsidRPr="00E27F6E" w:rsidRDefault="00E27F6E" w:rsidP="00E27F6E">
      <w:r w:rsidRPr="00E27F6E">
        <w:t xml:space="preserve">A sensitivity analysis of the incidence of ACR20 response at </w:t>
      </w:r>
      <w:r w:rsidR="002F4291">
        <w:t>Week</w:t>
      </w:r>
      <w:r w:rsidRPr="00E27F6E">
        <w:t xml:space="preserve"> 24 using the LOCF method for handling of missing data (for all 7 ACR components) demonstrated a finding similar to that of the primary analysis, with the proportion of patients achieving an ACR 20 response at </w:t>
      </w:r>
      <w:r w:rsidR="002F4291">
        <w:t>Week</w:t>
      </w:r>
      <w:r w:rsidRPr="00E27F6E">
        <w:t xml:space="preserve"> 24 being significantly higher in patients treated with SAR compared to </w:t>
      </w:r>
      <w:r w:rsidR="00A343A3">
        <w:t>placebo</w:t>
      </w:r>
      <w:r w:rsidRPr="00E27F6E">
        <w:t>.</w:t>
      </w:r>
    </w:p>
    <w:p w14:paraId="1B07FCFF" w14:textId="77777777" w:rsidR="00E27F6E" w:rsidRPr="00E27F6E" w:rsidRDefault="00E27F6E" w:rsidP="00E27F6E">
      <w:r w:rsidRPr="00E27F6E">
        <w:t xml:space="preserve">Subgroup analysis of the rate of ACR20 response at </w:t>
      </w:r>
      <w:r w:rsidR="002F4291">
        <w:t>Week</w:t>
      </w:r>
      <w:r w:rsidRPr="00E27F6E">
        <w:t xml:space="preserve"> 24 examining the potential effect of gender, race, region and seropositivity did not reveal any clinically relevant interactions. However, a higher rate of ACR20 response to </w:t>
      </w:r>
      <w:r w:rsidR="00A343A3">
        <w:t>placebo</w:t>
      </w:r>
      <w:r w:rsidRPr="00E27F6E">
        <w:t xml:space="preserve"> therapy was observed in non-Caucasian subjects (49.1%; 28/57) and Region 2 (47.3%; 35/74), which are inter-related subgroups. This led to a smaller treatment related difference between </w:t>
      </w:r>
      <w:r w:rsidR="00A343A3">
        <w:t>placebo</w:t>
      </w:r>
      <w:r w:rsidRPr="00E27F6E">
        <w:t xml:space="preserve"> and SAR in these categories, although ACR20 responses to both doses of SAR were still numerically higher than </w:t>
      </w:r>
      <w:r w:rsidR="00A343A3">
        <w:t>placebo</w:t>
      </w:r>
      <w:r w:rsidRPr="00E27F6E">
        <w:t xml:space="preserve"> in these subgroups.</w:t>
      </w:r>
    </w:p>
    <w:p w14:paraId="1C8182DA" w14:textId="77777777" w:rsidR="00E27F6E" w:rsidRPr="00E27F6E" w:rsidRDefault="00E27F6E" w:rsidP="00E27F6E">
      <w:pPr>
        <w:pStyle w:val="Heading6"/>
      </w:pPr>
      <w:r w:rsidRPr="00E27F6E">
        <w:t xml:space="preserve">HAQ-DI </w:t>
      </w:r>
      <w:r w:rsidR="00424445" w:rsidRPr="00E27F6E">
        <w:t>sc</w:t>
      </w:r>
      <w:r w:rsidRPr="00E27F6E">
        <w:t>ore at Week 12</w:t>
      </w:r>
    </w:p>
    <w:p w14:paraId="2F85B239" w14:textId="0747F01F" w:rsidR="00E27F6E" w:rsidRPr="00D16242" w:rsidRDefault="00E27F6E" w:rsidP="00E27F6E">
      <w:r w:rsidRPr="00E27F6E">
        <w:t xml:space="preserve">The mean change </w:t>
      </w:r>
      <w:r w:rsidR="00F01361">
        <w:t>from Baseline</w:t>
      </w:r>
      <w:r w:rsidRPr="00E27F6E">
        <w:t xml:space="preserve"> to </w:t>
      </w:r>
      <w:r w:rsidR="002F4291">
        <w:t>Week</w:t>
      </w:r>
      <w:r w:rsidRPr="00E27F6E">
        <w:t xml:space="preserve"> 12 in the HAQ-DI score was statistically greater in patients treated with SAR (-0.50 for the SAR 150 mg </w:t>
      </w:r>
      <w:r w:rsidR="00BF33B8">
        <w:t>(</w:t>
      </w:r>
      <w:r w:rsidRPr="00E27F6E">
        <w:t>p</w:t>
      </w:r>
      <w:r w:rsidR="004D78CD">
        <w:t xml:space="preserve"> = </w:t>
      </w:r>
      <w:r w:rsidRPr="00E27F6E">
        <w:t>0.000</w:t>
      </w:r>
      <w:r w:rsidR="00424445">
        <w:t xml:space="preserve">7 versus </w:t>
      </w:r>
      <w:r w:rsidR="00A343A3">
        <w:t>placebo</w:t>
      </w:r>
      <w:r w:rsidR="00BF33B8">
        <w:t>)</w:t>
      </w:r>
      <w:r w:rsidR="00424445">
        <w:t xml:space="preserve"> and -0.49 for </w:t>
      </w:r>
      <w:r w:rsidR="00424445">
        <w:lastRenderedPageBreak/>
        <w:t>SAR </w:t>
      </w:r>
      <w:r w:rsidRPr="00E27F6E">
        <w:t xml:space="preserve">200 mg therapy </w:t>
      </w:r>
      <w:r w:rsidR="00BF33B8">
        <w:t>(</w:t>
      </w:r>
      <w:r w:rsidRPr="00E27F6E">
        <w:t>p</w:t>
      </w:r>
      <w:r w:rsidR="004D78CD">
        <w:t xml:space="preserve"> = </w:t>
      </w:r>
      <w:r w:rsidRPr="00E27F6E">
        <w:t xml:space="preserve">0.004 versus </w:t>
      </w:r>
      <w:r w:rsidR="00A343A3">
        <w:t>placebo</w:t>
      </w:r>
      <w:r w:rsidR="00BF33B8">
        <w:t>)</w:t>
      </w:r>
      <w:r w:rsidRPr="00E27F6E">
        <w:t>) than that o</w:t>
      </w:r>
      <w:r w:rsidR="00424445">
        <w:t xml:space="preserve">bserved in the </w:t>
      </w:r>
      <w:r w:rsidR="00A343A3">
        <w:t>placebo</w:t>
      </w:r>
      <w:r w:rsidR="00424445">
        <w:t xml:space="preserve"> arm (-0.29);</w:t>
      </w:r>
      <w:r w:rsidRPr="00E27F6E">
        <w:t xml:space="preserve"> refer to </w:t>
      </w:r>
      <w:r w:rsidR="00D16242" w:rsidRPr="00D16242">
        <w:t>Table 13</w:t>
      </w:r>
      <w:r w:rsidRPr="00D16242">
        <w:t>.</w:t>
      </w:r>
    </w:p>
    <w:p w14:paraId="3713040F" w14:textId="77777777" w:rsidR="00E27F6E" w:rsidRPr="00E27F6E" w:rsidRDefault="00D16242" w:rsidP="00E27F6E">
      <w:pPr>
        <w:pStyle w:val="Tabletitle"/>
      </w:pPr>
      <w:r w:rsidRPr="00D16242">
        <w:t>Table 13</w:t>
      </w:r>
      <w:r w:rsidR="00E27F6E" w:rsidRPr="00D16242">
        <w:t>: Change</w:t>
      </w:r>
      <w:r w:rsidR="00E27F6E" w:rsidRPr="00E27F6E">
        <w:t xml:space="preserve"> from Baseline to Week 12 in </w:t>
      </w:r>
      <w:r w:rsidR="00E27F6E">
        <w:t>HAQ-DI Score in Study EFC10832</w:t>
      </w:r>
    </w:p>
    <w:p w14:paraId="6F8F74A2" w14:textId="77777777" w:rsidR="000413B6" w:rsidRDefault="00E27F6E" w:rsidP="00C22678">
      <w:pPr>
        <w:rPr>
          <w:lang w:eastAsia="ja-JP"/>
        </w:rPr>
      </w:pPr>
      <w:r>
        <w:rPr>
          <w:noProof/>
          <w:lang w:eastAsia="en-AU"/>
        </w:rPr>
        <w:drawing>
          <wp:inline distT="0" distB="0" distL="0" distR="0" wp14:anchorId="43E896DE" wp14:editId="1CA7362B">
            <wp:extent cx="5369357" cy="2563435"/>
            <wp:effectExtent l="0" t="0" r="3175" b="8890"/>
            <wp:docPr id="22" name="Picture 22" descr="Change from Baseline to Week 12 in HAQ-DI Score in Study EFC1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370238" cy="2563856"/>
                    </a:xfrm>
                    <a:prstGeom prst="rect">
                      <a:avLst/>
                    </a:prstGeom>
                  </pic:spPr>
                </pic:pic>
              </a:graphicData>
            </a:graphic>
          </wp:inline>
        </w:drawing>
      </w:r>
    </w:p>
    <w:p w14:paraId="6D7A6C1A" w14:textId="206BBDF0" w:rsidR="00E27F6E" w:rsidRPr="00E27F6E" w:rsidRDefault="00E27F6E" w:rsidP="00E27F6E">
      <w:r w:rsidRPr="00E27F6E">
        <w:t xml:space="preserve">Sensitivity analyses of the mean change </w:t>
      </w:r>
      <w:r w:rsidR="00F01361">
        <w:t>from Baseline</w:t>
      </w:r>
      <w:r w:rsidRPr="00E27F6E">
        <w:t xml:space="preserve"> to </w:t>
      </w:r>
      <w:r w:rsidR="002F4291">
        <w:t>Week</w:t>
      </w:r>
      <w:r w:rsidRPr="00E27F6E">
        <w:t xml:space="preserve"> 12 in the HAQ-DI score using the LOCF method for handling of missing data and multiple imputations showed results consistent with the primary analysis.</w:t>
      </w:r>
    </w:p>
    <w:p w14:paraId="0C920807" w14:textId="77777777" w:rsidR="004D78CD" w:rsidRDefault="00E27F6E" w:rsidP="00E27F6E">
      <w:r w:rsidRPr="00E27F6E">
        <w:t xml:space="preserve">Regarding the subgroup analyses, gender was observed as a potentially significant variable. Female subjects showed a higher treatment related mean HAQ-DI response compared to a small effect in males due to a high </w:t>
      </w:r>
      <w:r w:rsidR="00A343A3">
        <w:t>placebo</w:t>
      </w:r>
      <w:r w:rsidRPr="00E27F6E">
        <w:t xml:space="preserve"> response.</w:t>
      </w:r>
      <w:r w:rsidR="004D78CD">
        <w:t xml:space="preserve"> </w:t>
      </w:r>
      <w:r w:rsidRPr="00E27F6E">
        <w:t>Although there was no treatment by region interaction (p</w:t>
      </w:r>
      <w:r w:rsidR="004D78CD">
        <w:t xml:space="preserve"> = </w:t>
      </w:r>
      <w:r w:rsidRPr="00E27F6E">
        <w:t xml:space="preserve">0.9407), a higher </w:t>
      </w:r>
      <w:r w:rsidR="00A343A3">
        <w:t>placebo</w:t>
      </w:r>
      <w:r w:rsidRPr="00E27F6E">
        <w:t xml:space="preserve"> response was observed in Region 2 compared to Regions 1 and 2</w:t>
      </w:r>
      <w:r w:rsidR="004D78CD">
        <w:t>.</w:t>
      </w:r>
    </w:p>
    <w:p w14:paraId="594A9B48" w14:textId="1251CC0C" w:rsidR="00E27F6E" w:rsidRPr="00E27F6E" w:rsidRDefault="00E27F6E" w:rsidP="00E27F6E">
      <w:r w:rsidRPr="00E27F6E">
        <w:t xml:space="preserve">For the analysis of clinically meaningful HAQ-DI response, 2 different definitions of response were used: </w:t>
      </w:r>
      <w:r w:rsidR="007312A2">
        <w:t xml:space="preserve">&gt; </w:t>
      </w:r>
      <w:r w:rsidRPr="00E27F6E">
        <w:t xml:space="preserve">0.3 and </w:t>
      </w:r>
      <w:r w:rsidR="007312A2">
        <w:t xml:space="preserve">&gt; </w:t>
      </w:r>
      <w:r w:rsidRPr="00E27F6E">
        <w:t xml:space="preserve">0.22 units of improvement </w:t>
      </w:r>
      <w:r w:rsidR="00F01361">
        <w:t>from Baseline</w:t>
      </w:r>
      <w:r w:rsidRPr="00E27F6E">
        <w:t xml:space="preserve">. At </w:t>
      </w:r>
      <w:r w:rsidR="002F4291">
        <w:t>Week</w:t>
      </w:r>
      <w:r w:rsidRPr="00E27F6E">
        <w:t xml:space="preserve"> 12, there was no difference between the 2 SAR dose groups and </w:t>
      </w:r>
      <w:r w:rsidR="00A343A3">
        <w:t>placebo</w:t>
      </w:r>
      <w:r w:rsidRPr="00E27F6E">
        <w:t xml:space="preserve"> for the rate of HAQ-DI response using the </w:t>
      </w:r>
      <w:r w:rsidR="00424445">
        <w:t>&gt; </w:t>
      </w:r>
      <w:r w:rsidRPr="00E27F6E">
        <w:t xml:space="preserve">0.22 threshold. However, using an improvement of </w:t>
      </w:r>
      <w:r w:rsidR="007312A2">
        <w:t xml:space="preserve">&gt; </w:t>
      </w:r>
      <w:r w:rsidRPr="00E27F6E">
        <w:t xml:space="preserve">0.3 units as the definition, both SAR doses recorded numerically higher rates of HAQ-DI response (51.1% for SAR 200 mg </w:t>
      </w:r>
      <w:r w:rsidR="00BF33B8">
        <w:t>(</w:t>
      </w:r>
      <w:r w:rsidRPr="00E27F6E">
        <w:t>nominal p</w:t>
      </w:r>
      <w:r w:rsidR="00424445">
        <w:t> </w:t>
      </w:r>
      <w:r w:rsidR="004D78CD">
        <w:t xml:space="preserve">= </w:t>
      </w:r>
      <w:r w:rsidRPr="00E27F6E">
        <w:t xml:space="preserve">0.0025 versus </w:t>
      </w:r>
      <w:r w:rsidR="00A343A3">
        <w:t>placebo</w:t>
      </w:r>
      <w:r w:rsidR="00BF33B8">
        <w:t>)</w:t>
      </w:r>
      <w:r w:rsidRPr="00E27F6E">
        <w:t xml:space="preserve"> and 47.0% for SAR 150 mg </w:t>
      </w:r>
      <w:r w:rsidR="00BF33B8">
        <w:t>(</w:t>
      </w:r>
      <w:r w:rsidRPr="00E27F6E">
        <w:t>nominal p</w:t>
      </w:r>
      <w:r w:rsidR="004D78CD">
        <w:t xml:space="preserve"> = </w:t>
      </w:r>
      <w:r w:rsidRPr="00E27F6E">
        <w:t>0.0297</w:t>
      </w:r>
      <w:r w:rsidR="00BF33B8">
        <w:t>)</w:t>
      </w:r>
      <w:r w:rsidRPr="00E27F6E">
        <w:t xml:space="preserve">) compared to </w:t>
      </w:r>
      <w:r w:rsidR="00A343A3">
        <w:t>placebo</w:t>
      </w:r>
      <w:r w:rsidRPr="00E27F6E">
        <w:t xml:space="preserve"> </w:t>
      </w:r>
      <w:r>
        <w:t>(35.9%).</w:t>
      </w:r>
    </w:p>
    <w:p w14:paraId="1E33EF7A" w14:textId="77777777" w:rsidR="00E27F6E" w:rsidRPr="00E27F6E" w:rsidRDefault="00E27F6E" w:rsidP="00E27F6E">
      <w:pPr>
        <w:pStyle w:val="Heading5"/>
      </w:pPr>
      <w:r w:rsidRPr="00E27F6E">
        <w:t>Results for other efficacy outcomes</w:t>
      </w:r>
    </w:p>
    <w:p w14:paraId="4976D863" w14:textId="77777777" w:rsidR="00E27F6E" w:rsidRPr="00E27F6E" w:rsidRDefault="00E27F6E" w:rsidP="00E27F6E">
      <w:r w:rsidRPr="00E27F6E">
        <w:t xml:space="preserve">As summarised </w:t>
      </w:r>
      <w:r w:rsidRPr="00D16242">
        <w:t xml:space="preserve">in </w:t>
      </w:r>
      <w:r w:rsidR="00D16242" w:rsidRPr="00D16242">
        <w:t>Table 14</w:t>
      </w:r>
      <w:r w:rsidRPr="00D16242">
        <w:t xml:space="preserve">, each dose of SAR was tested versus </w:t>
      </w:r>
      <w:r w:rsidR="00A343A3">
        <w:t>placebo</w:t>
      </w:r>
      <w:r w:rsidRPr="00D16242">
        <w:t xml:space="preserve"> for the hierarchical order of primary and secondary efficacy</w:t>
      </w:r>
      <w:r w:rsidRPr="00E27F6E">
        <w:t xml:space="preserve"> endpoints in Study EFC10832. According to the pre-specified order of analysis, the results were statistically significant in favour of both doses of SAR versus </w:t>
      </w:r>
      <w:r w:rsidR="00A343A3">
        <w:t>placebo</w:t>
      </w:r>
      <w:r w:rsidRPr="00E27F6E">
        <w:t xml:space="preserve"> for each efficacy endpoint up to and including the PCS of SF-36 at </w:t>
      </w:r>
      <w:r w:rsidR="002F4291">
        <w:t>Week</w:t>
      </w:r>
      <w:r w:rsidRPr="00E27F6E">
        <w:t xml:space="preserve"> 24 (all values in bold in Table 16 are statistically in favour of SAR versus </w:t>
      </w:r>
      <w:r w:rsidR="00A343A3">
        <w:t>placebo</w:t>
      </w:r>
      <w:r w:rsidRPr="00E27F6E">
        <w:t xml:space="preserve"> at 0.025 level using simple Bonferroni adjustment).</w:t>
      </w:r>
    </w:p>
    <w:p w14:paraId="6F58293A" w14:textId="728A61E6" w:rsidR="00E27F6E" w:rsidRPr="00E27F6E" w:rsidRDefault="00E27F6E" w:rsidP="00E27F6E">
      <w:pPr>
        <w:pStyle w:val="Tabletitle"/>
      </w:pPr>
      <w:r w:rsidRPr="00D16242">
        <w:lastRenderedPageBreak/>
        <w:t>Table 1</w:t>
      </w:r>
      <w:r w:rsidR="00D16242" w:rsidRPr="00D16242">
        <w:t>4</w:t>
      </w:r>
      <w:r w:rsidRPr="00D16242">
        <w:t>: Summary of Primary and Secondary Efficacy Endpoint Results in Study</w:t>
      </w:r>
      <w:r w:rsidR="001F23CB">
        <w:t> </w:t>
      </w:r>
      <w:r w:rsidRPr="00E27F6E">
        <w:t>EFC10832</w:t>
      </w:r>
    </w:p>
    <w:p w14:paraId="2432790D" w14:textId="77777777" w:rsidR="000413B6" w:rsidRDefault="00E27F6E" w:rsidP="00C22678">
      <w:pPr>
        <w:rPr>
          <w:lang w:eastAsia="ja-JP"/>
        </w:rPr>
      </w:pPr>
      <w:r>
        <w:rPr>
          <w:noProof/>
          <w:lang w:eastAsia="en-AU"/>
        </w:rPr>
        <w:drawing>
          <wp:inline distT="0" distB="0" distL="0" distR="0" wp14:anchorId="45D2B788" wp14:editId="55D5D813">
            <wp:extent cx="5420563" cy="3801343"/>
            <wp:effectExtent l="0" t="0" r="8890" b="8890"/>
            <wp:docPr id="23" name="Picture 23" descr="Summary of Primary and Secondary Efficacy Endpoint Results in Study EFC1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25098" cy="3804523"/>
                    </a:xfrm>
                    <a:prstGeom prst="rect">
                      <a:avLst/>
                    </a:prstGeom>
                  </pic:spPr>
                </pic:pic>
              </a:graphicData>
            </a:graphic>
          </wp:inline>
        </w:drawing>
      </w:r>
    </w:p>
    <w:p w14:paraId="3F5ABF9D" w14:textId="77777777" w:rsidR="00E27F6E" w:rsidRPr="00E27F6E" w:rsidRDefault="00424445" w:rsidP="00E27F6E">
      <w:pPr>
        <w:pStyle w:val="Heading6"/>
      </w:pPr>
      <w:r>
        <w:t>(a) DAS28-CRP;</w:t>
      </w:r>
      <w:r w:rsidR="00E27F6E" w:rsidRPr="00E27F6E">
        <w:t xml:space="preserve"> Week 24</w:t>
      </w:r>
    </w:p>
    <w:p w14:paraId="1775C65A" w14:textId="507E6679" w:rsidR="00E27F6E" w:rsidRPr="00E27F6E" w:rsidRDefault="00E27F6E" w:rsidP="00E27F6E">
      <w:r w:rsidRPr="00E27F6E">
        <w:t xml:space="preserve">At baseline, all 3 treatment groups had similar DAS28-CRP values ranging from 6.09 to 6.29 indicating severely active RA. During Study EFC10832, all treatment groups showed a mean decrease in DAS28-CRP score </w:t>
      </w:r>
      <w:r w:rsidR="00F01361">
        <w:t>from Baseline</w:t>
      </w:r>
      <w:r w:rsidRPr="00E27F6E">
        <w:t xml:space="preserve"> indicating improvement in RA disease activity. At </w:t>
      </w:r>
      <w:r w:rsidR="002F4291">
        <w:t>Week</w:t>
      </w:r>
      <w:r w:rsidRPr="00E27F6E">
        <w:t xml:space="preserve"> 24, the LS mean change </w:t>
      </w:r>
      <w:r w:rsidR="00F01361">
        <w:t>from Baseline</w:t>
      </w:r>
      <w:r w:rsidRPr="00E27F6E">
        <w:t xml:space="preserve"> in DAS28-CRP score was -1.38 for the </w:t>
      </w:r>
      <w:r w:rsidR="00A343A3">
        <w:t>placebo</w:t>
      </w:r>
      <w:r w:rsidR="00424445">
        <w:t xml:space="preserve"> group, </w:t>
      </w:r>
      <w:r w:rsidR="00424445">
        <w:noBreakHyphen/>
      </w:r>
      <w:r w:rsidRPr="00E27F6E">
        <w:t>2.35 for SAR 150 mg and -2.82 for SAR 200 mg therapy (</w:t>
      </w:r>
      <w:r w:rsidR="00B77556">
        <w:t>p &lt;</w:t>
      </w:r>
      <w:r w:rsidR="007312A2">
        <w:t xml:space="preserve"> </w:t>
      </w:r>
      <w:r w:rsidRPr="00E27F6E">
        <w:t>0.0001 for</w:t>
      </w:r>
      <w:r>
        <w:t xml:space="preserve"> both doses of SAR versus </w:t>
      </w:r>
      <w:r w:rsidR="00A343A3">
        <w:t>placebo</w:t>
      </w:r>
      <w:r>
        <w:t>).</w:t>
      </w:r>
    </w:p>
    <w:p w14:paraId="1C4715C8" w14:textId="4447F0AD" w:rsidR="00E27F6E" w:rsidRPr="00E27F6E" w:rsidRDefault="00E27F6E" w:rsidP="00E27F6E">
      <w:r w:rsidRPr="00E27F6E">
        <w:t>A statistically higher proportion of patients in the SAR treatment groups achieved DAS28-CRP remission (</w:t>
      </w:r>
      <w:r w:rsidR="004D78CD">
        <w:t>that is</w:t>
      </w:r>
      <w:r w:rsidRPr="00E27F6E">
        <w:t xml:space="preserve"> DAS28-CRP score </w:t>
      </w:r>
      <w:r w:rsidR="007312A2">
        <w:t xml:space="preserve">&lt; </w:t>
      </w:r>
      <w:r w:rsidRPr="00E27F6E">
        <w:t xml:space="preserve">2.6) at </w:t>
      </w:r>
      <w:r w:rsidR="002F4291">
        <w:t>Week</w:t>
      </w:r>
      <w:r w:rsidRPr="00E27F6E">
        <w:t xml:space="preserve"> 24 (24.9% </w:t>
      </w:r>
      <w:r w:rsidR="00BF33B8">
        <w:t>(</w:t>
      </w:r>
      <w:r w:rsidRPr="00E27F6E">
        <w:t>45/181</w:t>
      </w:r>
      <w:r w:rsidR="00BF33B8">
        <w:t>)</w:t>
      </w:r>
      <w:r w:rsidRPr="00E27F6E">
        <w:t xml:space="preserve"> in the 150 mg group and 28.8% </w:t>
      </w:r>
      <w:r w:rsidR="00BF33B8">
        <w:t>(</w:t>
      </w:r>
      <w:r w:rsidRPr="00E27F6E">
        <w:t>53/184</w:t>
      </w:r>
      <w:r w:rsidR="00BF33B8">
        <w:t>)</w:t>
      </w:r>
      <w:r w:rsidRPr="00E27F6E">
        <w:t xml:space="preserve"> in the 200 mg arm) compared to </w:t>
      </w:r>
      <w:r w:rsidR="00A343A3">
        <w:t>placebo</w:t>
      </w:r>
      <w:r w:rsidRPr="00E27F6E">
        <w:t xml:space="preserve"> (7.2%; 13/181; </w:t>
      </w:r>
      <w:r w:rsidR="00B77556">
        <w:t>p &lt;</w:t>
      </w:r>
      <w:r w:rsidR="007312A2">
        <w:t xml:space="preserve"> </w:t>
      </w:r>
      <w:r w:rsidRPr="00E27F6E">
        <w:t>0.0001 for the difference b</w:t>
      </w:r>
      <w:r>
        <w:t xml:space="preserve">etween each SAR group and </w:t>
      </w:r>
      <w:r w:rsidR="00A343A3">
        <w:t>placebo</w:t>
      </w:r>
      <w:r>
        <w:t>).</w:t>
      </w:r>
    </w:p>
    <w:p w14:paraId="6E1B5E23" w14:textId="77777777" w:rsidR="00E27F6E" w:rsidRPr="00E27F6E" w:rsidRDefault="00E27F6E" w:rsidP="00E27F6E">
      <w:pPr>
        <w:pStyle w:val="Heading6"/>
      </w:pPr>
      <w:r w:rsidRPr="00E27F6E">
        <w:t xml:space="preserve">(b) ACR50 and ACR70 </w:t>
      </w:r>
      <w:r w:rsidR="00424445" w:rsidRPr="00E27F6E">
        <w:t>response rates</w:t>
      </w:r>
      <w:r w:rsidR="00424445">
        <w:t xml:space="preserve"> and individual ACR components; Week 24</w:t>
      </w:r>
    </w:p>
    <w:p w14:paraId="2AF765AB" w14:textId="105D00A9" w:rsidR="00E27F6E" w:rsidRPr="00E27F6E" w:rsidRDefault="00E27F6E" w:rsidP="00E27F6E">
      <w:r w:rsidRPr="00E27F6E">
        <w:t xml:space="preserve">A statistically higher proportion of patients in the SAR treatment groups achieved ACR50 response at 24 weeks (37.0% </w:t>
      </w:r>
      <w:r w:rsidR="00BF33B8">
        <w:t>(</w:t>
      </w:r>
      <w:r w:rsidRPr="00E27F6E">
        <w:t>67/181</w:t>
      </w:r>
      <w:r w:rsidR="00BF33B8">
        <w:t>)</w:t>
      </w:r>
      <w:r w:rsidRPr="00E27F6E">
        <w:t xml:space="preserve"> in the 150 mg group and 40.8% </w:t>
      </w:r>
      <w:r w:rsidR="00BF33B8">
        <w:t>(</w:t>
      </w:r>
      <w:r w:rsidRPr="00E27F6E">
        <w:t>75/184</w:t>
      </w:r>
      <w:r w:rsidR="00BF33B8">
        <w:t>)</w:t>
      </w:r>
      <w:r w:rsidRPr="00E27F6E">
        <w:t xml:space="preserve"> in the 200 mg arm) compared to </w:t>
      </w:r>
      <w:r w:rsidR="00A343A3">
        <w:t>placebo</w:t>
      </w:r>
      <w:r w:rsidRPr="00E27F6E">
        <w:t xml:space="preserve"> (18.2%; 33/181; </w:t>
      </w:r>
      <w:r w:rsidR="00B77556">
        <w:t>p &lt;</w:t>
      </w:r>
      <w:r w:rsidR="007312A2">
        <w:t xml:space="preserve"> </w:t>
      </w:r>
      <w:r w:rsidRPr="00E27F6E">
        <w:t>0.0001 for the difference b</w:t>
      </w:r>
      <w:r>
        <w:t xml:space="preserve">etween each SAR group and </w:t>
      </w:r>
      <w:r w:rsidR="00A343A3">
        <w:t>placebo</w:t>
      </w:r>
      <w:r>
        <w:t>).</w:t>
      </w:r>
    </w:p>
    <w:p w14:paraId="70041BD2" w14:textId="114E1583" w:rsidR="00E27F6E" w:rsidRPr="00E27F6E" w:rsidRDefault="00E27F6E" w:rsidP="00E27F6E">
      <w:r w:rsidRPr="00E27F6E">
        <w:t xml:space="preserve">A statistically higher proportion of patients in the SAR treatment groups achieved ACR70 response at 24 weeks (19.9% </w:t>
      </w:r>
      <w:r w:rsidR="00BF33B8">
        <w:t>(</w:t>
      </w:r>
      <w:r w:rsidRPr="00E27F6E">
        <w:t>36/181</w:t>
      </w:r>
      <w:r w:rsidR="00BF33B8">
        <w:t>)</w:t>
      </w:r>
      <w:r w:rsidRPr="00E27F6E">
        <w:t xml:space="preserve"> in the 150 mg group and 16.3% </w:t>
      </w:r>
      <w:r w:rsidR="00BF33B8">
        <w:t>(</w:t>
      </w:r>
      <w:r w:rsidRPr="00E27F6E">
        <w:t>30/184</w:t>
      </w:r>
      <w:r w:rsidR="00BF33B8">
        <w:t>)</w:t>
      </w:r>
      <w:r w:rsidRPr="00E27F6E">
        <w:t xml:space="preserve"> in the 200 mg arm) compared to </w:t>
      </w:r>
      <w:r w:rsidR="00A343A3">
        <w:t>placebo</w:t>
      </w:r>
      <w:r w:rsidRPr="00E27F6E">
        <w:t xml:space="preserve"> (7.2%; 13/181; </w:t>
      </w:r>
      <w:r w:rsidR="00B77556">
        <w:t>p &lt;</w:t>
      </w:r>
      <w:r w:rsidR="007312A2">
        <w:t xml:space="preserve"> </w:t>
      </w:r>
      <w:r w:rsidRPr="00E27F6E">
        <w:t>0.006 for the difference b</w:t>
      </w:r>
      <w:r>
        <w:t xml:space="preserve">etween each SAR group and </w:t>
      </w:r>
      <w:r w:rsidR="00A343A3">
        <w:t>placebo</w:t>
      </w:r>
      <w:r>
        <w:t>).</w:t>
      </w:r>
    </w:p>
    <w:p w14:paraId="68AC4B29" w14:textId="77777777" w:rsidR="00E27F6E" w:rsidRPr="00E27F6E" w:rsidRDefault="00E27F6E" w:rsidP="00E27F6E">
      <w:r w:rsidRPr="00E27F6E">
        <w:t xml:space="preserve">At </w:t>
      </w:r>
      <w:r w:rsidR="002F4291">
        <w:t>Week</w:t>
      </w:r>
      <w:r w:rsidRPr="00E27F6E">
        <w:t xml:space="preserve"> 24, all 7 ACR components showed a statistically greater improvement with both doses of SAR versus </w:t>
      </w:r>
      <w:r w:rsidR="00A343A3">
        <w:t>placebo</w:t>
      </w:r>
      <w:r w:rsidRPr="00E27F6E">
        <w:t xml:space="preserve">, which is supportive of the validity of the primary efficacy results regarding higher ACR20 response rates with either dose of SAR therapy versus </w:t>
      </w:r>
      <w:r w:rsidR="00A343A3">
        <w:t>placebo</w:t>
      </w:r>
      <w:r w:rsidRPr="00E27F6E">
        <w:t>.</w:t>
      </w:r>
    </w:p>
    <w:p w14:paraId="34CC581C" w14:textId="42DF771F" w:rsidR="00E27F6E" w:rsidRPr="00E27F6E" w:rsidRDefault="00E27F6E" w:rsidP="00E27F6E">
      <w:r w:rsidRPr="00E27F6E">
        <w:lastRenderedPageBreak/>
        <w:t xml:space="preserve">At </w:t>
      </w:r>
      <w:r w:rsidR="002F4291">
        <w:t>Week</w:t>
      </w:r>
      <w:r w:rsidRPr="00E27F6E">
        <w:t xml:space="preserve"> 24, all 3 treatment groups showed an increase (improvement) </w:t>
      </w:r>
      <w:r w:rsidR="00F01361">
        <w:t>from Baseline</w:t>
      </w:r>
      <w:r w:rsidRPr="00E27F6E">
        <w:t xml:space="preserve"> in ACRn. At </w:t>
      </w:r>
      <w:r w:rsidR="002F4291">
        <w:t>Week</w:t>
      </w:r>
      <w:r w:rsidRPr="00E27F6E">
        <w:t xml:space="preserve"> 24, the mean percentage increase </w:t>
      </w:r>
      <w:r w:rsidR="00F01361">
        <w:t>from Baseline</w:t>
      </w:r>
      <w:r w:rsidRPr="00E27F6E">
        <w:t xml:space="preserve"> in ACRn was 28.37% for the </w:t>
      </w:r>
      <w:r w:rsidR="00A343A3">
        <w:t>placebo</w:t>
      </w:r>
      <w:r w:rsidRPr="00E27F6E">
        <w:t xml:space="preserve"> group, 46.55% for SAR 150 mg and 46.04% for SAR 200 mg therapy (nominal p-value </w:t>
      </w:r>
      <w:r w:rsidR="007312A2">
        <w:t xml:space="preserve">&lt; </w:t>
      </w:r>
      <w:r w:rsidRPr="00E27F6E">
        <w:t>0.0001 for</w:t>
      </w:r>
      <w:r>
        <w:t xml:space="preserve"> both doses of SAR versus </w:t>
      </w:r>
      <w:r w:rsidR="00A343A3">
        <w:t>placebo</w:t>
      </w:r>
      <w:r>
        <w:t>).</w:t>
      </w:r>
    </w:p>
    <w:p w14:paraId="1E5CF973" w14:textId="77777777" w:rsidR="00E27F6E" w:rsidRPr="00E27F6E" w:rsidRDefault="00424445" w:rsidP="00E27F6E">
      <w:pPr>
        <w:pStyle w:val="Heading6"/>
      </w:pPr>
      <w:r>
        <w:t>(c) SDAI and CDAI;</w:t>
      </w:r>
      <w:r w:rsidR="00E27F6E" w:rsidRPr="00E27F6E">
        <w:t xml:space="preserve"> Week 24</w:t>
      </w:r>
    </w:p>
    <w:p w14:paraId="6FDA6AFE" w14:textId="013E5E45" w:rsidR="00E27F6E" w:rsidRPr="00E27F6E" w:rsidRDefault="00E27F6E" w:rsidP="00E27F6E">
      <w:r w:rsidRPr="00E27F6E">
        <w:t xml:space="preserve">Baseline SDAI values were similar across the 3 treatment groups ranging from 44.9 to 47.2. All 3 arms showed a decrease </w:t>
      </w:r>
      <w:r w:rsidR="00F01361">
        <w:t>from Baseline</w:t>
      </w:r>
      <w:r w:rsidRPr="00E27F6E">
        <w:t xml:space="preserve"> in SDAI. At </w:t>
      </w:r>
      <w:r w:rsidR="002F4291">
        <w:t>Week</w:t>
      </w:r>
      <w:r w:rsidRPr="00E27F6E">
        <w:t xml:space="preserve"> 24, the LS mean change </w:t>
      </w:r>
      <w:r w:rsidR="00F01361">
        <w:t>from Baseline</w:t>
      </w:r>
      <w:r w:rsidRPr="00E27F6E">
        <w:t xml:space="preserve"> in SDAI was -24.5 for the </w:t>
      </w:r>
      <w:r w:rsidR="00A343A3">
        <w:t>placebo</w:t>
      </w:r>
      <w:r w:rsidRPr="00E27F6E">
        <w:t xml:space="preserve"> group, -28.5 for the SAR 150 mg arm and -33.4 for the SAR 200 mg dose group. The difference in mean SDAI </w:t>
      </w:r>
      <w:r w:rsidR="00F01361">
        <w:t>from Baseline</w:t>
      </w:r>
      <w:r w:rsidRPr="00E27F6E">
        <w:t xml:space="preserve"> to </w:t>
      </w:r>
      <w:r w:rsidR="002F4291">
        <w:t>Week</w:t>
      </w:r>
      <w:r w:rsidRPr="00E27F6E">
        <w:t xml:space="preserve"> 24 was statistically greater in both SAR treatment groups compared with </w:t>
      </w:r>
      <w:r w:rsidR="00A343A3">
        <w:t>placebo</w:t>
      </w:r>
      <w:r w:rsidRPr="00E27F6E">
        <w:t xml:space="preserve"> (nominal p-values </w:t>
      </w:r>
      <w:r w:rsidR="007312A2">
        <w:t xml:space="preserve">&lt; </w:t>
      </w:r>
      <w:r w:rsidRPr="00E27F6E">
        <w:t>0.0001). Furthermore, the proportion of patients achieving SDAI remission (</w:t>
      </w:r>
      <w:r w:rsidR="004D78CD">
        <w:t>that is</w:t>
      </w:r>
      <w:r w:rsidRPr="00E27F6E">
        <w:t xml:space="preserve"> SDAI </w:t>
      </w:r>
      <w:r w:rsidR="00041F97">
        <w:t xml:space="preserve">≤ </w:t>
      </w:r>
      <w:r w:rsidRPr="00E27F6E">
        <w:t xml:space="preserve">3.3) at </w:t>
      </w:r>
      <w:r w:rsidR="002F4291">
        <w:t>Week</w:t>
      </w:r>
      <w:r w:rsidRPr="00E27F6E">
        <w:t xml:space="preserve"> 24 was numerically higher in SAR treated patients (9.9% </w:t>
      </w:r>
      <w:r w:rsidR="00BF33B8">
        <w:t>(</w:t>
      </w:r>
      <w:r w:rsidRPr="00E27F6E">
        <w:t>18/181</w:t>
      </w:r>
      <w:r w:rsidR="00BF33B8">
        <w:t>)</w:t>
      </w:r>
      <w:r w:rsidRPr="00E27F6E">
        <w:t xml:space="preserve"> for SAR 150 mg and 8.7% </w:t>
      </w:r>
      <w:r w:rsidR="00BF33B8">
        <w:t>(</w:t>
      </w:r>
      <w:r w:rsidRPr="00E27F6E">
        <w:t>16/184</w:t>
      </w:r>
      <w:r w:rsidR="00BF33B8">
        <w:t>)</w:t>
      </w:r>
      <w:r w:rsidRPr="00E27F6E">
        <w:t xml:space="preserve"> for SAR 200 mg) when compared with </w:t>
      </w:r>
      <w:r w:rsidR="00A343A3">
        <w:t>placebo</w:t>
      </w:r>
      <w:r w:rsidRPr="00E27F6E">
        <w:t xml:space="preserve"> (2.8%; 5/181). The nominal p-value for SAR 150 mg versus </w:t>
      </w:r>
      <w:r w:rsidR="00A343A3">
        <w:t>placebo</w:t>
      </w:r>
      <w:r w:rsidRPr="00E27F6E">
        <w:t xml:space="preserve"> was 0.0044 and for SA</w:t>
      </w:r>
      <w:r>
        <w:t xml:space="preserve">R 200 mg versus </w:t>
      </w:r>
      <w:r w:rsidR="00A343A3">
        <w:t>placebo</w:t>
      </w:r>
      <w:r>
        <w:t xml:space="preserve"> was 0.0146.</w:t>
      </w:r>
    </w:p>
    <w:p w14:paraId="294797A6" w14:textId="1CE546AF" w:rsidR="00E27F6E" w:rsidRPr="00E27F6E" w:rsidRDefault="00E27F6E" w:rsidP="00E27F6E">
      <w:r w:rsidRPr="00E27F6E">
        <w:t xml:space="preserve">Baseline CDAI values were similar across the 3 treatment groups in Part B of Study EFC11072 ranging from 41.6 to 44.1. All treatment arms showed a mean decrease (improvement) </w:t>
      </w:r>
      <w:r w:rsidR="00F01361">
        <w:t>from Baseline</w:t>
      </w:r>
      <w:r w:rsidRPr="00E27F6E">
        <w:t xml:space="preserve"> in CDAI. At </w:t>
      </w:r>
      <w:r w:rsidR="002F4291">
        <w:t>Week</w:t>
      </w:r>
      <w:r w:rsidRPr="00E27F6E">
        <w:t xml:space="preserve"> 24, the LS mean change in CDAI was -23.9 for the </w:t>
      </w:r>
      <w:r w:rsidR="00A343A3">
        <w:t>placebo</w:t>
      </w:r>
      <w:r w:rsidRPr="00E27F6E">
        <w:t xml:space="preserve"> group, -27.1 for the SAR 150 mg arm and -30.4 for the SAR 200 mg dose group. The differences between each of the SAR dose groups and </w:t>
      </w:r>
      <w:r w:rsidR="00A343A3">
        <w:t>placebo</w:t>
      </w:r>
      <w:r w:rsidRPr="00E27F6E">
        <w:t xml:space="preserve"> were statistically significant (p-values </w:t>
      </w:r>
      <w:r w:rsidR="007312A2">
        <w:t xml:space="preserve">&lt; </w:t>
      </w:r>
      <w:r w:rsidRPr="00E27F6E">
        <w:t>0.0001). In addition, the proportion of patients achieving CDAI remission (</w:t>
      </w:r>
      <w:r w:rsidR="004D78CD">
        <w:t>that is</w:t>
      </w:r>
      <w:r w:rsidRPr="00E27F6E">
        <w:t xml:space="preserve"> CDAI </w:t>
      </w:r>
      <w:r w:rsidR="00041F97">
        <w:t xml:space="preserve">≤ </w:t>
      </w:r>
      <w:r w:rsidRPr="00E27F6E">
        <w:t xml:space="preserve">2.8) at 24 weeks was higher in SAR treated patients (9.4% </w:t>
      </w:r>
      <w:r w:rsidR="00BF33B8">
        <w:t>(</w:t>
      </w:r>
      <w:r w:rsidRPr="00E27F6E">
        <w:t>17/181</w:t>
      </w:r>
      <w:r w:rsidR="00BF33B8">
        <w:t>)</w:t>
      </w:r>
      <w:r w:rsidRPr="00E27F6E">
        <w:t xml:space="preserve"> for SAR 150 mg and 8.2% </w:t>
      </w:r>
      <w:r w:rsidR="00BF33B8">
        <w:t>(</w:t>
      </w:r>
      <w:r w:rsidRPr="00E27F6E">
        <w:t>15/184</w:t>
      </w:r>
      <w:r w:rsidR="00BF33B8">
        <w:t>)</w:t>
      </w:r>
      <w:r w:rsidRPr="00E27F6E">
        <w:t xml:space="preserve"> for SAR 200 mg) versus </w:t>
      </w:r>
      <w:r w:rsidR="00A343A3">
        <w:t>placebo</w:t>
      </w:r>
      <w:r w:rsidRPr="00E27F6E">
        <w:t xml:space="preserve"> (5.0%; 9/181), however the nominal p-values for testing the difference in the incidence of achieving CDAI remission between each of the SAR groups and </w:t>
      </w:r>
      <w:r w:rsidR="00A343A3">
        <w:t>placebo</w:t>
      </w:r>
      <w:r w:rsidRPr="00E27F6E">
        <w:t xml:space="preserve"> were not significant (p</w:t>
      </w:r>
      <w:r w:rsidR="004D78CD">
        <w:t xml:space="preserve"> = </w:t>
      </w:r>
      <w:r w:rsidRPr="00E27F6E">
        <w:t xml:space="preserve">0.0971 for SAR 150 mg versus </w:t>
      </w:r>
      <w:r w:rsidR="00A343A3">
        <w:t>placebo</w:t>
      </w:r>
      <w:r w:rsidRPr="00E27F6E">
        <w:t xml:space="preserve"> and p</w:t>
      </w:r>
      <w:r w:rsidR="004D78CD">
        <w:t xml:space="preserve"> = </w:t>
      </w:r>
      <w:r w:rsidRPr="00E27F6E">
        <w:t>0.</w:t>
      </w:r>
      <w:r>
        <w:t xml:space="preserve">2134 for SAR 200 mg versus </w:t>
      </w:r>
      <w:r w:rsidR="00A343A3">
        <w:t>placebo</w:t>
      </w:r>
      <w:r>
        <w:t>).</w:t>
      </w:r>
    </w:p>
    <w:p w14:paraId="3A917B12" w14:textId="77777777" w:rsidR="00E27F6E" w:rsidRPr="00E27F6E" w:rsidRDefault="00E27F6E" w:rsidP="00E27F6E">
      <w:pPr>
        <w:pStyle w:val="Heading6"/>
      </w:pPr>
      <w:r w:rsidRPr="00E27F6E">
        <w:t>(d) HAQ-DI at Week 24</w:t>
      </w:r>
    </w:p>
    <w:p w14:paraId="7A2B2B1E" w14:textId="32887B3B" w:rsidR="00E27F6E" w:rsidRPr="00E27F6E" w:rsidRDefault="00E27F6E" w:rsidP="00E27F6E">
      <w:r w:rsidRPr="00E27F6E">
        <w:t xml:space="preserve">The LS mean change </w:t>
      </w:r>
      <w:r w:rsidR="00F01361">
        <w:t>from Baseline</w:t>
      </w:r>
      <w:r w:rsidRPr="00E27F6E">
        <w:t xml:space="preserve"> to </w:t>
      </w:r>
      <w:r w:rsidR="002F4291">
        <w:t>Week</w:t>
      </w:r>
      <w:r w:rsidRPr="00E27F6E">
        <w:t xml:space="preserve"> 24 in the HAQ-DI score was numerically greater in patients treated with SAR (-0.52 for 150 mg and -0.58 for 200 mg dose) than for subjects in the </w:t>
      </w:r>
      <w:r w:rsidR="00A343A3">
        <w:t>placebo</w:t>
      </w:r>
      <w:r w:rsidRPr="00E27F6E">
        <w:t xml:space="preserve"> group (-0.34). The differences between each dose of SAR and </w:t>
      </w:r>
      <w:r w:rsidR="00A343A3">
        <w:t>placebo</w:t>
      </w:r>
      <w:r w:rsidRPr="00E27F6E">
        <w:t xml:space="preserve"> were statistically significant (p</w:t>
      </w:r>
      <w:r w:rsidR="004D78CD">
        <w:t xml:space="preserve"> = </w:t>
      </w:r>
      <w:r w:rsidRPr="00E27F6E">
        <w:t xml:space="preserve">0.0078 for SAR 150 mg versus </w:t>
      </w:r>
      <w:r w:rsidR="00A343A3">
        <w:t>placebo</w:t>
      </w:r>
      <w:r w:rsidRPr="00E27F6E">
        <w:t xml:space="preserve"> and p</w:t>
      </w:r>
      <w:r w:rsidR="004D78CD">
        <w:t xml:space="preserve"> = </w:t>
      </w:r>
      <w:r w:rsidRPr="00E27F6E">
        <w:t xml:space="preserve">0.0004 for SAR 200 mg versus </w:t>
      </w:r>
      <w:r w:rsidR="00A343A3">
        <w:t>placebo</w:t>
      </w:r>
      <w:r w:rsidRPr="00E27F6E">
        <w:t>).</w:t>
      </w:r>
    </w:p>
    <w:p w14:paraId="652205F9" w14:textId="366D5C8B" w:rsidR="004D78CD" w:rsidRDefault="00E27F6E" w:rsidP="00E27F6E">
      <w:r w:rsidRPr="00E27F6E">
        <w:t xml:space="preserve">At </w:t>
      </w:r>
      <w:r w:rsidR="002F4291">
        <w:t>Week</w:t>
      </w:r>
      <w:r w:rsidRPr="00E27F6E">
        <w:t xml:space="preserve"> 24 the proportion of patients who were HAQ-DI responders using an improvement of </w:t>
      </w:r>
      <w:r w:rsidR="00424445">
        <w:t>&gt; </w:t>
      </w:r>
      <w:r w:rsidRPr="00E27F6E">
        <w:t xml:space="preserve">0.22 units was higher in both SAR treatment groups (47.5% for SAR 150 mg </w:t>
      </w:r>
      <w:r w:rsidR="00BF33B8">
        <w:t>(</w:t>
      </w:r>
      <w:r w:rsidRPr="00E27F6E">
        <w:t>nominal p</w:t>
      </w:r>
      <w:r w:rsidR="00424445">
        <w:t> = </w:t>
      </w:r>
      <w:r w:rsidRPr="00E27F6E">
        <w:t>0.013747</w:t>
      </w:r>
      <w:r w:rsidR="00BF33B8">
        <w:t>)</w:t>
      </w:r>
      <w:r w:rsidRPr="00E27F6E">
        <w:t xml:space="preserve"> and 56.0% for 200 mg </w:t>
      </w:r>
      <w:r w:rsidR="00BF33B8">
        <w:t>(</w:t>
      </w:r>
      <w:r w:rsidR="00B77556">
        <w:t>p &lt;</w:t>
      </w:r>
      <w:r w:rsidR="007312A2">
        <w:t xml:space="preserve"> </w:t>
      </w:r>
      <w:r w:rsidRPr="00E27F6E">
        <w:t>0.0001</w:t>
      </w:r>
      <w:r w:rsidR="00BF33B8">
        <w:t>)</w:t>
      </w:r>
      <w:r w:rsidRPr="00E27F6E">
        <w:t xml:space="preserve">) than in the </w:t>
      </w:r>
      <w:r w:rsidR="00A343A3">
        <w:t>placebo</w:t>
      </w:r>
      <w:r w:rsidRPr="00E27F6E">
        <w:t xml:space="preserve"> arm (35.4%). At </w:t>
      </w:r>
      <w:r w:rsidR="002F4291">
        <w:t>Week</w:t>
      </w:r>
      <w:r w:rsidRPr="00E27F6E">
        <w:t xml:space="preserve"> 24 the proportion of patients who were HAQ-DI responders using an improvement of </w:t>
      </w:r>
      <w:r w:rsidR="007312A2">
        <w:t xml:space="preserve">&gt; </w:t>
      </w:r>
      <w:r w:rsidRPr="00E27F6E">
        <w:t xml:space="preserve">0.3 units was higher in both SAR groups (43.1% for 150 mg </w:t>
      </w:r>
      <w:r w:rsidR="00BF33B8">
        <w:t>(</w:t>
      </w:r>
      <w:r w:rsidRPr="00E27F6E">
        <w:t>nominal p</w:t>
      </w:r>
      <w:r w:rsidR="004D78CD">
        <w:t xml:space="preserve"> = </w:t>
      </w:r>
      <w:r w:rsidRPr="00E27F6E">
        <w:t>0.0165</w:t>
      </w:r>
      <w:r w:rsidR="00BF33B8">
        <w:t>)</w:t>
      </w:r>
      <w:r w:rsidRPr="00E27F6E">
        <w:t xml:space="preserve"> and 47.3% for 200 mg </w:t>
      </w:r>
      <w:r w:rsidR="00BF33B8">
        <w:t>(</w:t>
      </w:r>
      <w:r w:rsidRPr="00E27F6E">
        <w:t>nominal p</w:t>
      </w:r>
      <w:r w:rsidR="004D78CD">
        <w:t xml:space="preserve"> = </w:t>
      </w:r>
      <w:r w:rsidRPr="00E27F6E">
        <w:t>0.0014</w:t>
      </w:r>
      <w:r w:rsidR="00BF33B8">
        <w:t>)</w:t>
      </w:r>
      <w:r w:rsidRPr="00E27F6E">
        <w:t xml:space="preserve">) than in the </w:t>
      </w:r>
      <w:r w:rsidR="00A343A3">
        <w:t>placebo</w:t>
      </w:r>
      <w:r w:rsidRPr="00E27F6E">
        <w:t xml:space="preserve"> arm (31.5%)</w:t>
      </w:r>
      <w:r w:rsidR="004D78CD">
        <w:t>.</w:t>
      </w:r>
    </w:p>
    <w:p w14:paraId="654C06D5" w14:textId="77777777" w:rsidR="00E27F6E" w:rsidRPr="00E27F6E" w:rsidRDefault="00E27F6E" w:rsidP="00E27F6E">
      <w:pPr>
        <w:pStyle w:val="Heading6"/>
      </w:pPr>
      <w:r w:rsidRPr="00E27F6E">
        <w:t xml:space="preserve">(e) Boolean-based ACR/EULAR </w:t>
      </w:r>
      <w:r w:rsidR="00424445">
        <w:t>remission; Week 24</w:t>
      </w:r>
    </w:p>
    <w:p w14:paraId="30AF105E" w14:textId="77777777" w:rsidR="00E27F6E" w:rsidRPr="00E27F6E" w:rsidRDefault="00E27F6E" w:rsidP="00E27F6E">
      <w:r w:rsidRPr="00E27F6E">
        <w:t xml:space="preserve">The proportion of patients achieving Boolean-based ACR/EULAR remission at </w:t>
      </w:r>
      <w:r w:rsidR="002F4291">
        <w:t>Week</w:t>
      </w:r>
      <w:r w:rsidRPr="00E27F6E">
        <w:t xml:space="preserve"> 24 was numerically higher in patients treated with SAR (5.5% for </w:t>
      </w:r>
      <w:r w:rsidR="00424445">
        <w:t>SAR 150 mg and 6.0% for SAR 200 </w:t>
      </w:r>
      <w:r w:rsidRPr="00E27F6E">
        <w:t xml:space="preserve">mg) compared with </w:t>
      </w:r>
      <w:r w:rsidR="00A343A3">
        <w:t>placebo</w:t>
      </w:r>
      <w:r w:rsidRPr="00E27F6E">
        <w:t xml:space="preserve"> treated patients (2.8%). The nominal p-values for testing the difference in Boolean-based ACR/EULAR response between each of the SAR treatment groups and </w:t>
      </w:r>
      <w:r w:rsidR="00A343A3">
        <w:t>placebo</w:t>
      </w:r>
      <w:r w:rsidRPr="00E27F6E">
        <w:t xml:space="preserve"> were p</w:t>
      </w:r>
      <w:r w:rsidR="007312A2">
        <w:t xml:space="preserve">&gt; </w:t>
      </w:r>
      <w:r w:rsidRPr="00E27F6E">
        <w:t>0.025.</w:t>
      </w:r>
    </w:p>
    <w:p w14:paraId="4713AAB5" w14:textId="77777777" w:rsidR="00E27F6E" w:rsidRPr="00E27F6E" w:rsidRDefault="00E27F6E" w:rsidP="00E27F6E">
      <w:pPr>
        <w:pStyle w:val="Heading6"/>
      </w:pPr>
      <w:r w:rsidRPr="00E27F6E">
        <w:t xml:space="preserve">(h) Quality of Life </w:t>
      </w:r>
      <w:r w:rsidR="00424445">
        <w:t>and Economic Outcomes; Week 24</w:t>
      </w:r>
    </w:p>
    <w:p w14:paraId="5888C34F" w14:textId="77777777" w:rsidR="00E27F6E" w:rsidRPr="00E27F6E" w:rsidRDefault="00E27F6E" w:rsidP="00E27F6E">
      <w:r w:rsidRPr="00E27F6E">
        <w:t xml:space="preserve">The last statistically significant efficacy endpoint in the testing hierarchy was the PCS of SF-36 at </w:t>
      </w:r>
      <w:r w:rsidR="002F4291">
        <w:t>Week</w:t>
      </w:r>
      <w:r w:rsidRPr="00E27F6E">
        <w:t xml:space="preserve"> 24 for both SAR dose groups versus </w:t>
      </w:r>
      <w:r w:rsidR="00A343A3">
        <w:t>placebo</w:t>
      </w:r>
      <w:r w:rsidRPr="00E27F6E">
        <w:t xml:space="preserve">. Significance is not claimed for those parameters lower in the testing hierarchy; </w:t>
      </w:r>
      <w:r w:rsidR="004D78CD">
        <w:t>that is</w:t>
      </w:r>
      <w:r w:rsidRPr="00E27F6E">
        <w:t>, for the MCS of SF-36, FACIT-Fatigue, duration of morning stiffness, WPS-RA, RAID and EQ-5D-3L.</w:t>
      </w:r>
    </w:p>
    <w:p w14:paraId="11B99A93" w14:textId="4C5D25B9" w:rsidR="004D78CD" w:rsidRDefault="00E27F6E" w:rsidP="00E27F6E">
      <w:r w:rsidRPr="00E27F6E">
        <w:lastRenderedPageBreak/>
        <w:t xml:space="preserve">At </w:t>
      </w:r>
      <w:r w:rsidR="002F4291">
        <w:t>Week</w:t>
      </w:r>
      <w:r w:rsidRPr="00E27F6E">
        <w:t xml:space="preserve"> 24, the differences in SF-36 PCS scores were statistically higher (</w:t>
      </w:r>
      <w:r w:rsidR="004D78CD">
        <w:t>that is</w:t>
      </w:r>
      <w:r w:rsidRPr="00E27F6E">
        <w:t xml:space="preserve"> improved) for both SAR treatment groups compared with </w:t>
      </w:r>
      <w:r w:rsidR="00A343A3">
        <w:t>placebo</w:t>
      </w:r>
      <w:r w:rsidRPr="00E27F6E">
        <w:t xml:space="preserve"> (</w:t>
      </w:r>
      <w:r w:rsidR="00B77556">
        <w:t>p &lt;</w:t>
      </w:r>
      <w:r w:rsidR="007312A2">
        <w:t xml:space="preserve"> </w:t>
      </w:r>
      <w:r w:rsidRPr="00E27F6E">
        <w:t xml:space="preserve">0.0004 for SAR 150 mg and </w:t>
      </w:r>
      <w:r w:rsidR="00B77556">
        <w:t>p &lt;</w:t>
      </w:r>
      <w:r w:rsidR="007312A2">
        <w:t xml:space="preserve"> </w:t>
      </w:r>
      <w:r w:rsidRPr="00E27F6E">
        <w:t xml:space="preserve">0.0001 for SAR 200 mg versus </w:t>
      </w:r>
      <w:r w:rsidR="00A343A3">
        <w:t>placebo</w:t>
      </w:r>
      <w:r w:rsidRPr="00E27F6E">
        <w:t xml:space="preserve">). At </w:t>
      </w:r>
      <w:r w:rsidR="002F4291">
        <w:t>Week</w:t>
      </w:r>
      <w:r w:rsidRPr="00E27F6E">
        <w:t xml:space="preserve"> 24, the LS mean increase </w:t>
      </w:r>
      <w:r w:rsidR="00F01361">
        <w:t>from Baseline</w:t>
      </w:r>
      <w:r w:rsidRPr="00E27F6E">
        <w:t xml:space="preserve"> in the SF-36 PCS scores were 7.65 points for SAR 150 mg (from a baseline mean of 30.28 </w:t>
      </w:r>
      <w:r w:rsidR="00BF33B8">
        <w:t>(</w:t>
      </w:r>
      <w:r w:rsidRPr="00E27F6E">
        <w:t>n</w:t>
      </w:r>
      <w:r w:rsidR="004D78CD">
        <w:t xml:space="preserve"> = </w:t>
      </w:r>
      <w:r w:rsidRPr="00E27F6E">
        <w:t>123</w:t>
      </w:r>
      <w:r w:rsidR="00BF33B8">
        <w:t>)</w:t>
      </w:r>
      <w:r w:rsidRPr="00E27F6E">
        <w:t xml:space="preserve">) and 8.48 points for SAR 200 mg (from a baseline mean of 29.36 </w:t>
      </w:r>
      <w:r w:rsidR="00BF33B8">
        <w:t>(</w:t>
      </w:r>
      <w:r w:rsidRPr="00E27F6E">
        <w:t>n</w:t>
      </w:r>
      <w:r w:rsidR="004D78CD">
        <w:t xml:space="preserve"> = </w:t>
      </w:r>
      <w:r w:rsidRPr="00E27F6E">
        <w:t>134</w:t>
      </w:r>
      <w:r w:rsidR="00BF33B8">
        <w:t>)</w:t>
      </w:r>
      <w:r w:rsidRPr="00E27F6E">
        <w:t xml:space="preserve">) compared with the </w:t>
      </w:r>
      <w:r w:rsidR="00A343A3">
        <w:t>placebo</w:t>
      </w:r>
      <w:r w:rsidRPr="00E27F6E">
        <w:t xml:space="preserve"> group (4.40 point improvement from a baseline mean of 29.73 </w:t>
      </w:r>
      <w:r w:rsidR="00BF33B8">
        <w:t>(</w:t>
      </w:r>
      <w:r w:rsidRPr="00E27F6E">
        <w:t>n</w:t>
      </w:r>
      <w:r w:rsidR="004D78CD">
        <w:t xml:space="preserve"> = </w:t>
      </w:r>
      <w:r w:rsidRPr="00E27F6E">
        <w:t>99</w:t>
      </w:r>
      <w:r w:rsidR="00BF33B8">
        <w:t>)</w:t>
      </w:r>
      <w:r w:rsidRPr="00E27F6E">
        <w:t>)</w:t>
      </w:r>
      <w:r w:rsidR="004D78CD">
        <w:t>.</w:t>
      </w:r>
    </w:p>
    <w:p w14:paraId="186BA9F5" w14:textId="6A743413" w:rsidR="00E27F6E" w:rsidRPr="00E27F6E" w:rsidRDefault="00E27F6E" w:rsidP="00E27F6E">
      <w:r w:rsidRPr="00E27F6E">
        <w:t xml:space="preserve">The differences in SF-36 MCS scores at </w:t>
      </w:r>
      <w:r w:rsidR="002F4291">
        <w:t>Week</w:t>
      </w:r>
      <w:r w:rsidRPr="00E27F6E">
        <w:t xml:space="preserve"> 24 for both SAR treatment groups compared to </w:t>
      </w:r>
      <w:r w:rsidR="00A343A3">
        <w:t>placebo</w:t>
      </w:r>
      <w:r w:rsidRPr="00E27F6E">
        <w:t xml:space="preserve"> did not reach statistical significance (p</w:t>
      </w:r>
      <w:r w:rsidR="004D78CD">
        <w:t xml:space="preserve"> = </w:t>
      </w:r>
      <w:r w:rsidRPr="00E27F6E">
        <w:t>0.2026 for SAR 150 mg and p</w:t>
      </w:r>
      <w:r w:rsidR="004D78CD">
        <w:t xml:space="preserve"> = </w:t>
      </w:r>
      <w:r w:rsidRPr="00E27F6E">
        <w:t xml:space="preserve">0.0854 for SAR 200 mg versus </w:t>
      </w:r>
      <w:r w:rsidR="00A343A3">
        <w:t>placebo</w:t>
      </w:r>
      <w:r w:rsidRPr="00E27F6E">
        <w:t xml:space="preserve">). At </w:t>
      </w:r>
      <w:r w:rsidR="002F4291">
        <w:t>Week</w:t>
      </w:r>
      <w:r w:rsidRPr="00E27F6E">
        <w:t xml:space="preserve"> 24, the LS mean increase </w:t>
      </w:r>
      <w:r w:rsidR="00F01361">
        <w:t>from Baseline</w:t>
      </w:r>
      <w:r w:rsidRPr="00E27F6E">
        <w:t xml:space="preserve"> in the SF-36 MCS scores were 6.26 points for SAR 150 mg (from a baseline mean of 38.60 </w:t>
      </w:r>
      <w:r w:rsidR="00BF33B8">
        <w:t>(</w:t>
      </w:r>
      <w:r w:rsidRPr="00E27F6E">
        <w:t>n</w:t>
      </w:r>
      <w:r w:rsidR="004D78CD">
        <w:t xml:space="preserve"> = </w:t>
      </w:r>
      <w:r w:rsidRPr="00E27F6E">
        <w:t>123</w:t>
      </w:r>
      <w:r w:rsidR="00BF33B8">
        <w:t>)</w:t>
      </w:r>
      <w:r w:rsidRPr="00E27F6E">
        <w:t xml:space="preserve">) and 6.76 points for SAR 200 mg (from a baseline mean of 39.08 </w:t>
      </w:r>
      <w:r w:rsidR="00BF33B8">
        <w:t>(</w:t>
      </w:r>
      <w:r w:rsidRPr="00E27F6E">
        <w:t>n</w:t>
      </w:r>
      <w:r w:rsidR="004D78CD">
        <w:t xml:space="preserve"> = </w:t>
      </w:r>
      <w:r w:rsidRPr="00E27F6E">
        <w:t>134</w:t>
      </w:r>
      <w:r w:rsidR="00BF33B8">
        <w:t>)</w:t>
      </w:r>
      <w:r w:rsidRPr="00E27F6E">
        <w:t xml:space="preserve">) compared with the </w:t>
      </w:r>
      <w:r w:rsidR="00A343A3">
        <w:t>placebo</w:t>
      </w:r>
      <w:r w:rsidRPr="00E27F6E">
        <w:t xml:space="preserve"> group (4.74 point improvement from a baseline mean of 38.52 </w:t>
      </w:r>
      <w:r w:rsidR="00BF33B8">
        <w:t>(</w:t>
      </w:r>
      <w:r w:rsidRPr="00E27F6E">
        <w:t>n</w:t>
      </w:r>
      <w:r w:rsidR="004D78CD">
        <w:t xml:space="preserve"> = </w:t>
      </w:r>
      <w:r w:rsidRPr="00E27F6E">
        <w:t>99</w:t>
      </w:r>
      <w:r w:rsidR="00BF33B8">
        <w:t>)</w:t>
      </w:r>
      <w:r w:rsidRPr="00E27F6E">
        <w:t>).</w:t>
      </w:r>
    </w:p>
    <w:p w14:paraId="7563EA73" w14:textId="77777777" w:rsidR="00E27F6E" w:rsidRPr="00E27F6E" w:rsidRDefault="00E27F6E" w:rsidP="00E27F6E">
      <w:r w:rsidRPr="00E27F6E">
        <w:t xml:space="preserve">The sponsor does not claim statistical significance in favour of SAR therapy versus </w:t>
      </w:r>
      <w:r w:rsidR="00A343A3">
        <w:t>placebo</w:t>
      </w:r>
      <w:r w:rsidRPr="00E27F6E">
        <w:t xml:space="preserve"> for the remainder of the QOL and health economic endpoints because the statistical testing hierarchy was broken prior to these parameters being explored. Nonetheless, the remainder of the QOL outcomes (FACIT-Fatigue score, duration of morning stiffness, WPS-RA score and RAID score) as well as the health economic observation (EQ-5D-3L score) were numerically higher in both SAR treatment groups compared with </w:t>
      </w:r>
      <w:r w:rsidR="00A343A3">
        <w:t>placebo</w:t>
      </w:r>
      <w:r w:rsidRPr="00E27F6E">
        <w:t xml:space="preserve"> and demonstrated nominal p-val</w:t>
      </w:r>
      <w:r w:rsidR="00424445">
        <w:t xml:space="preserve">ues in favour of SAR </w:t>
      </w:r>
      <w:r w:rsidR="00424445" w:rsidRPr="00D16242">
        <w:t>treatment</w:t>
      </w:r>
      <w:r w:rsidRPr="00D16242">
        <w:t>.</w:t>
      </w:r>
    </w:p>
    <w:p w14:paraId="152644CD" w14:textId="77777777" w:rsidR="00E27F6E" w:rsidRPr="00E27F6E" w:rsidRDefault="00E27F6E" w:rsidP="00E27F6E">
      <w:pPr>
        <w:pStyle w:val="Heading3"/>
      </w:pPr>
      <w:bookmarkStart w:id="181" w:name="_Ref271037188"/>
      <w:bookmarkStart w:id="182" w:name="_Ref271037210"/>
      <w:bookmarkStart w:id="183" w:name="_Toc272414655"/>
      <w:bookmarkStart w:id="184" w:name="_Toc290888503"/>
      <w:bookmarkStart w:id="185" w:name="_Toc464131539"/>
      <w:bookmarkStart w:id="186" w:name="_Toc241374311"/>
      <w:bookmarkStart w:id="187" w:name="_Ref243294291"/>
      <w:bookmarkStart w:id="188" w:name="_Toc519848443"/>
      <w:r w:rsidRPr="00E27F6E">
        <w:t>Other efficacy studies</w:t>
      </w:r>
      <w:bookmarkEnd w:id="181"/>
      <w:bookmarkEnd w:id="182"/>
      <w:bookmarkEnd w:id="183"/>
      <w:bookmarkEnd w:id="184"/>
      <w:bookmarkEnd w:id="185"/>
      <w:bookmarkEnd w:id="188"/>
    </w:p>
    <w:p w14:paraId="782A2C3C" w14:textId="77777777" w:rsidR="00E27F6E" w:rsidRPr="00E27F6E" w:rsidRDefault="00E27F6E" w:rsidP="00E27F6E">
      <w:pPr>
        <w:pStyle w:val="Heading4"/>
      </w:pPr>
      <w:bookmarkStart w:id="189" w:name="_Toc290888504"/>
      <w:bookmarkStart w:id="190" w:name="_Toc464131540"/>
      <w:bookmarkEnd w:id="186"/>
      <w:bookmarkEnd w:id="187"/>
      <w:r w:rsidRPr="00E27F6E">
        <w:t xml:space="preserve">Part A of Study </w:t>
      </w:r>
      <w:bookmarkEnd w:id="189"/>
      <w:r w:rsidRPr="00E27F6E">
        <w:t>EFC11072</w:t>
      </w:r>
      <w:bookmarkEnd w:id="190"/>
    </w:p>
    <w:p w14:paraId="04EFE9BE" w14:textId="77777777" w:rsidR="00E27F6E" w:rsidRPr="00E27F6E" w:rsidRDefault="00E27F6E" w:rsidP="00E27F6E">
      <w:pPr>
        <w:pStyle w:val="Heading5"/>
      </w:pPr>
      <w:r w:rsidRPr="00E27F6E">
        <w:t xml:space="preserve">Study </w:t>
      </w:r>
      <w:r w:rsidR="00424445" w:rsidRPr="00E27F6E">
        <w:t>design, objectives, locations, dates and treatments</w:t>
      </w:r>
    </w:p>
    <w:p w14:paraId="02E6DFE4" w14:textId="77777777" w:rsidR="00E27F6E" w:rsidRPr="00E27F6E" w:rsidRDefault="00E27F6E" w:rsidP="00E27F6E">
      <w:r w:rsidRPr="00E27F6E">
        <w:t xml:space="preserve">The 2 primary objectives of this trial were to demonstrate that SAR when added to MTX was effective for the reduction of symptoms and signs of active RA at 12 weeks, and to define the optimal dose regimen of SAR for future clinical studies. Part A of Study EFC11072 was a </w:t>
      </w:r>
      <w:r w:rsidR="008B50BF">
        <w:t>12 week</w:t>
      </w:r>
      <w:r w:rsidRPr="00E27F6E">
        <w:t xml:space="preserve">, </w:t>
      </w:r>
      <w:r w:rsidR="008B50BF">
        <w:t>6 arm</w:t>
      </w:r>
      <w:r w:rsidRPr="00E27F6E">
        <w:t xml:space="preserve">, </w:t>
      </w:r>
      <w:r w:rsidR="004D78CD">
        <w:t>dose ranging</w:t>
      </w:r>
      <w:r w:rsidRPr="00E27F6E">
        <w:t xml:space="preserve"> study intended to select the 2 dose regimens of SAR for further evaluation in the </w:t>
      </w:r>
      <w:r w:rsidR="004D78CD">
        <w:t>Phase III</w:t>
      </w:r>
      <w:r w:rsidRPr="00E27F6E">
        <w:t xml:space="preserve"> RA program. Subjects were randomly assigned in an equal ratio to receive either </w:t>
      </w:r>
      <w:r w:rsidR="00A343A3">
        <w:t>placebo</w:t>
      </w:r>
      <w:r w:rsidRPr="00E27F6E">
        <w:t xml:space="preserve"> injections once weekly (qw), SAR 100 mg qw, SAR 150 mg qw, SAR 100 mg once every 2 weeks (q2w), SAR 150 mg q2w or SAR 200mg q2w. The maximum duration of study involvement for each individual patient was 22 weeks (up to 4 weeks of screening, followed by 12 weeks for study treatment and 6 weeks of follow-up after their last injection). Patients from Part A of Study EFC11072 did not participate in Part B of the trial. However, subjects who completed Part A were eligible to enter an </w:t>
      </w:r>
      <w:r w:rsidR="004D78CD">
        <w:t>open label</w:t>
      </w:r>
      <w:r w:rsidRPr="00E27F6E">
        <w:t xml:space="preserve">, </w:t>
      </w:r>
      <w:r w:rsidR="004D78CD">
        <w:t>long term</w:t>
      </w:r>
      <w:r w:rsidRPr="00E27F6E">
        <w:t xml:space="preserve"> extension study (LTS11210). Part A of Study EFC11072 was conducted at 102 investigator sites in 19 countries in Europe, North and South America, Korea, Australia and South Africa. The first patient was enrolled in March 2010 and the last patient completed follow-up in May 2011.</w:t>
      </w:r>
    </w:p>
    <w:p w14:paraId="6E27D457" w14:textId="77777777" w:rsidR="00E27F6E" w:rsidRPr="00E27F6E" w:rsidRDefault="00E27F6E" w:rsidP="00E27F6E">
      <w:pPr>
        <w:pStyle w:val="Heading5"/>
      </w:pPr>
      <w:r w:rsidRPr="00E27F6E">
        <w:t xml:space="preserve">Eligibility </w:t>
      </w:r>
      <w:r w:rsidR="000F37C5">
        <w:t>c</w:t>
      </w:r>
      <w:r w:rsidRPr="00E27F6E">
        <w:t>riteria</w:t>
      </w:r>
    </w:p>
    <w:p w14:paraId="0909F563" w14:textId="6EFC8EEC" w:rsidR="00E27F6E" w:rsidRPr="00E27F6E" w:rsidRDefault="00E27F6E" w:rsidP="00E27F6E">
      <w:r w:rsidRPr="00E27F6E">
        <w:t xml:space="preserve">To be eligible for inclusion, patients had to be between 18 and 75 years of age with a diagnosis of RA for at least 3 months. Subjects had to have active disease </w:t>
      </w:r>
      <w:r w:rsidR="00F01361">
        <w:t>at Baseline</w:t>
      </w:r>
      <w:r w:rsidRPr="00E27F6E">
        <w:t xml:space="preserve"> as evidenced by </w:t>
      </w:r>
      <w:r w:rsidR="007312A2">
        <w:t xml:space="preserve">≥ </w:t>
      </w:r>
      <w:r w:rsidRPr="00E27F6E">
        <w:t xml:space="preserve">8 tender joints (out of a possible 68), </w:t>
      </w:r>
      <w:r w:rsidR="007312A2">
        <w:t xml:space="preserve">≥ </w:t>
      </w:r>
      <w:r w:rsidRPr="00E27F6E">
        <w:t xml:space="preserve">6 swollen joints (out of a possible 66) and high sensitivity CRP reading </w:t>
      </w:r>
      <w:r w:rsidR="007312A2">
        <w:t xml:space="preserve">&gt; </w:t>
      </w:r>
      <w:r w:rsidRPr="00E27F6E">
        <w:t>10 mg/L despite c</w:t>
      </w:r>
      <w:r w:rsidR="000F37C5">
        <w:t xml:space="preserve">ontinuous treatment with MTX 10 to </w:t>
      </w:r>
      <w:r w:rsidRPr="00E27F6E">
        <w:t xml:space="preserve">25 mg/week for at least 12 weeks (stable dose for at least 6 weeks prior to screening). A past history of non-response to anti-TNF or any other biologic therapy for RA was an exclusion criterion. Concurrent use of low dose CS (prednisone </w:t>
      </w:r>
      <w:r w:rsidR="007312A2">
        <w:t xml:space="preserve">&lt; </w:t>
      </w:r>
      <w:r w:rsidRPr="00E27F6E">
        <w:t>10 mg/day) or NSAID, if stable for at least 4 weeks prior to screening, was permissible.</w:t>
      </w:r>
    </w:p>
    <w:p w14:paraId="5E179108" w14:textId="77777777" w:rsidR="00E27F6E" w:rsidRPr="00E27F6E" w:rsidRDefault="00E27F6E" w:rsidP="00E27F6E">
      <w:pPr>
        <w:pStyle w:val="Heading5"/>
      </w:pPr>
      <w:r w:rsidRPr="00E27F6E">
        <w:lastRenderedPageBreak/>
        <w:t xml:space="preserve">Efficacy </w:t>
      </w:r>
      <w:r w:rsidR="000F37C5" w:rsidRPr="00E27F6E">
        <w:t>variables</w:t>
      </w:r>
      <w:r w:rsidR="000F37C5">
        <w:t xml:space="preserve"> and statistical considerations</w:t>
      </w:r>
    </w:p>
    <w:p w14:paraId="4923D757" w14:textId="77777777" w:rsidR="00E27F6E" w:rsidRPr="00E27F6E" w:rsidRDefault="00E27F6E" w:rsidP="00E27F6E">
      <w:r w:rsidRPr="00E27F6E">
        <w:t xml:space="preserve">The primary efficacy endpoint was the proportion of patients in each treatment arm who achieved ACR20 response at </w:t>
      </w:r>
      <w:r w:rsidR="002F4291">
        <w:t>Week</w:t>
      </w:r>
      <w:r w:rsidRPr="00E27F6E">
        <w:t xml:space="preserve"> 12. The primary analysis compared each SAR dose group to </w:t>
      </w:r>
      <w:r w:rsidR="00A343A3">
        <w:t>placebo</w:t>
      </w:r>
      <w:r w:rsidRPr="00E27F6E">
        <w:t xml:space="preserve"> with a CMH test, corrected for mult</w:t>
      </w:r>
      <w:r>
        <w:t>iplicity by Hommel’s procedure.</w:t>
      </w:r>
    </w:p>
    <w:p w14:paraId="7F0912F9" w14:textId="75734FB2" w:rsidR="00E27F6E" w:rsidRPr="00E27F6E" w:rsidRDefault="00E27F6E" w:rsidP="00E27F6E">
      <w:r w:rsidRPr="00E27F6E">
        <w:t xml:space="preserve">The secondary efficacy outcomes in Part A of Study EFC11072 (all reported at </w:t>
      </w:r>
      <w:r w:rsidR="002F4291">
        <w:t>Week</w:t>
      </w:r>
      <w:r w:rsidRPr="00E27F6E">
        <w:t xml:space="preserve"> 12) included: ACR50 and ACR70 response rates, mean change </w:t>
      </w:r>
      <w:r w:rsidR="00F01361">
        <w:t>from Baseline</w:t>
      </w:r>
      <w:r w:rsidRPr="00E27F6E">
        <w:t xml:space="preserve"> in each of the 7 ACR components, mean change </w:t>
      </w:r>
      <w:r w:rsidR="00F01361">
        <w:t>from Baseline</w:t>
      </w:r>
      <w:r w:rsidRPr="00E27F6E">
        <w:t xml:space="preserve"> in DAS28-CRP score, rates of DAS28-CRP remission, rates of EULAR response and mean ACRn. The categorical secondary efficacy variables such as ACR50 response were analysed in the same manner as the primary efficacy endpoint. For the continuous efficacy variables such as the mean change </w:t>
      </w:r>
      <w:r w:rsidR="00F01361">
        <w:t>from Baseline</w:t>
      </w:r>
      <w:r w:rsidRPr="00E27F6E">
        <w:t xml:space="preserve"> in DAS28-CRP score, an ANCOVA model</w:t>
      </w:r>
      <w:r>
        <w:t xml:space="preserve"> was used.</w:t>
      </w:r>
    </w:p>
    <w:p w14:paraId="1A29C9A7" w14:textId="77777777" w:rsidR="00E27F6E" w:rsidRPr="00E27F6E" w:rsidRDefault="00E27F6E" w:rsidP="00E27F6E">
      <w:r w:rsidRPr="00E27F6E">
        <w:t xml:space="preserve">All efficacy analyses were conducted using the ITT patient population consisting of all patients who had been randomised to treatment through the central IVRS. At randomisation, subjects were stratified according to prior biologic therapy use (yes/no) and region. Part A of Study EFC11072 had a </w:t>
      </w:r>
      <w:r w:rsidR="00E0128B">
        <w:t>double blind</w:t>
      </w:r>
      <w:r w:rsidRPr="00E27F6E">
        <w:t xml:space="preserve"> design.</w:t>
      </w:r>
    </w:p>
    <w:p w14:paraId="5029D46C" w14:textId="77777777" w:rsidR="00E27F6E" w:rsidRPr="00E27F6E" w:rsidRDefault="00E27F6E" w:rsidP="00E27F6E">
      <w:r w:rsidRPr="00E27F6E">
        <w:t xml:space="preserve">Using a </w:t>
      </w:r>
      <w:r w:rsidR="00041F97">
        <w:t>2 sided</w:t>
      </w:r>
      <w:r w:rsidRPr="00E27F6E">
        <w:t xml:space="preserve"> test with α</w:t>
      </w:r>
      <w:r w:rsidR="004D78CD">
        <w:t xml:space="preserve"> = </w:t>
      </w:r>
      <w:r w:rsidRPr="00E27F6E">
        <w:t xml:space="preserve">0.01, the sample size calculation estimated 50 patients per patient group was required to provide 80% power to detect a treatment related difference of 35% in the </w:t>
      </w:r>
      <w:r w:rsidR="002F4291">
        <w:t>Week</w:t>
      </w:r>
      <w:r w:rsidRPr="00E27F6E">
        <w:t xml:space="preserve"> 12 ACR20 response rate between any dose of SAR (estimated </w:t>
      </w:r>
      <w:r w:rsidR="000F37C5">
        <w:t>to be 75% in at least 1 </w:t>
      </w:r>
      <w:r w:rsidRPr="00E27F6E">
        <w:t xml:space="preserve">SAR dose arm) and </w:t>
      </w:r>
      <w:r w:rsidR="00A343A3">
        <w:t>placebo</w:t>
      </w:r>
      <w:r w:rsidRPr="00E27F6E">
        <w:t xml:space="preserve"> (estimated to be 40%).</w:t>
      </w:r>
    </w:p>
    <w:p w14:paraId="6FC71B62" w14:textId="77777777" w:rsidR="00E27F6E" w:rsidRPr="00E27F6E" w:rsidRDefault="00E27F6E" w:rsidP="00E27F6E">
      <w:pPr>
        <w:pStyle w:val="Heading5"/>
      </w:pPr>
      <w:r w:rsidRPr="00E27F6E">
        <w:t xml:space="preserve">Participant </w:t>
      </w:r>
      <w:r w:rsidR="000F37C5" w:rsidRPr="00E27F6E">
        <w:t>flow and significant protocol deviations</w:t>
      </w:r>
    </w:p>
    <w:p w14:paraId="44726ADF" w14:textId="77777777" w:rsidR="00E27F6E" w:rsidRPr="00E27F6E" w:rsidRDefault="00E27F6E" w:rsidP="00E27F6E">
      <w:r w:rsidRPr="00E27F6E">
        <w:t>A total of 737 subjects were screened for involvement in Part A of Study EFC11072 and 431 patients (58.5%) were recorded as screen failures. The reasons for screen failure were not provided. A total of 306 patients were randomly assigned to 1</w:t>
      </w:r>
      <w:r w:rsidR="000F37C5">
        <w:t xml:space="preserve"> of 6 treatment groups: </w:t>
      </w:r>
      <w:r w:rsidR="00A343A3">
        <w:t>placebo</w:t>
      </w:r>
      <w:r w:rsidR="000F37C5">
        <w:t xml:space="preserve"> (52 </w:t>
      </w:r>
      <w:r w:rsidRPr="00E27F6E">
        <w:t xml:space="preserve">subjects), SAR 100 mg q2w (51 patients), SAR 150 mg q2w (51 subjects), SAR 100 mg qw (50 patients), SAR 200 mg q2w (52 subjects) and SAR 150 mg qw (50 patients). Of the 306 randomised subjects, 1 patient (randomised to the SAR 200 mg q2w group) did not receive study treatment. Patient disposition for each treatment group is presented </w:t>
      </w:r>
      <w:r w:rsidRPr="00D16242">
        <w:t xml:space="preserve">in Table </w:t>
      </w:r>
      <w:r w:rsidR="00D16242" w:rsidRPr="00D16242">
        <w:t>15</w:t>
      </w:r>
      <w:r w:rsidRPr="00D16242">
        <w:t>.</w:t>
      </w:r>
      <w:r w:rsidRPr="00E27F6E">
        <w:t xml:space="preserve"> Overall, 35 patients (32 in SAR treatment groups and 3 in the </w:t>
      </w:r>
      <w:r w:rsidR="00A343A3">
        <w:t>placebo</w:t>
      </w:r>
      <w:r w:rsidRPr="00E27F6E">
        <w:t xml:space="preserve"> arm) did not complete the 12 week study treatment period because of either AEs (n</w:t>
      </w:r>
      <w:r w:rsidR="004D78CD">
        <w:t xml:space="preserve"> = </w:t>
      </w:r>
      <w:r w:rsidRPr="00E27F6E">
        <w:t>24), lack of efficacy (n</w:t>
      </w:r>
      <w:r w:rsidR="004D78CD">
        <w:t xml:space="preserve"> = </w:t>
      </w:r>
      <w:r w:rsidRPr="00E27F6E">
        <w:t>7) or other reasons (n</w:t>
      </w:r>
      <w:r w:rsidR="004D78CD">
        <w:t xml:space="preserve"> = </w:t>
      </w:r>
      <w:r w:rsidRPr="00E27F6E">
        <w:t>4). The 7 patients who</w:t>
      </w:r>
      <w:r>
        <w:t xml:space="preserve"> </w:t>
      </w:r>
      <w:r w:rsidRPr="00E27F6E">
        <w:t>discontinued due of lack of efficacy were distributed across the ma</w:t>
      </w:r>
      <w:r w:rsidR="000F37C5">
        <w:t xml:space="preserve">jority of treatment groups (1.9 to </w:t>
      </w:r>
      <w:r w:rsidRPr="00E27F6E">
        <w:t xml:space="preserve">4.0%), except for the SAR 100 mg qw group, which had no patients who discontinued because of lack of efficacy. A total of 243 patients (79.4% of 306) completing Part A of Study EFC11072 entered into the </w:t>
      </w:r>
      <w:r w:rsidR="004D78CD">
        <w:t>long term</w:t>
      </w:r>
      <w:r w:rsidRPr="00E27F6E">
        <w:t xml:space="preserve"> Study LTS11210. The percentages of patients who entered Study LTS11210 were comparable across all 6 treatment groups.</w:t>
      </w:r>
    </w:p>
    <w:p w14:paraId="747AD8FB" w14:textId="77777777" w:rsidR="000413B6" w:rsidRPr="00E27F6E" w:rsidRDefault="00E27F6E" w:rsidP="00E27F6E">
      <w:pPr>
        <w:pStyle w:val="Tabletitle"/>
      </w:pPr>
      <w:r w:rsidRPr="00D16242">
        <w:lastRenderedPageBreak/>
        <w:t xml:space="preserve">Table </w:t>
      </w:r>
      <w:r w:rsidR="00D16242">
        <w:t>15</w:t>
      </w:r>
      <w:r w:rsidR="003C319E">
        <w:t>:</w:t>
      </w:r>
      <w:r w:rsidRPr="00E27F6E">
        <w:t xml:space="preserve"> Patient </w:t>
      </w:r>
      <w:r w:rsidR="000F37C5">
        <w:t>d</w:t>
      </w:r>
      <w:r w:rsidRPr="00E27F6E">
        <w:t>isposition in Part A of Study EFC11072</w:t>
      </w:r>
    </w:p>
    <w:p w14:paraId="27E30B92" w14:textId="77777777" w:rsidR="000413B6" w:rsidRDefault="003C319E" w:rsidP="00C22678">
      <w:pPr>
        <w:rPr>
          <w:lang w:eastAsia="ja-JP"/>
        </w:rPr>
      </w:pPr>
      <w:r>
        <w:rPr>
          <w:noProof/>
          <w:lang w:eastAsia="en-AU"/>
        </w:rPr>
        <w:drawing>
          <wp:inline distT="0" distB="0" distL="0" distR="0" wp14:anchorId="4FBCB479" wp14:editId="735F1CF3">
            <wp:extent cx="5385103" cy="2618842"/>
            <wp:effectExtent l="0" t="0" r="6350" b="0"/>
            <wp:docPr id="24" name="Picture 24" descr="Patient disposition in Part A of Study EFC1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85515" cy="2619042"/>
                    </a:xfrm>
                    <a:prstGeom prst="rect">
                      <a:avLst/>
                    </a:prstGeom>
                  </pic:spPr>
                </pic:pic>
              </a:graphicData>
            </a:graphic>
          </wp:inline>
        </w:drawing>
      </w:r>
    </w:p>
    <w:p w14:paraId="4C3FB994" w14:textId="0118394D" w:rsidR="004D78CD" w:rsidRDefault="003C319E" w:rsidP="003C319E">
      <w:r w:rsidRPr="003C319E">
        <w:t xml:space="preserve">In total, 13 patients (3 in each SAR treatment groups except the 200 mg q2w arm, and 1 in the </w:t>
      </w:r>
      <w:r w:rsidR="00A343A3">
        <w:t>placebo</w:t>
      </w:r>
      <w:r w:rsidRPr="003C319E">
        <w:t xml:space="preserve"> group) were recorded as having important protocol violations with the potential to affect the efficacy analyses of the ITT population. Of these 13 patients, 4 in the SAR treatment groups had drug compliance issues (</w:t>
      </w:r>
      <w:r w:rsidR="004D78CD">
        <w:t>that is</w:t>
      </w:r>
      <w:r w:rsidRPr="003C319E">
        <w:t xml:space="preserve"> they received </w:t>
      </w:r>
      <w:r w:rsidR="007312A2">
        <w:t xml:space="preserve">&lt; </w:t>
      </w:r>
      <w:r w:rsidRPr="003C319E">
        <w:t xml:space="preserve">80% of study treatment), 5 patients had an increase in MTX dose during the 6 weeks prior to screening, 2 patients had an increase in MTX dose during the study, and 3 patients (including the 1 </w:t>
      </w:r>
      <w:r w:rsidR="00A343A3">
        <w:t>placebo</w:t>
      </w:r>
      <w:r w:rsidRPr="003C319E">
        <w:t xml:space="preserve"> randomised subject) did not meet the requirement of having moderately to severely active RA </w:t>
      </w:r>
      <w:r w:rsidR="00F01361">
        <w:t>at Baseline</w:t>
      </w:r>
      <w:r w:rsidR="004D78CD">
        <w:t>.</w:t>
      </w:r>
    </w:p>
    <w:p w14:paraId="43BF3EED" w14:textId="77777777" w:rsidR="003C319E" w:rsidRPr="003C319E" w:rsidRDefault="003C319E" w:rsidP="003C319E">
      <w:pPr>
        <w:pStyle w:val="Heading5"/>
      </w:pPr>
      <w:r w:rsidRPr="003C319E">
        <w:t xml:space="preserve">Baseline </w:t>
      </w:r>
      <w:r w:rsidR="000F37C5" w:rsidRPr="003C319E">
        <w:t>patient d</w:t>
      </w:r>
      <w:r w:rsidRPr="003C319E">
        <w:t>ata</w:t>
      </w:r>
    </w:p>
    <w:p w14:paraId="1ADDF3F9" w14:textId="6F5A65A4" w:rsidR="003C319E" w:rsidRPr="003C319E" w:rsidRDefault="003C319E" w:rsidP="003C319E">
      <w:r w:rsidRPr="003C319E">
        <w:t>The 6 treatment groups were balanced with respect to demographic features. The randomised population of 306 patients had a mean age of 52.2 years (median of 5</w:t>
      </w:r>
      <w:r w:rsidR="000F37C5">
        <w:t xml:space="preserve">4.0 years; range: 19 to </w:t>
      </w:r>
      <w:r w:rsidRPr="003C319E">
        <w:t>74 years). The majority of patients were female (79.4%; 243/306) and Caucasian (93.8%; 287/306). The overall median BMI for enrolled patients was 27.65 kg/</w:t>
      </w:r>
      <w:r w:rsidR="00041F97" w:rsidRPr="008F134F">
        <w:t>m</w:t>
      </w:r>
      <w:r w:rsidR="00041F97" w:rsidRPr="00041F97">
        <w:rPr>
          <w:vertAlign w:val="superscript"/>
        </w:rPr>
        <w:t>2</w:t>
      </w:r>
      <w:r w:rsidR="000F37C5">
        <w:t xml:space="preserve"> (range: 17.5 to 51.6 </w:t>
      </w:r>
      <w:r w:rsidRPr="003C319E">
        <w:t>kg/</w:t>
      </w:r>
      <w:r w:rsidR="00041F97" w:rsidRPr="008F134F">
        <w:t>m</w:t>
      </w:r>
      <w:r w:rsidR="00041F97" w:rsidRPr="00041F97">
        <w:rPr>
          <w:vertAlign w:val="superscript"/>
        </w:rPr>
        <w:t>2</w:t>
      </w:r>
      <w:r w:rsidRPr="003C319E">
        <w:t xml:space="preserve">) and more than one third of subjects (35.3%; 107/306) being obese </w:t>
      </w:r>
      <w:r w:rsidR="00F01361">
        <w:t>at Baseline</w:t>
      </w:r>
      <w:r w:rsidRPr="003C319E">
        <w:t xml:space="preserve"> (</w:t>
      </w:r>
      <w:r w:rsidR="004D78CD">
        <w:t>that is</w:t>
      </w:r>
      <w:r w:rsidRPr="003C319E">
        <w:t xml:space="preserve"> BMI </w:t>
      </w:r>
      <w:r w:rsidR="007312A2">
        <w:t xml:space="preserve">&gt; </w:t>
      </w:r>
      <w:r w:rsidRPr="003C319E">
        <w:t>30 kg/</w:t>
      </w:r>
      <w:r w:rsidR="00041F97" w:rsidRPr="008F134F">
        <w:t>m</w:t>
      </w:r>
      <w:r w:rsidR="00041F97" w:rsidRPr="00041F97">
        <w:rPr>
          <w:vertAlign w:val="superscript"/>
        </w:rPr>
        <w:t>2</w:t>
      </w:r>
      <w:r w:rsidRPr="003C319E">
        <w:t>). By geographic region, the largest percentage of patients came from developing countries (</w:t>
      </w:r>
      <w:r w:rsidR="004D78CD">
        <w:t>that is</w:t>
      </w:r>
      <w:r w:rsidRPr="003C319E">
        <w:t xml:space="preserve"> Region 3: 43.1%; 132/306) followed by western developed countries (30.7%; 94/306) and South America (</w:t>
      </w:r>
      <w:r w:rsidR="004D78CD">
        <w:t>that is</w:t>
      </w:r>
      <w:r w:rsidRPr="003C319E">
        <w:t xml:space="preserve"> Region 2: 26.1%; 80/306). Almost one third of all subjects (31.4%; 96/306) reported a positive smoking history (current or former) </w:t>
      </w:r>
      <w:r w:rsidR="00F01361">
        <w:t>at Baseline</w:t>
      </w:r>
      <w:r w:rsidRPr="003C319E">
        <w:t>, and regular alcohol consumption w</w:t>
      </w:r>
      <w:r>
        <w:t>as recorded in 22.4% (68/306).</w:t>
      </w:r>
    </w:p>
    <w:p w14:paraId="4FE5642F" w14:textId="5D44D81B" w:rsidR="003C319E" w:rsidRPr="003C319E" w:rsidRDefault="003C319E" w:rsidP="003C319E">
      <w:r w:rsidRPr="003C319E">
        <w:t>The treatment groups were similar with respect to baseline RA disease characteristics. The mean duration of RA for all subjects was 7.81 years</w:t>
      </w:r>
      <w:r w:rsidR="000F37C5">
        <w:t xml:space="preserve"> (median 5.15 years, range: 0.3 to </w:t>
      </w:r>
      <w:r w:rsidRPr="003C319E">
        <w:t xml:space="preserve">43.3 years). Most patients were recorded as having functional class II RA </w:t>
      </w:r>
      <w:r w:rsidR="00F01361">
        <w:t>at Baseline</w:t>
      </w:r>
      <w:r w:rsidRPr="003C319E">
        <w:t xml:space="preserve"> (70.3%; 215/306). Expectedly, the majority of patients were seropositive for RA </w:t>
      </w:r>
      <w:r w:rsidR="00F01361">
        <w:t>at Baseline</w:t>
      </w:r>
      <w:r w:rsidRPr="003C319E">
        <w:t xml:space="preserve"> (79.7% </w:t>
      </w:r>
      <w:r w:rsidR="00BF33B8">
        <w:t>(</w:t>
      </w:r>
      <w:r w:rsidRPr="003C319E">
        <w:t>243/306</w:t>
      </w:r>
      <w:r w:rsidR="00BF33B8">
        <w:t>)</w:t>
      </w:r>
      <w:r w:rsidRPr="003C319E">
        <w:t xml:space="preserve"> were positive for rheumatoid factor and 82.0% </w:t>
      </w:r>
      <w:r w:rsidR="00BF33B8">
        <w:t>(</w:t>
      </w:r>
      <w:r w:rsidRPr="003C319E">
        <w:t>105/306</w:t>
      </w:r>
      <w:r w:rsidR="00BF33B8">
        <w:t>)</w:t>
      </w:r>
      <w:r w:rsidRPr="003C319E">
        <w:t xml:space="preserve"> were positive for a</w:t>
      </w:r>
      <w:r>
        <w:t>nti-CCP antibodies).</w:t>
      </w:r>
    </w:p>
    <w:p w14:paraId="2E4138EA" w14:textId="5FF043B4" w:rsidR="003C319E" w:rsidRDefault="003C319E" w:rsidP="003C319E">
      <w:r w:rsidRPr="003C319E">
        <w:t xml:space="preserve">In terms of RA disease activity </w:t>
      </w:r>
      <w:r w:rsidR="00F01361">
        <w:t>at Baseline</w:t>
      </w:r>
      <w:r w:rsidRPr="003C319E">
        <w:t>, the mean numbers of tender (ranging from 25.4 to 30.3) and swollen joints (ranging from 16.3 to 19.5) were similar across the 6 treatment groups. All 6 treatment groups recorded mean DAS28-CRP scores that w</w:t>
      </w:r>
      <w:r w:rsidR="000F37C5">
        <w:t xml:space="preserve">ere very high </w:t>
      </w:r>
      <w:r w:rsidR="00F01361">
        <w:t>at Baseline</w:t>
      </w:r>
      <w:r w:rsidR="000F37C5">
        <w:t xml:space="preserve"> (6.05 to </w:t>
      </w:r>
      <w:r w:rsidRPr="003C319E">
        <w:t>6.28) and the median HAQ-DI score across the enrolled population was 1.60. The mean CRP for recruited subjects was high at 27.8 mg/L (median of 19.2 mg/L). Overall, the measures of baseline disease activity are consistent with severely active RA. Patients in the lowest dose SAR group (100 mg q2w) generally had disease activity markers that reflected higher activity than the other 5 treatment groups, which were otherwi</w:t>
      </w:r>
      <w:r>
        <w:t xml:space="preserve">se evenly matched </w:t>
      </w:r>
      <w:r w:rsidR="00F01361">
        <w:t>at Baseline</w:t>
      </w:r>
      <w:r>
        <w:t>.</w:t>
      </w:r>
    </w:p>
    <w:p w14:paraId="17313AAF" w14:textId="77777777" w:rsidR="003C319E" w:rsidRPr="003C319E" w:rsidRDefault="003C319E" w:rsidP="003C319E">
      <w:r w:rsidRPr="003C319E">
        <w:lastRenderedPageBreak/>
        <w:t xml:space="preserve">Almost one quarter of all subjects (24.5%; 75/306) had a history of prior biologic therapy for RA, which was equally spread across the 6 treatment groups. The clinical study report did not specify the number of prior biologic therapies (single or multiple) and the reasons for discontinuation. Excluding MTX, the vast majority of subjects (92.8%; 284/306) had not taken any other conventional DMARD drugs, which is surprising given the duration and severity of RA in the enrolled cohort. Fifteen subjects (4.9% of 306) had taken 1 conventional DMARD in addition to MTX, and 7 patients (2.3% of 306) had taken 2 conventional DMARD drugs (excluding MTX). All randomised patients took concomitant MTX (per oral in all but 6 SAR treated patients) during the trial, but the dose of preceding and concomitant MTX therapy were not available in the clinical study report. More than 94% of subjects in each treatment group received concurrent folic acid. Oral CS use ranged from 25.0% (13/52) of patients in the </w:t>
      </w:r>
      <w:r w:rsidR="00A343A3">
        <w:t>placebo</w:t>
      </w:r>
      <w:r w:rsidRPr="003C319E">
        <w:t xml:space="preserve"> group to 42.0% (21/50) of subjects in the SAR 100 mg qw treatment arm.</w:t>
      </w:r>
    </w:p>
    <w:p w14:paraId="56A4FE99" w14:textId="77777777" w:rsidR="003C319E" w:rsidRPr="003C319E" w:rsidRDefault="003C319E" w:rsidP="003C319E">
      <w:pPr>
        <w:pStyle w:val="Heading5"/>
      </w:pPr>
      <w:r w:rsidRPr="003C319E">
        <w:t xml:space="preserve">Primary </w:t>
      </w:r>
      <w:r w:rsidR="000F37C5">
        <w:t>efficacy r</w:t>
      </w:r>
      <w:r>
        <w:t>esults</w:t>
      </w:r>
    </w:p>
    <w:p w14:paraId="12C8282C" w14:textId="77777777" w:rsidR="003C319E" w:rsidRPr="003C319E" w:rsidRDefault="003C319E" w:rsidP="003C319E">
      <w:r w:rsidRPr="003C319E">
        <w:t xml:space="preserve">When adjusted for multiplicity, a statistically higher rate of ACR20 response at </w:t>
      </w:r>
      <w:r w:rsidR="002F4291">
        <w:t>Week</w:t>
      </w:r>
      <w:r w:rsidRPr="003C319E">
        <w:t xml:space="preserve"> 12 was demonstrated in the SAR 150 mg qw group (72.0%; 36/50) compared to </w:t>
      </w:r>
      <w:r w:rsidR="00A343A3">
        <w:t>placebo</w:t>
      </w:r>
      <w:r w:rsidRPr="003C319E">
        <w:t xml:space="preserve"> (46.2%; 24/52; Hommel adjusted p-value</w:t>
      </w:r>
      <w:r w:rsidR="004D78CD">
        <w:t xml:space="preserve"> = </w:t>
      </w:r>
      <w:r w:rsidRPr="003C319E">
        <w:t xml:space="preserve">0.0203). Statistically significant ACR20 responses (after multiplicity adjustment) were not demonstrated in any of the other SAR dose groups compared to </w:t>
      </w:r>
      <w:r w:rsidR="00A343A3">
        <w:t>placebo</w:t>
      </w:r>
      <w:r w:rsidRPr="003C319E">
        <w:t>, although a trend towards treatment effect was seen in the 150 mg q2w, 100 mg qw and 200 mg q2w SAR treatment arms, as demonstrated by the ACR20 response rates of 66.7% (34/51), 62.0% (31/50), and 6</w:t>
      </w:r>
      <w:r w:rsidR="000F37C5">
        <w:t>5.4% (34/52), respectively;</w:t>
      </w:r>
      <w:r w:rsidRPr="003C319E">
        <w:t xml:space="preserve"> </w:t>
      </w:r>
      <w:r w:rsidRPr="00D16242">
        <w:t>refer to Table 1</w:t>
      </w:r>
      <w:r w:rsidR="00D16242" w:rsidRPr="00D16242">
        <w:t>6</w:t>
      </w:r>
      <w:r w:rsidRPr="00D16242">
        <w:t>. Two</w:t>
      </w:r>
      <w:r w:rsidRPr="003C319E">
        <w:t xml:space="preserve"> sensitivity analyses of the rate of ACR20 response at </w:t>
      </w:r>
      <w:r w:rsidR="002F4291">
        <w:t>Week</w:t>
      </w:r>
      <w:r w:rsidRPr="003C319E">
        <w:t xml:space="preserve"> 12 using the LOCF method in 2 different ways to handle missing data showed near identical results to that observed in the primary analysis. Based on the results of the ACR20 response rate, SAR 100 mg q2w therapy was determined to be the no effect dose and SAR 150 mg qw treatment was considered the maximally effective dose, which is an appropriate interpretation.</w:t>
      </w:r>
    </w:p>
    <w:p w14:paraId="23B9EBBD" w14:textId="77777777" w:rsidR="003C319E" w:rsidRPr="003C319E" w:rsidRDefault="003C319E" w:rsidP="003C319E">
      <w:pPr>
        <w:pStyle w:val="Tabletitle"/>
      </w:pPr>
      <w:r w:rsidRPr="00D16242">
        <w:t>Table 1</w:t>
      </w:r>
      <w:r w:rsidR="00D16242" w:rsidRPr="00D16242">
        <w:t>6</w:t>
      </w:r>
      <w:r>
        <w:t xml:space="preserve">: </w:t>
      </w:r>
      <w:r w:rsidRPr="003C319E">
        <w:t xml:space="preserve">ACR20 Response </w:t>
      </w:r>
      <w:r w:rsidR="00D16242">
        <w:t>r</w:t>
      </w:r>
      <w:r w:rsidRPr="003C319E">
        <w:t>ates at Week 12 in the ITT Population of Part A of Study EFC11072</w:t>
      </w:r>
    </w:p>
    <w:p w14:paraId="2E957DA4" w14:textId="77777777" w:rsidR="000413B6" w:rsidRDefault="003C319E" w:rsidP="00C22678">
      <w:pPr>
        <w:rPr>
          <w:lang w:eastAsia="ja-JP"/>
        </w:rPr>
      </w:pPr>
      <w:r>
        <w:rPr>
          <w:noProof/>
          <w:lang w:eastAsia="en-AU"/>
        </w:rPr>
        <w:drawing>
          <wp:inline distT="0" distB="0" distL="0" distR="0" wp14:anchorId="49C9C39B" wp14:editId="2275918B">
            <wp:extent cx="5288890" cy="1227778"/>
            <wp:effectExtent l="0" t="0" r="7620" b="0"/>
            <wp:docPr id="25" name="Picture 25" descr="ACR20 Response Rates at Week 12 in the ITT Population of Part A of Study EFC1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85565" cy="1227006"/>
                    </a:xfrm>
                    <a:prstGeom prst="rect">
                      <a:avLst/>
                    </a:prstGeom>
                  </pic:spPr>
                </pic:pic>
              </a:graphicData>
            </a:graphic>
          </wp:inline>
        </w:drawing>
      </w:r>
    </w:p>
    <w:p w14:paraId="3801B719" w14:textId="77777777" w:rsidR="003C319E" w:rsidRPr="003C319E" w:rsidRDefault="003C319E" w:rsidP="003C319E">
      <w:pPr>
        <w:pStyle w:val="Heading5"/>
      </w:pPr>
      <w:r w:rsidRPr="003C319E">
        <w:t>Secondary Efficacy Results</w:t>
      </w:r>
    </w:p>
    <w:p w14:paraId="34DA0E9A" w14:textId="77777777" w:rsidR="003C319E" w:rsidRPr="003C319E" w:rsidRDefault="003C319E" w:rsidP="003C319E">
      <w:r w:rsidRPr="003C319E">
        <w:t>For all of the secondary efficacy endpoints, a p-value</w:t>
      </w:r>
      <w:r w:rsidR="007312A2">
        <w:t xml:space="preserve">&lt; </w:t>
      </w:r>
      <w:r w:rsidRPr="003C319E">
        <w:t xml:space="preserve">0.01 was considered statistically significant for any SAR dose group versus </w:t>
      </w:r>
      <w:r w:rsidR="00A343A3">
        <w:t>placebo</w:t>
      </w:r>
      <w:r w:rsidRPr="003C319E">
        <w:t xml:space="preserve"> after applying post-hoc adjustment for multiplicity.</w:t>
      </w:r>
    </w:p>
    <w:p w14:paraId="2C6EFF97" w14:textId="77777777" w:rsidR="004D78CD" w:rsidRDefault="003C319E" w:rsidP="003C319E">
      <w:r w:rsidRPr="003C319E">
        <w:t xml:space="preserve">The proportion of patients who achieved ACR50 response at </w:t>
      </w:r>
      <w:r w:rsidR="002F4291">
        <w:t>Week</w:t>
      </w:r>
      <w:r w:rsidRPr="003C319E">
        <w:t xml:space="preserve"> 12 was statistically significant in 2 of the 5 SAR treatment gro</w:t>
      </w:r>
      <w:r w:rsidR="000F37C5">
        <w:t>ups (100 mg qw and 200 mg q2w);</w:t>
      </w:r>
      <w:r w:rsidRPr="003C319E">
        <w:t xml:space="preserve"> refer </w:t>
      </w:r>
      <w:r w:rsidRPr="00D16242">
        <w:t>to Table 1</w:t>
      </w:r>
      <w:r w:rsidR="00D16242" w:rsidRPr="00D16242">
        <w:t>7</w:t>
      </w:r>
      <w:r w:rsidR="004D78CD" w:rsidRPr="00D16242">
        <w:t>.</w:t>
      </w:r>
    </w:p>
    <w:p w14:paraId="39500EEF" w14:textId="77777777" w:rsidR="003C319E" w:rsidRPr="003C319E" w:rsidRDefault="003C319E" w:rsidP="003C319E">
      <w:pPr>
        <w:pStyle w:val="Tabletitle"/>
      </w:pPr>
      <w:r w:rsidRPr="00D16242">
        <w:lastRenderedPageBreak/>
        <w:t>Table 1</w:t>
      </w:r>
      <w:r w:rsidR="00D16242" w:rsidRPr="00D16242">
        <w:t>7</w:t>
      </w:r>
      <w:r w:rsidRPr="00D16242">
        <w:t>:</w:t>
      </w:r>
      <w:r>
        <w:t xml:space="preserve"> </w:t>
      </w:r>
      <w:r w:rsidRPr="003C319E">
        <w:t xml:space="preserve">ACR50 Response </w:t>
      </w:r>
      <w:r w:rsidR="00D16242">
        <w:t>r</w:t>
      </w:r>
      <w:r w:rsidRPr="003C319E">
        <w:t>ates at Week 12 in Part A of Study EFC11072 (ITT Cohort)</w:t>
      </w:r>
    </w:p>
    <w:p w14:paraId="4F59C0D0" w14:textId="77777777" w:rsidR="000413B6" w:rsidRDefault="003C319E" w:rsidP="00C22678">
      <w:pPr>
        <w:rPr>
          <w:lang w:eastAsia="ja-JP"/>
        </w:rPr>
      </w:pPr>
      <w:r>
        <w:rPr>
          <w:noProof/>
          <w:lang w:eastAsia="en-AU"/>
        </w:rPr>
        <w:drawing>
          <wp:inline distT="0" distB="0" distL="0" distR="0" wp14:anchorId="3233B1BD" wp14:editId="135D3E0B">
            <wp:extent cx="5508346" cy="1519237"/>
            <wp:effectExtent l="0" t="0" r="0" b="5080"/>
            <wp:docPr id="26" name="Picture 26" descr="ACR50 Response rates at Week 12 in Part A of Study EFC11072 (ITT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510800" cy="1519914"/>
                    </a:xfrm>
                    <a:prstGeom prst="rect">
                      <a:avLst/>
                    </a:prstGeom>
                  </pic:spPr>
                </pic:pic>
              </a:graphicData>
            </a:graphic>
          </wp:inline>
        </w:drawing>
      </w:r>
    </w:p>
    <w:p w14:paraId="4146CB2C" w14:textId="77777777" w:rsidR="003C319E" w:rsidRPr="00D16242" w:rsidRDefault="003C319E" w:rsidP="003C319E">
      <w:r w:rsidRPr="003C319E">
        <w:t xml:space="preserve">The analysis of the ACR70 response rates at </w:t>
      </w:r>
      <w:r w:rsidR="002F4291">
        <w:t>Week</w:t>
      </w:r>
      <w:r w:rsidRPr="003C319E">
        <w:t xml:space="preserve"> 12 was statistica</w:t>
      </w:r>
      <w:r w:rsidR="000F37C5">
        <w:t>lly significant in only the SAR </w:t>
      </w:r>
      <w:r w:rsidRPr="003C319E">
        <w:t xml:space="preserve">200 mg q2w dose group versus </w:t>
      </w:r>
      <w:r w:rsidR="00A343A3">
        <w:t>placebo</w:t>
      </w:r>
      <w:r w:rsidRPr="003C319E">
        <w:t>, although there was a trend for improved ACR 70 response rates in the remaining SAR treatment arms, with the exceptio</w:t>
      </w:r>
      <w:r w:rsidR="000F37C5">
        <w:t>n of the 100 mg q2w dose group;</w:t>
      </w:r>
      <w:r w:rsidRPr="003C319E">
        <w:t xml:space="preserve"> </w:t>
      </w:r>
      <w:r w:rsidRPr="00D16242">
        <w:t xml:space="preserve">refer to </w:t>
      </w:r>
      <w:r w:rsidR="00D16242" w:rsidRPr="00D16242">
        <w:t>Table 18</w:t>
      </w:r>
      <w:r w:rsidRPr="00D16242">
        <w:t>.</w:t>
      </w:r>
    </w:p>
    <w:p w14:paraId="53ED2821" w14:textId="77777777" w:rsidR="003C319E" w:rsidRDefault="003C319E" w:rsidP="003C319E">
      <w:pPr>
        <w:pStyle w:val="Tabletitle"/>
      </w:pPr>
      <w:r w:rsidRPr="00D16242">
        <w:t xml:space="preserve">Table </w:t>
      </w:r>
      <w:r w:rsidR="00D16242" w:rsidRPr="00D16242">
        <w:t>18: ACR70 Response r</w:t>
      </w:r>
      <w:r w:rsidRPr="00D16242">
        <w:t>ates at Week 12 in Part A of Study EFC11072 (ITT Cohort)</w:t>
      </w:r>
    </w:p>
    <w:p w14:paraId="4C296F53" w14:textId="77777777" w:rsidR="000413B6" w:rsidRPr="003C319E" w:rsidRDefault="003C319E" w:rsidP="003C319E">
      <w:r>
        <w:rPr>
          <w:noProof/>
          <w:lang w:eastAsia="en-AU"/>
        </w:rPr>
        <w:drawing>
          <wp:inline distT="0" distB="0" distL="0" distR="0" wp14:anchorId="36F18B6B" wp14:editId="7B21D67A">
            <wp:extent cx="5391302" cy="1467972"/>
            <wp:effectExtent l="0" t="0" r="0" b="0"/>
            <wp:docPr id="27" name="Picture 27" descr="ACR70 Response rates at Week 12 in Part A of Study EFC11072 (ITT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387911" cy="1467049"/>
                    </a:xfrm>
                    <a:prstGeom prst="rect">
                      <a:avLst/>
                    </a:prstGeom>
                  </pic:spPr>
                </pic:pic>
              </a:graphicData>
            </a:graphic>
          </wp:inline>
        </w:drawing>
      </w:r>
    </w:p>
    <w:p w14:paraId="6CA0AE39" w14:textId="15E3738E" w:rsidR="003C319E" w:rsidRPr="00D16242" w:rsidRDefault="003C319E" w:rsidP="003C319E">
      <w:r w:rsidRPr="003C319E">
        <w:t xml:space="preserve">In Part A of Study EFC11072, all treatment groups (including the </w:t>
      </w:r>
      <w:r w:rsidR="00A343A3">
        <w:t>placebo</w:t>
      </w:r>
      <w:r w:rsidRPr="003C319E">
        <w:t xml:space="preserve"> arm) showed a mean decrease </w:t>
      </w:r>
      <w:r w:rsidR="00F01361">
        <w:t>from Baseline</w:t>
      </w:r>
      <w:r w:rsidRPr="003C319E">
        <w:t xml:space="preserve"> (improvement) in the DAS28-CRP score (mean baseline scores ranged from 6.0-6.3 in the 6 groups). All SAR treatment groups except the 100 mg q2w dose arm showed a statistically significant (</w:t>
      </w:r>
      <w:r w:rsidR="00B77556">
        <w:t>p &lt;</w:t>
      </w:r>
      <w:r w:rsidR="007312A2">
        <w:t xml:space="preserve"> </w:t>
      </w:r>
      <w:r w:rsidRPr="003C319E">
        <w:t xml:space="preserve">0.0001) mean decrease </w:t>
      </w:r>
      <w:r w:rsidR="00F01361">
        <w:t>from Baseline</w:t>
      </w:r>
      <w:r w:rsidRPr="003C319E">
        <w:t xml:space="preserve"> in the DAS28-CRP score compared to </w:t>
      </w:r>
      <w:r w:rsidR="00A343A3">
        <w:t>placebo</w:t>
      </w:r>
      <w:r w:rsidRPr="003C319E">
        <w:t xml:space="preserve">. At 12 weeks, the LS mean decrease </w:t>
      </w:r>
      <w:r w:rsidR="00F01361">
        <w:t>from Baseline</w:t>
      </w:r>
      <w:r w:rsidR="000F37C5">
        <w:t xml:space="preserve"> in DAS28-CRP was </w:t>
      </w:r>
      <w:r w:rsidR="000F37C5">
        <w:noBreakHyphen/>
      </w:r>
      <w:r w:rsidRPr="003C319E">
        <w:t xml:space="preserve">1.15 for the </w:t>
      </w:r>
      <w:r w:rsidR="00A343A3">
        <w:t>placebo</w:t>
      </w:r>
      <w:r w:rsidRPr="003C319E">
        <w:t xml:space="preserve"> group, -1.44 for SAR 100 mg qw, -2.30 fo</w:t>
      </w:r>
      <w:r w:rsidR="000F37C5">
        <w:t xml:space="preserve">r SAR 150 mg q2w, -2.40 for </w:t>
      </w:r>
      <w:r w:rsidR="000F37C5" w:rsidRPr="00D16242">
        <w:t>SAR </w:t>
      </w:r>
      <w:r w:rsidRPr="00D16242">
        <w:t xml:space="preserve">100 mg qw, -2.48 for SAR 200 mg q2w and -2.52 for SAR 150 mg qw. As summarised in </w:t>
      </w:r>
      <w:r w:rsidR="00D16242" w:rsidRPr="00D16242">
        <w:t>Table 19</w:t>
      </w:r>
      <w:r w:rsidRPr="00D16242">
        <w:t xml:space="preserve">, the rates of DAS28-CRP remission increased with the dose of SAR, but only reached statistical significance in the SAR 200 mg q2w (26.0%; 13/50) and the SAR 150 mg qw (30.0%; 15/50) groups compared to the </w:t>
      </w:r>
      <w:r w:rsidR="00A343A3">
        <w:t>placebo</w:t>
      </w:r>
      <w:r w:rsidRPr="00D16242">
        <w:t xml:space="preserve"> arm (3.8%; 2/52; p</w:t>
      </w:r>
      <w:r w:rsidR="004D78CD" w:rsidRPr="00D16242">
        <w:t xml:space="preserve"> = </w:t>
      </w:r>
      <w:r w:rsidRPr="00D16242">
        <w:t>0.0018 and 0.0005, respectively).</w:t>
      </w:r>
    </w:p>
    <w:p w14:paraId="6B48B033" w14:textId="77777777" w:rsidR="003C319E" w:rsidRPr="009D2415" w:rsidRDefault="00D16242" w:rsidP="003C319E">
      <w:pPr>
        <w:pStyle w:val="Tabletitle"/>
      </w:pPr>
      <w:r w:rsidRPr="00D16242">
        <w:t>Table 19</w:t>
      </w:r>
      <w:r w:rsidR="003C319E" w:rsidRPr="00D16242">
        <w:t>: Rates</w:t>
      </w:r>
      <w:r w:rsidR="003C319E">
        <w:t xml:space="preserve"> of DAS28-CRP Remission at Week 12 in Part A of Study EFC11072 (ITT Cohort)</w:t>
      </w:r>
    </w:p>
    <w:p w14:paraId="5E9C7928" w14:textId="77777777" w:rsidR="000413B6" w:rsidRDefault="003C319E" w:rsidP="00C22678">
      <w:pPr>
        <w:rPr>
          <w:lang w:eastAsia="ja-JP"/>
        </w:rPr>
      </w:pPr>
      <w:r>
        <w:rPr>
          <w:noProof/>
          <w:lang w:eastAsia="en-AU"/>
        </w:rPr>
        <w:drawing>
          <wp:inline distT="0" distB="0" distL="0" distR="0" wp14:anchorId="6763B839" wp14:editId="5C2E0626">
            <wp:extent cx="5566867" cy="1498060"/>
            <wp:effectExtent l="0" t="0" r="0" b="6985"/>
            <wp:docPr id="29" name="Picture 29" descr="Rates of DAS28-CRP Remission at Week 12 in Part A of Study EFC11072 (ITT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563366" cy="1497118"/>
                    </a:xfrm>
                    <a:prstGeom prst="rect">
                      <a:avLst/>
                    </a:prstGeom>
                  </pic:spPr>
                </pic:pic>
              </a:graphicData>
            </a:graphic>
          </wp:inline>
        </w:drawing>
      </w:r>
    </w:p>
    <w:p w14:paraId="33E0CB46" w14:textId="192A53CC" w:rsidR="003C319E" w:rsidRPr="003C319E" w:rsidRDefault="003C319E" w:rsidP="003C319E">
      <w:r w:rsidRPr="003C319E">
        <w:t xml:space="preserve">At 12 weeks, the rates of achieving good EULAR response (defined as patients with an improvement </w:t>
      </w:r>
      <w:r w:rsidR="00F01361">
        <w:t>from Baseline</w:t>
      </w:r>
      <w:r w:rsidRPr="003C319E">
        <w:t xml:space="preserve"> in DAS28-CRP score of </w:t>
      </w:r>
      <w:r w:rsidR="007312A2">
        <w:t xml:space="preserve">&gt; </w:t>
      </w:r>
      <w:r w:rsidRPr="003C319E">
        <w:t xml:space="preserve">1.2 and a current DAS28-CRP score of </w:t>
      </w:r>
      <w:r w:rsidR="000F37C5">
        <w:t>&lt; </w:t>
      </w:r>
      <w:r w:rsidRPr="003C319E">
        <w:t xml:space="preserve">3.2) was statistically higher in each of the SAR arms versus </w:t>
      </w:r>
      <w:r w:rsidR="00A343A3">
        <w:t>placebo</w:t>
      </w:r>
      <w:r w:rsidRPr="003C319E">
        <w:t xml:space="preserve">, except for the lowest dose </w:t>
      </w:r>
      <w:r w:rsidRPr="003C319E">
        <w:lastRenderedPageBreak/>
        <w:t xml:space="preserve">of SAR therapy (100 mg q2w). The good EULAR response rates at 12 weeks were 7.7% (4/52) for the </w:t>
      </w:r>
      <w:r w:rsidR="00A343A3">
        <w:t>placebo</w:t>
      </w:r>
      <w:r w:rsidRPr="003C319E">
        <w:t xml:space="preserve"> arm, 17.6% (9/51) for SAR 100 q2w, 33.3% (17/51) for SAR 150 mg q2w, 36.7% (18/49) for SAR 100 mg qw, 42.0% (21/50) for SAR 200 mg q2w and 4</w:t>
      </w:r>
      <w:r>
        <w:t>2.0% (21/50) for SAR 150 mg qw.</w:t>
      </w:r>
    </w:p>
    <w:p w14:paraId="51E30ACE" w14:textId="45B08B8B" w:rsidR="003C319E" w:rsidRPr="003C319E" w:rsidRDefault="003C319E" w:rsidP="003C319E">
      <w:r w:rsidRPr="003C319E">
        <w:t>All SAR treatment groups except the 100 mg q2w dose arm showed a statistically significant (</w:t>
      </w:r>
      <w:r w:rsidR="000F37C5">
        <w:t>p </w:t>
      </w:r>
      <w:r w:rsidR="00B77556">
        <w:t>&lt;</w:t>
      </w:r>
      <w:r w:rsidR="007312A2">
        <w:t xml:space="preserve"> </w:t>
      </w:r>
      <w:r w:rsidRPr="003C319E">
        <w:t xml:space="preserve">0.004) mean decrease </w:t>
      </w:r>
      <w:r w:rsidR="00F01361">
        <w:t>from Baseline</w:t>
      </w:r>
      <w:r w:rsidRPr="003C319E">
        <w:t xml:space="preserve"> in ACRn compared to </w:t>
      </w:r>
      <w:r w:rsidR="00A343A3">
        <w:t>placebo</w:t>
      </w:r>
      <w:r w:rsidRPr="003C319E">
        <w:t xml:space="preserve">. At 12 weeks, the LS mean decrease </w:t>
      </w:r>
      <w:r w:rsidR="00F01361">
        <w:t>from Baseline</w:t>
      </w:r>
      <w:r w:rsidRPr="003C319E">
        <w:t xml:space="preserve"> in ACRn was 4.8 for the </w:t>
      </w:r>
      <w:r w:rsidR="00A343A3">
        <w:t>placebo</w:t>
      </w:r>
      <w:r w:rsidRPr="003C319E">
        <w:t xml:space="preserve"> group, 11.7 for SAR 100 mg qw, 30.1 for SAR 150 mg q2w, 30.0 for SAR 100 mg qw, 33.5 for SAR 200 mg q2w and 32.9 for SAR 150 mg qw.</w:t>
      </w:r>
    </w:p>
    <w:p w14:paraId="0E225A87" w14:textId="77777777" w:rsidR="003C319E" w:rsidRPr="003C319E" w:rsidRDefault="003C319E" w:rsidP="003C319E">
      <w:pPr>
        <w:pStyle w:val="Heading4"/>
      </w:pPr>
      <w:bookmarkStart w:id="191" w:name="_Toc290888505"/>
      <w:bookmarkStart w:id="192" w:name="_Toc464131541"/>
      <w:r w:rsidRPr="003C319E">
        <w:t xml:space="preserve">Study </w:t>
      </w:r>
      <w:bookmarkEnd w:id="191"/>
      <w:r w:rsidRPr="003C319E">
        <w:t>LTS11210</w:t>
      </w:r>
      <w:bookmarkEnd w:id="192"/>
    </w:p>
    <w:p w14:paraId="56F7B0C7" w14:textId="77777777" w:rsidR="003C319E" w:rsidRPr="003C319E" w:rsidRDefault="003C319E" w:rsidP="003C319E">
      <w:pPr>
        <w:pStyle w:val="Heading5"/>
      </w:pPr>
      <w:r w:rsidRPr="003C319E">
        <w:t xml:space="preserve">Study </w:t>
      </w:r>
      <w:r w:rsidR="000F37C5" w:rsidRPr="003C319E">
        <w:t>design, objectives, locations, dates and treatments</w:t>
      </w:r>
    </w:p>
    <w:p w14:paraId="7745A3EC" w14:textId="77777777" w:rsidR="003C319E" w:rsidRPr="003C319E" w:rsidRDefault="003C319E" w:rsidP="003C319E">
      <w:r w:rsidRPr="003C319E">
        <w:t xml:space="preserve">Study LTS11210 is an ongoing, </w:t>
      </w:r>
      <w:r w:rsidR="004D78CD">
        <w:t>open label</w:t>
      </w:r>
      <w:r w:rsidRPr="003C319E">
        <w:t xml:space="preserve">, </w:t>
      </w:r>
      <w:r w:rsidR="004D78CD">
        <w:t>long term</w:t>
      </w:r>
      <w:r w:rsidRPr="003C319E">
        <w:t xml:space="preserve"> (up to 5 years) extension study in adult patients with RA who completed involvement in 5 forerunner trials. The patients participating in this trial have been enrolled from the preceding studies with the following characteristics at initial entry: inadequate response to MTX (Study EFC11072), inadequate response to or intolerance of anti-TNF drugs (Studies EFC10832 and SFY13370, inadequate response to up to 2 anti-TNF therapies (Study ACT11575) and inadequate response to or intolerant of non-biologic DMARD (Study EFC13752). In Study LTS11210 subjects were allowed to continue their concomitant medication as per the initial trial. Study EFC13752 was a SAR monotherapy trial, which continued into LTS11210, so the results of that patient cohort will not be considered in this evaluation, as it is inconsistent with the sponsor proposed combination treatment indication in this submission. Subjects enrolling into Study LTS11210 may have been exposed to SAR for 12 weeks if they initially participated in Par</w:t>
      </w:r>
      <w:r w:rsidR="000F37C5">
        <w:t>t A of Study EFC11072 and Study </w:t>
      </w:r>
      <w:r w:rsidRPr="003C319E">
        <w:t xml:space="preserve">ACT11575; between 12 and 52 weeks if initially </w:t>
      </w:r>
      <w:r w:rsidR="000F37C5">
        <w:t>randomised into Part B of Study </w:t>
      </w:r>
      <w:r w:rsidRPr="003C319E">
        <w:t>EFC11072 and Study EFC10832; and for 24 weeks if initially involved in Study</w:t>
      </w:r>
      <w:r>
        <w:t xml:space="preserve"> SFY13370.</w:t>
      </w:r>
    </w:p>
    <w:p w14:paraId="45AE8893" w14:textId="77777777" w:rsidR="003C319E" w:rsidRPr="003C319E" w:rsidRDefault="003C319E" w:rsidP="003C319E">
      <w:r w:rsidRPr="003C319E">
        <w:t xml:space="preserve">The primary objective of Study LTS11210 is to evaluate the </w:t>
      </w:r>
      <w:r w:rsidR="004D78CD">
        <w:t>long term</w:t>
      </w:r>
      <w:r w:rsidRPr="003C319E">
        <w:t xml:space="preserve"> safety of SAR, but persistence of efficacy response is a secondary objective of the trial. The trial was conducted at 334 sites in 40 countries. Study LTS11210 enrolled its first patient in June 2010 and the extraction date of the last patient information included in the submitte</w:t>
      </w:r>
      <w:r>
        <w:t>d interim report is April 2015.</w:t>
      </w:r>
    </w:p>
    <w:p w14:paraId="53BA4259" w14:textId="77777777" w:rsidR="003C319E" w:rsidRPr="003C319E" w:rsidRDefault="003C319E" w:rsidP="003C319E">
      <w:r w:rsidRPr="003C319E">
        <w:t>A total of 8 protocol amendments were implemented, none of which affected the integrity of the results. The amendments contained clarifications about eligibility criteria, safety assessments, recommendations for temporary and permanent treatment discontinuations and changes consistent with the protocol amendments already outlined for the preceding qualification trials.</w:t>
      </w:r>
    </w:p>
    <w:p w14:paraId="2B902D18" w14:textId="77777777" w:rsidR="003C319E" w:rsidRPr="003C319E" w:rsidRDefault="003C319E" w:rsidP="003C319E">
      <w:pPr>
        <w:pStyle w:val="Heading5"/>
      </w:pPr>
      <w:r w:rsidRPr="003C319E">
        <w:t xml:space="preserve">Efficacy </w:t>
      </w:r>
      <w:r w:rsidR="000F37C5" w:rsidRPr="003C319E">
        <w:t>variables</w:t>
      </w:r>
      <w:r w:rsidR="000F37C5">
        <w:t xml:space="preserve"> and statistical considerations</w:t>
      </w:r>
    </w:p>
    <w:p w14:paraId="551EC69D" w14:textId="32FAECCE" w:rsidR="004D78CD" w:rsidRDefault="003C319E" w:rsidP="003C319E">
      <w:r w:rsidRPr="003C319E">
        <w:t xml:space="preserve">The main efficacy endpoints reported in Study LTS11210 are: (1) the proportion of patients maintaining clinical response (ACR20, ACR50 and ACR70 response as well as DAS28-CRP remission) and (2) radiographic endpoints such as the mean change </w:t>
      </w:r>
      <w:r w:rsidR="00F01361">
        <w:t>from Baseline</w:t>
      </w:r>
      <w:r w:rsidRPr="003C319E">
        <w:t xml:space="preserve"> in mTSS at </w:t>
      </w:r>
      <w:r w:rsidR="002F4291">
        <w:t>Week</w:t>
      </w:r>
      <w:r w:rsidRPr="003C319E">
        <w:t xml:space="preserve"> 100 and the percentage of SAR treated subjects with no X-ray progression</w:t>
      </w:r>
      <w:r w:rsidR="004D78CD">
        <w:t>.</w:t>
      </w:r>
    </w:p>
    <w:p w14:paraId="18B64729" w14:textId="77777777" w:rsidR="003C319E" w:rsidRPr="003C319E" w:rsidRDefault="003C319E" w:rsidP="003C319E">
      <w:r w:rsidRPr="003C319E">
        <w:t xml:space="preserve">Clinical endpoint data was presented for </w:t>
      </w:r>
      <w:r w:rsidR="002F4291">
        <w:t>Week</w:t>
      </w:r>
      <w:r w:rsidRPr="003C319E">
        <w:t xml:space="preserve"> 24, 48, 96, 114, 192 and 216 (where </w:t>
      </w:r>
      <w:r w:rsidR="002F4291">
        <w:t>Week</w:t>
      </w:r>
      <w:r w:rsidRPr="003C319E">
        <w:t xml:space="preserve"> 0 is considered the baseline visit in Study LTS11210). The X-ray d</w:t>
      </w:r>
      <w:r w:rsidR="000F37C5">
        <w:t>ata presented thus far in Study </w:t>
      </w:r>
      <w:r w:rsidRPr="003C319E">
        <w:t>LTS11210 summarises 2 years of data in total (1 year from Part B of Study EFC11072 and 1 year from Study LTS11210). A specific X-ray review was performed for this interim report during which X-rays from Part B of Study EFC11072 as well as new (</w:t>
      </w:r>
      <w:r w:rsidR="002F4291">
        <w:t>Week</w:t>
      </w:r>
      <w:r w:rsidRPr="003C319E">
        <w:t xml:space="preserve"> 48) X-rays from Study LTS11210 were read for all eligible patients. The X-ray data for Study LTS11210 is currently limited to </w:t>
      </w:r>
      <w:r w:rsidR="002F4291">
        <w:t>Week</w:t>
      </w:r>
      <w:r w:rsidRPr="003C319E">
        <w:t xml:space="preserve"> 48 because many of the subjects enrolled into this </w:t>
      </w:r>
      <w:r w:rsidR="004D78CD">
        <w:t>long term</w:t>
      </w:r>
      <w:r w:rsidRPr="003C319E">
        <w:t xml:space="preserve"> trial from Part B of Study EFC11072 have not reached </w:t>
      </w:r>
      <w:r w:rsidR="002F4291">
        <w:t>Week</w:t>
      </w:r>
      <w:r w:rsidRPr="003C319E">
        <w:t xml:space="preserve"> 96 time point at the data cut-off date.</w:t>
      </w:r>
    </w:p>
    <w:p w14:paraId="23D4A65F" w14:textId="77777777" w:rsidR="003C319E" w:rsidRPr="003C319E" w:rsidRDefault="003C319E" w:rsidP="003C319E">
      <w:r w:rsidRPr="003C319E">
        <w:t>All clinical efficacy endpoint analyses were conducted using the treated population consisting of 1</w:t>
      </w:r>
      <w:r w:rsidR="000F37C5">
        <w:t>,</w:t>
      </w:r>
      <w:r w:rsidRPr="003C319E">
        <w:t xml:space="preserve">910 patients who have received treatment with SAR in conjunction with conventional DMARD </w:t>
      </w:r>
      <w:r w:rsidRPr="003C319E">
        <w:lastRenderedPageBreak/>
        <w:t xml:space="preserve">therapy (as per the sponsor proposed indication wording in this application). The radiographic analysis cohort consisted of patients who completed Part B of Study EFC11072 and rolled over into the </w:t>
      </w:r>
      <w:r w:rsidR="004D78CD">
        <w:t>long term</w:t>
      </w:r>
      <w:r w:rsidRPr="003C319E">
        <w:t xml:space="preserve"> extension trial. All efficacy analyses in Study LTS11210 are descriptive in nature with no statistical adjustments being performed. No sample size calculation was performed but it was expected that approximately 2</w:t>
      </w:r>
      <w:r w:rsidR="000F37C5">
        <w:t>,</w:t>
      </w:r>
      <w:r w:rsidRPr="003C319E">
        <w:t>000 patients in total (</w:t>
      </w:r>
      <w:r w:rsidR="004D78CD">
        <w:t>that is</w:t>
      </w:r>
      <w:r w:rsidRPr="003C319E">
        <w:t xml:space="preserve"> </w:t>
      </w:r>
      <w:r w:rsidR="000F37C5">
        <w:t xml:space="preserve">approximately </w:t>
      </w:r>
      <w:r w:rsidRPr="003C319E">
        <w:t xml:space="preserve">80% of completing participants from the preceding trials) would be enrolled into </w:t>
      </w:r>
      <w:r>
        <w:t xml:space="preserve">the </w:t>
      </w:r>
      <w:r w:rsidR="004D78CD">
        <w:t>long term</w:t>
      </w:r>
      <w:r>
        <w:t xml:space="preserve"> extension phase.</w:t>
      </w:r>
    </w:p>
    <w:p w14:paraId="2FFF4003" w14:textId="77777777" w:rsidR="003C319E" w:rsidRPr="003C319E" w:rsidRDefault="003C319E" w:rsidP="003C319E">
      <w:pPr>
        <w:pStyle w:val="Heading5"/>
      </w:pPr>
      <w:r w:rsidRPr="003C319E">
        <w:t xml:space="preserve">Participant </w:t>
      </w:r>
      <w:r w:rsidR="000F37C5" w:rsidRPr="003C319E">
        <w:t>flow and significant protocol deviations</w:t>
      </w:r>
    </w:p>
    <w:p w14:paraId="6E478116" w14:textId="77777777" w:rsidR="003C319E" w:rsidRPr="003C319E" w:rsidRDefault="003C319E" w:rsidP="003C319E">
      <w:r w:rsidRPr="003C319E">
        <w:t>Of the 1</w:t>
      </w:r>
      <w:r w:rsidR="000F37C5">
        <w:t>,</w:t>
      </w:r>
      <w:r w:rsidRPr="003C319E">
        <w:t xml:space="preserve">914 subjects who enrolled in Study LTS11210, 1910 patients (99.8%) received combination treatment with SAR and conventional DMARD therapy in Study LTS11210. The majority of enrolling subjects in Study LTS11210 had initially participated in Cohort2/Part B of Study EFC11072 (47.2%; 901/1914). The enrolment contribution from other preceding trials is: 23.8% (456/1914) of subjects rolled over from Study EFC10832, 12.7% (243/1914) of patients rolled over from Part A of Study EFC11072, 8.8% (168/1914) of </w:t>
      </w:r>
      <w:r w:rsidR="000F37C5">
        <w:t>subjects rolled over from Study </w:t>
      </w:r>
      <w:r w:rsidRPr="003C319E">
        <w:t>SFY13370, 7.3% (139/1914) of patients rolled over from Coh</w:t>
      </w:r>
      <w:r w:rsidR="000F37C5">
        <w:t>ort 1/Part B of Study </w:t>
      </w:r>
      <w:r w:rsidRPr="003C319E">
        <w:t xml:space="preserve">EFC11072 and 0.4% (7/1914) of subject rolled over from Study ACT11575. At enrolment into Study LTS11210, approximately two thirds of all subjects (63.8%; 1218/1910) were receiving either SAR 150 mg q2w (26.1%; 498/1910) or SAR 200 mg q2w therapy (37.7%; 720/1910). The other subjects were receiving SAR at non-selected dose (10.4%; 199/1910), </w:t>
      </w:r>
      <w:r w:rsidR="00A343A3">
        <w:t>placebo</w:t>
      </w:r>
      <w:r w:rsidRPr="003C319E">
        <w:t xml:space="preserve"> (20.8%; 397/1910) or tocilizuma</w:t>
      </w:r>
      <w:r>
        <w:t>b or golimumab (5.0%; 96/1910).</w:t>
      </w:r>
    </w:p>
    <w:p w14:paraId="48302C91" w14:textId="77777777" w:rsidR="003C319E" w:rsidRPr="003C319E" w:rsidRDefault="003C319E" w:rsidP="003C319E">
      <w:r w:rsidRPr="003C319E">
        <w:t>At the data extraction cut-off date, 23.0% (440/1910) of enrolled subjects in Study LTS11210 had ceased treatment. The main reasons for discontinuati</w:t>
      </w:r>
      <w:r w:rsidR="000F37C5">
        <w:t>on were AEs (14.3%; 274/1910), ‘other reasons’</w:t>
      </w:r>
      <w:r w:rsidRPr="003C319E">
        <w:t xml:space="preserve"> (5.5%; 106/1910), lack of efficacy (2.2%; 42/1910) and poor compliance with study protocol (0.9%; 18/1910). Approximately 15% of all withdrawing patients enrolled in Study LTS11210 had discontinued treatment by </w:t>
      </w:r>
      <w:r w:rsidR="002F4291">
        <w:t>Week</w:t>
      </w:r>
      <w:r w:rsidRPr="003C319E">
        <w:t xml:space="preserve"> 48, and 25% of subjects had discontinued by </w:t>
      </w:r>
      <w:r w:rsidR="002F4291">
        <w:t>Week</w:t>
      </w:r>
      <w:r w:rsidRPr="003C319E">
        <w:t xml:space="preserve"> 96. No patients in Study LTS11210 had significant protocol deviations that may have affected the efficacy analyses.</w:t>
      </w:r>
    </w:p>
    <w:p w14:paraId="7B2A8F03" w14:textId="77777777" w:rsidR="003C319E" w:rsidRPr="003C319E" w:rsidRDefault="003C319E" w:rsidP="003C319E">
      <w:pPr>
        <w:pStyle w:val="Heading5"/>
      </w:pPr>
      <w:r w:rsidRPr="003C319E">
        <w:t xml:space="preserve">Baseline </w:t>
      </w:r>
      <w:r w:rsidR="000F37C5" w:rsidRPr="003C319E">
        <w:t>patient d</w:t>
      </w:r>
      <w:r w:rsidRPr="003C319E">
        <w:t>ata</w:t>
      </w:r>
    </w:p>
    <w:p w14:paraId="2ABD6C37" w14:textId="77777777" w:rsidR="003C319E" w:rsidRPr="003C319E" w:rsidRDefault="003C319E" w:rsidP="003C319E">
      <w:r w:rsidRPr="003C319E">
        <w:t>Patients enrolling into Study LTS11210 had similar baseline characteristics to the preceding trial cohorts. Subjects had a me</w:t>
      </w:r>
      <w:r w:rsidR="000F37C5">
        <w:t xml:space="preserve">an age of 52.1 years (range: 19 to </w:t>
      </w:r>
      <w:r w:rsidRPr="003C319E">
        <w:t>88 years) and were predominately female (81.1%; 1552/1914) and Caucasian (85.7%; 1641/1914). The median BMI was 26.92 kg/</w:t>
      </w:r>
      <w:r w:rsidR="00041F97" w:rsidRPr="008F134F">
        <w:t>m</w:t>
      </w:r>
      <w:r w:rsidR="00041F97" w:rsidRPr="00041F97">
        <w:rPr>
          <w:vertAlign w:val="superscript"/>
        </w:rPr>
        <w:t>2</w:t>
      </w:r>
      <w:r w:rsidR="000F37C5">
        <w:t xml:space="preserve"> (range: 19.8 to </w:t>
      </w:r>
      <w:r w:rsidRPr="003C319E">
        <w:t>47.7 kg/</w:t>
      </w:r>
      <w:r w:rsidR="00041F97" w:rsidRPr="008F134F">
        <w:t>m</w:t>
      </w:r>
      <w:r w:rsidR="00041F97" w:rsidRPr="00041F97">
        <w:rPr>
          <w:vertAlign w:val="superscript"/>
        </w:rPr>
        <w:t>2</w:t>
      </w:r>
      <w:r w:rsidRPr="003C319E">
        <w:t>). By geographic region, the highest proportion of subjects came from South America (37.2%; 712/1914) followed by Eastern Europe and Asia (Region 3: 36.7%; 702/1914) and western countries (26.1%; 500/1914). More than one quarter of enrolled subjects were either current (14.0%; 268/1914) or former smokers (14.2%; 271/1914), and 22.2% (425/1914) consumed alcoh</w:t>
      </w:r>
      <w:r>
        <w:t>ol at least on a monthly basis.</w:t>
      </w:r>
    </w:p>
    <w:p w14:paraId="3FED32DA" w14:textId="177F0188" w:rsidR="003C319E" w:rsidRPr="003C319E" w:rsidRDefault="003C319E" w:rsidP="003C319E">
      <w:r w:rsidRPr="003C319E">
        <w:t xml:space="preserve">The mean duration of RA </w:t>
      </w:r>
      <w:r w:rsidR="00F01361">
        <w:t>at Baseline</w:t>
      </w:r>
      <w:r w:rsidR="000F37C5">
        <w:t xml:space="preserve"> was 9.74 years (range: 0.3 to </w:t>
      </w:r>
      <w:r w:rsidRPr="003C319E">
        <w:t xml:space="preserve">54.0 years) and most was seropositive </w:t>
      </w:r>
      <w:r w:rsidR="00F01361">
        <w:t>at Baseline</w:t>
      </w:r>
      <w:r w:rsidRPr="003C319E">
        <w:t xml:space="preserve"> (82.1% </w:t>
      </w:r>
      <w:r w:rsidR="00BF33B8">
        <w:t>(</w:t>
      </w:r>
      <w:r w:rsidRPr="003C319E">
        <w:t>1565/1914</w:t>
      </w:r>
      <w:r w:rsidR="00BF33B8">
        <w:t>)</w:t>
      </w:r>
      <w:r w:rsidRPr="003C319E">
        <w:t xml:space="preserve"> for RF and 84.7% </w:t>
      </w:r>
      <w:r w:rsidR="00BF33B8">
        <w:t>(</w:t>
      </w:r>
      <w:r w:rsidRPr="003C319E">
        <w:t>1596/1914</w:t>
      </w:r>
      <w:r w:rsidR="00BF33B8">
        <w:t>)</w:t>
      </w:r>
      <w:r w:rsidRPr="003C319E">
        <w:t xml:space="preserve"> for anti-CCP antibodies). Almost half (48.0%; 918/1914) had a history of biologic DMARD exposure. At the time of enrolment into Study LTS11210, 99.0% (1894/1914) of patients were taking concomitant non-biologic DMARD therapy, which was frequently MTX monotherapy (92.2%; 1764/1914). Other concomitant non-biologic DMARD use at entry included LEF monotherapy (2.8%; 54/1914), MTX combined with other non-biologic DMA</w:t>
      </w:r>
      <w:r w:rsidR="000F37C5">
        <w:t>RD (2.4%; 45/1914), HCQ </w:t>
      </w:r>
      <w:r w:rsidRPr="003C319E">
        <w:t xml:space="preserve">monotherapy (0.9%; 17/1914) and SSZ monotherapy (0.6%; 11/1914). The median weekly MTX dose </w:t>
      </w:r>
      <w:r w:rsidR="00F01361">
        <w:t>at Baseline</w:t>
      </w:r>
      <w:r w:rsidRPr="003C319E">
        <w:t xml:space="preserve"> in Study LTS11210 was 15 mg (mean of 15.63 mg/week). During the </w:t>
      </w:r>
      <w:r w:rsidR="004D78CD">
        <w:t>long term</w:t>
      </w:r>
      <w:r w:rsidRPr="003C319E">
        <w:t xml:space="preserve"> follow-up trial, more than half of all subjects (59.4%; 1136/1914) were continuing to take low dose oral CS and most were still recei</w:t>
      </w:r>
      <w:r>
        <w:t>ving NSAID (70.4%; 1347/1914).</w:t>
      </w:r>
    </w:p>
    <w:p w14:paraId="09C4A9DE" w14:textId="77777777" w:rsidR="003C319E" w:rsidRPr="003C319E" w:rsidRDefault="003C319E" w:rsidP="003C319E">
      <w:pPr>
        <w:pStyle w:val="Heading5"/>
      </w:pPr>
      <w:r w:rsidRPr="003C319E">
        <w:t xml:space="preserve">Clinical </w:t>
      </w:r>
      <w:r w:rsidR="000F37C5" w:rsidRPr="003C319E">
        <w:t>efficacy r</w:t>
      </w:r>
      <w:r w:rsidR="000F37C5">
        <w:t>esults</w:t>
      </w:r>
    </w:p>
    <w:p w14:paraId="58B566DD" w14:textId="77777777" w:rsidR="004D78CD" w:rsidRDefault="003C319E" w:rsidP="003C319E">
      <w:r w:rsidRPr="003C319E">
        <w:t xml:space="preserve">Between </w:t>
      </w:r>
      <w:r w:rsidR="002F4291">
        <w:t>Week</w:t>
      </w:r>
      <w:r w:rsidRPr="003C319E">
        <w:t xml:space="preserve">s 24 and 216, the proportion of patients </w:t>
      </w:r>
      <w:r w:rsidR="000F37C5">
        <w:t xml:space="preserve">obtaining ACR20 response was 83 to </w:t>
      </w:r>
      <w:r w:rsidRPr="003C319E">
        <w:t xml:space="preserve">90%, achieving ACR50 response was </w:t>
      </w:r>
      <w:r w:rsidR="000F37C5">
        <w:t xml:space="preserve">60 to </w:t>
      </w:r>
      <w:r w:rsidRPr="003C319E">
        <w:t xml:space="preserve">70%, </w:t>
      </w:r>
      <w:r w:rsidR="000F37C5">
        <w:t xml:space="preserve">obtaining ACR70 response was 39 to </w:t>
      </w:r>
      <w:r w:rsidRPr="003C319E">
        <w:t xml:space="preserve">50% and </w:t>
      </w:r>
      <w:r w:rsidRPr="003C319E">
        <w:lastRenderedPageBreak/>
        <w:t>achie</w:t>
      </w:r>
      <w:r w:rsidR="000F37C5">
        <w:t xml:space="preserve">ving DAS28-CRP remission was 51 to 62%; </w:t>
      </w:r>
      <w:r w:rsidRPr="00D16242">
        <w:t>refer to</w:t>
      </w:r>
      <w:r w:rsidR="00D16242" w:rsidRPr="00D16242">
        <w:t xml:space="preserve"> Table 20</w:t>
      </w:r>
      <w:r w:rsidRPr="00D16242">
        <w:t xml:space="preserve">. The rates of ACR response and remission were sustained and stable between </w:t>
      </w:r>
      <w:r w:rsidR="002F4291" w:rsidRPr="00D16242">
        <w:t>Week</w:t>
      </w:r>
      <w:r w:rsidRPr="00D16242">
        <w:t>s 24 to 216 after</w:t>
      </w:r>
      <w:r w:rsidRPr="003C319E">
        <w:t xml:space="preserve"> an initial increase in clinical response rates between </w:t>
      </w:r>
      <w:r w:rsidR="002F4291">
        <w:t>Week</w:t>
      </w:r>
      <w:r w:rsidRPr="003C319E">
        <w:t xml:space="preserve">s 0 to 24, which reflects the contribution from patients who initiated SAR at </w:t>
      </w:r>
      <w:r w:rsidR="002F4291">
        <w:t>Week</w:t>
      </w:r>
      <w:r w:rsidRPr="003C319E">
        <w:t xml:space="preserve"> 0 in Study LTS11210 (20.8% of subjects switched from </w:t>
      </w:r>
      <w:r w:rsidR="00A343A3">
        <w:t>placebo</w:t>
      </w:r>
      <w:r w:rsidRPr="003C319E">
        <w:t xml:space="preserve"> to SAR at enrolment)</w:t>
      </w:r>
      <w:r w:rsidR="004D78CD">
        <w:t>.</w:t>
      </w:r>
    </w:p>
    <w:p w14:paraId="4238157C" w14:textId="77777777" w:rsidR="000413B6" w:rsidRPr="003C319E" w:rsidRDefault="003C319E" w:rsidP="003C319E">
      <w:pPr>
        <w:pStyle w:val="Tabletitle"/>
      </w:pPr>
      <w:r w:rsidRPr="00D16242">
        <w:t>Table 2</w:t>
      </w:r>
      <w:r w:rsidR="00D16242" w:rsidRPr="00D16242">
        <w:t>0</w:t>
      </w:r>
      <w:r w:rsidR="00871574" w:rsidRPr="00D16242">
        <w:t xml:space="preserve">: </w:t>
      </w:r>
      <w:r w:rsidRPr="00D16242">
        <w:t xml:space="preserve">Percentage of </w:t>
      </w:r>
      <w:r w:rsidR="000F37C5" w:rsidRPr="00D16242">
        <w:t xml:space="preserve">patients with clinical response </w:t>
      </w:r>
      <w:r w:rsidRPr="00D16242">
        <w:t>in Study LTS11210</w:t>
      </w:r>
    </w:p>
    <w:p w14:paraId="7C9D10C8" w14:textId="77777777" w:rsidR="000413B6" w:rsidRDefault="00871574" w:rsidP="00C22678">
      <w:pPr>
        <w:rPr>
          <w:lang w:eastAsia="ja-JP"/>
        </w:rPr>
      </w:pPr>
      <w:r>
        <w:rPr>
          <w:noProof/>
          <w:lang w:eastAsia="en-AU"/>
        </w:rPr>
        <w:drawing>
          <wp:inline distT="0" distB="0" distL="0" distR="0" wp14:anchorId="354F7C99" wp14:editId="0BD71888">
            <wp:extent cx="5458892" cy="1550822"/>
            <wp:effectExtent l="0" t="0" r="8890" b="0"/>
            <wp:docPr id="30" name="Picture 30" descr="Percentage of patients with clinical response in Study LTS1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55459" cy="1549847"/>
                    </a:xfrm>
                    <a:prstGeom prst="rect">
                      <a:avLst/>
                    </a:prstGeom>
                  </pic:spPr>
                </pic:pic>
              </a:graphicData>
            </a:graphic>
          </wp:inline>
        </w:drawing>
      </w:r>
    </w:p>
    <w:p w14:paraId="3099C796" w14:textId="77777777" w:rsidR="002E7BE4" w:rsidRPr="002E7BE4" w:rsidRDefault="002E7BE4" w:rsidP="002E7BE4">
      <w:pPr>
        <w:pStyle w:val="Heading6"/>
      </w:pPr>
      <w:r w:rsidRPr="002E7BE4">
        <w:t xml:space="preserve">Radiographic </w:t>
      </w:r>
      <w:r w:rsidR="000F37C5">
        <w:t>r</w:t>
      </w:r>
      <w:r w:rsidRPr="002E7BE4">
        <w:t>esults</w:t>
      </w:r>
    </w:p>
    <w:p w14:paraId="168A93F2" w14:textId="57092B8A" w:rsidR="002E7BE4" w:rsidRPr="002E7BE4" w:rsidRDefault="002E7BE4" w:rsidP="002E7BE4">
      <w:r w:rsidRPr="002E7BE4">
        <w:t xml:space="preserve">X-ray data in Study LTS11210 was only collected from subjects who entered into the </w:t>
      </w:r>
      <w:r w:rsidR="004D78CD">
        <w:t>long term</w:t>
      </w:r>
      <w:r w:rsidRPr="002E7BE4">
        <w:t xml:space="preserve"> trial from Study EFC11072. A total of 860 patients who ini</w:t>
      </w:r>
      <w:r w:rsidR="000F37C5">
        <w:t>tiated study treatment in Study </w:t>
      </w:r>
      <w:r w:rsidRPr="002E7BE4">
        <w:t xml:space="preserve">EFC11072 had X-ray data collected </w:t>
      </w:r>
      <w:r w:rsidR="00F01361">
        <w:t>at Baseline</w:t>
      </w:r>
      <w:r w:rsidRPr="002E7BE4">
        <w:t xml:space="preserve"> in Study EFC11072, and 865 of these subjects had X-ray data analysed at </w:t>
      </w:r>
      <w:r w:rsidR="002F4291">
        <w:t>Week</w:t>
      </w:r>
      <w:r w:rsidRPr="002E7BE4">
        <w:t xml:space="preserve"> 0 (baseline) in Study LTS11210. Of these subjects, 848 had X-ray data collected </w:t>
      </w:r>
      <w:r w:rsidR="00F01361">
        <w:t>at Baseline</w:t>
      </w:r>
      <w:r w:rsidRPr="002E7BE4">
        <w:t xml:space="preserve"> of Study EFC11072, and </w:t>
      </w:r>
      <w:r w:rsidR="002F4291">
        <w:t>Week</w:t>
      </w:r>
      <w:r w:rsidRPr="002E7BE4">
        <w:t>s 0 and 48 of Study LTS11210 (</w:t>
      </w:r>
      <w:r w:rsidR="004D78CD">
        <w:t>that is</w:t>
      </w:r>
      <w:r w:rsidRPr="002E7BE4">
        <w:t xml:space="preserve"> all 3 sequential X-rays over 100 weeks of treatment)</w:t>
      </w:r>
      <w:r>
        <w:t>.</w:t>
      </w:r>
    </w:p>
    <w:p w14:paraId="5D5A6535" w14:textId="77777777" w:rsidR="002E7BE4" w:rsidRPr="002E7BE4" w:rsidRDefault="002E7BE4" w:rsidP="002E7BE4">
      <w:r w:rsidRPr="002E7BE4">
        <w:t xml:space="preserve">At </w:t>
      </w:r>
      <w:r w:rsidR="002F4291">
        <w:t>Week</w:t>
      </w:r>
      <w:r w:rsidRPr="002E7BE4">
        <w:t xml:space="preserve"> 0 in Study LTS11210 (</w:t>
      </w:r>
      <w:r w:rsidR="004D78CD">
        <w:t>that is</w:t>
      </w:r>
      <w:r w:rsidRPr="002E7BE4">
        <w:t xml:space="preserve"> after 1 year of treatment in Study EFC11072), the mean mTSS had increased by 1.05 units relative to the baseline of the initial trial in the</w:t>
      </w:r>
      <w:r w:rsidR="000F37C5">
        <w:t xml:space="preserve"> combined SAR treatment cohort;</w:t>
      </w:r>
      <w:r w:rsidRPr="002E7BE4">
        <w:t xml:space="preserve"> refer </w:t>
      </w:r>
      <w:r w:rsidRPr="00D16242">
        <w:t>to Table 2</w:t>
      </w:r>
      <w:r w:rsidR="00D16242" w:rsidRPr="00D16242">
        <w:t>1</w:t>
      </w:r>
      <w:r w:rsidRPr="00D16242">
        <w:t xml:space="preserve">. At </w:t>
      </w:r>
      <w:r w:rsidR="002F4291" w:rsidRPr="00D16242">
        <w:t>Week</w:t>
      </w:r>
      <w:r w:rsidRPr="002E7BE4">
        <w:t xml:space="preserve"> 100 (after</w:t>
      </w:r>
      <w:r w:rsidR="000F37C5">
        <w:t xml:space="preserve"> 52 weeks of treatment in Study </w:t>
      </w:r>
      <w:r w:rsidRPr="002E7BE4">
        <w:t>EFC11072 and 48 weeks of treatment in Study LTS11210), the mean mTSS had increased by 1.34 units</w:t>
      </w:r>
      <w:r>
        <w:t xml:space="preserve"> from the original baseline.</w:t>
      </w:r>
    </w:p>
    <w:p w14:paraId="6FE9883B" w14:textId="77777777" w:rsidR="002E7BE4" w:rsidRPr="002E7BE4" w:rsidRDefault="002E7BE4" w:rsidP="002E7BE4">
      <w:r w:rsidRPr="002E7BE4">
        <w:t>The radiographic cohort was also analysed for the proportion of subjects showing no progression from original baseline (</w:t>
      </w:r>
      <w:r w:rsidR="004D78CD">
        <w:t>that is</w:t>
      </w:r>
      <w:r w:rsidRPr="002E7BE4">
        <w:t xml:space="preserve"> mTSS of </w:t>
      </w:r>
      <w:r w:rsidR="007312A2">
        <w:t xml:space="preserve">&lt; </w:t>
      </w:r>
      <w:r w:rsidRPr="002E7BE4">
        <w:t xml:space="preserve">0) to </w:t>
      </w:r>
      <w:r w:rsidR="002F4291">
        <w:t>Week</w:t>
      </w:r>
      <w:r w:rsidRPr="002E7BE4">
        <w:t xml:space="preserve"> 52, and between </w:t>
      </w:r>
      <w:r w:rsidR="002F4291">
        <w:t>Week</w:t>
      </w:r>
      <w:r w:rsidRPr="002E7BE4">
        <w:t xml:space="preserve">s 52 and 100. The rate of non-progression at </w:t>
      </w:r>
      <w:r w:rsidR="002F4291">
        <w:t>Week</w:t>
      </w:r>
      <w:r w:rsidRPr="002E7BE4">
        <w:t xml:space="preserve"> 0 of Study LTS11210 (</w:t>
      </w:r>
      <w:r w:rsidR="004D78CD">
        <w:t>that is</w:t>
      </w:r>
      <w:r w:rsidRPr="002E7BE4">
        <w:t xml:space="preserve"> </w:t>
      </w:r>
      <w:r w:rsidR="002F4291">
        <w:t>Week</w:t>
      </w:r>
      <w:r w:rsidR="000F37C5">
        <w:t xml:space="preserve"> 52 of Study </w:t>
      </w:r>
      <w:r w:rsidRPr="002E7BE4">
        <w:t xml:space="preserve">EFC11072) was 51.9% (461/889). There was minimal change between </w:t>
      </w:r>
      <w:r w:rsidR="002F4291">
        <w:t>Week</w:t>
      </w:r>
      <w:r w:rsidRPr="002E7BE4">
        <w:t xml:space="preserve">s 0 and 48 of Study LTS11210 for the proportion of subjects showing no X-ray progression at </w:t>
      </w:r>
      <w:r w:rsidR="002F4291">
        <w:t>Week</w:t>
      </w:r>
      <w:r w:rsidRPr="002E7BE4">
        <w:t xml:space="preserve"> 100 (51.2%; 455/889) versus </w:t>
      </w:r>
      <w:r w:rsidR="002F4291">
        <w:t>Week</w:t>
      </w:r>
      <w:r w:rsidRPr="002E7BE4">
        <w:t xml:space="preserve"> 52 (51.9%). Furthermore, analyses of the mean ES and JSN scores over the 2 treatment periods (baseline to </w:t>
      </w:r>
      <w:r w:rsidR="002F4291">
        <w:t>Week</w:t>
      </w:r>
      <w:r w:rsidRPr="002E7BE4">
        <w:t xml:space="preserve"> 52, and </w:t>
      </w:r>
      <w:r w:rsidR="002F4291">
        <w:t>Week</w:t>
      </w:r>
      <w:r w:rsidRPr="002E7BE4">
        <w:t xml:space="preserve"> 52 to 100) show no significant m</w:t>
      </w:r>
      <w:r>
        <w:t>ean change after 1 year of SAR.</w:t>
      </w:r>
    </w:p>
    <w:p w14:paraId="6D1C2170" w14:textId="2E815B8A" w:rsidR="002E7BE4" w:rsidRPr="002E7BE4" w:rsidRDefault="002E7BE4" w:rsidP="002E7BE4">
      <w:r w:rsidRPr="002E7BE4">
        <w:t>Overall, the above results indicate that SAR has a sustained effect on the prevention of X-ray progression over 2 years of treatment follow-up in adult patients with active RA and at high risk of X-ray progression (</w:t>
      </w:r>
      <w:r w:rsidR="004D78CD">
        <w:t>that is</w:t>
      </w:r>
      <w:r w:rsidRPr="002E7BE4">
        <w:t xml:space="preserve"> seropositive RA with high dis</w:t>
      </w:r>
      <w:r>
        <w:t xml:space="preserve">ease activity </w:t>
      </w:r>
      <w:r w:rsidR="00F01361">
        <w:t>at Baseline</w:t>
      </w:r>
      <w:r>
        <w:t>).</w:t>
      </w:r>
    </w:p>
    <w:p w14:paraId="6B3BB601" w14:textId="77777777" w:rsidR="002E7BE4" w:rsidRPr="002E7BE4" w:rsidRDefault="002E7BE4" w:rsidP="002E7BE4">
      <w:pPr>
        <w:pStyle w:val="Tabletitle"/>
      </w:pPr>
      <w:r w:rsidRPr="00D16242">
        <w:lastRenderedPageBreak/>
        <w:t>Table 2</w:t>
      </w:r>
      <w:r w:rsidR="00D16242" w:rsidRPr="00D16242">
        <w:t>1</w:t>
      </w:r>
      <w:r w:rsidRPr="00D16242">
        <w:t>: Change</w:t>
      </w:r>
      <w:r w:rsidRPr="002E7BE4">
        <w:t xml:space="preserve"> from Baseline in mTSS for Patients from Part B of Study EFC11072 </w:t>
      </w:r>
      <w:r w:rsidR="00D16242" w:rsidRPr="002E7BE4">
        <w:t xml:space="preserve">continuing with </w:t>
      </w:r>
      <w:r w:rsidR="00D16242">
        <w:t xml:space="preserve">open </w:t>
      </w:r>
      <w:r w:rsidR="004D78CD">
        <w:t>label</w:t>
      </w:r>
      <w:r w:rsidRPr="002E7BE4">
        <w:t xml:space="preserve"> Sarilumab in Study LTS11210</w:t>
      </w:r>
    </w:p>
    <w:p w14:paraId="6CC228FD" w14:textId="77777777" w:rsidR="000413B6" w:rsidRDefault="002E7BE4" w:rsidP="00C22678">
      <w:pPr>
        <w:rPr>
          <w:lang w:eastAsia="ja-JP"/>
        </w:rPr>
      </w:pPr>
      <w:r>
        <w:rPr>
          <w:noProof/>
          <w:lang w:eastAsia="en-AU"/>
        </w:rPr>
        <w:drawing>
          <wp:inline distT="0" distB="0" distL="0" distR="0" wp14:anchorId="536435DF" wp14:editId="55D4CA8F">
            <wp:extent cx="5540648" cy="6276441"/>
            <wp:effectExtent l="0" t="0" r="3175" b="0"/>
            <wp:docPr id="28" name="Picture 28" descr="Change from Baseline in mTSS for Patients from Part B of Study EFC11072 Continuing with Open label Sarilumab in Study LTS1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544122" cy="6280376"/>
                    </a:xfrm>
                    <a:prstGeom prst="rect">
                      <a:avLst/>
                    </a:prstGeom>
                  </pic:spPr>
                </pic:pic>
              </a:graphicData>
            </a:graphic>
          </wp:inline>
        </w:drawing>
      </w:r>
    </w:p>
    <w:p w14:paraId="6FAB7003" w14:textId="77777777" w:rsidR="002E7BE4" w:rsidRPr="002E7BE4" w:rsidRDefault="002E7BE4" w:rsidP="002E7BE4">
      <w:pPr>
        <w:pStyle w:val="Heading4"/>
      </w:pPr>
      <w:bookmarkStart w:id="193" w:name="_Toc290888506"/>
      <w:bookmarkStart w:id="194" w:name="_Toc464131542"/>
      <w:r w:rsidRPr="002E7BE4">
        <w:t xml:space="preserve">Study </w:t>
      </w:r>
      <w:bookmarkEnd w:id="193"/>
      <w:r w:rsidRPr="002E7BE4">
        <w:t>SFY13370</w:t>
      </w:r>
      <w:bookmarkEnd w:id="194"/>
    </w:p>
    <w:p w14:paraId="1EF517E8" w14:textId="77777777" w:rsidR="002E7BE4" w:rsidRPr="002E7BE4" w:rsidRDefault="002E7BE4" w:rsidP="002E7BE4">
      <w:r w:rsidRPr="002E7BE4">
        <w:t xml:space="preserve">Study SFY13370 was a randomised, </w:t>
      </w:r>
      <w:r w:rsidR="00E0128B">
        <w:t>double blind</w:t>
      </w:r>
      <w:r w:rsidR="000F37C5">
        <w:t xml:space="preserve">, double </w:t>
      </w:r>
      <w:r w:rsidRPr="002E7BE4">
        <w:t xml:space="preserve">dummy trial which primarily aimed to assess the safety and tolerability of SAR and tocilizumab (another anti-IL-6 therapy) in adult patients with active RA who were inadequate responders to or intolerant of anti-TNF drugs. The rates of ACR20, ACR50, ACR70 and DAS28-CRP response at </w:t>
      </w:r>
      <w:r w:rsidR="002F4291">
        <w:t>Week</w:t>
      </w:r>
      <w:r w:rsidRPr="002E7BE4">
        <w:t xml:space="preserve"> 24 were collected as exploratory efficacy outcomes. The study was conducted in 68 centres in North and South America, as well as Europe between March 2013 and October 2014. A total of 202 patients were randomised in a 1:1:2 ratio to receive SC injections of SAR 150 mg q2w (n</w:t>
      </w:r>
      <w:r w:rsidR="004D78CD">
        <w:t xml:space="preserve"> = </w:t>
      </w:r>
      <w:r w:rsidRPr="002E7BE4">
        <w:t>49 subjects), SAR 200 mg q2w (n</w:t>
      </w:r>
      <w:r w:rsidR="004D78CD">
        <w:t xml:space="preserve"> = </w:t>
      </w:r>
      <w:r w:rsidRPr="002E7BE4">
        <w:t>51 patients) or intravenous infusion of tocilizu</w:t>
      </w:r>
      <w:r w:rsidR="000F37C5">
        <w:t>mab every 4 weeks starting at 4 </w:t>
      </w:r>
      <w:r w:rsidRPr="002E7BE4">
        <w:t xml:space="preserve">mg/kg followed by an increase to 8 mg/kg, if needed, based on clinical response (as assessed by the site investigator), with each biologic therapy added to non-biological background </w:t>
      </w:r>
      <w:r w:rsidRPr="002E7BE4">
        <w:lastRenderedPageBreak/>
        <w:t xml:space="preserve">DMARD treatment (typically MTX). The Australian approved RA treatment regimen for tocilizumab is 8 mg/kg IV every 4 weeks. In Study SFY13370, 60.8% (62/102) of tocilizumab treated subjects had a dose increase from 4 mg/kg to 8 mg/kg during the trial, including 42.4% (42/99) of patients who had their dose incremented upwards at </w:t>
      </w:r>
      <w:r w:rsidR="002F4291">
        <w:t>Week</w:t>
      </w:r>
      <w:r w:rsidRPr="002E7BE4">
        <w:t xml:space="preserve"> 4.</w:t>
      </w:r>
    </w:p>
    <w:p w14:paraId="3BA2D9A7" w14:textId="77777777" w:rsidR="002E7BE4" w:rsidRPr="002E7BE4" w:rsidRDefault="002E7BE4" w:rsidP="002E7BE4">
      <w:r w:rsidRPr="002E7BE4">
        <w:t xml:space="preserve">Patient disposition in Study SFY13370 is presented </w:t>
      </w:r>
      <w:r w:rsidRPr="00D16242">
        <w:t xml:space="preserve">in Table </w:t>
      </w:r>
      <w:r w:rsidR="00D16242">
        <w:t>22</w:t>
      </w:r>
      <w:r w:rsidRPr="002E7BE4">
        <w:t>. Overall, 27 (13.4%) discontinued from the trial, with 19 (9.4%) being due to AEs. There was a higher rate of discontinuation due to AEs in both of the SAR groups compared to tocilizumab.</w:t>
      </w:r>
    </w:p>
    <w:p w14:paraId="7184A23F" w14:textId="77777777" w:rsidR="003C319E" w:rsidRPr="002E7BE4" w:rsidRDefault="002E7BE4" w:rsidP="002E7BE4">
      <w:pPr>
        <w:pStyle w:val="Tabletitle"/>
      </w:pPr>
      <w:r w:rsidRPr="00D16242">
        <w:t xml:space="preserve">Table </w:t>
      </w:r>
      <w:r w:rsidR="00D16242">
        <w:t>22</w:t>
      </w:r>
      <w:r>
        <w:t xml:space="preserve">: </w:t>
      </w:r>
      <w:r w:rsidRPr="002E7BE4">
        <w:t xml:space="preserve">Participant </w:t>
      </w:r>
      <w:r w:rsidR="000F37C5">
        <w:t>fl</w:t>
      </w:r>
      <w:r w:rsidRPr="002E7BE4">
        <w:t xml:space="preserve">ow in Study SFY13370 and </w:t>
      </w:r>
      <w:r w:rsidR="000F37C5" w:rsidRPr="002E7BE4">
        <w:t>reasons for discontinuation</w:t>
      </w:r>
    </w:p>
    <w:p w14:paraId="08514F24" w14:textId="77777777" w:rsidR="003C319E" w:rsidRDefault="002E7BE4" w:rsidP="00C22678">
      <w:pPr>
        <w:rPr>
          <w:lang w:eastAsia="ja-JP"/>
        </w:rPr>
      </w:pPr>
      <w:r>
        <w:rPr>
          <w:noProof/>
          <w:lang w:eastAsia="en-AU"/>
        </w:rPr>
        <w:drawing>
          <wp:inline distT="0" distB="0" distL="0" distR="0" wp14:anchorId="5C46E6CF" wp14:editId="5F6BAFC8">
            <wp:extent cx="5505393" cy="3525926"/>
            <wp:effectExtent l="0" t="0" r="635" b="0"/>
            <wp:docPr id="31" name="Picture 31" descr="Participant flow in Study SFY13370 and reasons for dis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503162" cy="3524497"/>
                    </a:xfrm>
                    <a:prstGeom prst="rect">
                      <a:avLst/>
                    </a:prstGeom>
                  </pic:spPr>
                </pic:pic>
              </a:graphicData>
            </a:graphic>
          </wp:inline>
        </w:drawing>
      </w:r>
    </w:p>
    <w:p w14:paraId="3255BC1F" w14:textId="77777777" w:rsidR="004D78CD" w:rsidRDefault="002E7BE4" w:rsidP="002E7BE4">
      <w:r w:rsidRPr="00D16242">
        <w:t xml:space="preserve">Table </w:t>
      </w:r>
      <w:r w:rsidR="00D16242">
        <w:t>23</w:t>
      </w:r>
      <w:r w:rsidRPr="00D16242">
        <w:t xml:space="preserve"> summarises</w:t>
      </w:r>
      <w:r w:rsidRPr="002E7BE4">
        <w:t xml:space="preserve"> the clinical response rates at </w:t>
      </w:r>
      <w:r w:rsidR="002F4291">
        <w:t>Week</w:t>
      </w:r>
      <w:r w:rsidRPr="002E7BE4">
        <w:t xml:space="preserve"> 24 in Study SFY13370. Although this study was not designed to evaluate the comparative efficacy of SAR and tocilizumab, the rates of ACR20 response (using the primary statistical approach where discontinued patients were imputed as non-responders) were numerically lower in both SAR treatment groups compared to tocilizumab. The proportion of patients achieving an ACR20 response at </w:t>
      </w:r>
      <w:r w:rsidR="002F4291">
        <w:t>Week</w:t>
      </w:r>
      <w:r w:rsidRPr="002E7BE4">
        <w:t xml:space="preserve"> 24 was similar in patients treated with SAR (63.3% for the 150 mg q2w group and 68.6% for the 200 mg q2w arm), but lower than that observed for patients treated with tocilizumab (75.5%)</w:t>
      </w:r>
      <w:r w:rsidR="004D78CD">
        <w:t>.</w:t>
      </w:r>
    </w:p>
    <w:p w14:paraId="1E1EB2E7" w14:textId="77777777" w:rsidR="002E7BE4" w:rsidRPr="002E7BE4" w:rsidRDefault="00D16242" w:rsidP="002E7BE4">
      <w:pPr>
        <w:pStyle w:val="Tabletitle"/>
      </w:pPr>
      <w:r w:rsidRPr="00D16242">
        <w:t>Table 23</w:t>
      </w:r>
      <w:r w:rsidR="002E7BE4" w:rsidRPr="00D16242">
        <w:t xml:space="preserve">: Clinical </w:t>
      </w:r>
      <w:r w:rsidRPr="00D16242">
        <w:t xml:space="preserve">response rates </w:t>
      </w:r>
      <w:r w:rsidR="002E7BE4" w:rsidRPr="00D16242">
        <w:t>at Week 24 in Study SFY13374</w:t>
      </w:r>
    </w:p>
    <w:p w14:paraId="1AC1FFE4" w14:textId="77777777" w:rsidR="002E7BE4" w:rsidRDefault="002E7BE4" w:rsidP="00C22678">
      <w:pPr>
        <w:rPr>
          <w:lang w:eastAsia="ja-JP"/>
        </w:rPr>
      </w:pPr>
      <w:r>
        <w:rPr>
          <w:noProof/>
          <w:lang w:eastAsia="en-AU"/>
        </w:rPr>
        <w:drawing>
          <wp:inline distT="0" distB="0" distL="0" distR="0" wp14:anchorId="65B5C617" wp14:editId="414371B5">
            <wp:extent cx="5596128" cy="1978375"/>
            <wp:effectExtent l="0" t="0" r="5080" b="3175"/>
            <wp:docPr id="32" name="Picture 32" descr="Clinical response rates at Week 24 in Study SFY1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595921" cy="1978302"/>
                    </a:xfrm>
                    <a:prstGeom prst="rect">
                      <a:avLst/>
                    </a:prstGeom>
                  </pic:spPr>
                </pic:pic>
              </a:graphicData>
            </a:graphic>
          </wp:inline>
        </w:drawing>
      </w:r>
    </w:p>
    <w:p w14:paraId="1F829B9B" w14:textId="77777777" w:rsidR="002E7BE4" w:rsidRPr="002E7BE4" w:rsidRDefault="002E7BE4" w:rsidP="002E7BE4">
      <w:r w:rsidRPr="002E7BE4">
        <w:lastRenderedPageBreak/>
        <w:t xml:space="preserve">In order to evaluate the impact of the higher discontinuation rate in the SAR treatment groups compared to tocilizumab, an alternative approach was developed as a sensitivity analysis. In this sensitivity analysis, missing data were imputed using the LOCF approach. In this analysis, the proportion of patients achieving an ACR20 response at </w:t>
      </w:r>
      <w:r w:rsidR="002F4291">
        <w:t>Week</w:t>
      </w:r>
      <w:r w:rsidRPr="002E7BE4">
        <w:t xml:space="preserve"> 24 appeared to be similar in the 3 groups (75.5% for SAR 150 mg q2w, 74.5% for SAR 200 mg q2w and 75.5% for tocilizumab q4w group). The response rates of ACR50, ACR70 and DAS remission (using the primary statistical approach) showed similar results for the 3 treatment groups for each of the efficacy endpoints.</w:t>
      </w:r>
    </w:p>
    <w:p w14:paraId="7098519D" w14:textId="77777777" w:rsidR="002E7BE4" w:rsidRPr="002E7BE4" w:rsidRDefault="002E7BE4" w:rsidP="002E7BE4">
      <w:pPr>
        <w:pStyle w:val="Heading3"/>
      </w:pPr>
      <w:bookmarkStart w:id="195" w:name="_Toc241374312"/>
      <w:bookmarkStart w:id="196" w:name="_Toc272414656"/>
      <w:bookmarkStart w:id="197" w:name="_Toc290888507"/>
      <w:bookmarkStart w:id="198" w:name="_Toc464131543"/>
      <w:bookmarkStart w:id="199" w:name="_Toc519848444"/>
      <w:r w:rsidRPr="002E7BE4">
        <w:t>Analyses performed across trials (pooled analyses and meta-analyses)</w:t>
      </w:r>
      <w:bookmarkEnd w:id="195"/>
      <w:bookmarkEnd w:id="196"/>
      <w:bookmarkEnd w:id="197"/>
      <w:bookmarkEnd w:id="198"/>
      <w:bookmarkEnd w:id="199"/>
    </w:p>
    <w:p w14:paraId="1E7FD8BE" w14:textId="77777777" w:rsidR="004D78CD" w:rsidRDefault="002E7BE4" w:rsidP="002E7BE4">
      <w:r w:rsidRPr="002E7BE4">
        <w:t xml:space="preserve">The submission does not contain a pooled analysis or meta-analysis of the efficacy data, but the sponsor has provided a comparison of the study populations and efficacy results across the </w:t>
      </w:r>
      <w:r w:rsidR="000F37C5">
        <w:t>two</w:t>
      </w:r>
      <w:r w:rsidRPr="002E7BE4">
        <w:t xml:space="preserve"> pivotal studies (Part B of EFC11072 and EFC10832)</w:t>
      </w:r>
      <w:r w:rsidR="004D78CD">
        <w:t>.</w:t>
      </w:r>
    </w:p>
    <w:p w14:paraId="29AAA94C" w14:textId="7940CAC2" w:rsidR="002E7BE4" w:rsidRPr="002E7BE4" w:rsidRDefault="002E7BE4" w:rsidP="002E7BE4">
      <w:r w:rsidRPr="002E7BE4">
        <w:t xml:space="preserve">Demographic characteristics of enrolled subjects were well-balanced between the </w:t>
      </w:r>
      <w:r w:rsidR="000F37C5">
        <w:t>two</w:t>
      </w:r>
      <w:r w:rsidRPr="002E7BE4">
        <w:t xml:space="preserve"> trials, except for race and region. There were a higher proportion</w:t>
      </w:r>
      <w:r w:rsidR="000F37C5">
        <w:t xml:space="preserve"> of Caucasian patients in Study </w:t>
      </w:r>
      <w:r w:rsidRPr="002E7BE4">
        <w:t>EFC11072 (86%) versus EFC10832 (71%), which can be explained by the different countries participating in the 2 studies. Baseline disease characteristics were also well balanced within each trial. Patients randomised into both studies had moderately to severely active RA. The mean baseline values of CRP were high in both trials (</w:t>
      </w:r>
      <w:r w:rsidR="007312A2">
        <w:t xml:space="preserve">&gt; </w:t>
      </w:r>
      <w:r w:rsidRPr="002E7BE4">
        <w:t xml:space="preserve">20 mg/L in each treatment arm), as well as the mean number of tender and swollen joints per subject. In both studies, the majority of patients were seropositive for RF and anti-CCP antibodies. Patients in Study EFC10832 had a longer duration of disease and more severe disease, as shown by the greater proportion of patients who were functional class III and the higher joint counts, CRP, HAQ-DI, DAS-CRP, and CDAI values </w:t>
      </w:r>
      <w:r w:rsidR="00F01361">
        <w:t>at Baseline</w:t>
      </w:r>
      <w:r w:rsidRPr="002E7BE4">
        <w:t>. These differences are to be expected, as patients in Study EFC10832 had already failed at least 1 anti-TNF drug. Patients in EFC11072 Part B were more likely to be seropositive for either RF or anti-CCP antibodies, which was expected as these were part of the entry criteria for that particular trial. While all patients in Study EFC10832 had received at least 1 prior anti-TNF drug, 27.4% of patients in Part B of Study EFC11072 had previously been treated with biologic DMARD. This observation is due to the differences in the entry criteria for the studies. Concomitant medications for RA were well-balanced within each study. All enrolled patients in Part B of Study EFC11072 were taking concomitant MTX at randomisation (mean dose 15.5 mg/week), as this was a requirement for entry into the trial. The majority of patients in Study EFC10832 were also taking concomitant MTX at randomisation (86% in total; mean weekly dose of 16 mg). In both studies, about two-thirds of all patients were taking concomitant low dose oral CS and/or NSAID, as expected in patients with active</w:t>
      </w:r>
      <w:r>
        <w:t xml:space="preserve"> RA.</w:t>
      </w:r>
    </w:p>
    <w:p w14:paraId="132D8BE6" w14:textId="77777777" w:rsidR="002E7BE4" w:rsidRPr="00D16242" w:rsidRDefault="002E7BE4" w:rsidP="002E7BE4">
      <w:r w:rsidRPr="002E7BE4">
        <w:t>In both pivotal studies, both dose regimens of SAR (150 mg q2w and 200 mg q2w), administered concomitantly with non-biological DMARD (mainly MTX), improved the signs and symptoms of RA and improved physical functioning in patients who were inadequate responders to MTX and/or anti-TNF therapy. The effects were robust based on the consistency of results of the primary and sensitivity analyses as well as that of the analyses of secondary efficacy endpoints. Within each dose group, the magnitude of the treatment effect was generally similar in both MTX and anti-TNF inadequate</w:t>
      </w:r>
      <w:r w:rsidR="000F37C5">
        <w:t xml:space="preserve"> responder patient populations;</w:t>
      </w:r>
      <w:r w:rsidRPr="002E7BE4">
        <w:t xml:space="preserve"> </w:t>
      </w:r>
      <w:r w:rsidRPr="00D16242">
        <w:t xml:space="preserve">refer to </w:t>
      </w:r>
      <w:r w:rsidR="00D16242" w:rsidRPr="00D16242">
        <w:t>Table 24</w:t>
      </w:r>
      <w:r w:rsidRPr="00D16242">
        <w:t>.</w:t>
      </w:r>
      <w:r w:rsidRPr="002E7BE4">
        <w:t xml:space="preserve"> Both regimens of SAR, administered with concomitant MTX, inhibited radiographic progression </w:t>
      </w:r>
      <w:r w:rsidRPr="00D16242">
        <w:t>in Part B of Study EFC11072.</w:t>
      </w:r>
    </w:p>
    <w:p w14:paraId="555CAE60" w14:textId="77777777" w:rsidR="002E7BE4" w:rsidRPr="002E7BE4" w:rsidRDefault="002E7BE4" w:rsidP="002E7BE4">
      <w:pPr>
        <w:pStyle w:val="Tabletitle"/>
      </w:pPr>
      <w:r w:rsidRPr="00D16242">
        <w:lastRenderedPageBreak/>
        <w:t>Table 2</w:t>
      </w:r>
      <w:r w:rsidR="00D16242" w:rsidRPr="00D16242">
        <w:t>4</w:t>
      </w:r>
      <w:r w:rsidRPr="00D16242">
        <w:t xml:space="preserve">: Primary </w:t>
      </w:r>
      <w:r w:rsidR="000F37C5" w:rsidRPr="00D16242">
        <w:t xml:space="preserve">efficacy endpoint results in both pivotal </w:t>
      </w:r>
      <w:r w:rsidR="004D78CD" w:rsidRPr="00D16242">
        <w:t>Phase III</w:t>
      </w:r>
      <w:r w:rsidRPr="00D16242">
        <w:t xml:space="preserve"> </w:t>
      </w:r>
      <w:r w:rsidR="000F37C5" w:rsidRPr="00D16242">
        <w:t>studies + key</w:t>
      </w:r>
      <w:r w:rsidR="000F37C5" w:rsidRPr="002E7BE4">
        <w:t xml:space="preserve"> secondary efficacy endpoint result for </w:t>
      </w:r>
      <w:r w:rsidRPr="002E7BE4">
        <w:t>Part B of Study EFC11072</w:t>
      </w:r>
    </w:p>
    <w:p w14:paraId="5F9A7F13" w14:textId="77777777" w:rsidR="002E7BE4" w:rsidRDefault="002E7BE4" w:rsidP="00C22678">
      <w:pPr>
        <w:rPr>
          <w:lang w:eastAsia="ja-JP"/>
        </w:rPr>
      </w:pPr>
      <w:r>
        <w:rPr>
          <w:noProof/>
          <w:lang w:eastAsia="en-AU"/>
        </w:rPr>
        <w:drawing>
          <wp:inline distT="0" distB="0" distL="0" distR="0" wp14:anchorId="2969E592" wp14:editId="536E15BA">
            <wp:extent cx="5537606" cy="3638234"/>
            <wp:effectExtent l="0" t="0" r="6350" b="635"/>
            <wp:docPr id="33" name="Picture 33" descr="Primary efficacy endpoint results in both pivotal Phase III studies + key secondary efficacy endpoint result for Part B of Study EFC1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535110" cy="3636594"/>
                    </a:xfrm>
                    <a:prstGeom prst="rect">
                      <a:avLst/>
                    </a:prstGeom>
                  </pic:spPr>
                </pic:pic>
              </a:graphicData>
            </a:graphic>
          </wp:inline>
        </w:drawing>
      </w:r>
    </w:p>
    <w:p w14:paraId="4509F2D0" w14:textId="77777777" w:rsidR="002E7BE4" w:rsidRPr="002E7BE4" w:rsidRDefault="002E7BE4" w:rsidP="002E7BE4">
      <w:r w:rsidRPr="002E7BE4">
        <w:t xml:space="preserve">A significant limitation of the current dataset in relation to determining the lowest, most clinically effective dose regimen of SAR is that both of the </w:t>
      </w:r>
      <w:r w:rsidR="004D78CD">
        <w:t>Phase III</w:t>
      </w:r>
      <w:r w:rsidR="000F37C5">
        <w:t xml:space="preserve">, </w:t>
      </w:r>
      <w:r w:rsidR="00A343A3">
        <w:t>placebo</w:t>
      </w:r>
      <w:r w:rsidR="000F37C5">
        <w:t xml:space="preserve"> </w:t>
      </w:r>
      <w:r w:rsidRPr="002E7BE4">
        <w:t xml:space="preserve">controlled studies was only designed to compare each of the 2 SAR dose regimens to </w:t>
      </w:r>
      <w:r w:rsidR="00A343A3">
        <w:t>placebo</w:t>
      </w:r>
      <w:r w:rsidRPr="002E7BE4">
        <w:t xml:space="preserve">. Efficacy result comparisons between the 2 SAR doses were not subject to pre-specified statistical testing. Nonetheless, the sponsor asserts that the efficacy data presented in this submission consistently shows a numeric superiority for SAR 200 mg q2w over SAR 150 mg q2w therapy, particularly for the higher levels of ACR response (ACR50 and ACR70) and radiographic outcomes. However, as </w:t>
      </w:r>
      <w:r w:rsidRPr="00D16242">
        <w:t xml:space="preserve">demonstrated in </w:t>
      </w:r>
      <w:r w:rsidR="00D16242" w:rsidRPr="00D16242">
        <w:t>Table 25</w:t>
      </w:r>
      <w:r w:rsidRPr="00D16242">
        <w:t>, the</w:t>
      </w:r>
      <w:r w:rsidRPr="002E7BE4">
        <w:t xml:space="preserve"> rates of ACR50 and ACR70 response at </w:t>
      </w:r>
      <w:r w:rsidR="002F4291">
        <w:t>Week</w:t>
      </w:r>
      <w:r w:rsidRPr="002E7BE4">
        <w:t xml:space="preserve">s 12, 24 and 52 for both doses of SAR are numerically similar with overlapping 95% CIs for the treatment related difference (versus </w:t>
      </w:r>
      <w:r w:rsidR="00A343A3">
        <w:t>placebo</w:t>
      </w:r>
      <w:r w:rsidRPr="002E7BE4">
        <w:t>) in</w:t>
      </w:r>
      <w:r>
        <w:t xml:space="preserve"> response rates.</w:t>
      </w:r>
    </w:p>
    <w:p w14:paraId="29B4F985" w14:textId="77777777" w:rsidR="002E7BE4" w:rsidRPr="002E7BE4" w:rsidRDefault="002E7BE4" w:rsidP="002E7BE4">
      <w:pPr>
        <w:pStyle w:val="Tabletitle"/>
      </w:pPr>
      <w:r w:rsidRPr="00D16242">
        <w:lastRenderedPageBreak/>
        <w:t>Table 2</w:t>
      </w:r>
      <w:r w:rsidR="00D16242" w:rsidRPr="00D16242">
        <w:t>5</w:t>
      </w:r>
      <w:r w:rsidRPr="00D16242">
        <w:t>: ACR</w:t>
      </w:r>
      <w:r w:rsidRPr="002E7BE4">
        <w:t xml:space="preserve"> </w:t>
      </w:r>
      <w:r w:rsidR="000F37C5" w:rsidRPr="002E7BE4">
        <w:t>response r</w:t>
      </w:r>
      <w:r w:rsidRPr="002E7BE4">
        <w:t xml:space="preserve">ates at Week 12, 24 and 52 </w:t>
      </w:r>
      <w:r w:rsidR="000F37C5">
        <w:t xml:space="preserve">in both pivotal </w:t>
      </w:r>
      <w:r w:rsidR="004D78CD">
        <w:t>Phase III</w:t>
      </w:r>
      <w:r>
        <w:t xml:space="preserve"> Studies</w:t>
      </w:r>
    </w:p>
    <w:p w14:paraId="1ED522A2" w14:textId="77777777" w:rsidR="002E7BE4" w:rsidRPr="002E7BE4" w:rsidRDefault="00651BD3" w:rsidP="002E7BE4">
      <w:r>
        <w:rPr>
          <w:noProof/>
          <w:lang w:eastAsia="en-AU"/>
        </w:rPr>
        <w:drawing>
          <wp:inline distT="0" distB="0" distL="0" distR="0" wp14:anchorId="2B366D11" wp14:editId="41446CC4">
            <wp:extent cx="5588813" cy="3141319"/>
            <wp:effectExtent l="0" t="0" r="0" b="2540"/>
            <wp:docPr id="34" name="Picture 34" descr="ACR response rates at Week 12, 24 and 52 in both pivotal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593739" cy="3144088"/>
                    </a:xfrm>
                    <a:prstGeom prst="rect">
                      <a:avLst/>
                    </a:prstGeom>
                  </pic:spPr>
                </pic:pic>
              </a:graphicData>
            </a:graphic>
          </wp:inline>
        </w:drawing>
      </w:r>
    </w:p>
    <w:p w14:paraId="719E66FB" w14:textId="48AF0C87" w:rsidR="004D78CD" w:rsidRDefault="00651BD3" w:rsidP="00651BD3">
      <w:r w:rsidRPr="00651BD3">
        <w:t xml:space="preserve">The findings from the subgroup analyses of the pooled </w:t>
      </w:r>
      <w:r w:rsidR="004D78CD">
        <w:t>Phase III</w:t>
      </w:r>
      <w:r w:rsidRPr="00651BD3">
        <w:t xml:space="preserve"> study cohort were consistent with those reported for the individual </w:t>
      </w:r>
      <w:r w:rsidR="004D78CD">
        <w:t>Phase III</w:t>
      </w:r>
      <w:r w:rsidRPr="00651BD3">
        <w:t xml:space="preserve"> trial datasets. The only new finding from the subgroup analysis of the pooled </w:t>
      </w:r>
      <w:r w:rsidR="004D78CD">
        <w:t>Phase III</w:t>
      </w:r>
      <w:r w:rsidRPr="00651BD3">
        <w:t xml:space="preserve"> dataset was that patients treated with SAR 150 mg q2w who weighed </w:t>
      </w:r>
      <w:r w:rsidR="007312A2">
        <w:t xml:space="preserve">≥ </w:t>
      </w:r>
      <w:r w:rsidRPr="00651BD3">
        <w:t xml:space="preserve">100 kg had the lowest rate of ACR20 response at 24 weeks (40.0%; 24/60), which was not statistically better than </w:t>
      </w:r>
      <w:r w:rsidR="00A343A3">
        <w:t>placebo</w:t>
      </w:r>
      <w:r w:rsidRPr="00651BD3">
        <w:t xml:space="preserve"> treated subjects (35.9% </w:t>
      </w:r>
      <w:r w:rsidR="00BF33B8">
        <w:t>(</w:t>
      </w:r>
      <w:r w:rsidRPr="00651BD3">
        <w:t>23/64</w:t>
      </w:r>
      <w:r w:rsidR="00BF33B8">
        <w:t>)</w:t>
      </w:r>
      <w:r w:rsidRPr="00651BD3">
        <w:t xml:space="preserve">; OR of 1.213 </w:t>
      </w:r>
      <w:r w:rsidR="00BF33B8">
        <w:t>(</w:t>
      </w:r>
      <w:r w:rsidRPr="00651BD3">
        <w:t>95% CI 0.558, 2.639</w:t>
      </w:r>
      <w:r w:rsidR="00BF33B8">
        <w:t>)</w:t>
      </w:r>
      <w:r w:rsidRPr="00651BD3">
        <w:t xml:space="preserve"> for SAR 150 mg versus </w:t>
      </w:r>
      <w:r w:rsidR="00A343A3">
        <w:t>placebo</w:t>
      </w:r>
      <w:r w:rsidRPr="00651BD3">
        <w:t xml:space="preserve"> in subjects weighing </w:t>
      </w:r>
      <w:r w:rsidR="007312A2">
        <w:t xml:space="preserve">&gt; </w:t>
      </w:r>
      <w:r w:rsidRPr="00651BD3">
        <w:t xml:space="preserve">100 kg). Patients treated with SAR 150 mg q2w who were seronegative for RF and/or anti-CCP antibodies also did not demonstrate a statistically higher rate of ACR20 response at 24 weeks versus </w:t>
      </w:r>
      <w:r w:rsidR="00A343A3">
        <w:t>placebo</w:t>
      </w:r>
      <w:r w:rsidRPr="00651BD3">
        <w:t xml:space="preserve"> (41-45% ACR20 response rate for each subgroup)</w:t>
      </w:r>
      <w:r w:rsidR="004D78CD">
        <w:t>.</w:t>
      </w:r>
    </w:p>
    <w:p w14:paraId="64E1ABFC" w14:textId="1D31A293" w:rsidR="00651BD3" w:rsidRPr="00651BD3" w:rsidRDefault="00651BD3" w:rsidP="00651BD3">
      <w:r w:rsidRPr="00651BD3">
        <w:t xml:space="preserve">The effects of dose increase were assessed for the subset of patients who received SAR 200 mg q2w, as either rescue for inadequate response in the initial studies (EFC11072 or EFC10832) or following entry into Study LTS11210. The efficacy results in this cohort are confounded as the treatment effect is not based on the population as randomised, but rather includes a mixture of patients who responded to therapy in the initial studies and those were non-responders. The analysis is also limited by self-selection of patients who chose to participate in the </w:t>
      </w:r>
      <w:r w:rsidR="004D78CD">
        <w:t>open label</w:t>
      </w:r>
      <w:r w:rsidRPr="00651BD3">
        <w:t xml:space="preserve"> extension trial. The efficacy analyses are based on the last visit on or before receiving open label SAR200 mg therapy, and then the rate of ACR20 response and mean change </w:t>
      </w:r>
      <w:r w:rsidR="00F01361">
        <w:t>from Baseline</w:t>
      </w:r>
      <w:r w:rsidRPr="00651BD3">
        <w:t xml:space="preserve"> in the </w:t>
      </w:r>
      <w:r w:rsidRPr="00D16242">
        <w:t xml:space="preserve">HAQ-DI score at 12 and 24 weeks after the SAR dose increase (Table </w:t>
      </w:r>
      <w:r w:rsidR="00D16242" w:rsidRPr="00D16242">
        <w:t>26</w:t>
      </w:r>
      <w:r w:rsidRPr="00D16242">
        <w:t xml:space="preserve"> for Study EFC11072 and Table </w:t>
      </w:r>
      <w:r w:rsidR="00D16242" w:rsidRPr="00D16242">
        <w:t>27</w:t>
      </w:r>
      <w:r w:rsidRPr="00D16242">
        <w:t xml:space="preserve"> for Study EFC10832). In the subset of patients </w:t>
      </w:r>
      <w:r w:rsidR="000F37C5" w:rsidRPr="00D16242">
        <w:t>who increased SAR dose from 150 </w:t>
      </w:r>
      <w:r w:rsidRPr="00D16242">
        <w:t>mg to</w:t>
      </w:r>
      <w:r w:rsidRPr="00651BD3">
        <w:t xml:space="preserve"> 200 mg q2w, there was an improved response over time, but all treatment groups in both studies showed an improved response over time.</w:t>
      </w:r>
    </w:p>
    <w:p w14:paraId="408FC5AD" w14:textId="4131C068" w:rsidR="00651BD3" w:rsidRPr="00651BD3" w:rsidRDefault="00651BD3" w:rsidP="00651BD3">
      <w:pPr>
        <w:pStyle w:val="Tabletitle"/>
      </w:pPr>
      <w:r w:rsidRPr="00D16242">
        <w:lastRenderedPageBreak/>
        <w:t xml:space="preserve">Table </w:t>
      </w:r>
      <w:r w:rsidR="00D16242" w:rsidRPr="00D16242">
        <w:t>26</w:t>
      </w:r>
      <w:r w:rsidRPr="00D16242">
        <w:t>: ACR20</w:t>
      </w:r>
      <w:r w:rsidRPr="00651BD3">
        <w:t xml:space="preserve"> </w:t>
      </w:r>
      <w:r w:rsidR="000F37C5" w:rsidRPr="00651BD3">
        <w:t xml:space="preserve">response rate and mean change </w:t>
      </w:r>
      <w:r w:rsidR="00F01361">
        <w:t>from Baseline</w:t>
      </w:r>
      <w:r w:rsidR="000F37C5" w:rsidRPr="00651BD3">
        <w:t xml:space="preserve"> </w:t>
      </w:r>
      <w:r w:rsidRPr="00651BD3">
        <w:t>in HAQ-DI 12 and 24 Weeks after SAR dose increase to 200 mg q2w (for Study EFC11072 rescue patients and those who continued into Study LTS11210)</w:t>
      </w:r>
    </w:p>
    <w:p w14:paraId="669F6399" w14:textId="77777777" w:rsidR="002E7BE4" w:rsidRPr="002E7BE4" w:rsidRDefault="00651BD3" w:rsidP="002E7BE4">
      <w:r>
        <w:rPr>
          <w:noProof/>
          <w:lang w:eastAsia="en-AU"/>
        </w:rPr>
        <w:drawing>
          <wp:inline distT="0" distB="0" distL="0" distR="0" wp14:anchorId="272957B2" wp14:editId="6244CC4A">
            <wp:extent cx="5471770" cy="4663739"/>
            <wp:effectExtent l="0" t="0" r="0" b="3810"/>
            <wp:docPr id="35" name="Picture 35" descr="ACR20 response rate and mean change from baseline in HAQ-DI 12 and 24 Weeks after SAR dose increase to 200 mg q2w (for Study EFC11072 rescue patients and those who continued into Study LTS1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70168" cy="4662373"/>
                    </a:xfrm>
                    <a:prstGeom prst="rect">
                      <a:avLst/>
                    </a:prstGeom>
                  </pic:spPr>
                </pic:pic>
              </a:graphicData>
            </a:graphic>
          </wp:inline>
        </w:drawing>
      </w:r>
    </w:p>
    <w:p w14:paraId="0BBCD80D" w14:textId="192B16F8" w:rsidR="00651BD3" w:rsidRDefault="00651BD3" w:rsidP="00651BD3">
      <w:pPr>
        <w:pStyle w:val="Tabletitle"/>
      </w:pPr>
      <w:r w:rsidRPr="00D16242">
        <w:lastRenderedPageBreak/>
        <w:t xml:space="preserve">Table </w:t>
      </w:r>
      <w:r w:rsidR="00D16242" w:rsidRPr="00D16242">
        <w:t>27</w:t>
      </w:r>
      <w:r>
        <w:t xml:space="preserve">: </w:t>
      </w:r>
      <w:r w:rsidRPr="006F4F14">
        <w:t xml:space="preserve">ACR20 </w:t>
      </w:r>
      <w:r w:rsidR="000F37C5">
        <w:t>r</w:t>
      </w:r>
      <w:r w:rsidR="000F37C5" w:rsidRPr="006F4F14">
        <w:t xml:space="preserve">esponse </w:t>
      </w:r>
      <w:r w:rsidR="000F37C5">
        <w:t xml:space="preserve">rate </w:t>
      </w:r>
      <w:r w:rsidR="000F37C5" w:rsidRPr="006F4F14">
        <w:t xml:space="preserve">and </w:t>
      </w:r>
      <w:r w:rsidR="000F37C5">
        <w:t>mean ch</w:t>
      </w:r>
      <w:r w:rsidR="000F37C5" w:rsidRPr="006F4F14">
        <w:t xml:space="preserve">ange </w:t>
      </w:r>
      <w:r w:rsidR="00F01361">
        <w:t>from Baseline</w:t>
      </w:r>
      <w:r w:rsidR="000F37C5" w:rsidRPr="006F4F14">
        <w:t xml:space="preserve"> </w:t>
      </w:r>
      <w:r w:rsidRPr="006F4F14">
        <w:t xml:space="preserve">in HAQ-DI 12 and 24 </w:t>
      </w:r>
      <w:r>
        <w:t>W</w:t>
      </w:r>
      <w:r w:rsidRPr="006F4F14">
        <w:t xml:space="preserve">eeks after </w:t>
      </w:r>
      <w:r>
        <w:t>SAR d</w:t>
      </w:r>
      <w:r w:rsidRPr="006F4F14">
        <w:t>ose</w:t>
      </w:r>
      <w:r>
        <w:t xml:space="preserve"> </w:t>
      </w:r>
      <w:r w:rsidRPr="006F4F14">
        <w:t xml:space="preserve">increase </w:t>
      </w:r>
      <w:r>
        <w:t>to 200 mg q2w (</w:t>
      </w:r>
      <w:r w:rsidRPr="006F4F14">
        <w:t xml:space="preserve">for </w:t>
      </w:r>
      <w:r>
        <w:t xml:space="preserve">Study </w:t>
      </w:r>
      <w:r w:rsidRPr="006F4F14">
        <w:t>EFC10</w:t>
      </w:r>
      <w:r>
        <w:t>83</w:t>
      </w:r>
      <w:r w:rsidRPr="006F4F14">
        <w:t xml:space="preserve">2 </w:t>
      </w:r>
      <w:r>
        <w:t xml:space="preserve">rescue </w:t>
      </w:r>
      <w:r w:rsidRPr="006F4F14">
        <w:t xml:space="preserve">patients </w:t>
      </w:r>
      <w:r>
        <w:t>and those who</w:t>
      </w:r>
      <w:r w:rsidRPr="006F4F14">
        <w:t xml:space="preserve"> continued</w:t>
      </w:r>
      <w:r>
        <w:t xml:space="preserve"> </w:t>
      </w:r>
      <w:r w:rsidRPr="006F4F14">
        <w:t xml:space="preserve">into </w:t>
      </w:r>
      <w:r>
        <w:t>S</w:t>
      </w:r>
      <w:r w:rsidRPr="006F4F14">
        <w:t>t</w:t>
      </w:r>
      <w:r>
        <w:t>udy</w:t>
      </w:r>
      <w:r w:rsidRPr="006F4F14">
        <w:t xml:space="preserve"> LTS11210</w:t>
      </w:r>
      <w:r>
        <w:t>)</w:t>
      </w:r>
    </w:p>
    <w:p w14:paraId="66B91AAD" w14:textId="77777777" w:rsidR="002E7BE4" w:rsidRDefault="00651BD3" w:rsidP="00C22678">
      <w:pPr>
        <w:rPr>
          <w:lang w:eastAsia="ja-JP"/>
        </w:rPr>
      </w:pPr>
      <w:r>
        <w:rPr>
          <w:noProof/>
          <w:lang w:eastAsia="en-AU"/>
        </w:rPr>
        <w:drawing>
          <wp:inline distT="0" distB="0" distL="0" distR="0" wp14:anchorId="03B427AD" wp14:editId="44FA3968">
            <wp:extent cx="5479386" cy="4542739"/>
            <wp:effectExtent l="0" t="0" r="7620" b="0"/>
            <wp:docPr id="36" name="Picture 36" descr="ACR20 response rate and mean change from baseline in HAQ-DI 12 and 24 Weeks after SAR dose increase to 200 mg q2w (for Study EFC10832 rescue patients and those who continued into Study LTS1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75940" cy="4539882"/>
                    </a:xfrm>
                    <a:prstGeom prst="rect">
                      <a:avLst/>
                    </a:prstGeom>
                  </pic:spPr>
                </pic:pic>
              </a:graphicData>
            </a:graphic>
          </wp:inline>
        </w:drawing>
      </w:r>
    </w:p>
    <w:p w14:paraId="66414247" w14:textId="1C2B86A9" w:rsidR="00651BD3" w:rsidRPr="00651BD3" w:rsidRDefault="00651BD3" w:rsidP="00651BD3">
      <w:r w:rsidRPr="00651BD3">
        <w:t>The effects of decreasing the SAR dose were assessed for those pati</w:t>
      </w:r>
      <w:r w:rsidR="000F37C5">
        <w:t>ents who received SAR 200 </w:t>
      </w:r>
      <w:r w:rsidRPr="00651BD3">
        <w:t>mg q2w in Study LTS11210 and who switched to SAR 150 mg q2w due to certain laboratory abnormalities (neutro</w:t>
      </w:r>
      <w:r w:rsidR="00BA3918">
        <w:t>paenia</w:t>
      </w:r>
      <w:r w:rsidRPr="00651BD3">
        <w:t>, thrombocyto</w:t>
      </w:r>
      <w:r w:rsidR="00BA3918">
        <w:t>paenia</w:t>
      </w:r>
      <w:r w:rsidRPr="00651BD3">
        <w:t xml:space="preserve"> and abnormal liver function tests). This analysis is limited by self-selection of patients who chose to participate in the </w:t>
      </w:r>
      <w:r w:rsidR="004D78CD">
        <w:t>open label</w:t>
      </w:r>
      <w:r w:rsidRPr="00651BD3">
        <w:t xml:space="preserve"> extension study. It includes patients who decreased dose for different reasons and at different time points throughout the course of Study LTS11210. The ACR20 response and mean change </w:t>
      </w:r>
      <w:r w:rsidR="00F01361">
        <w:t>from Baseline</w:t>
      </w:r>
      <w:r w:rsidRPr="00651BD3">
        <w:t xml:space="preserve"> in the HAQ-DI</w:t>
      </w:r>
      <w:r>
        <w:t xml:space="preserve"> </w:t>
      </w:r>
      <w:r w:rsidRPr="00651BD3">
        <w:t xml:space="preserve">score were summarised for these patients at the last visit on or before the dose decrease, and then again at 12 and 24 weeks after the SAR dose decrease. Within the limitations of this analysis, the </w:t>
      </w:r>
      <w:r w:rsidR="002F4291">
        <w:t>Week</w:t>
      </w:r>
      <w:r w:rsidRPr="00651BD3">
        <w:t xml:space="preserve"> 12 and 24 results after having decreased the dose of SAR from 200 mg q2w to 150 mg q2w in Study LTS11210 did not show any apparent decrease of effect on the improvement of signs and symptoms of RA (ACR20 response rate) and physical functioning (mean change form baseline in HAQ-DI score</w:t>
      </w:r>
      <w:r>
        <w:t>).</w:t>
      </w:r>
    </w:p>
    <w:p w14:paraId="7098790E" w14:textId="77777777" w:rsidR="00651BD3" w:rsidRDefault="00651BD3" w:rsidP="00651BD3">
      <w:pPr>
        <w:pStyle w:val="Heading3"/>
      </w:pPr>
      <w:bookmarkStart w:id="200" w:name="_Ref271126605"/>
      <w:bookmarkStart w:id="201" w:name="_Toc272414657"/>
      <w:bookmarkStart w:id="202" w:name="_Toc290888508"/>
      <w:bookmarkStart w:id="203" w:name="_Toc464131544"/>
      <w:bookmarkStart w:id="204" w:name="_Toc519848445"/>
      <w:r w:rsidRPr="00651BD3">
        <w:t xml:space="preserve">Evaluator’s conclusions on clinical </w:t>
      </w:r>
      <w:r>
        <w:t>efficacy</w:t>
      </w:r>
      <w:bookmarkEnd w:id="204"/>
    </w:p>
    <w:p w14:paraId="2468F111" w14:textId="40E9C68A" w:rsidR="00651BD3" w:rsidRPr="00651BD3" w:rsidRDefault="00651BD3" w:rsidP="00651BD3">
      <w:r w:rsidRPr="00651BD3">
        <w:t>Evaluator’s conclusions on clinical efficacy for</w:t>
      </w:r>
      <w:r w:rsidR="000F37C5">
        <w:t xml:space="preserve"> the</w:t>
      </w:r>
      <w:r w:rsidRPr="00651BD3">
        <w:t xml:space="preserve"> </w:t>
      </w:r>
      <w:r w:rsidR="000F37C5" w:rsidRPr="00651BD3">
        <w:t xml:space="preserve">proposed treatment indication </w:t>
      </w:r>
      <w:bookmarkEnd w:id="200"/>
      <w:bookmarkEnd w:id="201"/>
      <w:bookmarkEnd w:id="202"/>
      <w:r w:rsidRPr="00651BD3">
        <w:t xml:space="preserve">of </w:t>
      </w:r>
      <w:r w:rsidR="00194D27">
        <w:t>‘</w:t>
      </w:r>
      <w:r w:rsidRPr="00651BD3">
        <w:t>Sarilumab in combination with non-biologic DMARDs is indicated for the treatment of moderate to severe Rheumatoid Arthritis in adult patients who have had an inadequate response or intolerance to one or more DMARDs</w:t>
      </w:r>
      <w:r w:rsidR="00194D27">
        <w:t>’</w:t>
      </w:r>
      <w:r w:rsidRPr="00651BD3">
        <w:t>.</w:t>
      </w:r>
      <w:bookmarkEnd w:id="203"/>
    </w:p>
    <w:p w14:paraId="68F4F111" w14:textId="77777777" w:rsidR="00651BD3" w:rsidRPr="00651BD3" w:rsidRDefault="00651BD3" w:rsidP="00651BD3">
      <w:r w:rsidRPr="00651BD3">
        <w:t xml:space="preserve">In support of the proposal for SAR to be granted a treatment indication in active RA in conjunction with non-biologic DMARD drugs, this submission contains </w:t>
      </w:r>
      <w:r w:rsidR="000F37C5">
        <w:t>two</w:t>
      </w:r>
      <w:r w:rsidRPr="00651BD3">
        <w:t xml:space="preserve"> pivotal </w:t>
      </w:r>
      <w:r w:rsidR="004D78CD">
        <w:t>Phase III</w:t>
      </w:r>
      <w:r w:rsidRPr="00651BD3">
        <w:t xml:space="preserve"> </w:t>
      </w:r>
      <w:r w:rsidRPr="00651BD3">
        <w:lastRenderedPageBreak/>
        <w:t xml:space="preserve">studies (Part B of Study EFC11072 and EFC10832) of similar design, as well as </w:t>
      </w:r>
      <w:r w:rsidR="000F37C5">
        <w:t>one</w:t>
      </w:r>
      <w:r w:rsidRPr="00651BD3">
        <w:t xml:space="preserve"> supportive </w:t>
      </w:r>
      <w:r w:rsidR="004D78CD">
        <w:t>Phase II</w:t>
      </w:r>
      <w:r w:rsidRPr="00651BD3">
        <w:t xml:space="preserve"> trial (Part A of Study EFC11072) and a </w:t>
      </w:r>
      <w:r w:rsidR="004D78CD">
        <w:t>long term</w:t>
      </w:r>
      <w:r w:rsidRPr="00651BD3">
        <w:t xml:space="preserve">, </w:t>
      </w:r>
      <w:r w:rsidR="004D78CD">
        <w:t>open label</w:t>
      </w:r>
      <w:r w:rsidR="000F37C5">
        <w:t xml:space="preserve"> extension trial (Study </w:t>
      </w:r>
      <w:r w:rsidRPr="00651BD3">
        <w:t>LTS11210). The pivo</w:t>
      </w:r>
      <w:r w:rsidR="000F37C5">
        <w:t xml:space="preserve">tal efficacy studies were of 24 to </w:t>
      </w:r>
      <w:r w:rsidRPr="00651BD3">
        <w:t>52 weeks duration and enrolled a total of 1</w:t>
      </w:r>
      <w:r w:rsidR="000F37C5">
        <w:t>,</w:t>
      </w:r>
      <w:r w:rsidRPr="00651BD3">
        <w:t>743 patients for efficacy analysis. A total of 306 pat</w:t>
      </w:r>
      <w:r w:rsidR="000F37C5">
        <w:t xml:space="preserve">ients were enrolled in the dose </w:t>
      </w:r>
      <w:r w:rsidRPr="00651BD3">
        <w:t xml:space="preserve">finding </w:t>
      </w:r>
      <w:r w:rsidR="004D78CD">
        <w:t>Phase II</w:t>
      </w:r>
      <w:r w:rsidRPr="00651BD3">
        <w:t xml:space="preserve"> trial of up to 22 weeks duration, and the ongoing, </w:t>
      </w:r>
      <w:r w:rsidR="004D78CD">
        <w:t>long term</w:t>
      </w:r>
      <w:r w:rsidRPr="00651BD3">
        <w:t xml:space="preserve">, </w:t>
      </w:r>
      <w:r w:rsidR="004D78CD">
        <w:t>open label</w:t>
      </w:r>
      <w:r w:rsidRPr="00651BD3">
        <w:t xml:space="preserve"> study (with up to 5 years of treatment follow-up planned) has enrolled 1</w:t>
      </w:r>
      <w:r w:rsidR="000F37C5">
        <w:t>,</w:t>
      </w:r>
      <w:r w:rsidRPr="00651BD3">
        <w:t>914 subjects, and thus fa</w:t>
      </w:r>
      <w:r w:rsidR="000F37C5">
        <w:t xml:space="preserve">r followed these subjects for 2 to </w:t>
      </w:r>
      <w:r w:rsidRPr="00651BD3">
        <w:t>4 yea</w:t>
      </w:r>
      <w:r>
        <w:t>rs.</w:t>
      </w:r>
    </w:p>
    <w:p w14:paraId="17D0F57D" w14:textId="0C175DF6" w:rsidR="00651BD3" w:rsidRPr="00651BD3" w:rsidRDefault="00651BD3" w:rsidP="00651BD3">
      <w:r w:rsidRPr="00651BD3">
        <w:t xml:space="preserve">Both of the </w:t>
      </w:r>
      <w:r w:rsidR="004D78CD">
        <w:t>Phase III</w:t>
      </w:r>
      <w:r w:rsidRPr="00651BD3">
        <w:t xml:space="preserve"> studies were randomised, </w:t>
      </w:r>
      <w:r w:rsidR="00E0128B">
        <w:t>double blind</w:t>
      </w:r>
      <w:r w:rsidRPr="00651BD3">
        <w:t xml:space="preserve">ed and </w:t>
      </w:r>
      <w:r w:rsidR="00A343A3">
        <w:t>placebo</w:t>
      </w:r>
      <w:r w:rsidRPr="00651BD3">
        <w:t>-controlled in design and enrolled adult patients with a confirmed diagnosis of RA according to the appropriate classification criteria. Subjects</w:t>
      </w:r>
      <w:r w:rsidR="000F37C5">
        <w:t xml:space="preserve"> were required to have moderate to </w:t>
      </w:r>
      <w:r w:rsidRPr="00651BD3">
        <w:t xml:space="preserve">severe disease activity </w:t>
      </w:r>
      <w:r w:rsidR="00F01361">
        <w:t>at Baseline</w:t>
      </w:r>
      <w:r w:rsidRPr="00651BD3">
        <w:t xml:space="preserve"> with the tender joint count being </w:t>
      </w:r>
      <w:r w:rsidR="007312A2">
        <w:t xml:space="preserve">≥ </w:t>
      </w:r>
      <w:r w:rsidRPr="00651BD3">
        <w:t xml:space="preserve">8 and the swollen joint count being </w:t>
      </w:r>
      <w:r w:rsidR="007312A2">
        <w:t xml:space="preserve">≥ </w:t>
      </w:r>
      <w:r w:rsidRPr="00651BD3">
        <w:t xml:space="preserve">6 and CRP being </w:t>
      </w:r>
      <w:r w:rsidR="007312A2">
        <w:t xml:space="preserve">&gt; </w:t>
      </w:r>
      <w:r w:rsidR="000F37C5">
        <w:t xml:space="preserve">6 to 10 mg/L, despite at least 3 to </w:t>
      </w:r>
      <w:r w:rsidRPr="00651BD3">
        <w:t xml:space="preserve">6 months of treatment with non-biologic DMARD drugs (typically MTX monotherapy) and/or stable doses of NSAID and/or low dose CS. The </w:t>
      </w:r>
      <w:r w:rsidR="004D78CD">
        <w:t>Phase III</w:t>
      </w:r>
      <w:r w:rsidRPr="00651BD3">
        <w:t xml:space="preserve"> studies were of similar design with the main difference being the recruitment of subjects with a history of inadequate response or intolerance to anti-TNF drugs</w:t>
      </w:r>
      <w:r w:rsidR="000F37C5">
        <w:t xml:space="preserve"> into Study </w:t>
      </w:r>
      <w:r w:rsidRPr="00651BD3">
        <w:t xml:space="preserve">EFC10832 versus subjects with a preceding inadequate response to MTX in Part B of Study EFC11072. Both of the </w:t>
      </w:r>
      <w:r w:rsidR="004D78CD">
        <w:t>Phase III</w:t>
      </w:r>
      <w:r w:rsidRPr="00651BD3">
        <w:t xml:space="preserve"> trials examined the effect of 2 doses of SAR (150 mg and 200 mg injections, given every 2 weeks by SC injection) compared to </w:t>
      </w:r>
      <w:r w:rsidR="00A343A3">
        <w:t>placebo</w:t>
      </w:r>
      <w:r w:rsidRPr="00651BD3">
        <w:t xml:space="preserve"> injections plus continued background therapy with oral, non</w:t>
      </w:r>
      <w:r>
        <w:t>-biologic DMARD.</w:t>
      </w:r>
    </w:p>
    <w:p w14:paraId="46668DDB" w14:textId="28FCF37C" w:rsidR="00651BD3" w:rsidRPr="00651BD3" w:rsidRDefault="00651BD3" w:rsidP="00651BD3">
      <w:r w:rsidRPr="00651BD3">
        <w:t xml:space="preserve">The baseline demographic and disease related characteristics of patients in both of the </w:t>
      </w:r>
      <w:r w:rsidR="004D78CD">
        <w:t>Phase III</w:t>
      </w:r>
      <w:r w:rsidRPr="00651BD3">
        <w:t xml:space="preserve"> trials are similar to those in the anticipated Australian patient cohort, and therefore generalisation of these results to the Australian context is expected. The majority of patients were female, of Caucasian ethnicity, and with</w:t>
      </w:r>
      <w:r w:rsidR="000F37C5">
        <w:t>in the expected age range of 25 to</w:t>
      </w:r>
      <w:r w:rsidRPr="00651BD3">
        <w:t xml:space="preserve"> 65 years. Approximately one-fifth of all recruited subjects were current smokers, which is a factor associated with diminished response to treatment. However, there are some caveats to the generalisability of the treatment population. For example, both studies excluded patients who were at a significant risk of infection (particularly, tuberculosis) or malignancy, or who had various abnormal laboratory results </w:t>
      </w:r>
      <w:r w:rsidR="00F01361">
        <w:t>at Baseline</w:t>
      </w:r>
      <w:r w:rsidRPr="00651BD3">
        <w:t xml:space="preserve"> (</w:t>
      </w:r>
      <w:r w:rsidR="007312A2">
        <w:t>for example</w:t>
      </w:r>
      <w:r w:rsidRPr="00651BD3">
        <w:t xml:space="preserve"> abnormal haematology, liver function tests or lipid parameters). In addition, a history of inflammatory bowel disease, severe diverticulitis and previous gastrointestinal perforation were exclusion criteria. At randomisation, patients were stratified on the basis of whether they were anti-TNF naïve or anti-TNF experienced. As per protocol, all 546 patients recruited into Study EFC10832 had a history of ant</w:t>
      </w:r>
      <w:r w:rsidR="000F37C5">
        <w:t>i</w:t>
      </w:r>
      <w:r w:rsidRPr="00651BD3">
        <w:t xml:space="preserve">-TNF exposure (92.3% inadequate response) and 27.4% (328/1197) of all subjects recruited into Part B of Study EFC11072 had a </w:t>
      </w:r>
      <w:r>
        <w:t>history of anti-TNF exposure.</w:t>
      </w:r>
    </w:p>
    <w:p w14:paraId="675CF567" w14:textId="6050FD0C" w:rsidR="00651BD3" w:rsidRPr="00651BD3" w:rsidRDefault="00651BD3" w:rsidP="00651BD3">
      <w:r w:rsidRPr="00651BD3">
        <w:t xml:space="preserve">Studies EFC11072 Part B (Cohort 2) and EFC10832 shared 2 co-primary endpoints: the proportion of patients who achieved an ACR20 response at </w:t>
      </w:r>
      <w:r w:rsidR="002F4291">
        <w:t>Week</w:t>
      </w:r>
      <w:r w:rsidRPr="00651BD3">
        <w:t xml:space="preserve"> 24 and the mean change </w:t>
      </w:r>
      <w:r w:rsidR="00F01361">
        <w:t>from Baseline</w:t>
      </w:r>
      <w:r w:rsidRPr="00651BD3">
        <w:t xml:space="preserve"> in the HAQ-DI score (at </w:t>
      </w:r>
      <w:r w:rsidR="002F4291">
        <w:t>Week</w:t>
      </w:r>
      <w:r w:rsidRPr="00651BD3">
        <w:t xml:space="preserve"> 16 in Part B of Study EFC11072 </w:t>
      </w:r>
      <w:r w:rsidR="00BF33B8">
        <w:t>(</w:t>
      </w:r>
      <w:r w:rsidRPr="00651BD3">
        <w:t>Cohort 2</w:t>
      </w:r>
      <w:r w:rsidR="00BF33B8">
        <w:t>)</w:t>
      </w:r>
      <w:r w:rsidRPr="00651BD3">
        <w:t xml:space="preserve"> and at </w:t>
      </w:r>
      <w:r w:rsidR="002F4291">
        <w:t>Week</w:t>
      </w:r>
      <w:r w:rsidR="000F37C5">
        <w:t> </w:t>
      </w:r>
      <w:r w:rsidRPr="00651BD3">
        <w:t xml:space="preserve">12 in Study EFC10832). The mean change </w:t>
      </w:r>
      <w:r w:rsidR="00F01361">
        <w:t>from Baseline</w:t>
      </w:r>
      <w:r w:rsidRPr="00651BD3">
        <w:t xml:space="preserve"> in the mTSS at </w:t>
      </w:r>
      <w:r w:rsidR="002F4291">
        <w:t>Week</w:t>
      </w:r>
      <w:r w:rsidRPr="00651BD3">
        <w:t xml:space="preserve"> 52 was the third co-primary endpoint in Study EFC11072 (Part B, Cohort 2). The key secondary efficacy endpoint in Study EFC11072 (Part B, Cohort 2) was the proportion of patients who achieved a major clinical response (defined as ACR70 response maintained for at least 24 consecutive weeks during the 52 week trial period). In both pivotal studies, various secondary endpoints were evaluated to further describe the clinical response (such as the rates of ACR50 and ACR70 response), improvements in physical function and to explore the impact of SAR upon health related QOL. The ACR response criteria are a composite of clinical (tender and swollen joint counts), biochemical (CRP) and subjective assessments (pain, physician global and patient global) determining response to therapy in patients with RA. Recent evidence supports the use of the ACR composite criteria as the preferred measure of accurately determining response in RA with other measures such as SDAI, CDAI and Boolean criteria being also valuable (Smolen et al, 2016). Evidence using DAS28 criteria may not be as reliable and should only be used in s</w:t>
      </w:r>
      <w:r>
        <w:t>upporting the other measures.</w:t>
      </w:r>
    </w:p>
    <w:p w14:paraId="743F715E" w14:textId="47FBDC26" w:rsidR="00651BD3" w:rsidRPr="00651BD3" w:rsidRDefault="00651BD3" w:rsidP="00651BD3">
      <w:r w:rsidRPr="00651BD3">
        <w:lastRenderedPageBreak/>
        <w:t xml:space="preserve">This submission is seeking an indication in active RA and is consistent with the relevant TGA adopted regulatory guideline: EU guideline CPMP/EWP/556/95 rev1 </w:t>
      </w:r>
      <w:r w:rsidR="00194D27">
        <w:t>‘</w:t>
      </w:r>
      <w:r w:rsidRPr="00651BD3">
        <w:t>Points to Consider on Clinical Investigation of Medicinal Products other than NSAIDs for the Treatment of Rheumatoid Arthritis</w:t>
      </w:r>
      <w:r w:rsidR="00194D27">
        <w:t>’</w:t>
      </w:r>
      <w:r w:rsidRPr="00651BD3">
        <w:t xml:space="preserve"> (effective 29 January 2007). Both of the </w:t>
      </w:r>
      <w:r w:rsidR="004D78CD">
        <w:t>Phase III</w:t>
      </w:r>
      <w:r w:rsidRPr="00651BD3">
        <w:t xml:space="preserve"> trials included patients who had previously been exposed to anti-TNF drugs, and also those who were anti-TNF naïve (Part B of Study EFC11072 only). For both </w:t>
      </w:r>
      <w:r w:rsidR="004D78CD">
        <w:t>Phase III</w:t>
      </w:r>
      <w:r w:rsidRPr="00651BD3">
        <w:t xml:space="preserve"> studies, the choice of efficacy endpoints and statistical analysis were appropriately performed; and strategies to maintain blinding and randomis</w:t>
      </w:r>
      <w:r>
        <w:t>ation procedures were suitable.</w:t>
      </w:r>
    </w:p>
    <w:p w14:paraId="40ED1424" w14:textId="6247D4E1" w:rsidR="00651BD3" w:rsidRPr="00651BD3" w:rsidRDefault="00651BD3" w:rsidP="00651BD3">
      <w:r w:rsidRPr="00651BD3">
        <w:t xml:space="preserve">In Part B of Study EFC11072, where SAR 150 mg and 200 mg injections, given every 2 weeks by SC injection were compared with </w:t>
      </w:r>
      <w:r w:rsidR="00A343A3">
        <w:t>placebo</w:t>
      </w:r>
      <w:r w:rsidRPr="00651BD3">
        <w:t xml:space="preserve"> injections plus concurrent non-biological DMARD, and the 3 co-primary efficacy endpoints showed a statistically superior response with both doses of SAR therapy versus </w:t>
      </w:r>
      <w:r w:rsidR="00A343A3">
        <w:t>placebo</w:t>
      </w:r>
      <w:r w:rsidRPr="00651BD3">
        <w:t xml:space="preserve">. Overall, 58.0% (232/400) of patients </w:t>
      </w:r>
      <w:r w:rsidR="000F37C5">
        <w:t>treated with SAR 150 mg every 2 </w:t>
      </w:r>
      <w:r w:rsidRPr="00651BD3">
        <w:t xml:space="preserve">weeks and 66.4% (265/399) of subjects treated with SAR 200 mg injections achieved an ACR20 response at 24 weeks versus 33.4% (133/398) of patients in the </w:t>
      </w:r>
      <w:r w:rsidR="00A343A3">
        <w:t>placebo</w:t>
      </w:r>
      <w:r w:rsidRPr="00651BD3">
        <w:t xml:space="preserve"> group. The mean change </w:t>
      </w:r>
      <w:r w:rsidR="00F01361">
        <w:t>from Baseline</w:t>
      </w:r>
      <w:r w:rsidRPr="00651BD3">
        <w:t xml:space="preserve"> to </w:t>
      </w:r>
      <w:r w:rsidR="002F4291">
        <w:t>Week</w:t>
      </w:r>
      <w:r w:rsidRPr="00651BD3">
        <w:t xml:space="preserve"> 16 in the HAQ-DI score was also statistically greater in patients treated with SAR (-0.54 for the 150 mg group and -0.58 for the 200 mg arm) than in subjects treated with </w:t>
      </w:r>
      <w:r w:rsidR="00A343A3">
        <w:t>placebo</w:t>
      </w:r>
      <w:r w:rsidRPr="00651BD3">
        <w:t xml:space="preserve"> (-0.30). At </w:t>
      </w:r>
      <w:r w:rsidR="002F4291">
        <w:t>Week</w:t>
      </w:r>
      <w:r w:rsidRPr="00651BD3">
        <w:t xml:space="preserve"> 52, smaller increases </w:t>
      </w:r>
      <w:r w:rsidR="00F01361">
        <w:t>from Baseline</w:t>
      </w:r>
      <w:r w:rsidRPr="00651BD3">
        <w:t xml:space="preserve"> in the mTSS were observed in subjects treated with SAR (0.90 for the 150 mg group and 0.25 for the 200 mg arm) than in patients treated with </w:t>
      </w:r>
      <w:r w:rsidR="00A343A3">
        <w:t>placebo</w:t>
      </w:r>
      <w:r w:rsidRPr="00651BD3">
        <w:t xml:space="preserve"> (2.78), indicating relative inhibition of progression of structural damage with SAR treatment. The key secondary effic</w:t>
      </w:r>
      <w:r w:rsidR="000F37C5">
        <w:t>acy endpoint of Part B of Study </w:t>
      </w:r>
      <w:r w:rsidRPr="00651BD3">
        <w:t xml:space="preserve">EFC11072 was MCR, which is defined as achieving and maintaining an ACR70 response for at least 24 consecutive weeks during the </w:t>
      </w:r>
      <w:r w:rsidR="008B50BF">
        <w:t>52 week</w:t>
      </w:r>
      <w:r w:rsidRPr="00651BD3">
        <w:t xml:space="preserve"> trial period. A higher proportion of patients in the SAR treatment groups achieved MCR (12.8% </w:t>
      </w:r>
      <w:r w:rsidR="00BF33B8">
        <w:t>(</w:t>
      </w:r>
      <w:r w:rsidRPr="00651BD3">
        <w:t>51/400</w:t>
      </w:r>
      <w:r w:rsidR="00BF33B8">
        <w:t>)</w:t>
      </w:r>
      <w:r w:rsidRPr="00651BD3">
        <w:t xml:space="preserve"> in the 150 mg group and 14.8% </w:t>
      </w:r>
      <w:r w:rsidR="00BF33B8">
        <w:t>(</w:t>
      </w:r>
      <w:r w:rsidRPr="00651BD3">
        <w:t>59/399</w:t>
      </w:r>
      <w:r w:rsidR="00BF33B8">
        <w:t>)</w:t>
      </w:r>
      <w:r w:rsidRPr="00651BD3">
        <w:t xml:space="preserve"> in the 200 mg arm) compared to </w:t>
      </w:r>
      <w:r w:rsidR="00A343A3">
        <w:t>placebo</w:t>
      </w:r>
      <w:r w:rsidRPr="00651BD3">
        <w:t xml:space="preserve"> (3.0%; 12/398). Many secondary efficacy measures of clinical relevance such as rates of higher level ACR (50 and 70) as well as CDAI response at 24 weeks, as well as the mean change </w:t>
      </w:r>
      <w:r w:rsidR="00F01361">
        <w:t>from Baseline</w:t>
      </w:r>
      <w:r w:rsidRPr="00651BD3">
        <w:t xml:space="preserve"> in the HAQ-DI score confirmed that SAR is effective in treating the symptoms and signs of active RA as well improving physical functioning. Improvements in health related QOL were also beneficially attained with SAR therapy.</w:t>
      </w:r>
    </w:p>
    <w:p w14:paraId="622A7F9E" w14:textId="1824B17A" w:rsidR="00651BD3" w:rsidRPr="00651BD3" w:rsidRDefault="00651BD3" w:rsidP="00651BD3">
      <w:r w:rsidRPr="00651BD3">
        <w:t xml:space="preserve">In Study EFC10832 (where anti-TNF experienced subjects were enrolled), both doses of SAR showed statistically significant benefit over </w:t>
      </w:r>
      <w:r w:rsidR="00A343A3">
        <w:t>placebo</w:t>
      </w:r>
      <w:r w:rsidRPr="00651BD3">
        <w:t xml:space="preserve"> treatment for the rate of ACR20 response at </w:t>
      </w:r>
      <w:r w:rsidR="002F4291">
        <w:t>Week</w:t>
      </w:r>
      <w:r w:rsidRPr="00651BD3">
        <w:t xml:space="preserve"> 24 and the mean change </w:t>
      </w:r>
      <w:r w:rsidR="00F01361">
        <w:t>from Baseline</w:t>
      </w:r>
      <w:r w:rsidRPr="00651BD3">
        <w:t xml:space="preserve"> to </w:t>
      </w:r>
      <w:r w:rsidR="002F4291">
        <w:t>Week</w:t>
      </w:r>
      <w:r w:rsidRPr="00651BD3">
        <w:t xml:space="preserve"> 12 in the HAQ-DI score. Many of the ranked secondary endpoints in the hierarchical testing strategy (which controlled for multiplicity of testing with adjusted p-values) supported the benefit of both do</w:t>
      </w:r>
      <w:r>
        <w:t xml:space="preserve">ses of SAR over </w:t>
      </w:r>
      <w:r w:rsidR="00A343A3">
        <w:t>placebo</w:t>
      </w:r>
      <w:r>
        <w:t xml:space="preserve"> at </w:t>
      </w:r>
      <w:r w:rsidR="002F4291">
        <w:t>Week</w:t>
      </w:r>
      <w:r>
        <w:t xml:space="preserve"> 24.</w:t>
      </w:r>
    </w:p>
    <w:p w14:paraId="136EC8BC" w14:textId="77777777" w:rsidR="00651BD3" w:rsidRPr="00651BD3" w:rsidRDefault="00651BD3" w:rsidP="00651BD3">
      <w:r w:rsidRPr="00651BD3">
        <w:t xml:space="preserve">Neither of the pivotal </w:t>
      </w:r>
      <w:r w:rsidR="004D78CD">
        <w:t>Phase III</w:t>
      </w:r>
      <w:r w:rsidRPr="00651BD3">
        <w:t xml:space="preserve"> studies were designed or powered to evaluate for potentially significant differences in</w:t>
      </w:r>
      <w:r w:rsidR="000F37C5">
        <w:t xml:space="preserve"> clinical response between the two</w:t>
      </w:r>
      <w:r w:rsidRPr="00651BD3">
        <w:t xml:space="preserve"> SAR dose regimens. This is major deficiency of the current submission, particularly because the sponsor is requesting registration of the higher dose regimen </w:t>
      </w:r>
      <w:r>
        <w:t>for the majority of patients.</w:t>
      </w:r>
    </w:p>
    <w:p w14:paraId="1C17A333" w14:textId="268B4AA7" w:rsidR="00651BD3" w:rsidRPr="00651BD3" w:rsidRDefault="00651BD3" w:rsidP="00651BD3">
      <w:r w:rsidRPr="00651BD3">
        <w:t xml:space="preserve">The </w:t>
      </w:r>
      <w:r w:rsidR="004D78CD">
        <w:t>Phase III</w:t>
      </w:r>
      <w:r w:rsidRPr="00651BD3">
        <w:t xml:space="preserve"> study data also shows that SAR 150 mg and 200 mg therapy given by SC injection every 2 weeks is effective in treating anti-TNF naïve as well as anti-TNF experienced patients. In the pooled subgroup analyses, high subject weight </w:t>
      </w:r>
      <w:r w:rsidR="00F01361">
        <w:t>at Baseline</w:t>
      </w:r>
      <w:r w:rsidRPr="00651BD3">
        <w:t xml:space="preserve"> (</w:t>
      </w:r>
      <w:r w:rsidR="007312A2">
        <w:t xml:space="preserve">&gt; </w:t>
      </w:r>
      <w:r w:rsidRPr="00651BD3">
        <w:t>100 kg) appeared to be associated with significantly lower ACR20 response rates for SAR 150 mg treatment, which were not statistically</w:t>
      </w:r>
      <w:r>
        <w:t xml:space="preserve"> better than </w:t>
      </w:r>
      <w:r w:rsidR="00A343A3">
        <w:t>placebo</w:t>
      </w:r>
      <w:r>
        <w:t>+DMARD therapy.</w:t>
      </w:r>
    </w:p>
    <w:p w14:paraId="51DC9944" w14:textId="77777777" w:rsidR="00651BD3" w:rsidRPr="00651BD3" w:rsidRDefault="00651BD3" w:rsidP="00651BD3">
      <w:r w:rsidRPr="00651BD3">
        <w:t xml:space="preserve">The clinical efficacy data available up to </w:t>
      </w:r>
      <w:r w:rsidR="002F4291">
        <w:t>Week</w:t>
      </w:r>
      <w:r w:rsidRPr="00651BD3">
        <w:t xml:space="preserve"> 216 in the </w:t>
      </w:r>
      <w:r w:rsidR="004D78CD">
        <w:t>long term</w:t>
      </w:r>
      <w:r w:rsidRPr="00651BD3">
        <w:t xml:space="preserve"> extension Study LTS11210 shows that the majority of responding patients appear to maintain their treatment related benefit with continued SAR therapy. In addition, for </w:t>
      </w:r>
      <w:r w:rsidR="00A343A3">
        <w:t>placebo</w:t>
      </w:r>
      <w:r w:rsidRPr="00651BD3">
        <w:t xml:space="preserve"> patients who switched to SAR at </w:t>
      </w:r>
      <w:r w:rsidR="002F4291">
        <w:t>Week</w:t>
      </w:r>
      <w:r w:rsidR="000F37C5">
        <w:t xml:space="preserve"> 12 to </w:t>
      </w:r>
      <w:r w:rsidRPr="00651BD3">
        <w:t xml:space="preserve">24, the rate of ACR responses recorded over time in the </w:t>
      </w:r>
      <w:r w:rsidR="004D78CD">
        <w:t>open label</w:t>
      </w:r>
      <w:r w:rsidRPr="00651BD3">
        <w:t xml:space="preserve"> trial were similar to those achieved in the o</w:t>
      </w:r>
      <w:r>
        <w:t>riginally treated SAR cohort.</w:t>
      </w:r>
    </w:p>
    <w:p w14:paraId="16F0B952" w14:textId="1659D520" w:rsidR="00651BD3" w:rsidRPr="00651BD3" w:rsidRDefault="00651BD3" w:rsidP="00651BD3">
      <w:r w:rsidRPr="00651BD3">
        <w:lastRenderedPageBreak/>
        <w:t xml:space="preserve">The supporting </w:t>
      </w:r>
      <w:r w:rsidR="004D78CD">
        <w:t>Phase II</w:t>
      </w:r>
      <w:r w:rsidRPr="00651BD3">
        <w:t xml:space="preserve"> trial (Part A of Study EFC11072) showed that trea</w:t>
      </w:r>
      <w:r w:rsidR="000F37C5">
        <w:t>tment with SAR 150 </w:t>
      </w:r>
      <w:r w:rsidRPr="00651BD3">
        <w:t xml:space="preserve">mg/week was superior to </w:t>
      </w:r>
      <w:r w:rsidR="00A343A3">
        <w:t>placebo</w:t>
      </w:r>
      <w:r w:rsidRPr="00651BD3">
        <w:t xml:space="preserve"> for the rate of ACR20 response at </w:t>
      </w:r>
      <w:r w:rsidR="002F4291">
        <w:t>Week</w:t>
      </w:r>
      <w:r w:rsidRPr="00651BD3">
        <w:t xml:space="preserve"> 12 (72.0% </w:t>
      </w:r>
      <w:r w:rsidR="00BF33B8">
        <w:t>(</w:t>
      </w:r>
      <w:r w:rsidRPr="00651BD3">
        <w:t>36/50</w:t>
      </w:r>
      <w:r w:rsidR="00BF33B8">
        <w:t>)</w:t>
      </w:r>
      <w:r w:rsidRPr="00651BD3">
        <w:t xml:space="preserve"> for SAR versus 46.2% </w:t>
      </w:r>
      <w:r w:rsidR="00BF33B8">
        <w:t>(</w:t>
      </w:r>
      <w:r w:rsidRPr="00651BD3">
        <w:t>24/52</w:t>
      </w:r>
      <w:r w:rsidR="00BF33B8">
        <w:t>)</w:t>
      </w:r>
      <w:r w:rsidRPr="00651BD3">
        <w:t xml:space="preserve"> for </w:t>
      </w:r>
      <w:r w:rsidR="00A343A3">
        <w:t>placebo</w:t>
      </w:r>
      <w:r w:rsidRPr="00651BD3">
        <w:t xml:space="preserve">). Statistically significant ACR20 response rates were not demonstrated in any of the other SAR dose groups compared to </w:t>
      </w:r>
      <w:r w:rsidR="00A343A3">
        <w:t>placebo</w:t>
      </w:r>
      <w:r w:rsidRPr="00651BD3">
        <w:t>, although there was a trend towards treatment effect with 4 other SAR dose regimens (includ</w:t>
      </w:r>
      <w:r>
        <w:t>ing 150 mg q2w and 200 mg q2w).</w:t>
      </w:r>
    </w:p>
    <w:p w14:paraId="2C023CAE" w14:textId="63D62CA4" w:rsidR="00651BD3" w:rsidRPr="00651BD3" w:rsidRDefault="00651BD3" w:rsidP="00651BD3">
      <w:r w:rsidRPr="00651BD3">
        <w:t>Overall, the data in this submission supports the efficacy of SAR therapy in combination with non-biological DMARD (particularly, weekly low dose oral MTX) for the treatme</w:t>
      </w:r>
      <w:r w:rsidR="000F37C5">
        <w:t xml:space="preserve">nt of RA in those with moderate to </w:t>
      </w:r>
      <w:r w:rsidRPr="00651BD3">
        <w:t xml:space="preserve">severely active disease </w:t>
      </w:r>
      <w:r w:rsidR="00F01361">
        <w:t>at Baseline</w:t>
      </w:r>
      <w:r w:rsidRPr="00651BD3">
        <w:t>. The dataset demonstrates that SAR is effective in both anti-TNF naïve and anti-TNF experienced subjects. The magnitude of clinical response with SAR is similar to that observed in the pivotal studies, which supported the registrati</w:t>
      </w:r>
      <w:r>
        <w:t>on of biologic therapies in RA.</w:t>
      </w:r>
    </w:p>
    <w:p w14:paraId="6CDEBA65" w14:textId="77777777" w:rsidR="00651BD3" w:rsidRPr="00651BD3" w:rsidRDefault="00651BD3" w:rsidP="00651BD3">
      <w:r w:rsidRPr="00651BD3">
        <w:t>The posology of SAR is an issue of difference with the sponsor submission. SAR 150 mg by SC injection (given every2 weeks) appears to be the lowest, most clinically effective dosing regimen in adult patients with RA. The sponsor requested dose of SAR therapy for most patients (200 mg q2w) has not demonstrated clinically meaningful superiority for efficacy</w:t>
      </w:r>
      <w:r>
        <w:t xml:space="preserve"> outcomes over SAR 150 mg q2w.</w:t>
      </w:r>
    </w:p>
    <w:p w14:paraId="37A1B711" w14:textId="77777777" w:rsidR="00C22678" w:rsidRDefault="00C22678" w:rsidP="00AB7E74">
      <w:pPr>
        <w:pStyle w:val="Heading2"/>
      </w:pPr>
      <w:bookmarkStart w:id="205" w:name="_Toc519848446"/>
      <w:r>
        <w:t xml:space="preserve">Clinical </w:t>
      </w:r>
      <w:r w:rsidRPr="00AB7E74">
        <w:t>safety</w:t>
      </w:r>
      <w:bookmarkEnd w:id="205"/>
    </w:p>
    <w:p w14:paraId="51F8E31D" w14:textId="77777777" w:rsidR="00651BD3" w:rsidRPr="00651BD3" w:rsidRDefault="00651BD3" w:rsidP="00651BD3">
      <w:pPr>
        <w:pStyle w:val="Heading3"/>
      </w:pPr>
      <w:bookmarkStart w:id="206" w:name="_Toc272414659"/>
      <w:bookmarkStart w:id="207" w:name="_Toc290888510"/>
      <w:bookmarkStart w:id="208" w:name="_Toc464131546"/>
      <w:bookmarkStart w:id="209" w:name="_Toc519848447"/>
      <w:r w:rsidRPr="00651BD3">
        <w:t>Studies providing evaluable safety data</w:t>
      </w:r>
      <w:bookmarkEnd w:id="206"/>
      <w:bookmarkEnd w:id="207"/>
      <w:bookmarkEnd w:id="208"/>
      <w:bookmarkEnd w:id="209"/>
    </w:p>
    <w:p w14:paraId="542DA481" w14:textId="77777777" w:rsidR="00651BD3" w:rsidRPr="00651BD3" w:rsidRDefault="00651BD3" w:rsidP="00651BD3">
      <w:pPr>
        <w:pStyle w:val="Heading4"/>
      </w:pPr>
      <w:bookmarkStart w:id="210" w:name="_Ref268776745"/>
      <w:r w:rsidRPr="00651BD3">
        <w:t>Pivotal efficacy studies</w:t>
      </w:r>
      <w:bookmarkEnd w:id="210"/>
    </w:p>
    <w:p w14:paraId="760CC1F3" w14:textId="77777777" w:rsidR="00651BD3" w:rsidRPr="00651BD3" w:rsidRDefault="00651BD3" w:rsidP="00651BD3">
      <w:r w:rsidRPr="00651BD3">
        <w:t>In the pivotal efficacy studies (Part B of EFC11072 and EFC10832), the following safety data was collected:</w:t>
      </w:r>
    </w:p>
    <w:p w14:paraId="6279865B" w14:textId="77777777" w:rsidR="004D78CD" w:rsidRDefault="00651BD3" w:rsidP="00651BD3">
      <w:pPr>
        <w:pStyle w:val="ListBullet"/>
      </w:pPr>
      <w:r w:rsidRPr="00651BD3">
        <w:t xml:space="preserve">Adverse Events (AEs) in general were assessed by completion of the AE </w:t>
      </w:r>
      <w:r w:rsidR="00A343A3" w:rsidRPr="00651BD3">
        <w:t xml:space="preserve">case report form </w:t>
      </w:r>
      <w:r w:rsidRPr="00651BD3">
        <w:t xml:space="preserve">(CRF) and physical examination performed every 2 weeks until </w:t>
      </w:r>
      <w:r w:rsidR="002F4291">
        <w:t>Week</w:t>
      </w:r>
      <w:r w:rsidRPr="00651BD3">
        <w:t xml:space="preserve"> 12, and then every 4 weeks between </w:t>
      </w:r>
      <w:r w:rsidR="002F4291">
        <w:t>Week</w:t>
      </w:r>
      <w:r w:rsidRPr="00651BD3">
        <w:t>s 12 and 28, and then every 8 weeks thereafter</w:t>
      </w:r>
      <w:r w:rsidR="004D78CD">
        <w:t>.</w:t>
      </w:r>
    </w:p>
    <w:p w14:paraId="6B242D4B" w14:textId="77777777" w:rsidR="00651BD3" w:rsidRPr="00651BD3" w:rsidRDefault="00651BD3" w:rsidP="00651BD3">
      <w:pPr>
        <w:pStyle w:val="ListBullet"/>
      </w:pPr>
      <w:r w:rsidRPr="00651BD3">
        <w:t xml:space="preserve">AEs of particular interest, including hypersensitivity reactions (particularly, anaphylaxis), infections (overall and serious), malignancy, gastrointestinal perforation and diverticulitis, </w:t>
      </w:r>
      <w:r w:rsidR="00A343A3" w:rsidRPr="00651BD3">
        <w:t xml:space="preserve">major adverse cardiovascular events </w:t>
      </w:r>
      <w:r w:rsidRPr="00651BD3">
        <w:t>(MACE), lupus-like syndrome and demyelinating disorders were assessed by CRF and physical examination as per the schedule for general AE evaluation.</w:t>
      </w:r>
    </w:p>
    <w:p w14:paraId="65EA8716" w14:textId="06ABB2A7" w:rsidR="00651BD3" w:rsidRPr="00651BD3" w:rsidRDefault="00651BD3" w:rsidP="00651BD3">
      <w:pPr>
        <w:pStyle w:val="ListBullet"/>
      </w:pPr>
      <w:r w:rsidRPr="00651BD3">
        <w:t xml:space="preserve">Laboratory tests, including haematology, clinical chemistry and urinalysis were performed </w:t>
      </w:r>
      <w:r w:rsidR="00F01361">
        <w:t>at Baseline</w:t>
      </w:r>
      <w:r w:rsidRPr="00651BD3">
        <w:t xml:space="preserve">, weekly for the first 4 weeks, every 4 weeks until </w:t>
      </w:r>
      <w:r w:rsidR="002F4291">
        <w:t>Week</w:t>
      </w:r>
      <w:r w:rsidR="00A343A3">
        <w:t xml:space="preserve"> 32 and then every 8 </w:t>
      </w:r>
      <w:r w:rsidRPr="00651BD3">
        <w:t xml:space="preserve">weeks thereafter. A fasting lipid profile was collected </w:t>
      </w:r>
      <w:r w:rsidR="00F01361">
        <w:t>at Baseline</w:t>
      </w:r>
      <w:r w:rsidRPr="00651BD3">
        <w:t xml:space="preserve">, every 4 weeks until </w:t>
      </w:r>
      <w:r w:rsidR="002F4291">
        <w:t>Week</w:t>
      </w:r>
      <w:r w:rsidRPr="00651BD3">
        <w:t xml:space="preserve"> 12 and then at </w:t>
      </w:r>
      <w:r w:rsidR="002F4291">
        <w:t>Week</w:t>
      </w:r>
      <w:r w:rsidRPr="00651BD3">
        <w:t>s 24, 36 and 52. Episodes of neutro</w:t>
      </w:r>
      <w:r w:rsidR="00BA3918">
        <w:t>paenia</w:t>
      </w:r>
      <w:r w:rsidRPr="00651BD3">
        <w:t>, thrombocyto</w:t>
      </w:r>
      <w:r w:rsidR="00BA3918">
        <w:t>paenia</w:t>
      </w:r>
      <w:r w:rsidRPr="00651BD3">
        <w:t xml:space="preserve"> and abnormalities of liver function tests (particularly, elevated serum transaminases) were an AE of special interest as this was an identified risk with SAR.</w:t>
      </w:r>
    </w:p>
    <w:p w14:paraId="714D461C" w14:textId="68FC8AAE" w:rsidR="00651BD3" w:rsidRPr="00651BD3" w:rsidRDefault="00651BD3" w:rsidP="00651BD3">
      <w:pPr>
        <w:pStyle w:val="ListBullet"/>
      </w:pPr>
      <w:r w:rsidRPr="00651BD3">
        <w:t xml:space="preserve">Screening tests for tuberculosis (Chest X-ray and QuantiFERON Gold testing; or PPD skin testing in countries without QuantiFeron Gold testing) were taken </w:t>
      </w:r>
      <w:r w:rsidR="00F01361">
        <w:t>at Baseline</w:t>
      </w:r>
      <w:r w:rsidRPr="00651BD3">
        <w:t>, but not routinely collected thereafter.</w:t>
      </w:r>
    </w:p>
    <w:p w14:paraId="3C878853" w14:textId="77777777" w:rsidR="00A343A3" w:rsidRDefault="00651BD3" w:rsidP="00651BD3">
      <w:pPr>
        <w:pStyle w:val="ListBullet"/>
      </w:pPr>
      <w:r w:rsidRPr="00651BD3">
        <w:t>Vital signs such as blood pressure, heart rate, temperature and subject weight were performed at each scheduled study visit</w:t>
      </w:r>
      <w:r w:rsidR="00A343A3">
        <w:t>.</w:t>
      </w:r>
    </w:p>
    <w:p w14:paraId="36859E36" w14:textId="1B9E3CA6" w:rsidR="00651BD3" w:rsidRPr="00651BD3" w:rsidRDefault="00651BD3" w:rsidP="00651BD3">
      <w:pPr>
        <w:pStyle w:val="ListBullet"/>
      </w:pPr>
      <w:r w:rsidRPr="00651BD3">
        <w:t xml:space="preserve">ECG was taken </w:t>
      </w:r>
      <w:r w:rsidR="00F01361">
        <w:t>at Baseline</w:t>
      </w:r>
      <w:r w:rsidRPr="00651BD3">
        <w:t xml:space="preserve"> and at the </w:t>
      </w:r>
      <w:r w:rsidR="00E0128B">
        <w:t>end of study</w:t>
      </w:r>
      <w:r w:rsidRPr="00651BD3">
        <w:t xml:space="preserve"> visit (</w:t>
      </w:r>
      <w:r w:rsidR="002F4291">
        <w:t>Week</w:t>
      </w:r>
      <w:r w:rsidRPr="00651BD3">
        <w:t xml:space="preserve"> </w:t>
      </w:r>
      <w:r w:rsidR="00A343A3">
        <w:t>24 to 52</w:t>
      </w:r>
      <w:r w:rsidRPr="00651BD3">
        <w:t>).</w:t>
      </w:r>
    </w:p>
    <w:p w14:paraId="3F135116" w14:textId="6A6A926C" w:rsidR="00651BD3" w:rsidRPr="00651BD3" w:rsidRDefault="00651BD3" w:rsidP="00651BD3">
      <w:pPr>
        <w:pStyle w:val="ListBullet"/>
      </w:pPr>
      <w:r w:rsidRPr="00651BD3">
        <w:t xml:space="preserve">Urine pregnancy testing was performed </w:t>
      </w:r>
      <w:r w:rsidR="00F01361">
        <w:t>at Baseline</w:t>
      </w:r>
      <w:r w:rsidRPr="00651BD3">
        <w:t xml:space="preserve"> and every 4 weeks thereafter in women of reproductive age.</w:t>
      </w:r>
    </w:p>
    <w:p w14:paraId="631AA02B" w14:textId="38D96792" w:rsidR="00651BD3" w:rsidRPr="00651BD3" w:rsidRDefault="00651BD3" w:rsidP="00651BD3">
      <w:pPr>
        <w:pStyle w:val="ListBullet"/>
      </w:pPr>
      <w:r w:rsidRPr="00651BD3">
        <w:lastRenderedPageBreak/>
        <w:t xml:space="preserve">Serum for </w:t>
      </w:r>
      <w:r w:rsidR="00A343A3" w:rsidRPr="00651BD3">
        <w:t xml:space="preserve">anti-drug antibodies </w:t>
      </w:r>
      <w:r w:rsidRPr="00651BD3">
        <w:t xml:space="preserve">(ADA) to SAR were collected </w:t>
      </w:r>
      <w:r w:rsidR="00F01361">
        <w:t>at Baseline</w:t>
      </w:r>
      <w:r w:rsidRPr="00651BD3">
        <w:t xml:space="preserve"> and </w:t>
      </w:r>
      <w:r w:rsidR="002F4291">
        <w:t>Week</w:t>
      </w:r>
      <w:r w:rsidRPr="00651BD3">
        <w:t xml:space="preserve">s 4, 12, 24 and 52 in Study EFC11072; and </w:t>
      </w:r>
      <w:r w:rsidR="00F01361">
        <w:t>at Baseline</w:t>
      </w:r>
      <w:r w:rsidRPr="00651BD3">
        <w:t xml:space="preserve"> and </w:t>
      </w:r>
      <w:r w:rsidR="002F4291">
        <w:t>Week</w:t>
      </w:r>
      <w:r w:rsidRPr="00651BD3">
        <w:t>s 2, 4, 12 and 24 in Study EFC10832.</w:t>
      </w:r>
    </w:p>
    <w:p w14:paraId="0F7F7009" w14:textId="77777777" w:rsidR="004D78CD" w:rsidRDefault="00651BD3" w:rsidP="00651BD3">
      <w:r w:rsidRPr="00651BD3">
        <w:t xml:space="preserve">AEs were summarised by the MedDRA classification </w:t>
      </w:r>
      <w:r w:rsidR="00A343A3" w:rsidRPr="00651BD3">
        <w:t>using system organ cl</w:t>
      </w:r>
      <w:r w:rsidRPr="00651BD3">
        <w:t xml:space="preserve">ass (SOC) and </w:t>
      </w:r>
      <w:r w:rsidR="00A343A3" w:rsidRPr="00651BD3">
        <w:t xml:space="preserve">preferred term </w:t>
      </w:r>
      <w:r w:rsidRPr="00651BD3">
        <w:t>(PT) nomenclature</w:t>
      </w:r>
      <w:r w:rsidR="004D78CD">
        <w:t>.</w:t>
      </w:r>
    </w:p>
    <w:p w14:paraId="26F9B7A7" w14:textId="77777777" w:rsidR="00651BD3" w:rsidRPr="00651BD3" w:rsidRDefault="00651BD3" w:rsidP="00FF1565">
      <w:pPr>
        <w:pStyle w:val="Heading4"/>
      </w:pPr>
      <w:r w:rsidRPr="00651BD3">
        <w:t>Pivotal studies that assessed safety as a primary outcome</w:t>
      </w:r>
    </w:p>
    <w:p w14:paraId="550745DA" w14:textId="77777777" w:rsidR="004D78CD" w:rsidRDefault="00651BD3" w:rsidP="00651BD3">
      <w:r w:rsidRPr="00651BD3">
        <w:t>Not applicable</w:t>
      </w:r>
      <w:r w:rsidR="004D78CD">
        <w:t>.</w:t>
      </w:r>
    </w:p>
    <w:p w14:paraId="130FA147" w14:textId="77777777" w:rsidR="00651BD3" w:rsidRPr="00651BD3" w:rsidRDefault="008B50BF" w:rsidP="00FF1565">
      <w:pPr>
        <w:pStyle w:val="Heading4"/>
      </w:pPr>
      <w:r>
        <w:t>Dose response</w:t>
      </w:r>
      <w:r w:rsidR="00651BD3" w:rsidRPr="00651BD3">
        <w:t xml:space="preserve"> and non-pivotal efficacy studies</w:t>
      </w:r>
    </w:p>
    <w:p w14:paraId="59AAD58B" w14:textId="77777777" w:rsidR="00651BD3" w:rsidRPr="00651BD3" w:rsidRDefault="00651BD3" w:rsidP="00651BD3">
      <w:r w:rsidRPr="00651BD3">
        <w:t xml:space="preserve">The following </w:t>
      </w:r>
      <w:r w:rsidR="008B50BF">
        <w:t>dose response</w:t>
      </w:r>
      <w:r w:rsidRPr="00651BD3">
        <w:t xml:space="preserve"> and non-pivotal efficacy/safety studies provided safety data:</w:t>
      </w:r>
    </w:p>
    <w:p w14:paraId="09CF0A8B" w14:textId="77777777" w:rsidR="004D78CD" w:rsidRDefault="00651BD3" w:rsidP="00FF1565">
      <w:pPr>
        <w:pStyle w:val="ListBullet"/>
      </w:pPr>
      <w:r w:rsidRPr="00651BD3">
        <w:t>Part A of Study EFC11072 (</w:t>
      </w:r>
      <w:r w:rsidR="00A343A3">
        <w:t>dose finding</w:t>
      </w:r>
      <w:r w:rsidRPr="00651BD3">
        <w:t xml:space="preserve"> trial) provided safety data regarding overall AEs, AEs of special interest (</w:t>
      </w:r>
      <w:r w:rsidR="007312A2">
        <w:t>for example</w:t>
      </w:r>
      <w:r w:rsidRPr="00651BD3">
        <w:t xml:space="preserve"> injection site reactions), blood parameters (haematology and liver function tests), physical examination and anti-drug antibodies</w:t>
      </w:r>
      <w:r w:rsidR="004D78CD">
        <w:t>.</w:t>
      </w:r>
    </w:p>
    <w:p w14:paraId="66D43030" w14:textId="77777777" w:rsidR="00651BD3" w:rsidRPr="00651BD3" w:rsidRDefault="00651BD3" w:rsidP="00FF1565">
      <w:pPr>
        <w:pStyle w:val="ListBullet"/>
      </w:pPr>
      <w:r w:rsidRPr="00651BD3">
        <w:t xml:space="preserve">Study LTS11210, which is the ongoing, </w:t>
      </w:r>
      <w:r w:rsidR="004D78CD">
        <w:t>long term</w:t>
      </w:r>
      <w:r w:rsidRPr="00651BD3">
        <w:t xml:space="preserve"> extension trial of SAR therapy in adult patients with RA provided AE data up to </w:t>
      </w:r>
      <w:r w:rsidR="002F4291">
        <w:t>Week</w:t>
      </w:r>
      <w:r w:rsidRPr="00651BD3">
        <w:t xml:space="preserve"> 216 of therapy.</w:t>
      </w:r>
    </w:p>
    <w:p w14:paraId="75499C64" w14:textId="77777777" w:rsidR="00A343A3" w:rsidRDefault="00651BD3" w:rsidP="00651BD3">
      <w:pPr>
        <w:pStyle w:val="ListBullet"/>
      </w:pPr>
      <w:r w:rsidRPr="00651BD3">
        <w:t xml:space="preserve">Study SFY13370 was a randomised, </w:t>
      </w:r>
      <w:r w:rsidR="00E0128B">
        <w:t>double blind</w:t>
      </w:r>
      <w:r w:rsidRPr="00651BD3">
        <w:t xml:space="preserve"> safety calibrator trial which assessed the safety and tolerability of SAR versus tocilizumab over 24 weeks</w:t>
      </w:r>
      <w:r w:rsidR="00A343A3">
        <w:t>.</w:t>
      </w:r>
    </w:p>
    <w:p w14:paraId="2401AB4E" w14:textId="77777777" w:rsidR="00651BD3" w:rsidRPr="00651BD3" w:rsidRDefault="00651BD3" w:rsidP="00FF1565">
      <w:pPr>
        <w:pStyle w:val="Heading4"/>
      </w:pPr>
      <w:r w:rsidRPr="00651BD3">
        <w:t>Other studies evaluable for safety only</w:t>
      </w:r>
    </w:p>
    <w:p w14:paraId="6F15964A" w14:textId="77777777" w:rsidR="00651BD3" w:rsidRPr="00651BD3" w:rsidRDefault="00651BD3" w:rsidP="00FF1565">
      <w:pPr>
        <w:pStyle w:val="ListBullet"/>
      </w:pPr>
      <w:r w:rsidRPr="00651BD3">
        <w:t>Study MSC12665 has provided usability and tolerability data on SC SAR therapy administered by auto-injector device or prefilled syringe.</w:t>
      </w:r>
    </w:p>
    <w:p w14:paraId="2A33959C" w14:textId="77777777" w:rsidR="00A343A3" w:rsidRDefault="00651BD3" w:rsidP="00FF1565">
      <w:pPr>
        <w:pStyle w:val="ListBullet"/>
      </w:pPr>
      <w:r w:rsidRPr="00651BD3">
        <w:t xml:space="preserve">Study ACT11575 (prematurely ceased </w:t>
      </w:r>
      <w:r w:rsidR="004D78CD">
        <w:t>Phase II</w:t>
      </w:r>
      <w:r w:rsidRPr="00651BD3">
        <w:t xml:space="preserve"> trial with 16 enrolled subjects) contributed 7 SAR treated patients into the </w:t>
      </w:r>
      <w:r w:rsidR="004D78CD">
        <w:t>long term</w:t>
      </w:r>
      <w:r w:rsidRPr="00651BD3">
        <w:t xml:space="preserve"> study LTS11210</w:t>
      </w:r>
      <w:r w:rsidR="00A343A3">
        <w:t>.</w:t>
      </w:r>
    </w:p>
    <w:p w14:paraId="17FF5DE9" w14:textId="77777777" w:rsidR="004D78CD" w:rsidRDefault="00651BD3" w:rsidP="00FF1565">
      <w:pPr>
        <w:pStyle w:val="ListBullet"/>
      </w:pPr>
      <w:r w:rsidRPr="00651BD3">
        <w:t xml:space="preserve">Study EFC11574 (prematurely ceased </w:t>
      </w:r>
      <w:r w:rsidR="004D78CD">
        <w:t>Phase III</w:t>
      </w:r>
      <w:r w:rsidRPr="00651BD3">
        <w:t xml:space="preserve"> trial with 43 enrolled subjects) contributed 16 SAR treated patients into the </w:t>
      </w:r>
      <w:r w:rsidR="004D78CD">
        <w:t>long term</w:t>
      </w:r>
      <w:r w:rsidRPr="00651BD3">
        <w:t xml:space="preserve"> study LTS11210</w:t>
      </w:r>
      <w:r w:rsidR="004D78CD">
        <w:t>.</w:t>
      </w:r>
    </w:p>
    <w:p w14:paraId="3AC27E20" w14:textId="77777777" w:rsidR="00651BD3" w:rsidRPr="00651BD3" w:rsidRDefault="00651BD3" w:rsidP="00651BD3">
      <w:pPr>
        <w:pStyle w:val="ListBullet"/>
      </w:pPr>
      <w:r w:rsidRPr="00651BD3">
        <w:t>9 clinical pharmacology studies provided safety data regarding overall AEs, AEs of special interest (</w:t>
      </w:r>
      <w:r w:rsidR="007312A2">
        <w:t>for example</w:t>
      </w:r>
      <w:r w:rsidRPr="00651BD3">
        <w:t xml:space="preserve"> injection site reactions), blood parameters (haematology and liver function tests), physical examination and anti-drug antibodies.</w:t>
      </w:r>
    </w:p>
    <w:p w14:paraId="526D5A3B" w14:textId="77777777" w:rsidR="00A343A3" w:rsidRDefault="00651BD3" w:rsidP="00651BD3">
      <w:r w:rsidRPr="00651BD3">
        <w:t xml:space="preserve">A total of 9 </w:t>
      </w:r>
      <w:r w:rsidR="004D78CD">
        <w:t>Phase I</w:t>
      </w:r>
      <w:r w:rsidRPr="00651BD3">
        <w:t xml:space="preserve"> clinical pharmacology studies have been conducted with SAR. One study (TDU11373) was conducted in healthy subjects and the remaining studies were conducted in adult patients with RA. Of the 8 studies conducted in patients with RA, in 1 single dose study (TDU10808/6R88-RA-0703) SAR was administered intravenously and in the remaining trials, SAR was administered by SC injection. Of the 7 studies in which SAR was given SC, 1 was a repeat dose study (TDR10805/6R88-RA-0802) and all the other trials were single dose studies. The key AE data for the clinical pharmacology studies will be summarily presented in the overall AE section of this report</w:t>
      </w:r>
      <w:r w:rsidR="00A343A3">
        <w:t>.</w:t>
      </w:r>
    </w:p>
    <w:p w14:paraId="482B63A6" w14:textId="77777777" w:rsidR="00651BD3" w:rsidRPr="00651BD3" w:rsidRDefault="00651BD3" w:rsidP="00FF1565">
      <w:pPr>
        <w:pStyle w:val="Heading3"/>
      </w:pPr>
      <w:bookmarkStart w:id="211" w:name="_Ref269204367"/>
      <w:bookmarkStart w:id="212" w:name="_Ref271195835"/>
      <w:bookmarkStart w:id="213" w:name="_Ref271195841"/>
      <w:bookmarkStart w:id="214" w:name="_Toc272414660"/>
      <w:bookmarkStart w:id="215" w:name="_Toc290888511"/>
      <w:bookmarkStart w:id="216" w:name="_Toc464131547"/>
      <w:bookmarkStart w:id="217" w:name="_Toc519848448"/>
      <w:r w:rsidRPr="00651BD3">
        <w:t>Pivotal studies that assessed safety as a primary outcome</w:t>
      </w:r>
      <w:bookmarkEnd w:id="211"/>
      <w:bookmarkEnd w:id="212"/>
      <w:bookmarkEnd w:id="213"/>
      <w:bookmarkEnd w:id="214"/>
      <w:bookmarkEnd w:id="215"/>
      <w:bookmarkEnd w:id="216"/>
      <w:bookmarkEnd w:id="217"/>
    </w:p>
    <w:p w14:paraId="439AA574" w14:textId="77777777" w:rsidR="00651BD3" w:rsidRPr="00651BD3" w:rsidRDefault="00651BD3" w:rsidP="00651BD3">
      <w:r w:rsidRPr="00651BD3">
        <w:t>This section is not applicable as no study in the RA clinical development program for SAR has assessed safety as the primary outcome.</w:t>
      </w:r>
    </w:p>
    <w:p w14:paraId="1ECA3E4A" w14:textId="77777777" w:rsidR="00651BD3" w:rsidRPr="00651BD3" w:rsidRDefault="00651BD3" w:rsidP="00FF1565">
      <w:pPr>
        <w:pStyle w:val="Heading3"/>
      </w:pPr>
      <w:bookmarkStart w:id="218" w:name="_Toc241374318"/>
      <w:bookmarkStart w:id="219" w:name="_Ref271196630"/>
      <w:bookmarkStart w:id="220" w:name="_Toc272414662"/>
      <w:bookmarkStart w:id="221" w:name="_Toc290888526"/>
      <w:bookmarkStart w:id="222" w:name="_Toc464131548"/>
      <w:bookmarkStart w:id="223" w:name="_Toc519848449"/>
      <w:r w:rsidRPr="00651BD3">
        <w:t>Patient exposure</w:t>
      </w:r>
      <w:bookmarkEnd w:id="218"/>
      <w:bookmarkEnd w:id="219"/>
      <w:bookmarkEnd w:id="220"/>
      <w:bookmarkEnd w:id="221"/>
      <w:bookmarkEnd w:id="222"/>
      <w:bookmarkEnd w:id="223"/>
    </w:p>
    <w:p w14:paraId="4FC46CFB" w14:textId="77777777" w:rsidR="00651BD3" w:rsidRPr="00651BD3" w:rsidRDefault="00651BD3" w:rsidP="00651BD3">
      <w:r w:rsidRPr="00651BD3">
        <w:t xml:space="preserve">The primary safety database supporting this submission consists of 3 completed (EFC11072, EFC10832 and SFY13370) and 2 terminated (ACT11575 and EFC11574) </w:t>
      </w:r>
      <w:r w:rsidR="004D78CD">
        <w:t>Phase II</w:t>
      </w:r>
      <w:r w:rsidR="00A343A3">
        <w:t xml:space="preserve"> and III</w:t>
      </w:r>
      <w:r w:rsidRPr="00651BD3">
        <w:t xml:space="preserve"> trials. Studies ACT11575 and EFC11574 were terminated early due to delays in their starting and the impact on the overall SAR development timeline rather than any identified safety concerns with SAR. Patients in Studies EFC11072, EFC10832, EFC13752, SFY13370 and ACT11575 were able </w:t>
      </w:r>
      <w:r w:rsidRPr="00651BD3">
        <w:lastRenderedPageBreak/>
        <w:t xml:space="preserve">to enrol into an </w:t>
      </w:r>
      <w:r w:rsidR="004D78CD">
        <w:t>open label</w:t>
      </w:r>
      <w:r w:rsidRPr="00651BD3">
        <w:t xml:space="preserve">, uncontrolled extension study (LTS11210), which is ongoing. Patients in Studies EFC11072 and EFC10832 could initiate rescue therapy with </w:t>
      </w:r>
      <w:r w:rsidR="004D78CD">
        <w:t>open label</w:t>
      </w:r>
      <w:r w:rsidRPr="00651BD3">
        <w:t xml:space="preserve"> SAR (initially 150 mg qw before </w:t>
      </w:r>
      <w:r w:rsidR="004D78CD">
        <w:t>Phase III</w:t>
      </w:r>
      <w:r w:rsidRPr="00651BD3">
        <w:t xml:space="preserve"> dose selection and thereafter 200 mg q2w. The submission contains another ongoing study (MSC12665), which is evaluating the usability of auto-injector device (AID) and pre-filled syringe (PFS) in adult patients with active RA who are candidates for </w:t>
      </w:r>
      <w:r w:rsidR="004D78CD">
        <w:t>open label</w:t>
      </w:r>
      <w:r w:rsidRPr="00651BD3">
        <w:t xml:space="preserve"> SAR therapy.</w:t>
      </w:r>
    </w:p>
    <w:p w14:paraId="3D95B9B1" w14:textId="77777777" w:rsidR="00651BD3" w:rsidRPr="00651BD3" w:rsidRDefault="00651BD3" w:rsidP="00651BD3">
      <w:r w:rsidRPr="00651BD3">
        <w:t>A total of 2</w:t>
      </w:r>
      <w:r w:rsidR="00A343A3">
        <w:t>,</w:t>
      </w:r>
      <w:r w:rsidRPr="00651BD3">
        <w:t xml:space="preserve">887 patients have received at least 1 dose of SAR + non-biologic DMARD therapy in the </w:t>
      </w:r>
      <w:r w:rsidR="004D78CD">
        <w:t>Phase II</w:t>
      </w:r>
      <w:r w:rsidR="00A343A3">
        <w:t xml:space="preserve"> and III</w:t>
      </w:r>
      <w:r w:rsidRPr="00651BD3">
        <w:t xml:space="preserve"> RA clinical development program, providing 4338.9 patient</w:t>
      </w:r>
      <w:r w:rsidR="004D78CD">
        <w:t xml:space="preserve"> year</w:t>
      </w:r>
      <w:r w:rsidRPr="00651BD3">
        <w:t xml:space="preserve">s (PY) of cumulative drug exposure. At the commercially proposed SAR dose of 200 mg q2w, </w:t>
      </w:r>
      <w:r w:rsidR="000F37C5">
        <w:t xml:space="preserve">approximately </w:t>
      </w:r>
      <w:r w:rsidRPr="00651BD3">
        <w:t>1</w:t>
      </w:r>
      <w:r w:rsidR="00A343A3">
        <w:t>,</w:t>
      </w:r>
      <w:r w:rsidRPr="00651BD3">
        <w:t xml:space="preserve">200 patients have received at least 48 weeks of drug exposure. At both doses of SAR (200 mg q2w and 150 mg q2w), over 1650 patients have received at least 48 weeks of drug exposure. In the </w:t>
      </w:r>
      <w:r w:rsidR="00A343A3">
        <w:t xml:space="preserve">placebo </w:t>
      </w:r>
      <w:r w:rsidRPr="00651BD3">
        <w:t xml:space="preserve">controlled population, 661 patients have received SAR 200 mg q2w + DMARD for a total exposure of 425.5 PY, 660 patients have received SAR 150 mg q2w + DMARD for a total exposure of 425.8 PY and 661 subjects have received </w:t>
      </w:r>
      <w:r w:rsidR="00A343A3">
        <w:t>placebo</w:t>
      </w:r>
      <w:r w:rsidRPr="00651BD3">
        <w:t xml:space="preserve"> injections + DMARD for a total of 373.1 PY. The duration of </w:t>
      </w:r>
      <w:r w:rsidR="00E0128B">
        <w:t>double blind</w:t>
      </w:r>
      <w:r w:rsidRPr="00651BD3">
        <w:t xml:space="preserve"> treatment was longer in the 2 SAR treatment groups due to the higher proportion of </w:t>
      </w:r>
      <w:r w:rsidR="00A343A3">
        <w:t>placebo</w:t>
      </w:r>
      <w:r w:rsidRPr="00651BD3">
        <w:t xml:space="preserve"> subjects switching to </w:t>
      </w:r>
      <w:r w:rsidR="004D78CD">
        <w:t>open label</w:t>
      </w:r>
      <w:r w:rsidRPr="00651BD3">
        <w:t xml:space="preserve"> rescue treatment with SAR.</w:t>
      </w:r>
    </w:p>
    <w:p w14:paraId="34019358" w14:textId="77777777" w:rsidR="00651BD3" w:rsidRPr="00651BD3" w:rsidRDefault="00651BD3" w:rsidP="00FF1565">
      <w:pPr>
        <w:pStyle w:val="Heading4"/>
      </w:pPr>
      <w:r w:rsidRPr="00651BD3">
        <w:t>Part B of Study EFC11072</w:t>
      </w:r>
    </w:p>
    <w:p w14:paraId="3B7E5ADB" w14:textId="77777777" w:rsidR="004D78CD" w:rsidRDefault="00651BD3" w:rsidP="00651BD3">
      <w:r w:rsidRPr="00651BD3">
        <w:t>The safety population of 1282 patients in the pivotal Study EFC11072 Part B consisted of all subjects who participated in Cohort 2 (n</w:t>
      </w:r>
      <w:r w:rsidR="004D78CD">
        <w:t xml:space="preserve"> = </w:t>
      </w:r>
      <w:r w:rsidRPr="00651BD3">
        <w:t>1197) and those who received the final selected doses of SAR enrolled in Cohort 1 (n</w:t>
      </w:r>
      <w:r w:rsidR="004D78CD">
        <w:t xml:space="preserve"> = </w:t>
      </w:r>
      <w:r w:rsidRPr="00651BD3">
        <w:t xml:space="preserve">88 subjects). Of the 1282 subjects, 427 received study treatment in the </w:t>
      </w:r>
      <w:r w:rsidR="00A343A3">
        <w:t>placebo</w:t>
      </w:r>
      <w:r w:rsidRPr="00651BD3">
        <w:t xml:space="preserve"> group, 431 in the SAR 150 mg arm and 424 patients in the SAR 200 mg group. Six patients had dosing errors and were analysed in the SAR 150 mg group, which was the actual treatment received</w:t>
      </w:r>
      <w:r w:rsidR="004D78CD">
        <w:t>.</w:t>
      </w:r>
    </w:p>
    <w:p w14:paraId="79704CC3" w14:textId="77777777" w:rsidR="00651BD3" w:rsidRPr="00651BD3" w:rsidRDefault="00651BD3" w:rsidP="00651BD3">
      <w:r w:rsidRPr="00651BD3">
        <w:t xml:space="preserve">The mean duration of </w:t>
      </w:r>
      <w:r w:rsidR="00E0128B">
        <w:t>double blind</w:t>
      </w:r>
      <w:r w:rsidRPr="00651BD3">
        <w:t xml:space="preserve"> treatment in Part B of Study EFC11072 was 251.4 days in the </w:t>
      </w:r>
      <w:r w:rsidR="00A343A3">
        <w:t>placebo</w:t>
      </w:r>
      <w:r w:rsidRPr="00651BD3">
        <w:t xml:space="preserve"> group and 291.9 days in both SAR arms. The duration of </w:t>
      </w:r>
      <w:r w:rsidR="00E0128B">
        <w:t>double blind</w:t>
      </w:r>
      <w:r w:rsidR="00913BB9">
        <w:t xml:space="preserve"> treatment was longer in the </w:t>
      </w:r>
      <w:r w:rsidRPr="00651BD3">
        <w:t xml:space="preserve">SAR treatment groups due to the higher proportion of </w:t>
      </w:r>
      <w:r w:rsidR="00A343A3">
        <w:t>placebo</w:t>
      </w:r>
      <w:r w:rsidRPr="00651BD3">
        <w:t xml:space="preserve"> patients switching to </w:t>
      </w:r>
      <w:r w:rsidR="004D78CD">
        <w:t>open label</w:t>
      </w:r>
      <w:r w:rsidRPr="00651BD3">
        <w:t xml:space="preserve"> rescue treatment. During the </w:t>
      </w:r>
      <w:r w:rsidR="00E0128B">
        <w:t>double blind</w:t>
      </w:r>
      <w:r w:rsidRPr="00651BD3">
        <w:t xml:space="preserve"> treatment period, the cumulative exposure in terms of patient</w:t>
      </w:r>
      <w:r w:rsidR="004D78CD">
        <w:t xml:space="preserve"> year</w:t>
      </w:r>
      <w:r w:rsidRPr="00651BD3">
        <w:t xml:space="preserve">s was 293.9 for the </w:t>
      </w:r>
      <w:r w:rsidR="00A343A3">
        <w:t>placebo</w:t>
      </w:r>
      <w:r w:rsidRPr="00651BD3">
        <w:t xml:space="preserve"> group, 344.5 for the SAR 150 mg arm and 338.9 for the SAR 200 mg group – </w:t>
      </w:r>
      <w:r w:rsidRPr="00414D0A">
        <w:t xml:space="preserve">refer to </w:t>
      </w:r>
      <w:r w:rsidR="00D16242" w:rsidRPr="00414D0A">
        <w:t>Table 28</w:t>
      </w:r>
      <w:r w:rsidRPr="00414D0A">
        <w:t>. The</w:t>
      </w:r>
      <w:r w:rsidRPr="00651BD3">
        <w:t xml:space="preserve"> majority of patients (</w:t>
      </w:r>
      <w:r w:rsidR="007312A2">
        <w:t xml:space="preserve">&gt; </w:t>
      </w:r>
      <w:r w:rsidRPr="00651BD3">
        <w:t xml:space="preserve">70%) in each SAR treatment group were exposed to study medication for </w:t>
      </w:r>
      <w:r w:rsidR="007312A2">
        <w:t xml:space="preserve">&gt; </w:t>
      </w:r>
      <w:r w:rsidRPr="00651BD3">
        <w:t xml:space="preserve">36 weeks. Some patients were exposed to study treatment for </w:t>
      </w:r>
      <w:r w:rsidR="007312A2">
        <w:t xml:space="preserve">&gt; </w:t>
      </w:r>
      <w:r w:rsidRPr="00651BD3">
        <w:t>52 weeks, with the maximum exposure being up to 58 weeks. The main reason for prolongation of the treatment period was temporary discontinuation of study medication, mainly due to AEs.</w:t>
      </w:r>
    </w:p>
    <w:p w14:paraId="643DC06F" w14:textId="77777777" w:rsidR="00651BD3" w:rsidRPr="00651BD3" w:rsidRDefault="00651BD3" w:rsidP="00FF1565">
      <w:pPr>
        <w:pStyle w:val="Tabletitle"/>
      </w:pPr>
      <w:r w:rsidRPr="00414D0A">
        <w:lastRenderedPageBreak/>
        <w:t>Table 2</w:t>
      </w:r>
      <w:r w:rsidR="00414D0A" w:rsidRPr="00414D0A">
        <w:t>8</w:t>
      </w:r>
      <w:r w:rsidR="00FF1565" w:rsidRPr="00414D0A">
        <w:t>:</w:t>
      </w:r>
      <w:r w:rsidR="00FF1565">
        <w:t xml:space="preserve"> </w:t>
      </w:r>
      <w:r w:rsidRPr="00651BD3">
        <w:t xml:space="preserve">Exposure </w:t>
      </w:r>
      <w:r w:rsidR="00414D0A" w:rsidRPr="00651BD3">
        <w:t xml:space="preserve">to study medication </w:t>
      </w:r>
      <w:r w:rsidR="00414D0A">
        <w:t>in Part B of Study EFC11072;</w:t>
      </w:r>
      <w:r w:rsidRPr="00651BD3">
        <w:t xml:space="preserve"> Primary Safety Cohort</w:t>
      </w:r>
    </w:p>
    <w:p w14:paraId="300C5C3C" w14:textId="77777777" w:rsidR="00651BD3" w:rsidRDefault="00FF1565" w:rsidP="00C22678">
      <w:pPr>
        <w:rPr>
          <w:lang w:eastAsia="ja-JP"/>
        </w:rPr>
      </w:pPr>
      <w:r>
        <w:rPr>
          <w:noProof/>
          <w:lang w:eastAsia="en-AU"/>
        </w:rPr>
        <w:drawing>
          <wp:inline distT="0" distB="0" distL="0" distR="0" wp14:anchorId="38976460" wp14:editId="70B04AA9">
            <wp:extent cx="5593758" cy="7007961"/>
            <wp:effectExtent l="0" t="0" r="6985" b="2540"/>
            <wp:docPr id="37" name="Picture 37" descr="Exposure to study medication in Part B of Study EFC11072; Primary Safet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591432" cy="7005047"/>
                    </a:xfrm>
                    <a:prstGeom prst="rect">
                      <a:avLst/>
                    </a:prstGeom>
                  </pic:spPr>
                </pic:pic>
              </a:graphicData>
            </a:graphic>
          </wp:inline>
        </w:drawing>
      </w:r>
    </w:p>
    <w:p w14:paraId="653B3194" w14:textId="77777777" w:rsidR="00FF1565" w:rsidRPr="00FF1565" w:rsidRDefault="00FF1565" w:rsidP="00FF1565">
      <w:pPr>
        <w:pStyle w:val="Heading4"/>
      </w:pPr>
      <w:r w:rsidRPr="00FF1565">
        <w:t>Study EFC10832</w:t>
      </w:r>
    </w:p>
    <w:p w14:paraId="2AE9D50E" w14:textId="77777777" w:rsidR="00FF1565" w:rsidRPr="00FF1565" w:rsidRDefault="00FF1565" w:rsidP="00FF1565">
      <w:r w:rsidRPr="00FF1565">
        <w:t xml:space="preserve">As </w:t>
      </w:r>
      <w:r w:rsidRPr="00414D0A">
        <w:t xml:space="preserve">summarised in </w:t>
      </w:r>
      <w:r w:rsidR="00414D0A" w:rsidRPr="00414D0A">
        <w:t>Table 29</w:t>
      </w:r>
      <w:r w:rsidRPr="00414D0A">
        <w:t>, the</w:t>
      </w:r>
      <w:r w:rsidRPr="00FF1565">
        <w:t xml:space="preserve"> cumulative exposure to </w:t>
      </w:r>
      <w:r w:rsidR="00E0128B">
        <w:t>double blind</w:t>
      </w:r>
      <w:r w:rsidR="00A343A3">
        <w:t xml:space="preserve"> treatment in Study EFC10832 was greater in the two</w:t>
      </w:r>
      <w:r w:rsidRPr="00FF1565">
        <w:t xml:space="preserve"> SAR treatment groups than in the </w:t>
      </w:r>
      <w:r w:rsidR="00A343A3">
        <w:t>placebo</w:t>
      </w:r>
      <w:r w:rsidRPr="00FF1565">
        <w:t xml:space="preserve"> arm. This was due to the higher proportion of </w:t>
      </w:r>
      <w:r w:rsidR="00A343A3">
        <w:t>placebo</w:t>
      </w:r>
      <w:r w:rsidRPr="00FF1565">
        <w:t xml:space="preserve"> randomised patients leaving the trial due to an inadequate response and entering Study LTS11210 in order to receive rescue therapy with SAR. However, the median duration of treatment was similar across the </w:t>
      </w:r>
      <w:r w:rsidR="00A343A3">
        <w:t>placebo</w:t>
      </w:r>
      <w:r w:rsidRPr="00FF1565">
        <w:t xml:space="preserve"> and SAR treatment groups in Study EFC10832.</w:t>
      </w:r>
    </w:p>
    <w:p w14:paraId="679F4F34" w14:textId="77777777" w:rsidR="00FF1565" w:rsidRPr="00FF1565" w:rsidRDefault="00FF1565" w:rsidP="00FF1565">
      <w:pPr>
        <w:pStyle w:val="Tabletitle"/>
      </w:pPr>
      <w:r w:rsidRPr="00414D0A">
        <w:lastRenderedPageBreak/>
        <w:t xml:space="preserve">Table </w:t>
      </w:r>
      <w:r w:rsidR="00414D0A" w:rsidRPr="00414D0A">
        <w:t>29</w:t>
      </w:r>
      <w:r w:rsidRPr="00414D0A">
        <w:t>: Exposure</w:t>
      </w:r>
      <w:r w:rsidRPr="00FF1565">
        <w:t xml:space="preserve"> to </w:t>
      </w:r>
      <w:r w:rsidR="00414D0A" w:rsidRPr="00FF1565">
        <w:t xml:space="preserve">study medication </w:t>
      </w:r>
      <w:r w:rsidRPr="00FF1565">
        <w:t>in Stud</w:t>
      </w:r>
      <w:r w:rsidR="00414D0A">
        <w:t>y EFC10832;</w:t>
      </w:r>
      <w:r w:rsidRPr="00FF1565">
        <w:t xml:space="preserve"> Primary Safety C</w:t>
      </w:r>
      <w:r w:rsidR="00DF122F">
        <w:t>ohort</w:t>
      </w:r>
    </w:p>
    <w:p w14:paraId="65AE64EA" w14:textId="77777777" w:rsidR="00651BD3" w:rsidRDefault="00FF1565" w:rsidP="00C22678">
      <w:pPr>
        <w:rPr>
          <w:lang w:eastAsia="ja-JP"/>
        </w:rPr>
      </w:pPr>
      <w:r>
        <w:rPr>
          <w:noProof/>
          <w:lang w:eastAsia="en-AU"/>
        </w:rPr>
        <w:drawing>
          <wp:inline distT="0" distB="0" distL="0" distR="0" wp14:anchorId="4AF1F8D4" wp14:editId="66492468">
            <wp:extent cx="5563124" cy="4652467"/>
            <wp:effectExtent l="0" t="0" r="0" b="0"/>
            <wp:docPr id="38" name="Picture 38" descr="Exposure to study medication in Study EFC10832; Primary Safet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565252" cy="4654247"/>
                    </a:xfrm>
                    <a:prstGeom prst="rect">
                      <a:avLst/>
                    </a:prstGeom>
                  </pic:spPr>
                </pic:pic>
              </a:graphicData>
            </a:graphic>
          </wp:inline>
        </w:drawing>
      </w:r>
    </w:p>
    <w:p w14:paraId="6E625BD7" w14:textId="77777777" w:rsidR="00DF122F" w:rsidRPr="00DF122F" w:rsidRDefault="00DF122F" w:rsidP="00DF122F">
      <w:pPr>
        <w:pStyle w:val="Heading4"/>
      </w:pPr>
      <w:r w:rsidRPr="00DF122F">
        <w:t>Part A of Study EFC11072</w:t>
      </w:r>
    </w:p>
    <w:p w14:paraId="4E6A4A74" w14:textId="77777777" w:rsidR="00DF122F" w:rsidRPr="00DF122F" w:rsidRDefault="00DF122F" w:rsidP="00DF122F">
      <w:r w:rsidRPr="00DF122F">
        <w:t>In the safety population of 305 subjects, the mean duration of study treatment across the groups ranged from 73.0 (100 mg</w:t>
      </w:r>
      <w:r w:rsidR="00414D0A">
        <w:t xml:space="preserve"> qw) to 82.7 days (150 mg q2w),</w:t>
      </w:r>
      <w:r w:rsidRPr="00DF122F">
        <w:t xml:space="preserve"> </w:t>
      </w:r>
      <w:r w:rsidRPr="00414D0A">
        <w:t xml:space="preserve">refer to </w:t>
      </w:r>
      <w:r w:rsidR="00414D0A" w:rsidRPr="00414D0A">
        <w:t>Table 30</w:t>
      </w:r>
      <w:r w:rsidRPr="00414D0A">
        <w:t>. The median</w:t>
      </w:r>
      <w:r w:rsidRPr="00DF122F">
        <w:t xml:space="preserve"> duration of treatment exposure was 84.0 days for all treatment groups. The cumulative exposure to treatment among treatment groups ranged from 10.0 (100 mg qw) to 11.8 (150 mg q2w) patient years. The majority (</w:t>
      </w:r>
      <w:r w:rsidR="007312A2">
        <w:t xml:space="preserve">&gt; </w:t>
      </w:r>
      <w:r w:rsidRPr="00DF122F">
        <w:t xml:space="preserve">80%) of patients in each treatment group were exposed to study medication for </w:t>
      </w:r>
      <w:r w:rsidR="007312A2">
        <w:t xml:space="preserve">&gt; </w:t>
      </w:r>
      <w:r w:rsidRPr="00DF122F">
        <w:t xml:space="preserve">8 weeks, with 6-20% of subjects being exposed for </w:t>
      </w:r>
      <w:r w:rsidR="007312A2">
        <w:t xml:space="preserve">&gt; </w:t>
      </w:r>
      <w:r w:rsidRPr="00DF122F">
        <w:t>12 weeks (maximum exposure 14 weeks)</w:t>
      </w:r>
      <w:r>
        <w:t>.</w:t>
      </w:r>
    </w:p>
    <w:p w14:paraId="5EB72E03" w14:textId="77777777" w:rsidR="00DF122F" w:rsidRPr="00DF122F" w:rsidRDefault="00DF122F" w:rsidP="00DF122F">
      <w:pPr>
        <w:pStyle w:val="Tabletitle"/>
      </w:pPr>
      <w:r w:rsidRPr="00414D0A">
        <w:lastRenderedPageBreak/>
        <w:t>Table 3</w:t>
      </w:r>
      <w:r w:rsidR="00414D0A" w:rsidRPr="00414D0A">
        <w:t>0</w:t>
      </w:r>
      <w:r w:rsidRPr="00414D0A">
        <w:t>: Exposure</w:t>
      </w:r>
      <w:r w:rsidRPr="00DF122F">
        <w:t xml:space="preserve"> to </w:t>
      </w:r>
      <w:r w:rsidR="00414D0A" w:rsidRPr="00DF122F">
        <w:t xml:space="preserve">study medication </w:t>
      </w:r>
      <w:r w:rsidRPr="00DF122F">
        <w:t>in Part A of Study EFC11072</w:t>
      </w:r>
    </w:p>
    <w:p w14:paraId="346D1C2E" w14:textId="77777777" w:rsidR="00651BD3" w:rsidRDefault="00DF122F" w:rsidP="00C22678">
      <w:pPr>
        <w:rPr>
          <w:lang w:eastAsia="ja-JP"/>
        </w:rPr>
      </w:pPr>
      <w:r>
        <w:rPr>
          <w:noProof/>
          <w:lang w:eastAsia="en-AU"/>
        </w:rPr>
        <w:drawing>
          <wp:inline distT="0" distB="0" distL="0" distR="0" wp14:anchorId="206EA444" wp14:editId="5BF94E22">
            <wp:extent cx="5620773" cy="3401568"/>
            <wp:effectExtent l="0" t="0" r="0" b="8890"/>
            <wp:docPr id="39" name="Picture 39" descr="Exposure to study medication in Part A of Study EFC1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22684" cy="3402725"/>
                    </a:xfrm>
                    <a:prstGeom prst="rect">
                      <a:avLst/>
                    </a:prstGeom>
                  </pic:spPr>
                </pic:pic>
              </a:graphicData>
            </a:graphic>
          </wp:inline>
        </w:drawing>
      </w:r>
    </w:p>
    <w:p w14:paraId="58DEEA8C" w14:textId="77777777" w:rsidR="00DF122F" w:rsidRPr="00DF122F" w:rsidRDefault="004D78CD" w:rsidP="00DF122F">
      <w:pPr>
        <w:pStyle w:val="Heading4"/>
      </w:pPr>
      <w:r>
        <w:t xml:space="preserve">Long </w:t>
      </w:r>
      <w:r w:rsidR="00913BB9">
        <w:t>term safety population</w:t>
      </w:r>
    </w:p>
    <w:p w14:paraId="7AD8F4E4" w14:textId="77777777" w:rsidR="00DF122F" w:rsidRPr="00DF122F" w:rsidRDefault="00DF122F" w:rsidP="00DF122F">
      <w:r w:rsidRPr="00DF122F">
        <w:t xml:space="preserve">The SAR + non-biologic DMARD </w:t>
      </w:r>
      <w:r w:rsidR="004D78CD">
        <w:t>long term</w:t>
      </w:r>
      <w:r w:rsidRPr="00DF122F">
        <w:t xml:space="preserve"> safety population consists of all patients who received any dose of SAR in Studies EFC11072 (both Part A and B), EFC10832, SFY13370, EFC11574, MSC12665 and LTS11210. Safety data for this population includes any AEs during SAR exposure, including during the </w:t>
      </w:r>
      <w:r w:rsidR="00A343A3">
        <w:t>placebo</w:t>
      </w:r>
      <w:r w:rsidRPr="00DF122F">
        <w:t xml:space="preserve">-controlled period. The duration of SAR treatment is up to 5 years. The </w:t>
      </w:r>
      <w:r w:rsidR="004D78CD">
        <w:t>long term</w:t>
      </w:r>
      <w:r w:rsidRPr="00DF122F">
        <w:t xml:space="preserve"> safety population allows for characterisation of the </w:t>
      </w:r>
      <w:r w:rsidR="004D78CD">
        <w:t>long term</w:t>
      </w:r>
      <w:r w:rsidRPr="00DF122F">
        <w:t xml:space="preserve"> safety profile of SAR in combination with non-biologic DMARD therapy, as well as the identification of uncommon AEs and AEs with longer latency periods such as malignancy and major adverse cardiovascular events (MACE).</w:t>
      </w:r>
    </w:p>
    <w:p w14:paraId="7037CE94" w14:textId="77777777" w:rsidR="00DF122F" w:rsidRPr="00DF122F" w:rsidRDefault="00DF122F" w:rsidP="00DF122F">
      <w:r w:rsidRPr="00DF122F">
        <w:t xml:space="preserve">The total exposure in the SAR therapy + non-biologic DMARD </w:t>
      </w:r>
      <w:r w:rsidR="004D78CD">
        <w:t>long term</w:t>
      </w:r>
      <w:r w:rsidRPr="00DF122F">
        <w:t xml:space="preserve"> safety population to any dose of SAR was 2</w:t>
      </w:r>
      <w:r w:rsidR="00913BB9">
        <w:t>,</w:t>
      </w:r>
      <w:r w:rsidRPr="00DF122F">
        <w:t>887 patients for 4</w:t>
      </w:r>
      <w:r w:rsidR="00913BB9">
        <w:t>,</w:t>
      </w:r>
      <w:r w:rsidRPr="00DF122F">
        <w:t>338.9 PY, with 1</w:t>
      </w:r>
      <w:r w:rsidR="00913BB9">
        <w:t>,</w:t>
      </w:r>
      <w:r w:rsidRPr="00DF122F">
        <w:t xml:space="preserve">546 patients exposed for </w:t>
      </w:r>
      <w:r w:rsidR="007312A2">
        <w:t xml:space="preserve">&gt; </w:t>
      </w:r>
      <w:r w:rsidRPr="00DF122F">
        <w:t>48 weeks, 1</w:t>
      </w:r>
      <w:r w:rsidR="00913BB9">
        <w:t>,</w:t>
      </w:r>
      <w:r w:rsidRPr="00DF122F">
        <w:t xml:space="preserve">020 patients exposed for </w:t>
      </w:r>
      <w:r w:rsidR="007312A2">
        <w:t xml:space="preserve">&gt; </w:t>
      </w:r>
      <w:r w:rsidRPr="00DF122F">
        <w:t xml:space="preserve">96 weeks and 624 patients exposed for </w:t>
      </w:r>
      <w:r w:rsidR="007312A2">
        <w:t xml:space="preserve">&gt; </w:t>
      </w:r>
      <w:r w:rsidRPr="00DF122F">
        <w:t xml:space="preserve">144 weeks. </w:t>
      </w:r>
      <w:r w:rsidR="004D78CD">
        <w:t>Long term</w:t>
      </w:r>
      <w:r w:rsidRPr="00DF122F">
        <w:t xml:space="preserve"> exposure to the lower SAR dose of 150 mg q2w is limited in numbers by protocol design and patients were required to receive the highest SAR dose in the ongoing </w:t>
      </w:r>
      <w:r w:rsidR="004D78CD">
        <w:t>open label</w:t>
      </w:r>
      <w:r w:rsidRPr="00DF122F">
        <w:t xml:space="preserve"> extension study LTS11210. In the LTS11210 study, patients were allowed to reduce their dose of SAR to 150 mg q2w for protocol-defined laboratory abnormalities (neutrophil count between 0.5 and 1.0 x </w:t>
      </w:r>
      <w:r w:rsidR="007312A2" w:rsidRPr="00984208">
        <w:t>10</w:t>
      </w:r>
      <w:r w:rsidR="007312A2" w:rsidRPr="007312A2">
        <w:rPr>
          <w:vertAlign w:val="superscript"/>
        </w:rPr>
        <w:t>9</w:t>
      </w:r>
      <w:r w:rsidRPr="00DF122F">
        <w:t xml:space="preserve">/L, platelet count between 50 and 100 x </w:t>
      </w:r>
      <w:r w:rsidR="007312A2" w:rsidRPr="00984208">
        <w:t>10</w:t>
      </w:r>
      <w:r w:rsidR="007312A2" w:rsidRPr="007312A2">
        <w:rPr>
          <w:vertAlign w:val="superscript"/>
        </w:rPr>
        <w:t>9</w:t>
      </w:r>
      <w:r w:rsidRPr="00DF122F">
        <w:t>/L or serum ALT between 3 and 5 x ULN), providing additional exposure in the SAR 150 mg q2w dose group. Based on exposure at any time during SAR treatment, a total of 2</w:t>
      </w:r>
      <w:r w:rsidR="00913BB9">
        <w:t>,</w:t>
      </w:r>
      <w:r w:rsidRPr="00DF122F">
        <w:t>157 patients have received 200 mg q2w therapy for a total of 2</w:t>
      </w:r>
      <w:r w:rsidR="00913BB9">
        <w:t>,</w:t>
      </w:r>
      <w:r w:rsidRPr="00DF122F">
        <w:t>912.4 PY of exposure and 1</w:t>
      </w:r>
      <w:r w:rsidR="00913BB9">
        <w:t>,</w:t>
      </w:r>
      <w:r w:rsidRPr="00DF122F">
        <w:t>542 patients have received 150 mg q2w therapy for a total of 1</w:t>
      </w:r>
      <w:r w:rsidR="00913BB9">
        <w:t>,</w:t>
      </w:r>
      <w:r w:rsidRPr="00DF122F">
        <w:t>148.0 PY of exposure.</w:t>
      </w:r>
    </w:p>
    <w:p w14:paraId="27FCF86E" w14:textId="77777777" w:rsidR="00DF122F" w:rsidRPr="00DF122F" w:rsidRDefault="00DF122F" w:rsidP="00DF122F">
      <w:pPr>
        <w:pStyle w:val="Heading4"/>
      </w:pPr>
      <w:r w:rsidRPr="00DF122F">
        <w:t>Clinical Pharmacology Studies</w:t>
      </w:r>
    </w:p>
    <w:p w14:paraId="2ED366C2" w14:textId="77777777" w:rsidR="00DF122F" w:rsidRPr="00DF122F" w:rsidRDefault="00DF122F" w:rsidP="00DF122F">
      <w:r w:rsidRPr="00DF122F">
        <w:t xml:space="preserve">A total of 263 subjects have been exposed to SAR therapy in the </w:t>
      </w:r>
      <w:r w:rsidR="00913BB9">
        <w:t>nine</w:t>
      </w:r>
      <w:r w:rsidRPr="00DF122F">
        <w:t xml:space="preserve"> </w:t>
      </w:r>
      <w:r w:rsidR="004D78CD">
        <w:t>Phase I</w:t>
      </w:r>
      <w:r w:rsidRPr="00DF122F">
        <w:t xml:space="preserve"> studies. The majority of SAR exposed subjects (n</w:t>
      </w:r>
      <w:r w:rsidR="004D78CD">
        <w:t xml:space="preserve"> = </w:t>
      </w:r>
      <w:r w:rsidRPr="00DF122F">
        <w:t>216) received single doses only (47 subjects received repeat dosing). Regarding exposure to the 2 selected SAR doses, a total of 44 subjects (16 of which was repeat dose exposure) have received 150 mg SC injections and 112 patients (7 of which was repeat dose exposure) have</w:t>
      </w:r>
      <w:r>
        <w:t xml:space="preserve"> received 200 mg SC injections.</w:t>
      </w:r>
    </w:p>
    <w:p w14:paraId="7F19EF4C" w14:textId="77777777" w:rsidR="00DF122F" w:rsidRPr="00DF122F" w:rsidRDefault="00DF122F" w:rsidP="00DF122F">
      <w:pPr>
        <w:pStyle w:val="Heading3"/>
      </w:pPr>
      <w:bookmarkStart w:id="224" w:name="_Toc241374319"/>
      <w:bookmarkStart w:id="225" w:name="_Ref271044764"/>
      <w:bookmarkStart w:id="226" w:name="_Toc272414663"/>
      <w:bookmarkStart w:id="227" w:name="_Toc290888527"/>
      <w:bookmarkStart w:id="228" w:name="_Toc464131549"/>
      <w:bookmarkStart w:id="229" w:name="_Toc519848450"/>
      <w:r w:rsidRPr="00DF122F">
        <w:lastRenderedPageBreak/>
        <w:t>Adverse events</w:t>
      </w:r>
      <w:bookmarkEnd w:id="224"/>
      <w:bookmarkEnd w:id="225"/>
      <w:bookmarkEnd w:id="226"/>
      <w:bookmarkEnd w:id="227"/>
      <w:bookmarkEnd w:id="228"/>
      <w:bookmarkEnd w:id="229"/>
    </w:p>
    <w:p w14:paraId="20FE3A1C" w14:textId="77777777" w:rsidR="00DF122F" w:rsidRPr="00DF122F" w:rsidRDefault="00DF122F" w:rsidP="00DF122F">
      <w:pPr>
        <w:pStyle w:val="Heading4"/>
      </w:pPr>
      <w:bookmarkStart w:id="230" w:name="_Ref272317284"/>
      <w:bookmarkStart w:id="231" w:name="_Ref272333565"/>
      <w:bookmarkStart w:id="232" w:name="_Toc272414664"/>
      <w:bookmarkStart w:id="233" w:name="_Toc290888528"/>
      <w:bookmarkStart w:id="234" w:name="_Toc464131550"/>
      <w:r w:rsidRPr="00DF122F">
        <w:t>All adverse events (irrespective of relationship to study treatment)</w:t>
      </w:r>
      <w:bookmarkEnd w:id="230"/>
      <w:bookmarkEnd w:id="231"/>
      <w:bookmarkEnd w:id="232"/>
      <w:bookmarkEnd w:id="233"/>
      <w:bookmarkEnd w:id="234"/>
    </w:p>
    <w:p w14:paraId="5408159E" w14:textId="77777777" w:rsidR="00DF122F" w:rsidRPr="00DF122F" w:rsidRDefault="00DF122F" w:rsidP="00DF122F">
      <w:pPr>
        <w:pStyle w:val="Heading5"/>
      </w:pPr>
      <w:r w:rsidRPr="00DF122F">
        <w:t>Pivotal studies</w:t>
      </w:r>
    </w:p>
    <w:p w14:paraId="5532393F" w14:textId="77777777" w:rsidR="00DF122F" w:rsidRPr="00DF122F" w:rsidRDefault="00913BB9" w:rsidP="00DF122F">
      <w:pPr>
        <w:pStyle w:val="Heading6"/>
      </w:pPr>
      <w:r>
        <w:t>Part B of Study EFC11072</w:t>
      </w:r>
    </w:p>
    <w:p w14:paraId="02CB007B" w14:textId="50994D89" w:rsidR="00DF122F" w:rsidRPr="00DF122F" w:rsidRDefault="00DF122F" w:rsidP="00DF122F">
      <w:r w:rsidRPr="00DF122F">
        <w:t xml:space="preserve">During the </w:t>
      </w:r>
      <w:r w:rsidR="00E0128B">
        <w:t>double blind</w:t>
      </w:r>
      <w:r w:rsidRPr="00DF122F">
        <w:t xml:space="preserve"> treatment period of Part B of Study EFC11072, a higher overall incidence of TEAE was observed in the SAR treatment groups (74.5% </w:t>
      </w:r>
      <w:r w:rsidR="00BF33B8">
        <w:t>(</w:t>
      </w:r>
      <w:r w:rsidRPr="00DF122F">
        <w:t>321/431</w:t>
      </w:r>
      <w:r w:rsidR="00BF33B8">
        <w:t>)</w:t>
      </w:r>
      <w:r w:rsidRPr="00DF122F">
        <w:t xml:space="preserve"> in the SAR 150 mg arm and 78.1% </w:t>
      </w:r>
      <w:r w:rsidR="00BF33B8">
        <w:t>(</w:t>
      </w:r>
      <w:r w:rsidRPr="00DF122F">
        <w:t>331/424</w:t>
      </w:r>
      <w:r w:rsidR="00BF33B8">
        <w:t>)</w:t>
      </w:r>
      <w:r w:rsidRPr="00DF122F">
        <w:t xml:space="preserve"> in the SAR 200 mg group) compared with the </w:t>
      </w:r>
      <w:r w:rsidR="00A343A3">
        <w:t>placebo</w:t>
      </w:r>
      <w:r w:rsidRPr="00DF122F">
        <w:t xml:space="preserve"> arm (61.6%; 263/427).</w:t>
      </w:r>
    </w:p>
    <w:p w14:paraId="40DE12F3" w14:textId="32DEAEC9" w:rsidR="00DF122F" w:rsidRPr="00DF122F" w:rsidRDefault="00DF122F" w:rsidP="00DF122F">
      <w:r w:rsidRPr="00DF122F">
        <w:t xml:space="preserve">Infection was the most frequently reported type of TEAE in each of the 3 treatment groups, occurring at a slightly higher incidence in the SAR treatment groups (40.1% </w:t>
      </w:r>
      <w:r w:rsidR="00BF33B8">
        <w:t>(</w:t>
      </w:r>
      <w:r w:rsidRPr="00DF122F">
        <w:t>173/431</w:t>
      </w:r>
      <w:r w:rsidR="00BF33B8">
        <w:t>)</w:t>
      </w:r>
      <w:r w:rsidRPr="00DF122F">
        <w:t xml:space="preserve"> in the SAR 150 mg arm and 39.6% </w:t>
      </w:r>
      <w:r w:rsidR="00BF33B8">
        <w:t>(</w:t>
      </w:r>
      <w:r w:rsidRPr="00DF122F">
        <w:t>168/424</w:t>
      </w:r>
      <w:r w:rsidR="00BF33B8">
        <w:t>)</w:t>
      </w:r>
      <w:r w:rsidRPr="00DF122F">
        <w:t xml:space="preserve"> in the SAR 200 mg group) compared with the </w:t>
      </w:r>
      <w:r w:rsidR="00A343A3">
        <w:t>placebo</w:t>
      </w:r>
      <w:r w:rsidRPr="00DF122F">
        <w:t xml:space="preserve"> arm (31.1%; 133/427). Within the SOC of infection, the following types of infection by Preferred Term (PT) had an increase in incidence of </w:t>
      </w:r>
      <w:r w:rsidR="00913BB9">
        <w:t>1 to 5</w:t>
      </w:r>
      <w:r w:rsidRPr="00DF122F">
        <w:t xml:space="preserve">% in both SAR treatment groups compared to the </w:t>
      </w:r>
      <w:r w:rsidR="00A343A3">
        <w:t>placebo</w:t>
      </w:r>
      <w:r w:rsidRPr="00DF122F">
        <w:t xml:space="preserve"> arm: upper respiratory tract infection (8.</w:t>
      </w:r>
      <w:r w:rsidR="00913BB9">
        <w:t>4 to 8</w:t>
      </w:r>
      <w:r w:rsidRPr="00DF122F">
        <w:t xml:space="preserve">.7% for SAR versus 5.6% for </w:t>
      </w:r>
      <w:r w:rsidR="00A343A3">
        <w:t>placebo</w:t>
      </w:r>
      <w:r w:rsidRPr="00DF122F">
        <w:t>), urinary tract infection (5.</w:t>
      </w:r>
      <w:r w:rsidR="00913BB9">
        <w:t>1 to 5</w:t>
      </w:r>
      <w:r w:rsidRPr="00DF122F">
        <w:t xml:space="preserve">.4% for SAR versus 3.7% for </w:t>
      </w:r>
      <w:r w:rsidR="00A343A3">
        <w:t>placebo</w:t>
      </w:r>
      <w:r w:rsidRPr="00DF122F">
        <w:t>), nasopharyngitis (5.</w:t>
      </w:r>
      <w:r w:rsidR="00913BB9">
        <w:t>2 to 5</w:t>
      </w:r>
      <w:r w:rsidRPr="00DF122F">
        <w:t xml:space="preserve">.8% for SAR versus 4.2% for </w:t>
      </w:r>
      <w:r w:rsidR="00A343A3">
        <w:t>placebo</w:t>
      </w:r>
      <w:r w:rsidRPr="00DF122F">
        <w:t>) and oral herpes (1.</w:t>
      </w:r>
      <w:r w:rsidR="00913BB9">
        <w:t>9 to 2</w:t>
      </w:r>
      <w:r w:rsidRPr="00DF122F">
        <w:t xml:space="preserve">.1% for SAR versus 0 for </w:t>
      </w:r>
      <w:r w:rsidR="00A343A3">
        <w:t>placebo</w:t>
      </w:r>
      <w:r w:rsidRPr="00DF122F">
        <w:t>). Other types of infection (by PT) such as bronchitis, influenza, pharyngitis and sinusitis occurred at similar frequencies among the 3 treatment groups.</w:t>
      </w:r>
    </w:p>
    <w:p w14:paraId="2289CAD3" w14:textId="72D10DD0" w:rsidR="00DF122F" w:rsidRPr="00DF122F" w:rsidRDefault="00DF122F" w:rsidP="00DF122F">
      <w:r w:rsidRPr="00DF122F">
        <w:t xml:space="preserve">There was also a higher incidence of TEAEs (difference of </w:t>
      </w:r>
      <w:r w:rsidR="007312A2">
        <w:t xml:space="preserve">≥ </w:t>
      </w:r>
      <w:r w:rsidRPr="00DF122F">
        <w:t xml:space="preserve">5%) in both SAR treatment groups versus </w:t>
      </w:r>
      <w:r w:rsidR="00A343A3">
        <w:t>placebo</w:t>
      </w:r>
      <w:r w:rsidRPr="00DF122F">
        <w:t xml:space="preserve"> in the SOC of blood and lymphatic system disorders (primarily due to neutro</w:t>
      </w:r>
      <w:r w:rsidR="00BA3918">
        <w:t>paenia</w:t>
      </w:r>
      <w:r w:rsidRPr="00DF122F">
        <w:t>), general disorders and administration site conditions (mostly due to injection site reactions of localised erythema, pruritus and rash) and abnormal investigation results (mainly due to raised serum transaminases).</w:t>
      </w:r>
    </w:p>
    <w:p w14:paraId="1B36C344" w14:textId="139C4490" w:rsidR="00DF122F" w:rsidRPr="00DF122F" w:rsidRDefault="00DF122F" w:rsidP="00DF122F">
      <w:r w:rsidRPr="00DF122F">
        <w:t>Based on the expected safety profile of SAR and other biologic drugs (including tocilizumab, which is another anti-IL-6 therapy) used in adult patients with active RA, there is a list of AEs of special interest which include serious and opportunistic infection, various abnormalities on blood tests (neutro</w:t>
      </w:r>
      <w:r w:rsidR="00BA3918">
        <w:t>paenia</w:t>
      </w:r>
      <w:r w:rsidRPr="00DF122F">
        <w:t>, thrombocyto</w:t>
      </w:r>
      <w:r w:rsidR="00BA3918">
        <w:t>paenia</w:t>
      </w:r>
      <w:r w:rsidRPr="00DF122F">
        <w:t xml:space="preserve">, raised serum transaminases and lipid profiles), gastrointestinal conditions (such as perforation and diverticulitis), malignancy, anaphylaxis, autoimmunity and demyelinating </w:t>
      </w:r>
      <w:r w:rsidRPr="00414D0A">
        <w:t xml:space="preserve">disorders. </w:t>
      </w:r>
      <w:r w:rsidR="00414D0A" w:rsidRPr="00414D0A">
        <w:t>Table 31</w:t>
      </w:r>
      <w:r w:rsidRPr="00414D0A">
        <w:t xml:space="preserve"> provides a summary of number and exposure adjusted frequency of those AEs of special interest in</w:t>
      </w:r>
      <w:r w:rsidRPr="00DF122F">
        <w:t xml:space="preserve"> Part B of Study EFC11072. The details of the individual categories of AEs of special interest will be covered later in the</w:t>
      </w:r>
      <w:r>
        <w:t xml:space="preserve"> safety section of this report.</w:t>
      </w:r>
    </w:p>
    <w:p w14:paraId="1EEDCD8A" w14:textId="77777777" w:rsidR="00DF122F" w:rsidRPr="00DF122F" w:rsidRDefault="00DF122F" w:rsidP="00DF122F">
      <w:pPr>
        <w:pStyle w:val="Tabletitle"/>
      </w:pPr>
      <w:r w:rsidRPr="00414D0A">
        <w:lastRenderedPageBreak/>
        <w:t>Table 3</w:t>
      </w:r>
      <w:r w:rsidR="00414D0A" w:rsidRPr="00414D0A">
        <w:t>1</w:t>
      </w:r>
      <w:r w:rsidRPr="00414D0A">
        <w:t xml:space="preserve">: Adverse </w:t>
      </w:r>
      <w:r w:rsidR="00414D0A" w:rsidRPr="00414D0A">
        <w:t xml:space="preserve">events of special interest by number and exposure </w:t>
      </w:r>
      <w:r w:rsidRPr="00414D0A">
        <w:t>in Part B of Study</w:t>
      </w:r>
      <w:r>
        <w:t xml:space="preserve"> EFC11072</w:t>
      </w:r>
    </w:p>
    <w:p w14:paraId="23F2E5B3" w14:textId="77777777" w:rsidR="00651BD3" w:rsidRDefault="00DF122F" w:rsidP="00C22678">
      <w:pPr>
        <w:rPr>
          <w:lang w:eastAsia="ja-JP"/>
        </w:rPr>
      </w:pPr>
      <w:r>
        <w:rPr>
          <w:noProof/>
          <w:lang w:eastAsia="en-AU"/>
        </w:rPr>
        <w:drawing>
          <wp:inline distT="0" distB="0" distL="0" distR="0" wp14:anchorId="59C2134C" wp14:editId="06375C93">
            <wp:extent cx="5585219" cy="2640787"/>
            <wp:effectExtent l="0" t="0" r="0" b="7620"/>
            <wp:docPr id="40" name="Picture 40" descr="Adverse events of special interest by number and exposure in Part B of Study EFC1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592095" cy="2644038"/>
                    </a:xfrm>
                    <a:prstGeom prst="rect">
                      <a:avLst/>
                    </a:prstGeom>
                  </pic:spPr>
                </pic:pic>
              </a:graphicData>
            </a:graphic>
          </wp:inline>
        </w:drawing>
      </w:r>
    </w:p>
    <w:p w14:paraId="3862D134" w14:textId="77777777" w:rsidR="00DF122F" w:rsidRPr="00DF122F" w:rsidRDefault="00DF122F" w:rsidP="00DF122F">
      <w:r w:rsidRPr="00DF122F">
        <w:t xml:space="preserve">Unexpectedly, a slightly higher incidence of depression in both SAR groups compared to </w:t>
      </w:r>
      <w:r w:rsidR="00A343A3">
        <w:t>placebo</w:t>
      </w:r>
      <w:r w:rsidRPr="00DF122F">
        <w:t xml:space="preserve"> was observed. Depression was reported for 6 patients in each SAR treatment group and 1 patient in the </w:t>
      </w:r>
      <w:r w:rsidR="00A343A3">
        <w:t>placebo</w:t>
      </w:r>
      <w:r w:rsidRPr="00DF122F">
        <w:t xml:space="preserve"> arm. However, overall TEAEs in the SOC of psychiatric disorders were balanced between the 3 treatment groups. At baseline, a history of depression was reported for 29 (6.8%) patients in the </w:t>
      </w:r>
      <w:r w:rsidR="00A343A3">
        <w:t>placebo</w:t>
      </w:r>
      <w:r w:rsidRPr="00DF122F">
        <w:t xml:space="preserve"> group, 18 (4.2%) subjects in the SAR 150 mg arm and 25 (5.9%) patients in the SAR 200 mg group. In Part B of Study EFC11072, 7 patients had both a medical history and a reported TEAE of depression (2 were in the SAR 150 mg group and 5 were in the SAR 200 mg arm). Of the 13 patients with investigator-reported AEs of depression, 10 patients had non-serious rated AEs (1 in the </w:t>
      </w:r>
      <w:r w:rsidR="00A343A3">
        <w:t>placebo</w:t>
      </w:r>
      <w:r w:rsidRPr="00DF122F">
        <w:t xml:space="preserve"> group, 5 in the SAR 150 mg arm and 4 in the SAR 200 mg group). Eleven patients, all in SAR groups, initiated treatment with anti-depressant medication and 8 recovered during the trial. Depression was assessed to be of mild intensity in 5 patients, moderate intensity in 7 patients and severe intensity in 1 patient. Depression led to permanent withdrawal of treatment in 2 patients, both in the SAR treatment groups.</w:t>
      </w:r>
    </w:p>
    <w:p w14:paraId="4200952D" w14:textId="77777777" w:rsidR="00DF122F" w:rsidRPr="00DF122F" w:rsidRDefault="00DF122F" w:rsidP="00DF122F">
      <w:pPr>
        <w:pStyle w:val="Heading6"/>
      </w:pPr>
      <w:r w:rsidRPr="00DF122F">
        <w:t>Study EFC10832</w:t>
      </w:r>
    </w:p>
    <w:p w14:paraId="2B67BEA8" w14:textId="3EDA2C8D" w:rsidR="00DF122F" w:rsidRPr="00DF122F" w:rsidRDefault="00DF122F" w:rsidP="00DF122F">
      <w:r w:rsidRPr="00DF122F">
        <w:t xml:space="preserve">During the </w:t>
      </w:r>
      <w:r w:rsidR="00E0128B">
        <w:t>double blind</w:t>
      </w:r>
      <w:r w:rsidRPr="00DF122F">
        <w:t xml:space="preserve"> treatment period of Study EFC10832, a higher overall incidence of TEAE was observed in the 2 SAR treatment groups (65.7% </w:t>
      </w:r>
      <w:r w:rsidR="00BF33B8">
        <w:t>(</w:t>
      </w:r>
      <w:r w:rsidRPr="00DF122F">
        <w:t>119/181</w:t>
      </w:r>
      <w:r w:rsidR="00BF33B8">
        <w:t>)</w:t>
      </w:r>
      <w:r w:rsidRPr="00DF122F">
        <w:t xml:space="preserve"> in the SAR 150 mg arm and 65.2% </w:t>
      </w:r>
      <w:r w:rsidR="00BF33B8">
        <w:t>(</w:t>
      </w:r>
      <w:r w:rsidRPr="00DF122F">
        <w:t>120/184</w:t>
      </w:r>
      <w:r w:rsidR="00BF33B8">
        <w:t>)</w:t>
      </w:r>
      <w:r w:rsidRPr="00DF122F">
        <w:t xml:space="preserve"> in the SAR 200 mg group) compared with the </w:t>
      </w:r>
      <w:r w:rsidR="00A343A3">
        <w:t>placebo</w:t>
      </w:r>
      <w:r w:rsidRPr="00DF122F">
        <w:t xml:space="preserve"> arm (49.7%; 90/181).</w:t>
      </w:r>
    </w:p>
    <w:p w14:paraId="460A0EAB" w14:textId="77777777" w:rsidR="00DF122F" w:rsidRPr="00DF122F" w:rsidRDefault="00DF122F" w:rsidP="00DF122F">
      <w:r w:rsidRPr="00DF122F">
        <w:t xml:space="preserve">Infection was the most frequently reported type of TEAE in each of the 3 treatment groups, occurring at a similar frequency across the 3 treatment groups: 26.5% (48/181) in the </w:t>
      </w:r>
      <w:r w:rsidR="00A343A3">
        <w:t>placebo</w:t>
      </w:r>
      <w:r w:rsidRPr="00DF122F">
        <w:t xml:space="preserve"> group, 22.1% (40/811) in the SAR 150 mg arm and 30.4% (56/184) in the SAR 200 mg group. Within the SOC of infection, the following types of infection by Preferred Term (PT) were most frequently noted: urinary tract infection (6.6% incidence in the </w:t>
      </w:r>
      <w:r w:rsidR="00A343A3">
        <w:t>placebo</w:t>
      </w:r>
      <w:r w:rsidRPr="00DF122F">
        <w:t xml:space="preserve"> group, 3.3% in the SAR 150 mg arm and 7.1% in the SAR 200 mg group), nasopharyngitis (5.0% in the </w:t>
      </w:r>
      <w:r w:rsidR="00A343A3">
        <w:t>placebo</w:t>
      </w:r>
      <w:r w:rsidRPr="00DF122F">
        <w:t xml:space="preserve"> group, 6.1% in the SAR 150 mg arm and 3.8% in the SAR 200 mg group), pharyngitis (1.7% in the </w:t>
      </w:r>
      <w:r w:rsidR="00A343A3">
        <w:t>placebo</w:t>
      </w:r>
      <w:r w:rsidRPr="00DF122F">
        <w:t xml:space="preserve"> group, 1.1% in the SAR 150 mg arm and 3.3% in the SAR 200 mg group) and upper respiratory tract infection (3.3% for </w:t>
      </w:r>
      <w:r w:rsidR="00A343A3">
        <w:t>placebo</w:t>
      </w:r>
      <w:r w:rsidRPr="00DF122F">
        <w:t xml:space="preserve"> and SAR 200 mg versus 2.2% for SAR 150 mg). Other types of infection (by PT) were only recorded in SAR treated subjects. These AEs included 3 cases of oral herpes (all in SAR 200 mg treated subjects), 5 cases of pneumonia (2 in the SAR 150 mg group and 3 in the SAR 200 mg arm) and 2 cases of fungal skin infection (both in the SAR 200 mg dose group).</w:t>
      </w:r>
    </w:p>
    <w:p w14:paraId="0AE19595" w14:textId="68E45B16" w:rsidR="00DF122F" w:rsidRPr="00DF122F" w:rsidRDefault="00DF122F" w:rsidP="00DF122F">
      <w:r w:rsidRPr="00DF122F">
        <w:lastRenderedPageBreak/>
        <w:t xml:space="preserve">The following types of TEAEs had </w:t>
      </w:r>
      <w:r w:rsidR="007312A2">
        <w:t xml:space="preserve">&gt; </w:t>
      </w:r>
      <w:r w:rsidRPr="00DF122F">
        <w:t xml:space="preserve">2% higher incidence in the SAR treated groups (both doses) compared to </w:t>
      </w:r>
      <w:r w:rsidR="00A343A3">
        <w:t>placebo</w:t>
      </w:r>
      <w:r w:rsidRPr="00DF122F">
        <w:t>: neutro</w:t>
      </w:r>
      <w:r w:rsidR="00BA3918">
        <w:t>paenia</w:t>
      </w:r>
      <w:r w:rsidRPr="00DF122F">
        <w:t>, elevation of serum lipids, injection site reactions (in particular, erythema and pruritus) and elevation of serum transaminases. Neutro</w:t>
      </w:r>
      <w:r w:rsidR="00BA3918">
        <w:t>paenia</w:t>
      </w:r>
      <w:r w:rsidRPr="00DF122F">
        <w:t xml:space="preserve"> was recorded in 12.7% (23/181) of patients in the SAR 150 mg group and 12.5% (23/184) of subjects in the SAR 200 mg arm compared with 1.1% (2/181) of patients in the </w:t>
      </w:r>
      <w:r w:rsidR="00A343A3">
        <w:t>placebo</w:t>
      </w:r>
      <w:r w:rsidRPr="00DF122F">
        <w:t xml:space="preserve"> arm. There were also 5 cases of leuco</w:t>
      </w:r>
      <w:r w:rsidR="00BA3918">
        <w:t>paenia</w:t>
      </w:r>
      <w:r w:rsidRPr="00DF122F">
        <w:t xml:space="preserve"> reported in SAR treated subjects (2 in the 150 mg dose group and 3 in the 200 mg arm versus 0 in the </w:t>
      </w:r>
      <w:r w:rsidR="00A343A3">
        <w:t>placebo</w:t>
      </w:r>
      <w:r w:rsidRPr="00DF122F">
        <w:t xml:space="preserve"> group). Moreover, 6 cases of thrombocyto</w:t>
      </w:r>
      <w:r w:rsidR="00BA3918">
        <w:t>paenia</w:t>
      </w:r>
      <w:r w:rsidRPr="00DF122F">
        <w:t xml:space="preserve"> (5 in the SAR 200 mg group and 1 case in the SAR 150 mg arm versus 0 in the </w:t>
      </w:r>
      <w:r w:rsidR="00A343A3">
        <w:t>placebo</w:t>
      </w:r>
      <w:r w:rsidRPr="00DF122F">
        <w:t xml:space="preserve"> group) were identified. Elevations of serum lipid parameters were reported in 11.6% (21/181) of patients in the SAR 150 mg group and 8.2% (15/184) of subjects in the SAR 200 mg arm compared with 1.7% (3/181) of patients in the </w:t>
      </w:r>
      <w:r w:rsidR="00A343A3">
        <w:t>placebo</w:t>
      </w:r>
      <w:r w:rsidRPr="00DF122F">
        <w:t xml:space="preserve"> arm. Injection site reactions were reported in 8.8% (16/181) of patients in the SAR 150 mg group and 8.2% (15/184) of subjects in the SAR 200 mg arm compared with 1.1% (2/181) of patients in the </w:t>
      </w:r>
      <w:r w:rsidR="00A343A3">
        <w:t>placebo</w:t>
      </w:r>
      <w:r w:rsidRPr="00DF122F">
        <w:t xml:space="preserve"> arm. The majority of injection site reactions were localised events of erythema (18 AEs across the 2 SAR treatment groups versus 0 in the </w:t>
      </w:r>
      <w:r w:rsidR="00A343A3">
        <w:t>placebo</w:t>
      </w:r>
      <w:r w:rsidRPr="00DF122F">
        <w:t xml:space="preserve"> arm) and pruritus (9 AEs across the 2 SAR treatment groups versus 0 in the </w:t>
      </w:r>
      <w:r w:rsidR="00A343A3">
        <w:t>placebo</w:t>
      </w:r>
      <w:r w:rsidRPr="00DF122F">
        <w:t xml:space="preserve"> arm). Elevations of serum transaminases were reported in 5.0% (9/181) of patients in the SAR 150 mg group and 11.4% (21/184) of subjects in the SAR 200 mg arm compared with 1.1% (2/181) of patients in the </w:t>
      </w:r>
      <w:r w:rsidR="00A343A3">
        <w:t>placebo</w:t>
      </w:r>
      <w:r w:rsidRPr="00DF122F">
        <w:t xml:space="preserve"> arm.</w:t>
      </w:r>
    </w:p>
    <w:p w14:paraId="0B343858" w14:textId="77777777" w:rsidR="00DF122F" w:rsidRPr="00DF122F" w:rsidRDefault="00DF122F" w:rsidP="00DF122F">
      <w:r w:rsidRPr="00DF122F">
        <w:t xml:space="preserve">Two types of TEAEs (anaemia and aggravation of RA) by PT had </w:t>
      </w:r>
      <w:r w:rsidR="007312A2">
        <w:t xml:space="preserve">&gt; </w:t>
      </w:r>
      <w:r w:rsidRPr="00DF122F">
        <w:t xml:space="preserve">2% higher incidence in the </w:t>
      </w:r>
      <w:r w:rsidR="00A343A3">
        <w:t>placebo</w:t>
      </w:r>
      <w:r w:rsidRPr="00DF122F">
        <w:t xml:space="preserve"> arm compared to SAR treated subjects (both dose groups). Both of these AEs probably reflect lower rates of underlying RA disease control.</w:t>
      </w:r>
    </w:p>
    <w:p w14:paraId="6D6238D2" w14:textId="77777777" w:rsidR="00DF122F" w:rsidRPr="00DF122F" w:rsidRDefault="00DF122F" w:rsidP="00DF122F">
      <w:pPr>
        <w:pStyle w:val="Heading5"/>
      </w:pPr>
      <w:r w:rsidRPr="00DF122F">
        <w:t>Other studies</w:t>
      </w:r>
    </w:p>
    <w:p w14:paraId="6C2ABA9C" w14:textId="77777777" w:rsidR="00DF122F" w:rsidRPr="00DF122F" w:rsidRDefault="00DF122F" w:rsidP="00DF122F">
      <w:pPr>
        <w:pStyle w:val="Heading6"/>
      </w:pPr>
      <w:r w:rsidRPr="00DF122F">
        <w:t>Part A of Study EFC11072</w:t>
      </w:r>
    </w:p>
    <w:p w14:paraId="3E45E949" w14:textId="4ED6BD72" w:rsidR="00A343A3" w:rsidRDefault="00DF122F" w:rsidP="00DF122F">
      <w:r w:rsidRPr="00DF122F">
        <w:t xml:space="preserve">The proportion of patients among the 6 treatment groups who experienced TEAEs ranged from 43.1% (22/51) in the SAR 100 mg q2w group to 72.0% (36/50) in the SAR 100 mg qw group. Although there was no clear dose response for AEs in the SAR treatment groups, the </w:t>
      </w:r>
      <w:r w:rsidR="00A343A3">
        <w:t>placebo</w:t>
      </w:r>
      <w:r w:rsidRPr="00DF122F">
        <w:t xml:space="preserve"> arm had a relatively rate of AEs (47.1%; 24/51). For the 2 proposed commercial doses of SAR, the incidence of AEs in this trial were 53.8% (28/52) in the SAR 150 mg q2w group and 64.7% (33/51) in the SAR 200 mg q2w arm. Infections (mainly non-serious infections involving the upper respiratory and urinary tracts) were the most common type of AE in both SAR and </w:t>
      </w:r>
      <w:r w:rsidR="00A343A3">
        <w:t>placebo</w:t>
      </w:r>
      <w:r w:rsidRPr="00DF122F">
        <w:t xml:space="preserve"> treated subjects. The incidence rate varied in the active arms from 11.8% (100 mg q2w) to 26.0% (100 mg qw) versus an incidence rate of 13.7% in the </w:t>
      </w:r>
      <w:r w:rsidR="00A343A3">
        <w:t>placebo</w:t>
      </w:r>
      <w:r w:rsidRPr="00DF122F">
        <w:t xml:space="preserve"> group. Abnormal investigation results (neutro</w:t>
      </w:r>
      <w:r w:rsidR="00BA3918">
        <w:t>paenia</w:t>
      </w:r>
      <w:r w:rsidRPr="00DF122F">
        <w:t xml:space="preserve">, elevated serum transaminases and raised serum total cholesterol) were also more frequently observed in the SAR versus </w:t>
      </w:r>
      <w:r w:rsidR="00A343A3">
        <w:t>placebo</w:t>
      </w:r>
      <w:r w:rsidRPr="00DF122F">
        <w:t xml:space="preserve"> treatment groups. Detail about these treatment related differences for investigations are covered in section 8.5 of this report. Injection site reactions (of various types) were also more common in the SAR treatment groups ranging from </w:t>
      </w:r>
      <w:r w:rsidR="000F37C5">
        <w:t xml:space="preserve">approximately </w:t>
      </w:r>
      <w:r w:rsidRPr="00DF122F">
        <w:t xml:space="preserve">4% in the 3 lowest dose SAR groups (100 mg qw, 150 mg q2w and 100 mg qw) to 6.0% (3/50) in the SAR 150 mg qw group and 9.8% (5/51) in the SAR 200 mg q2w arm versus 2.0% (1/51) in the </w:t>
      </w:r>
      <w:r w:rsidR="00A343A3">
        <w:t>placebo</w:t>
      </w:r>
      <w:r w:rsidRPr="00DF122F">
        <w:t xml:space="preserve"> group</w:t>
      </w:r>
      <w:r w:rsidR="00A343A3">
        <w:t>.</w:t>
      </w:r>
    </w:p>
    <w:p w14:paraId="1B135DAE" w14:textId="77777777" w:rsidR="00DF122F" w:rsidRPr="00DF122F" w:rsidRDefault="004D78CD" w:rsidP="00DF122F">
      <w:pPr>
        <w:pStyle w:val="Heading6"/>
      </w:pPr>
      <w:r>
        <w:t>Long term</w:t>
      </w:r>
      <w:r w:rsidR="00DF122F" w:rsidRPr="00DF122F">
        <w:t xml:space="preserve"> Safety Population</w:t>
      </w:r>
    </w:p>
    <w:p w14:paraId="50FD8C9D" w14:textId="77777777" w:rsidR="004D78CD" w:rsidRDefault="00DF122F" w:rsidP="00DF122F">
      <w:r w:rsidRPr="00DF122F">
        <w:t xml:space="preserve">An overview of TEAEs in the </w:t>
      </w:r>
      <w:r w:rsidR="004D78CD">
        <w:t>long term</w:t>
      </w:r>
      <w:r w:rsidRPr="00DF122F">
        <w:t xml:space="preserve"> safety population based on incidence and exposure-adjusted incidence is provided </w:t>
      </w:r>
      <w:r w:rsidRPr="00414D0A">
        <w:t>in Table 3</w:t>
      </w:r>
      <w:r w:rsidR="00414D0A" w:rsidRPr="00414D0A">
        <w:t>2</w:t>
      </w:r>
      <w:r w:rsidRPr="00414D0A">
        <w:t>. A higher incidence of TEAEs was seen with SAR 200 mg versus 150 mg therapy, but when the raw incidence</w:t>
      </w:r>
      <w:r w:rsidRPr="00DF122F">
        <w:t xml:space="preserve"> of TEAEs was adjusted for drug exposure, the incident rate was slightly higher in the lower SAR dose cohort. In addition, the incidence of TEAEs with both doses of SAR remained fairly co</w:t>
      </w:r>
      <w:r w:rsidR="006062AB">
        <w:t xml:space="preserve">nstant over time (analysed by 6 to </w:t>
      </w:r>
      <w:r w:rsidRPr="00DF122F">
        <w:t xml:space="preserve">12 month intervals up to </w:t>
      </w:r>
      <w:r w:rsidR="002F4291">
        <w:t>Week</w:t>
      </w:r>
      <w:r w:rsidRPr="00DF122F">
        <w:t xml:space="preserve"> 216)</w:t>
      </w:r>
      <w:r w:rsidR="004D78CD">
        <w:t>.</w:t>
      </w:r>
    </w:p>
    <w:p w14:paraId="2A0849EA" w14:textId="77777777" w:rsidR="00651BD3" w:rsidRPr="00DF122F" w:rsidRDefault="00DF122F" w:rsidP="00DF122F">
      <w:pPr>
        <w:pStyle w:val="Tabletitle"/>
      </w:pPr>
      <w:r w:rsidRPr="00414D0A">
        <w:lastRenderedPageBreak/>
        <w:t>Table 3</w:t>
      </w:r>
      <w:r w:rsidR="00414D0A" w:rsidRPr="00414D0A">
        <w:t>2</w:t>
      </w:r>
      <w:r w:rsidRPr="00414D0A">
        <w:t>: Overview</w:t>
      </w:r>
      <w:r w:rsidRPr="00DF122F">
        <w:t xml:space="preserve"> </w:t>
      </w:r>
      <w:r w:rsidR="00414D0A" w:rsidRPr="00DF122F">
        <w:t xml:space="preserve">of adverse event profile by incidence </w:t>
      </w:r>
      <w:r w:rsidRPr="00DF122F">
        <w:t>(Raw and Exposure Adjusted) in t</w:t>
      </w:r>
      <w:r>
        <w:t xml:space="preserve">he </w:t>
      </w:r>
      <w:r w:rsidR="004D78CD">
        <w:t>Long term</w:t>
      </w:r>
      <w:r>
        <w:t xml:space="preserve"> Safety Population</w:t>
      </w:r>
    </w:p>
    <w:p w14:paraId="1B08588C" w14:textId="77777777" w:rsidR="00651BD3" w:rsidRDefault="00DF122F" w:rsidP="00C22678">
      <w:pPr>
        <w:rPr>
          <w:lang w:eastAsia="ja-JP"/>
        </w:rPr>
      </w:pPr>
      <w:r>
        <w:rPr>
          <w:noProof/>
          <w:lang w:eastAsia="en-AU"/>
        </w:rPr>
        <w:drawing>
          <wp:inline distT="0" distB="0" distL="0" distR="0" wp14:anchorId="7AC99CCA" wp14:editId="14E72E4D">
            <wp:extent cx="5568209" cy="4250131"/>
            <wp:effectExtent l="0" t="0" r="0" b="0"/>
            <wp:docPr id="41" name="Picture 41" descr="Overview of adverse event profile by incidence (Raw and Exposure Adjusted) in the Long term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568574" cy="4250410"/>
                    </a:xfrm>
                    <a:prstGeom prst="rect">
                      <a:avLst/>
                    </a:prstGeom>
                  </pic:spPr>
                </pic:pic>
              </a:graphicData>
            </a:graphic>
          </wp:inline>
        </w:drawing>
      </w:r>
    </w:p>
    <w:p w14:paraId="2A39B1BA" w14:textId="77777777" w:rsidR="00DF122F" w:rsidRPr="00DF122F" w:rsidRDefault="00DF122F" w:rsidP="00DF122F">
      <w:pPr>
        <w:pStyle w:val="Heading6"/>
      </w:pPr>
      <w:r w:rsidRPr="00DF122F">
        <w:t>Clinical Pharmacology Studies</w:t>
      </w:r>
    </w:p>
    <w:p w14:paraId="0263EF43" w14:textId="77777777" w:rsidR="00A343A3" w:rsidRDefault="00DF122F" w:rsidP="00DF122F">
      <w:r w:rsidRPr="00DF122F">
        <w:t xml:space="preserve">The safety observations from the </w:t>
      </w:r>
      <w:r w:rsidR="004D78CD">
        <w:t>Phase I</w:t>
      </w:r>
      <w:r w:rsidRPr="00DF122F">
        <w:t xml:space="preserve"> studies were generally c</w:t>
      </w:r>
      <w:r w:rsidR="006062AB">
        <w:t>onsistent with inhibition of IL</w:t>
      </w:r>
      <w:r w:rsidR="006062AB">
        <w:noBreakHyphen/>
      </w:r>
      <w:r w:rsidRPr="00DF122F">
        <w:t>6. However, the safety findings from 2 of those early phase studies were significant to change the direction of the SAR clinical development program</w:t>
      </w:r>
      <w:r w:rsidR="00A343A3">
        <w:t>.</w:t>
      </w:r>
    </w:p>
    <w:p w14:paraId="4EDE83C7" w14:textId="232C2474" w:rsidR="00A343A3" w:rsidRDefault="00DF122F" w:rsidP="00DF122F">
      <w:r w:rsidRPr="00DF122F">
        <w:t>In Study TDU11373, which enrolled 53 healthy adult volunteers to receive single SC doses of SAR 100 mg, 150 mg or 200 mg, 51% (27/53) developed Grade 3 or 4 neutro</w:t>
      </w:r>
      <w:r w:rsidR="00BA3918">
        <w:t>paenia</w:t>
      </w:r>
      <w:r w:rsidRPr="00DF122F">
        <w:t>. A similar incidence of neutro</w:t>
      </w:r>
      <w:r w:rsidR="00BA3918">
        <w:t>paenia</w:t>
      </w:r>
      <w:r w:rsidRPr="00DF122F">
        <w:t xml:space="preserve"> was observed across the 3 SAR doses, however, the incidence of Grade 4 (severe) neutro</w:t>
      </w:r>
      <w:r w:rsidR="00BA3918">
        <w:t>paenia</w:t>
      </w:r>
      <w:r w:rsidRPr="00DF122F">
        <w:t xml:space="preserve"> was lower in the 100 mg arm (14.6%; 6/41) compared with the 200 mg dose group (30.0%; 3/10). Among the 27 subjects with Grade 3 or 4 neutro</w:t>
      </w:r>
      <w:r w:rsidR="00BA3918">
        <w:t>paenia</w:t>
      </w:r>
      <w:r w:rsidRPr="00DF122F">
        <w:t>, 6 (22.2%) experienced infection during the 35 day study period. Four subjects developed infections (1 tooth abscess, 2 pharyngitis and 1 bronchitis) concomitant with neutro</w:t>
      </w:r>
      <w:r w:rsidR="00BA3918">
        <w:t>paenia</w:t>
      </w:r>
      <w:r w:rsidRPr="00DF122F">
        <w:t>, and for another 2 subjects upper respiratory tract infection occurred after their neutro</w:t>
      </w:r>
      <w:r w:rsidR="00BA3918">
        <w:t>paenia</w:t>
      </w:r>
      <w:r w:rsidRPr="00DF122F">
        <w:t xml:space="preserve"> had resolved to </w:t>
      </w:r>
      <w:r w:rsidR="007312A2">
        <w:t xml:space="preserve">&gt; </w:t>
      </w:r>
      <w:r w:rsidRPr="00DF122F">
        <w:t xml:space="preserve">2.0 x </w:t>
      </w:r>
      <w:r w:rsidR="007312A2" w:rsidRPr="00984208">
        <w:t>10</w:t>
      </w:r>
      <w:r w:rsidR="007312A2" w:rsidRPr="007312A2">
        <w:rPr>
          <w:vertAlign w:val="superscript"/>
        </w:rPr>
        <w:t>9</w:t>
      </w:r>
      <w:r w:rsidRPr="00DF122F">
        <w:t>/L. Among the 26 subjects who did not experience Grade 3 or 4 neutro</w:t>
      </w:r>
      <w:r w:rsidR="00BA3918">
        <w:t>paenia</w:t>
      </w:r>
      <w:r w:rsidRPr="00DF122F">
        <w:t>, 3 (11.5%) had reported an infection (1 rhinitis, 1 pharyngitis and 1 gastroenteritis), all of whom had normal neutrophil counts. All infections were mild and resolved during the study. Apart from neutro</w:t>
      </w:r>
      <w:r w:rsidR="00BA3918">
        <w:t>paenia</w:t>
      </w:r>
      <w:r w:rsidRPr="00DF122F">
        <w:t>, all other types of TEAEs were relatively infrequent with the next most common TEAE being headache. A total of 8 subjects (15%) reported mild injection site reactions. There were no elevations in serum transaminases or increases above predefined thresholds for total cholesterol (7.74 mmol/L) or triglycerides (4.6 mmol/L)</w:t>
      </w:r>
      <w:r w:rsidR="00A343A3">
        <w:t>.</w:t>
      </w:r>
    </w:p>
    <w:p w14:paraId="49724A1A" w14:textId="2F4AFF4E" w:rsidR="004D78CD" w:rsidRDefault="00DF122F" w:rsidP="00DF122F">
      <w:r w:rsidRPr="00DF122F">
        <w:t>In Study TDU10808/6R88-RA-0703 (single ascending dose study), 2 patients were enrolled in the 2 mg/kg IV cohort and 4 were included in the 0.6 mg/kg dos</w:t>
      </w:r>
      <w:r w:rsidR="006062AB">
        <w:t>ing arm. One patient in the SAR </w:t>
      </w:r>
      <w:r w:rsidRPr="00DF122F">
        <w:t>2 mg/kg group experienced Grade 4 neutro</w:t>
      </w:r>
      <w:r w:rsidR="00BA3918">
        <w:t>paenia</w:t>
      </w:r>
      <w:r w:rsidRPr="00DF122F">
        <w:t xml:space="preserve"> (0.40 x</w:t>
      </w:r>
      <w:r w:rsidR="007312A2" w:rsidRPr="00984208">
        <w:t>10</w:t>
      </w:r>
      <w:r w:rsidR="007312A2" w:rsidRPr="007312A2">
        <w:rPr>
          <w:vertAlign w:val="superscript"/>
        </w:rPr>
        <w:t>9</w:t>
      </w:r>
      <w:r w:rsidRPr="00DF122F">
        <w:t xml:space="preserve">/L) within 24 hours of drug </w:t>
      </w:r>
      <w:r w:rsidRPr="00DF122F">
        <w:lastRenderedPageBreak/>
        <w:t>administration. Following review of the available safety data and due to the fact that the SAR development program intended to utilise SC administration, the sponsor decided to suspend to terminate the study</w:t>
      </w:r>
      <w:r w:rsidR="004D78CD">
        <w:t>.</w:t>
      </w:r>
    </w:p>
    <w:p w14:paraId="4091AC00" w14:textId="77777777" w:rsidR="00DF122F" w:rsidRPr="00DF122F" w:rsidRDefault="00DF122F" w:rsidP="00DF122F">
      <w:pPr>
        <w:pStyle w:val="Heading6"/>
      </w:pPr>
      <w:r w:rsidRPr="00DF122F">
        <w:t>Study MSC12665</w:t>
      </w:r>
    </w:p>
    <w:p w14:paraId="2F804CB3" w14:textId="77777777" w:rsidR="004D78CD" w:rsidRDefault="00DF122F" w:rsidP="00DF122F">
      <w:r w:rsidRPr="00DF122F">
        <w:t xml:space="preserve">This was an </w:t>
      </w:r>
      <w:r w:rsidR="004D78CD">
        <w:t>open label</w:t>
      </w:r>
      <w:r w:rsidR="006062AB">
        <w:t xml:space="preserve">, 4 </w:t>
      </w:r>
      <w:r w:rsidRPr="00DF122F">
        <w:t>arm, parallel group study of 12 weeks duration conducted in 57 centres in Europe, North and South America and South Africa, which aimed to assess the usability of SAR 150-200 mg q2w therapy given by SC injection presented as an auto-injector device (AID) or prefilled syringe (PFS). The study randomised and treated a total of 217 patients with moderate to severe active RA of at 12 weeks duration despite stable dose non-biologic DMARD therapy for at least 6 weeks prior to screening. The majority of subjects (92.6%; 201/217) completed the 12 week assessment period. Overall, 16 subjects (7.4%) discontinued, mainly due to AEs. The primary endpoint was the number of validated product associated technical failures and the secondary outcomes of relevance including the number and type of product associated complaints and patient satisfaction</w:t>
      </w:r>
      <w:r w:rsidR="004D78CD">
        <w:t>.</w:t>
      </w:r>
    </w:p>
    <w:p w14:paraId="680B3A8E" w14:textId="77777777" w:rsidR="00A343A3" w:rsidRDefault="00DF122F" w:rsidP="00DF122F">
      <w:r w:rsidRPr="00DF122F">
        <w:t xml:space="preserve">For the primary analysis, there were no product technical failures with the AID. There was </w:t>
      </w:r>
      <w:r w:rsidR="006062AB">
        <w:t>one</w:t>
      </w:r>
      <w:r w:rsidRPr="00DF122F">
        <w:t xml:space="preserve"> product technical complaint that was verified as a patient-use error resulting in failed drug delivery. The AID was replaced and the patient received their scheduled dose of SAR therapy. At the end of the 12 weeks, the majority of patients were either satisfied to very satisfied with the AID and very to extremely confident using the same type of AID as the one used in this study (98% and 91%, respectively). The majority patients (88%) thought the AID was very easy to use, and 98% thought the injection time was either normal, short or very short. In addition, the incidence and type of AEs seen in Study MSC12665 were consistent with the known safety profile of SAR</w:t>
      </w:r>
      <w:r w:rsidR="00A343A3">
        <w:t>.</w:t>
      </w:r>
    </w:p>
    <w:p w14:paraId="11D23706" w14:textId="77777777" w:rsidR="00DF122F" w:rsidRPr="00DF122F" w:rsidRDefault="00DF122F" w:rsidP="00DF122F">
      <w:pPr>
        <w:pStyle w:val="Heading4"/>
      </w:pPr>
      <w:bookmarkStart w:id="235" w:name="_Ref272333567"/>
      <w:bookmarkStart w:id="236" w:name="_Toc272414665"/>
      <w:bookmarkStart w:id="237" w:name="_Toc290888529"/>
      <w:bookmarkStart w:id="238" w:name="_Toc464131551"/>
      <w:r w:rsidRPr="00DF122F">
        <w:t>Treatment-related adverse events (adverse drug reactions)</w:t>
      </w:r>
      <w:bookmarkEnd w:id="235"/>
      <w:bookmarkEnd w:id="236"/>
      <w:bookmarkEnd w:id="237"/>
      <w:bookmarkEnd w:id="238"/>
    </w:p>
    <w:p w14:paraId="4895A810" w14:textId="77777777" w:rsidR="00DF122F" w:rsidRPr="00DF122F" w:rsidRDefault="00DF122F" w:rsidP="00DF122F">
      <w:pPr>
        <w:pStyle w:val="Heading5"/>
      </w:pPr>
      <w:r w:rsidRPr="00DF122F">
        <w:t>Pivotal studies</w:t>
      </w:r>
    </w:p>
    <w:p w14:paraId="305D4135" w14:textId="77777777" w:rsidR="00DF122F" w:rsidRPr="00DF122F" w:rsidRDefault="00DF122F" w:rsidP="00DF122F">
      <w:pPr>
        <w:pStyle w:val="Heading6"/>
      </w:pPr>
      <w:r w:rsidRPr="00DF122F">
        <w:t xml:space="preserve">Part B of Study EFC11072 </w:t>
      </w:r>
    </w:p>
    <w:p w14:paraId="049B6E77" w14:textId="799BE624" w:rsidR="00DF122F" w:rsidRPr="00DF122F" w:rsidRDefault="00DF122F" w:rsidP="00DF122F">
      <w:r w:rsidRPr="00DF122F">
        <w:t xml:space="preserve">During the </w:t>
      </w:r>
      <w:r w:rsidR="00E0128B">
        <w:t>double blind</w:t>
      </w:r>
      <w:r w:rsidRPr="00DF122F">
        <w:t xml:space="preserve"> treatment period of Part B of Study EFC11072 (only Cohort 2 data available), a higher overall incidence of treatment related AEs were observed in the 2 SAR treatment groups (38.7% </w:t>
      </w:r>
      <w:r w:rsidR="00BF33B8">
        <w:t>(</w:t>
      </w:r>
      <w:r w:rsidRPr="00DF122F">
        <w:t>155/401</w:t>
      </w:r>
      <w:r w:rsidR="00BF33B8">
        <w:t>)</w:t>
      </w:r>
      <w:r w:rsidRPr="00DF122F">
        <w:t xml:space="preserve"> in the SAR 150 mg arm and 47.5% </w:t>
      </w:r>
      <w:r w:rsidR="00BF33B8">
        <w:t>(</w:t>
      </w:r>
      <w:r w:rsidRPr="00DF122F">
        <w:t>188/396</w:t>
      </w:r>
      <w:r w:rsidR="00BF33B8">
        <w:t>)</w:t>
      </w:r>
      <w:r w:rsidRPr="00DF122F">
        <w:t xml:space="preserve"> in the SAR 200 mg group) compared with the </w:t>
      </w:r>
      <w:r w:rsidR="00A343A3">
        <w:t>placebo</w:t>
      </w:r>
      <w:r w:rsidRPr="00DF122F">
        <w:t xml:space="preserve"> arm (24.4%; 97/397). The profile of AEs considered to be related to study treatment was similar to that observed for all TEAEs. The difference in the overall incidence of treatment related AEs between each of the SAR dose groups and also when compared to </w:t>
      </w:r>
      <w:r w:rsidR="00A343A3">
        <w:t>placebo</w:t>
      </w:r>
      <w:r w:rsidRPr="00DF122F">
        <w:t xml:space="preserve"> is explained by several types of AEs. There was a significantly increased frequency of treatment related neutro</w:t>
      </w:r>
      <w:r w:rsidR="00BA3918">
        <w:t>paenia</w:t>
      </w:r>
      <w:r w:rsidRPr="00DF122F">
        <w:t xml:space="preserve"> in the 2 SAR groups (8.2% </w:t>
      </w:r>
      <w:r w:rsidR="00BF33B8">
        <w:t>(</w:t>
      </w:r>
      <w:r w:rsidRPr="00DF122F">
        <w:t>33/401</w:t>
      </w:r>
      <w:r w:rsidR="00BF33B8">
        <w:t>)</w:t>
      </w:r>
      <w:r w:rsidRPr="00DF122F">
        <w:t xml:space="preserve"> in the SAR 150 mg arm and 12.4% </w:t>
      </w:r>
      <w:r w:rsidR="00BF33B8">
        <w:t>(</w:t>
      </w:r>
      <w:r w:rsidRPr="00DF122F">
        <w:t>49/396</w:t>
      </w:r>
      <w:r w:rsidR="00BF33B8">
        <w:t>)</w:t>
      </w:r>
      <w:r w:rsidRPr="00DF122F">
        <w:t xml:space="preserve"> in the SAR 200 mg group) compared to the </w:t>
      </w:r>
      <w:r w:rsidR="00A343A3">
        <w:t>placebo</w:t>
      </w:r>
      <w:r w:rsidRPr="00DF122F">
        <w:t xml:space="preserve"> arm (0.3%; 1/397). There were also 4 cases (1.0%) of thrombocyto</w:t>
      </w:r>
      <w:r w:rsidR="00BA3918">
        <w:t>paenia</w:t>
      </w:r>
      <w:r w:rsidRPr="00DF122F">
        <w:t xml:space="preserve"> identified in each of the SAR treatment groups (versus 0 cases in the </w:t>
      </w:r>
      <w:r w:rsidR="00A343A3">
        <w:t>placebo</w:t>
      </w:r>
      <w:r w:rsidRPr="00DF122F">
        <w:t xml:space="preserve"> arm). Treatment related abnormalities of liver function tests were also more common in the 2 SAR treatment groups (7.2% </w:t>
      </w:r>
      <w:r w:rsidR="00BF33B8">
        <w:t>(</w:t>
      </w:r>
      <w:r w:rsidRPr="00DF122F">
        <w:t>29/401</w:t>
      </w:r>
      <w:r w:rsidR="00BF33B8">
        <w:t>)</w:t>
      </w:r>
      <w:r w:rsidRPr="00DF122F">
        <w:t xml:space="preserve"> in the SAR 150 mg arm and 10.1% </w:t>
      </w:r>
      <w:r w:rsidR="00BF33B8">
        <w:t>(</w:t>
      </w:r>
      <w:r w:rsidRPr="00DF122F">
        <w:t>40/396</w:t>
      </w:r>
      <w:r w:rsidR="00BF33B8">
        <w:t>)</w:t>
      </w:r>
      <w:r w:rsidRPr="00DF122F">
        <w:t xml:space="preserve"> in the SAR 200 mg group) compared to the </w:t>
      </w:r>
      <w:r w:rsidR="00A343A3">
        <w:t>placebo</w:t>
      </w:r>
      <w:r w:rsidRPr="00DF122F">
        <w:t xml:space="preserve"> arm (3.8%; 15/397).</w:t>
      </w:r>
    </w:p>
    <w:p w14:paraId="59E98766" w14:textId="010FCE4D" w:rsidR="004D78CD" w:rsidRDefault="00DF122F" w:rsidP="00DF122F">
      <w:r w:rsidRPr="00DF122F">
        <w:t xml:space="preserve">There was a slightly higher rate of treatment related infection in the SAR 150 mg group (13.2%; 53/401) compared to the SAR 200 mg arm (11.9%; 47/396) and </w:t>
      </w:r>
      <w:r w:rsidR="00A343A3">
        <w:t>placebo</w:t>
      </w:r>
      <w:r w:rsidRPr="00DF122F">
        <w:t xml:space="preserve"> group (11.1%; 44/397). Regarding individual types of infection, there were small differences between the treatment groups for the incidence of upper respiratory tract infection (6.2% in the SAR 150 mg group versus 4.</w:t>
      </w:r>
      <w:r w:rsidR="006062AB">
        <w:t>3 to 4</w:t>
      </w:r>
      <w:r w:rsidRPr="00DF122F">
        <w:t xml:space="preserve">.8% in the SAR 200 mg and </w:t>
      </w:r>
      <w:r w:rsidR="00A343A3">
        <w:t>placebo</w:t>
      </w:r>
      <w:r w:rsidRPr="00DF122F">
        <w:t xml:space="preserve"> arms), lower respiratory tract infection (3.0% in the SAR 200 mg group versus 0.</w:t>
      </w:r>
      <w:r w:rsidR="006062AB">
        <w:t>7 to 1</w:t>
      </w:r>
      <w:r w:rsidRPr="00DF122F">
        <w:t xml:space="preserve">.0% in the SAR 150 mg and </w:t>
      </w:r>
      <w:r w:rsidR="00A343A3">
        <w:t>placebo</w:t>
      </w:r>
      <w:r w:rsidRPr="00DF122F">
        <w:t xml:space="preserve"> arms), urinary tract infection (2.2% in the SAR 150 mg group versus 0.</w:t>
      </w:r>
      <w:r w:rsidR="006062AB">
        <w:t>5 to 1</w:t>
      </w:r>
      <w:r w:rsidRPr="00DF122F">
        <w:t xml:space="preserve">.3% in the SAR 200 mg and </w:t>
      </w:r>
      <w:r w:rsidR="00A343A3">
        <w:t>placebo</w:t>
      </w:r>
      <w:r w:rsidRPr="00DF122F">
        <w:t xml:space="preserve"> arms) and herpes infection (1.2% in the SAR 150 mg group and 1.0% in the SAR 200 mg arm versus 0.5% in the </w:t>
      </w:r>
      <w:r w:rsidR="00A343A3">
        <w:t>placebo</w:t>
      </w:r>
      <w:r w:rsidRPr="00DF122F">
        <w:t xml:space="preserve"> group, including 2 cases of herpes zoster infection in each of the 3 treatment groups). Treatment related lipid disorders were also slightly more frequent in the </w:t>
      </w:r>
      <w:r w:rsidRPr="00DF122F">
        <w:lastRenderedPageBreak/>
        <w:t>2</w:t>
      </w:r>
      <w:r w:rsidR="006062AB">
        <w:t> </w:t>
      </w:r>
      <w:r w:rsidRPr="00DF122F">
        <w:t xml:space="preserve">SAR treatment groups (3.0% </w:t>
      </w:r>
      <w:r w:rsidR="00BF33B8">
        <w:t>(</w:t>
      </w:r>
      <w:r w:rsidRPr="00DF122F">
        <w:t>12/401</w:t>
      </w:r>
      <w:r w:rsidR="00BF33B8">
        <w:t>)</w:t>
      </w:r>
      <w:r w:rsidRPr="00DF122F">
        <w:t xml:space="preserve"> in the SAR 150 mg arm and 1.5% </w:t>
      </w:r>
      <w:r w:rsidR="00BF33B8">
        <w:t>(</w:t>
      </w:r>
      <w:r w:rsidRPr="00DF122F">
        <w:t>6/396</w:t>
      </w:r>
      <w:r w:rsidR="00BF33B8">
        <w:t>)</w:t>
      </w:r>
      <w:r w:rsidRPr="00DF122F">
        <w:t xml:space="preserve"> in the SAR 200 mg group) compared to the </w:t>
      </w:r>
      <w:r w:rsidR="00A343A3">
        <w:t>placebo</w:t>
      </w:r>
      <w:r w:rsidRPr="00DF122F">
        <w:t xml:space="preserve"> arm (0.8%; 3/397)</w:t>
      </w:r>
      <w:r w:rsidR="004D78CD">
        <w:t>.</w:t>
      </w:r>
    </w:p>
    <w:p w14:paraId="6EFC286C" w14:textId="66A097EC" w:rsidR="00DF122F" w:rsidRPr="00DF122F" w:rsidRDefault="00DF122F" w:rsidP="00DF122F">
      <w:r w:rsidRPr="00DF122F">
        <w:t xml:space="preserve">Treatment related injection site reaction were more common in the 2 SAR treatment groups (8.0% </w:t>
      </w:r>
      <w:r w:rsidR="00BF33B8">
        <w:t>(</w:t>
      </w:r>
      <w:r w:rsidRPr="00DF122F">
        <w:t>32/401</w:t>
      </w:r>
      <w:r w:rsidR="00BF33B8">
        <w:t>)</w:t>
      </w:r>
      <w:r w:rsidRPr="00DF122F">
        <w:t xml:space="preserve"> in the SAR 150 mg arm and 9.8% </w:t>
      </w:r>
      <w:r w:rsidR="00BF33B8">
        <w:t>(</w:t>
      </w:r>
      <w:r w:rsidRPr="00DF122F">
        <w:t>39/396</w:t>
      </w:r>
      <w:r w:rsidR="00BF33B8">
        <w:t>)</w:t>
      </w:r>
      <w:r w:rsidRPr="00DF122F">
        <w:t xml:space="preserve"> in the SAR 200 mg group) compared to the </w:t>
      </w:r>
      <w:r w:rsidR="00A343A3">
        <w:t>placebo</w:t>
      </w:r>
      <w:r w:rsidRPr="00DF122F">
        <w:t xml:space="preserve"> arm (1.3%; 5/397). Regarding individual types of injection site reactions, localised erythema and pruritus were the main types of AEs to explain this treatment related difference. Apart from the rate of treatment related neutro</w:t>
      </w:r>
      <w:r w:rsidR="00BA3918">
        <w:t>paenia</w:t>
      </w:r>
      <w:r w:rsidRPr="00DF122F">
        <w:t xml:space="preserve"> and abnormalities of liver function tests, no clear dose response relationship for SAR was seen for individual types of AEs by SOC and/or PT nomenclature.</w:t>
      </w:r>
    </w:p>
    <w:p w14:paraId="5AA7A54E" w14:textId="77777777" w:rsidR="00DF122F" w:rsidRPr="00DF122F" w:rsidRDefault="00DF122F" w:rsidP="00DF122F">
      <w:pPr>
        <w:pStyle w:val="Heading6"/>
      </w:pPr>
      <w:r w:rsidRPr="00DF122F">
        <w:t>Study EFC10832</w:t>
      </w:r>
    </w:p>
    <w:p w14:paraId="6C7D74BB" w14:textId="662BCB7A" w:rsidR="00DF122F" w:rsidRPr="00DF122F" w:rsidRDefault="00DF122F" w:rsidP="00DF122F">
      <w:r w:rsidRPr="00DF122F">
        <w:t xml:space="preserve">During the </w:t>
      </w:r>
      <w:r w:rsidR="00E0128B">
        <w:t>double blind</w:t>
      </w:r>
      <w:r w:rsidRPr="00DF122F">
        <w:t xml:space="preserve"> treatment period of Study EFC10832, a higher overall incidence of treatment related AEs were observed in the 2 SAR treatment groups (33.7% </w:t>
      </w:r>
      <w:r w:rsidR="00BF33B8">
        <w:t>(</w:t>
      </w:r>
      <w:r w:rsidRPr="00DF122F">
        <w:t>61/181</w:t>
      </w:r>
      <w:r w:rsidR="00BF33B8">
        <w:t>)</w:t>
      </w:r>
      <w:r w:rsidRPr="00DF122F">
        <w:t xml:space="preserve"> in the SAR 150 mg arm and 39.1% </w:t>
      </w:r>
      <w:r w:rsidR="00BF33B8">
        <w:t>(</w:t>
      </w:r>
      <w:r w:rsidRPr="00DF122F">
        <w:t>72/184</w:t>
      </w:r>
      <w:r w:rsidR="00BF33B8">
        <w:t>)</w:t>
      </w:r>
      <w:r w:rsidRPr="00DF122F">
        <w:t xml:space="preserve"> in the SAR 200 mg group) compared with the </w:t>
      </w:r>
      <w:r w:rsidR="00A343A3">
        <w:t>placebo</w:t>
      </w:r>
      <w:r w:rsidRPr="00DF122F">
        <w:t xml:space="preserve"> arm (16.6%; 30/181). The profile of AEs considered to be related to study treatment was similar to that observed for all TEAEs. The difference in the overall incidence of treatment related AEs between each of the SAR dose groups and also when compared to </w:t>
      </w:r>
      <w:r w:rsidR="00A343A3">
        <w:t>placebo</w:t>
      </w:r>
      <w:r w:rsidRPr="00DF122F">
        <w:t xml:space="preserve"> is explained by several types of AEs. There was a higher rate of treatment related infection in the SAR 200 mg group (10.3%; 19/184) compared to the SAR 150 mg arm (5.0%; 9/181) and </w:t>
      </w:r>
      <w:r w:rsidR="00A343A3">
        <w:t>placebo</w:t>
      </w:r>
      <w:r w:rsidRPr="00DF122F">
        <w:t xml:space="preserve"> group (6.6%; 12/181). Regarding individual types of infection, there were small differences between the treatment groups for the incidence of upper respiratory tract infection (</w:t>
      </w:r>
      <w:r w:rsidR="007312A2">
        <w:t>for example</w:t>
      </w:r>
      <w:r w:rsidRPr="00DF122F">
        <w:t xml:space="preserve"> 4.3% in the SAR 200 mg group versus 2.</w:t>
      </w:r>
      <w:r w:rsidR="006062AB">
        <w:t>2 to 2</w:t>
      </w:r>
      <w:r w:rsidRPr="00DF122F">
        <w:t xml:space="preserve">.8% in the SAR 150 mg and </w:t>
      </w:r>
      <w:r w:rsidR="00A343A3">
        <w:t>placebo</w:t>
      </w:r>
      <w:r w:rsidRPr="00DF122F">
        <w:t xml:space="preserve"> arms) and herpes zoster infection (</w:t>
      </w:r>
      <w:r w:rsidR="007312A2">
        <w:t>for example</w:t>
      </w:r>
      <w:r w:rsidRPr="00DF122F">
        <w:t xml:space="preserve"> 2 cases in the SAR 200 mg group versus 1 case in the </w:t>
      </w:r>
      <w:r w:rsidR="00A343A3">
        <w:t>placebo</w:t>
      </w:r>
      <w:r w:rsidRPr="00DF122F">
        <w:t xml:space="preserve"> arm and 0 cases in the SAR 150 mg group), which explained the result. There was a significantly increased frequency of treatment related neutro</w:t>
      </w:r>
      <w:r w:rsidR="00BA3918">
        <w:t>paenia</w:t>
      </w:r>
      <w:r w:rsidRPr="00DF122F">
        <w:t xml:space="preserve"> in the 2 SAR groups (9.9% </w:t>
      </w:r>
      <w:r w:rsidR="00BF33B8">
        <w:t>(</w:t>
      </w:r>
      <w:r w:rsidRPr="00DF122F">
        <w:t>18/181</w:t>
      </w:r>
      <w:r w:rsidR="00BF33B8">
        <w:t>)</w:t>
      </w:r>
      <w:r w:rsidRPr="00DF122F">
        <w:t xml:space="preserve"> in the SAR 150 mg arm and 11.4% </w:t>
      </w:r>
      <w:r w:rsidR="00BF33B8">
        <w:t>(</w:t>
      </w:r>
      <w:r w:rsidRPr="00DF122F">
        <w:t>21/184</w:t>
      </w:r>
      <w:r w:rsidR="00BF33B8">
        <w:t>)</w:t>
      </w:r>
      <w:r w:rsidRPr="00DF122F">
        <w:t xml:space="preserve"> in the SAR 200 mg group) compared to the </w:t>
      </w:r>
      <w:r w:rsidR="00A343A3">
        <w:t>placebo</w:t>
      </w:r>
      <w:r w:rsidRPr="00DF122F">
        <w:t xml:space="preserve"> arm (0.6%; 1/181). There were also 3 cases (1.6% of 184 subjects) of thrombocyto</w:t>
      </w:r>
      <w:r w:rsidR="00BA3918">
        <w:t>paenia</w:t>
      </w:r>
      <w:r w:rsidRPr="00DF122F">
        <w:t xml:space="preserve"> identified in the SAR 200 mg group (versus 0 in the other 2 arms). Treatment related lipid disorders were also more frequent in the 2 SAR treatment groups (6.1% </w:t>
      </w:r>
      <w:r w:rsidR="00BF33B8">
        <w:t>(</w:t>
      </w:r>
      <w:r w:rsidRPr="00DF122F">
        <w:t>11/181</w:t>
      </w:r>
      <w:r w:rsidR="00BF33B8">
        <w:t>)</w:t>
      </w:r>
      <w:r w:rsidRPr="00DF122F">
        <w:t xml:space="preserve"> in the SAR 150 mg arm and 3.8% </w:t>
      </w:r>
      <w:r w:rsidR="00BF33B8">
        <w:t>(</w:t>
      </w:r>
      <w:r w:rsidRPr="00DF122F">
        <w:t>7/184</w:t>
      </w:r>
      <w:r w:rsidR="00BF33B8">
        <w:t>)</w:t>
      </w:r>
      <w:r w:rsidRPr="00DF122F">
        <w:t xml:space="preserve"> in the SAR 200 mg group) compared to the </w:t>
      </w:r>
      <w:r w:rsidR="00A343A3">
        <w:t>placebo</w:t>
      </w:r>
      <w:r w:rsidRPr="00DF122F">
        <w:t xml:space="preserve"> arm (1.1%; 2/181). Treatment related injection site reaction were more common in the 2 SAR treatment groups (6.6% </w:t>
      </w:r>
      <w:r w:rsidR="00BF33B8">
        <w:t>(</w:t>
      </w:r>
      <w:r w:rsidRPr="00DF122F">
        <w:t>12/181</w:t>
      </w:r>
      <w:r w:rsidR="00BF33B8">
        <w:t>)</w:t>
      </w:r>
      <w:r w:rsidRPr="00DF122F">
        <w:t xml:space="preserve"> in the SAR 150 mg arm and 6.0% </w:t>
      </w:r>
      <w:r w:rsidR="00BF33B8">
        <w:t>(</w:t>
      </w:r>
      <w:r w:rsidRPr="00DF122F">
        <w:t>11/184</w:t>
      </w:r>
      <w:r w:rsidR="00BF33B8">
        <w:t>)</w:t>
      </w:r>
      <w:r w:rsidRPr="00DF122F">
        <w:t xml:space="preserve"> in the SAR 200 mg group) compared to the </w:t>
      </w:r>
      <w:r w:rsidR="00A343A3">
        <w:t>placebo</w:t>
      </w:r>
      <w:r w:rsidRPr="00DF122F">
        <w:t xml:space="preserve"> arm (1.1%; 2/181). Regarding individual types of injection site reactions, localised erythema and pruritus were the main types of AEs to explain this treatment related difference. Treatment related abnormalities of liver function tests were also more common in the 2 SAR treatment groups (2.8% </w:t>
      </w:r>
      <w:r w:rsidR="00BF33B8">
        <w:t>(</w:t>
      </w:r>
      <w:r w:rsidRPr="00DF122F">
        <w:t>5/181</w:t>
      </w:r>
      <w:r w:rsidR="00BF33B8">
        <w:t>)</w:t>
      </w:r>
      <w:r w:rsidRPr="00DF122F">
        <w:t xml:space="preserve"> in the SAR 150 mg arm and 5.4% </w:t>
      </w:r>
      <w:r w:rsidR="00BF33B8">
        <w:t>(</w:t>
      </w:r>
      <w:r w:rsidRPr="00DF122F">
        <w:t>10/184</w:t>
      </w:r>
      <w:r w:rsidR="00BF33B8">
        <w:t>)</w:t>
      </w:r>
      <w:r w:rsidRPr="00DF122F">
        <w:t xml:space="preserve"> in the SAR 200 mg group) compared to the </w:t>
      </w:r>
      <w:r w:rsidR="00A343A3">
        <w:t>placebo</w:t>
      </w:r>
      <w:r w:rsidRPr="00DF122F">
        <w:t xml:space="preserve"> arm (0.6%; 1/181). Apart from the overall rate of treatment related infections and abnormalities of liver function tests, no clear dose response relationship for SAR was seen for individual types of AEs by SOC and/or PT nomenclature.</w:t>
      </w:r>
    </w:p>
    <w:p w14:paraId="23F40A25" w14:textId="77777777" w:rsidR="00DF122F" w:rsidRPr="00DF122F" w:rsidRDefault="00DF122F" w:rsidP="00DF122F">
      <w:pPr>
        <w:pStyle w:val="Heading5"/>
      </w:pPr>
      <w:r w:rsidRPr="00DF122F">
        <w:t>Other studies</w:t>
      </w:r>
    </w:p>
    <w:p w14:paraId="6435E99B" w14:textId="77777777" w:rsidR="00DF122F" w:rsidRPr="00DF122F" w:rsidRDefault="00DF122F" w:rsidP="00DF122F">
      <w:pPr>
        <w:pStyle w:val="Heading6"/>
      </w:pPr>
      <w:r w:rsidRPr="00DF122F">
        <w:t>Part A of Study EFC11072</w:t>
      </w:r>
    </w:p>
    <w:p w14:paraId="034FDA0C" w14:textId="442B6A31" w:rsidR="00A343A3" w:rsidRDefault="00DF122F" w:rsidP="00DF122F">
      <w:r w:rsidRPr="00DF122F">
        <w:t xml:space="preserve">About 25% of all TEAEs were considered to be treatment related in each of the 6 treatment groups. However, the pattern of attribution was very different for the SAR versus </w:t>
      </w:r>
      <w:r w:rsidR="00A343A3">
        <w:t>placebo</w:t>
      </w:r>
      <w:r w:rsidRPr="00DF122F">
        <w:t xml:space="preserve"> groups. In the </w:t>
      </w:r>
      <w:r w:rsidR="00A343A3">
        <w:t>placebo</w:t>
      </w:r>
      <w:r w:rsidRPr="00DF122F">
        <w:t xml:space="preserve"> arm, the majority of treatment related AEs were either infectious or accidental medication overdose errors. For the 5 SAR treatment groups, treatment related AEs were mainly accounted for by the abnormal investigation results (mainly, neutro</w:t>
      </w:r>
      <w:r w:rsidR="00BA3918">
        <w:t>paenia</w:t>
      </w:r>
      <w:r w:rsidRPr="00DF122F">
        <w:t xml:space="preserve"> and elevated serum ALT) followed by infectious AEs and injection site reactions. The submission contained a 50 page table of data for this issue, which was poorly presented</w:t>
      </w:r>
      <w:r w:rsidR="00A343A3">
        <w:t>.</w:t>
      </w:r>
    </w:p>
    <w:p w14:paraId="296C9FB4" w14:textId="77777777" w:rsidR="00DF122F" w:rsidRPr="00DF122F" w:rsidRDefault="00DF122F" w:rsidP="00DF122F">
      <w:pPr>
        <w:pStyle w:val="Heading4"/>
      </w:pPr>
      <w:bookmarkStart w:id="239" w:name="_Toc241374320"/>
      <w:bookmarkStart w:id="240" w:name="_Ref272333507"/>
      <w:bookmarkStart w:id="241" w:name="_Toc272414666"/>
      <w:bookmarkStart w:id="242" w:name="_Toc290888530"/>
      <w:bookmarkStart w:id="243" w:name="_Toc464131552"/>
      <w:r w:rsidRPr="00DF122F">
        <w:lastRenderedPageBreak/>
        <w:t>Deaths and other serious adverse events</w:t>
      </w:r>
      <w:bookmarkEnd w:id="239"/>
      <w:bookmarkEnd w:id="240"/>
      <w:bookmarkEnd w:id="241"/>
      <w:bookmarkEnd w:id="242"/>
      <w:bookmarkEnd w:id="243"/>
    </w:p>
    <w:p w14:paraId="47378FB7" w14:textId="77777777" w:rsidR="00DF122F" w:rsidRPr="00DF122F" w:rsidRDefault="00DF122F" w:rsidP="00DF122F">
      <w:pPr>
        <w:pStyle w:val="Heading5"/>
      </w:pPr>
      <w:r w:rsidRPr="00DF122F">
        <w:t>Pivotal studies</w:t>
      </w:r>
    </w:p>
    <w:p w14:paraId="3991295C" w14:textId="77777777" w:rsidR="00DF122F" w:rsidRPr="00DF122F" w:rsidRDefault="00DF122F" w:rsidP="00DF122F">
      <w:pPr>
        <w:pStyle w:val="Heading6"/>
      </w:pPr>
      <w:r w:rsidRPr="00DF122F">
        <w:t xml:space="preserve">Part B of Study EFC11072 </w:t>
      </w:r>
    </w:p>
    <w:p w14:paraId="10EC8C03" w14:textId="77777777" w:rsidR="00DF122F" w:rsidRPr="00DF122F" w:rsidRDefault="00DF122F" w:rsidP="00DF122F">
      <w:r w:rsidRPr="00DF122F">
        <w:t xml:space="preserve">Seven deaths occurred during Part B of Study EFC11072, 5 of which occurred during the </w:t>
      </w:r>
      <w:r w:rsidR="00E0128B">
        <w:t>double blind</w:t>
      </w:r>
      <w:r w:rsidRPr="00DF122F">
        <w:t xml:space="preserve"> treatment period (2 each in the </w:t>
      </w:r>
      <w:r w:rsidR="00A343A3">
        <w:t>placebo</w:t>
      </w:r>
      <w:r w:rsidRPr="00DF122F">
        <w:t xml:space="preserve"> and SAR 150 mg groups and 1 in the SAR 200 mg arm) and 2 patients died during the </w:t>
      </w:r>
      <w:r w:rsidR="004D78CD">
        <w:t>open label</w:t>
      </w:r>
      <w:r w:rsidRPr="00DF122F">
        <w:t xml:space="preserve">, rescue treatment period (1 in the </w:t>
      </w:r>
      <w:r w:rsidR="00A343A3">
        <w:t>placebo</w:t>
      </w:r>
      <w:r w:rsidRPr="00DF122F">
        <w:t xml:space="preserve"> group and the other in the SAR 200 mg arm). Two SAR treated patients died of cardiovascular events during the </w:t>
      </w:r>
      <w:r w:rsidR="00E0128B">
        <w:t>double blind</w:t>
      </w:r>
      <w:r w:rsidRPr="00DF122F">
        <w:t xml:space="preserve"> treatment. A 56</w:t>
      </w:r>
      <w:r w:rsidR="004D78CD">
        <w:t xml:space="preserve"> year</w:t>
      </w:r>
      <w:r w:rsidR="006062AB">
        <w:t xml:space="preserve"> </w:t>
      </w:r>
      <w:r w:rsidRPr="00DF122F">
        <w:t xml:space="preserve">old female receiving SAR 150 mg q2w therapy died of acute pulmonary oedema on study </w:t>
      </w:r>
      <w:r w:rsidR="00E0128B">
        <w:t>Day</w:t>
      </w:r>
      <w:r w:rsidRPr="00DF122F">
        <w:t xml:space="preserve"> 21. There was no preceding history of cardiovascular disease, but autopsy revealed chronic ischaemic heart disease. A 59</w:t>
      </w:r>
      <w:r w:rsidR="004D78CD">
        <w:t xml:space="preserve"> year</w:t>
      </w:r>
      <w:r w:rsidRPr="00DF122F">
        <w:t xml:space="preserve">-old male receiving SAR 200 mg q2w treatment died due to a suspected cerebrovascular accident on study </w:t>
      </w:r>
      <w:r w:rsidR="00E0128B">
        <w:t>Day</w:t>
      </w:r>
      <w:r w:rsidRPr="00DF122F">
        <w:t xml:space="preserve"> 107. He had a history of hypertension. A 71 year old male who received SAR 150 mg q2w, died 13 days after undergoing surgery for a perforated duodenal ulcer on study </w:t>
      </w:r>
      <w:r w:rsidR="00E0128B">
        <w:t>Day</w:t>
      </w:r>
      <w:r w:rsidRPr="00DF122F">
        <w:t xml:space="preserve"> 360. He had a history of gastro-oesophageal reflux disease and coronary artery disease. Two subjects in the control group died in the </w:t>
      </w:r>
      <w:r w:rsidR="00E0128B">
        <w:t>double blind</w:t>
      </w:r>
      <w:r w:rsidRPr="00DF122F">
        <w:t xml:space="preserve"> treatment group of suicide (</w:t>
      </w:r>
      <w:r w:rsidR="00E0128B">
        <w:t>Day</w:t>
      </w:r>
      <w:r w:rsidRPr="00DF122F">
        <w:t xml:space="preserve"> 213) and post-operative complications following surgery for acute appendicitis (</w:t>
      </w:r>
      <w:r w:rsidR="00E0128B">
        <w:t>Day</w:t>
      </w:r>
      <w:r w:rsidRPr="00DF122F">
        <w:t xml:space="preserve"> 277). Both deaths in the </w:t>
      </w:r>
      <w:r w:rsidR="004D78CD">
        <w:t>open label</w:t>
      </w:r>
      <w:r w:rsidRPr="00DF122F">
        <w:t>, rescue treatment period were related to malignancy (pancreatic adenocarcinoma and metastatic bronchial carcinoma). An additional subject (pre</w:t>
      </w:r>
      <w:r w:rsidR="006062AB">
        <w:t>viously treated with SAR 200 mg </w:t>
      </w:r>
      <w:r w:rsidRPr="00DF122F">
        <w:t>q2w) developed pneumonia 56 days after their last injection of SAR (</w:t>
      </w:r>
      <w:r w:rsidR="004D78CD">
        <w:t>that is</w:t>
      </w:r>
      <w:r w:rsidRPr="00DF122F">
        <w:t xml:space="preserve"> 41 days after the end of study visit), which resulted in the patient’s death 99 days after their last dose of SAR. This death was assessed as being not related to study medication by the site investigator.</w:t>
      </w:r>
    </w:p>
    <w:p w14:paraId="5DC3FD8B" w14:textId="49328F7E" w:rsidR="004D78CD" w:rsidRDefault="00DF122F" w:rsidP="00DF122F">
      <w:r w:rsidRPr="00DF122F">
        <w:t xml:space="preserve">In Part B of Study EFC11072, the incidences of </w:t>
      </w:r>
      <w:r w:rsidR="006062AB">
        <w:t>treatment emergent</w:t>
      </w:r>
      <w:r w:rsidRPr="00DF122F">
        <w:t xml:space="preserve"> SAEs were higher in the SAR treatment groups (8.8% </w:t>
      </w:r>
      <w:r w:rsidR="00BF33B8">
        <w:t>(</w:t>
      </w:r>
      <w:r w:rsidRPr="00DF122F">
        <w:t>38/431</w:t>
      </w:r>
      <w:r w:rsidR="00BF33B8">
        <w:t>)</w:t>
      </w:r>
      <w:r w:rsidRPr="00DF122F">
        <w:t xml:space="preserve"> in the SAR 150 mg group and 11.3% </w:t>
      </w:r>
      <w:r w:rsidR="00BF33B8">
        <w:t>(</w:t>
      </w:r>
      <w:r w:rsidRPr="00DF122F">
        <w:t>48/424</w:t>
      </w:r>
      <w:r w:rsidR="00BF33B8">
        <w:t>)</w:t>
      </w:r>
      <w:r w:rsidRPr="00DF122F">
        <w:t xml:space="preserve"> in the SAR 200 mg arm) compared with the </w:t>
      </w:r>
      <w:r w:rsidR="00A343A3">
        <w:t>placebo</w:t>
      </w:r>
      <w:r w:rsidRPr="00DF122F">
        <w:t xml:space="preserve"> group (5.4%; 23/427)</w:t>
      </w:r>
      <w:r w:rsidR="004D78CD">
        <w:t>.</w:t>
      </w:r>
    </w:p>
    <w:p w14:paraId="42E2AF03" w14:textId="77777777" w:rsidR="004D78CD" w:rsidRDefault="00DF122F" w:rsidP="00DF122F">
      <w:r w:rsidRPr="00DF122F">
        <w:t xml:space="preserve">Most types of SAEs affected </w:t>
      </w:r>
      <w:r w:rsidR="007312A2">
        <w:t xml:space="preserve">&lt; </w:t>
      </w:r>
      <w:r w:rsidRPr="00DF122F">
        <w:t xml:space="preserve">3 </w:t>
      </w:r>
      <w:r w:rsidR="006062AB" w:rsidRPr="00DF122F">
        <w:t>individuals;</w:t>
      </w:r>
      <w:r w:rsidRPr="00DF122F">
        <w:t xml:space="preserve"> however, there were some SAE types that affected multiple subjects with potential treatment related differences. The most common type of SAE by SOC was infection, which affected 2.6% (11/431) of SAR 1</w:t>
      </w:r>
      <w:r w:rsidR="006062AB">
        <w:t>50 mg treated subjects and 4.0% </w:t>
      </w:r>
      <w:r w:rsidRPr="00DF122F">
        <w:t xml:space="preserve">(17/424) of SAR 200 mg treated subjects compared to 2.3% (10/427) of </w:t>
      </w:r>
      <w:r w:rsidR="00A343A3">
        <w:t>placebo</w:t>
      </w:r>
      <w:r w:rsidRPr="00DF122F">
        <w:t xml:space="preserve"> treated subjects. There were 2 cases of pneumonia in each SAR treatment group and 1 case in the control arm. Various types of skin and soft tissue infections (</w:t>
      </w:r>
      <w:r w:rsidR="007312A2">
        <w:t>for example</w:t>
      </w:r>
      <w:r w:rsidRPr="00DF122F">
        <w:t xml:space="preserve"> erysipelas and cellulitis) were recorded in similar numbers of </w:t>
      </w:r>
      <w:r w:rsidR="00A343A3">
        <w:t>placebo</w:t>
      </w:r>
      <w:r w:rsidRPr="00DF122F">
        <w:t xml:space="preserve"> and SAR 200 mg treated subjects (4 cases in each group). There was also 1 case of osteomyelitis in a subject who received SAR 150 mg therapy and a patient receiving treatment with SAR 200 mg injections developed necrotising fasciitis. Urinary, ear and gastrointestinal infections were equally dispersed among the 3 treatment groups</w:t>
      </w:r>
      <w:r w:rsidR="004D78CD">
        <w:t>.</w:t>
      </w:r>
    </w:p>
    <w:p w14:paraId="0D60E70D" w14:textId="60B60B63" w:rsidR="004D78CD" w:rsidRDefault="00DF122F" w:rsidP="00DF122F">
      <w:r w:rsidRPr="00DF122F">
        <w:t xml:space="preserve">A total of 8 patients (3 in each SAR group and 2 in the </w:t>
      </w:r>
      <w:r w:rsidR="00A343A3">
        <w:t>placebo</w:t>
      </w:r>
      <w:r w:rsidRPr="00DF122F">
        <w:t xml:space="preserve"> arm) developed gastrointestinal SAEs, including 1 case of duodenal ulcer perforation in a patient treated with SAR 150 mg. There were no other cases of gastrointestinal perforation in the trial. A total of 9 patients developed cardiac SAEs (4 in the </w:t>
      </w:r>
      <w:r w:rsidR="00A343A3">
        <w:t>placebo</w:t>
      </w:r>
      <w:r w:rsidRPr="00DF122F">
        <w:t xml:space="preserve"> group, 2 treated with SAR 150 mg and 3 in the SAR 200 mg arm). One patient in each SAR treatment group experienced malignant melanoma and 1 subject in the </w:t>
      </w:r>
      <w:r w:rsidR="00A343A3">
        <w:t>placebo</w:t>
      </w:r>
      <w:r w:rsidRPr="00DF122F">
        <w:t xml:space="preserve"> arm of Part B of Study F2312 developed squamous cell carcinoma of the skin. Three cases of breast cancer (2 in the SAR 150 mg group and 1 in the SAR 200 mg arm) were reported. Two patients in the </w:t>
      </w:r>
      <w:r w:rsidR="00A343A3">
        <w:t>placebo</w:t>
      </w:r>
      <w:r w:rsidRPr="00DF122F">
        <w:t xml:space="preserve"> arm had reports of meningioma. Seven SAR treated subjects (3 in the 150 mg dose group and 4 in the 200 mg dose arm versus 0 in the control group) recorded neutro</w:t>
      </w:r>
      <w:r w:rsidR="00BA3918">
        <w:t>paenia</w:t>
      </w:r>
      <w:r w:rsidRPr="00DF122F">
        <w:t xml:space="preserve"> as SAE. In addition, there was 1 SAE case of thrombocyto</w:t>
      </w:r>
      <w:r w:rsidR="00BA3918">
        <w:t>paenia</w:t>
      </w:r>
      <w:r w:rsidRPr="00DF122F">
        <w:t xml:space="preserve"> recorded in each SAR treatment group. Elevated serum transaminases were recorded as SAEs in 5 SAR treated subjects (3 in the 150 mg dose group and 2 in the 200 mg arm) compared to no such reports in the control group</w:t>
      </w:r>
      <w:r w:rsidR="004D78CD">
        <w:t>.</w:t>
      </w:r>
    </w:p>
    <w:p w14:paraId="598C92D8" w14:textId="77777777" w:rsidR="00DF122F" w:rsidRPr="00DF122F" w:rsidRDefault="00DF122F" w:rsidP="00DF122F">
      <w:pPr>
        <w:pStyle w:val="Heading6"/>
      </w:pPr>
      <w:r w:rsidRPr="00DF122F">
        <w:lastRenderedPageBreak/>
        <w:t>Study EFC10832</w:t>
      </w:r>
    </w:p>
    <w:p w14:paraId="00EA605C" w14:textId="77777777" w:rsidR="00DF122F" w:rsidRPr="00DF122F" w:rsidRDefault="00DF122F" w:rsidP="00DF122F">
      <w:r w:rsidRPr="00DF122F">
        <w:t xml:space="preserve">There was only 1 death in this trial, which occurred in a patient enrolled in the </w:t>
      </w:r>
      <w:r w:rsidR="00A343A3">
        <w:t>placebo</w:t>
      </w:r>
      <w:r w:rsidRPr="00DF122F">
        <w:t xml:space="preserve"> group. The subject died of injuries sustained in a road traffic acciden</w:t>
      </w:r>
      <w:r>
        <w:t>t in which she was a passenger.</w:t>
      </w:r>
    </w:p>
    <w:p w14:paraId="3A7F4E83" w14:textId="04413253" w:rsidR="00DF122F" w:rsidRPr="00DF122F" w:rsidRDefault="00DF122F" w:rsidP="00DF122F">
      <w:r w:rsidRPr="00DF122F">
        <w:t xml:space="preserve">A higher incidence of SAEs was observed in the SAR 200 mg q2w group (5.4%; 10/184) compared to the 2 other treatment arms (3.3% </w:t>
      </w:r>
      <w:r w:rsidR="00BF33B8">
        <w:t>(</w:t>
      </w:r>
      <w:r w:rsidRPr="00DF122F">
        <w:t>6/181</w:t>
      </w:r>
      <w:r w:rsidR="00BF33B8">
        <w:t>)</w:t>
      </w:r>
      <w:r w:rsidRPr="00DF122F">
        <w:t xml:space="preserve"> in both the </w:t>
      </w:r>
      <w:r w:rsidR="00A343A3">
        <w:t>placebo</w:t>
      </w:r>
      <w:r w:rsidRPr="00DF122F">
        <w:t xml:space="preserve"> and SAR 150 mg q2w groups). The most frequently reported type of SAE by SOC was infection affecting 2 subjects in the </w:t>
      </w:r>
      <w:r w:rsidR="00A343A3">
        <w:t>placebo</w:t>
      </w:r>
      <w:r w:rsidRPr="00DF122F">
        <w:t xml:space="preserve"> group (1 case of cellulitis and 1 case of bronchitis), 1 patient in the SAR 150 mg arm (cellulitis complicated by osteomyelitis) and 2 subjects in the SAR 200 mg group (1 case eac</w:t>
      </w:r>
      <w:r>
        <w:t>h of cellulitis and pneumonia).</w:t>
      </w:r>
    </w:p>
    <w:p w14:paraId="40F3CE0F" w14:textId="77777777" w:rsidR="00DF122F" w:rsidRPr="00DF122F" w:rsidRDefault="00DF122F" w:rsidP="00DF122F">
      <w:r w:rsidRPr="00DF122F">
        <w:t xml:space="preserve">Three subjects (1 in each treatment group) in Study EFC10832 reported malignancy. A </w:t>
      </w:r>
      <w:r w:rsidR="00A343A3">
        <w:t>placebo</w:t>
      </w:r>
      <w:r w:rsidRPr="00DF122F">
        <w:t xml:space="preserve"> treated subject 71</w:t>
      </w:r>
      <w:r w:rsidR="004D78CD">
        <w:t xml:space="preserve"> year</w:t>
      </w:r>
      <w:r w:rsidRPr="00DF122F">
        <w:t xml:space="preserve">-old female) was identified as having ureteric cancer on </w:t>
      </w:r>
      <w:r w:rsidR="00E0128B">
        <w:t>Day</w:t>
      </w:r>
      <w:r w:rsidRPr="00DF122F">
        <w:t xml:space="preserve"> 105. A 65</w:t>
      </w:r>
      <w:r w:rsidR="004D78CD">
        <w:t xml:space="preserve"> year</w:t>
      </w:r>
      <w:r w:rsidRPr="00DF122F">
        <w:t xml:space="preserve">-old woman in the SAR 150 mg group was diagnosed with renal cell carcinoma on study </w:t>
      </w:r>
      <w:r w:rsidR="00E0128B">
        <w:t>Day</w:t>
      </w:r>
      <w:r w:rsidRPr="00DF122F">
        <w:t xml:space="preserve"> 10. A 53</w:t>
      </w:r>
      <w:r w:rsidR="004D78CD">
        <w:t xml:space="preserve"> year</w:t>
      </w:r>
      <w:r w:rsidRPr="00DF122F">
        <w:t>-old female treated with SAR 200 mg had a squamous cell carcinoma e</w:t>
      </w:r>
      <w:r w:rsidR="006062AB">
        <w:t>xcised fro</w:t>
      </w:r>
      <w:r>
        <w:t xml:space="preserve">m her nose on </w:t>
      </w:r>
      <w:r w:rsidR="00E0128B">
        <w:t>Day</w:t>
      </w:r>
      <w:r>
        <w:t xml:space="preserve"> 13.</w:t>
      </w:r>
    </w:p>
    <w:p w14:paraId="6434EBEA" w14:textId="7C398760" w:rsidR="00DF122F" w:rsidRPr="00DF122F" w:rsidRDefault="00DF122F" w:rsidP="00DF122F">
      <w:r w:rsidRPr="00DF122F">
        <w:t xml:space="preserve">Three SAR treated subjects (1 in the 150 mg dose group and 2 </w:t>
      </w:r>
      <w:r w:rsidR="006062AB">
        <w:t>in the 200 mg dose arm versus 0 </w:t>
      </w:r>
      <w:r w:rsidRPr="00DF122F">
        <w:t>in the control group) recorded neutro</w:t>
      </w:r>
      <w:r w:rsidR="00BA3918">
        <w:t>paenia</w:t>
      </w:r>
      <w:r w:rsidRPr="00DF122F">
        <w:t xml:space="preserve"> as SAE. In addition, there was 1 SAE case of increased serum transaminases recorded as an SAE in a patient who received SAR 200 mg therapy. One patient in the SAR 200 mg group experienced ac</w:t>
      </w:r>
      <w:r w:rsidR="006062AB">
        <w:t>ute myocardial infarction and 2 </w:t>
      </w:r>
      <w:r w:rsidRPr="00DF122F">
        <w:t>SAR treated subjects (1 in each dose arm) recorded venous thromboembolism. One patient in the SAR 150 mg group developed ha</w:t>
      </w:r>
      <w:r>
        <w:t>emorrhage from a gastric ulcer.</w:t>
      </w:r>
    </w:p>
    <w:p w14:paraId="5D4B615F" w14:textId="77777777" w:rsidR="00DF122F" w:rsidRPr="00DF122F" w:rsidRDefault="00DF122F" w:rsidP="00DF122F">
      <w:pPr>
        <w:pStyle w:val="Heading5"/>
      </w:pPr>
      <w:r w:rsidRPr="00DF122F">
        <w:t>Other studies</w:t>
      </w:r>
    </w:p>
    <w:p w14:paraId="2FE372E6" w14:textId="77777777" w:rsidR="00DF122F" w:rsidRPr="00DF122F" w:rsidRDefault="00DF122F" w:rsidP="00DF122F">
      <w:pPr>
        <w:pStyle w:val="Heading6"/>
      </w:pPr>
      <w:r w:rsidRPr="00DF122F">
        <w:t>Part A of Study EFC11072</w:t>
      </w:r>
    </w:p>
    <w:p w14:paraId="43BB9EEC" w14:textId="454FEF62" w:rsidR="00DF122F" w:rsidRPr="00DF122F" w:rsidRDefault="00DF122F" w:rsidP="00DF122F">
      <w:r w:rsidRPr="00DF122F">
        <w:t xml:space="preserve">A 67 year old male in the SAR 100 mg q2w group died on study </w:t>
      </w:r>
      <w:r w:rsidR="00E0128B">
        <w:t>Day</w:t>
      </w:r>
      <w:r w:rsidRPr="00DF122F">
        <w:t xml:space="preserve"> 18 of cerebrovascular accident and acute respiratory distress syndrome, which was considered to be possible treatment related. During treatment, 9 patients recorded SAEs (including the above unexpected death). Of the remaining 8 patients who had SAEs, 2 occurred in patients in the </w:t>
      </w:r>
      <w:r w:rsidR="00A343A3">
        <w:t>placebo</w:t>
      </w:r>
      <w:r w:rsidRPr="00DF122F">
        <w:t xml:space="preserve"> group (3.9% of 51), 3 patients in the SAR 100 mg q2w treatment group (5.9% of 51) and 3 patients in the SAR 100 mg qw arm (6.0% of 50). One of the SAEs was considered to be treatment related. A patient (42 year old female) in the SAR 100 mg qw treatment group experienced a systemic hypersensitivity reaction 70 minutes after receiving her first dose of SAR which was characterised by erythema on her arms, chest and face. There was no cardiorespiratory compromise and the SAE recovered within hours after treatment with anti-histamines (intravenous and oral) as well as intravenous CS. The patient withdrew from the trial as a consequence. Two of the other SAEs were malignancies affecting a patient in the </w:t>
      </w:r>
      <w:r w:rsidR="00A343A3">
        <w:t>placebo</w:t>
      </w:r>
      <w:r w:rsidRPr="00DF122F">
        <w:t xml:space="preserve"> group (squamous cell carcinoma of the cheek) and another subject in the SAR 100 mg q2w arm (plasmacytoma). Neither malignancy was considered to be treatment related. Three patients experienced worsening of musculoskeletal symptoms, 1 subject had severe neutro</w:t>
      </w:r>
      <w:r w:rsidR="00BA3918">
        <w:t>paenia</w:t>
      </w:r>
      <w:r w:rsidRPr="00DF122F">
        <w:t xml:space="preserve"> and another patient expe</w:t>
      </w:r>
      <w:r>
        <w:t>rienced alcoholic pancreatitis.</w:t>
      </w:r>
    </w:p>
    <w:p w14:paraId="0FCC9483" w14:textId="77777777" w:rsidR="00DF122F" w:rsidRPr="00DF122F" w:rsidRDefault="004D78CD" w:rsidP="00DF122F">
      <w:pPr>
        <w:pStyle w:val="Heading6"/>
      </w:pPr>
      <w:r>
        <w:t>Long term</w:t>
      </w:r>
      <w:r w:rsidR="00DF122F" w:rsidRPr="00DF122F">
        <w:t xml:space="preserve"> </w:t>
      </w:r>
      <w:r w:rsidR="006062AB" w:rsidRPr="00DF122F">
        <w:t>safety p</w:t>
      </w:r>
      <w:r w:rsidR="00DF122F" w:rsidRPr="00DF122F">
        <w:t>opulation</w:t>
      </w:r>
    </w:p>
    <w:p w14:paraId="366A11B9" w14:textId="77777777" w:rsidR="00DF122F" w:rsidRPr="00DF122F" w:rsidRDefault="00DF122F" w:rsidP="00DF122F">
      <w:r w:rsidRPr="00DF122F">
        <w:t xml:space="preserve">The exposure adjusted incidence rate of death with SAR + DMARD in the </w:t>
      </w:r>
      <w:r w:rsidR="004D78CD">
        <w:t>long term</w:t>
      </w:r>
      <w:r w:rsidRPr="00DF122F">
        <w:t xml:space="preserve"> safety population is 0.4 deaths per 100 PY (95% CI 0.26, 0.66), which is within expectations for the matched treatment population. As of 29 April 2015, a total of 25 deaths have been reported in the </w:t>
      </w:r>
      <w:r w:rsidR="004D78CD">
        <w:t>long term</w:t>
      </w:r>
      <w:r w:rsidRPr="00DF122F">
        <w:t xml:space="preserve"> safety population, including 3 non-cardiovascular related deaths in </w:t>
      </w:r>
      <w:r w:rsidR="00A343A3">
        <w:t>placebo</w:t>
      </w:r>
      <w:r w:rsidRPr="00DF122F">
        <w:t xml:space="preserve"> treated subjects, 1 death related to septic shock in a subject</w:t>
      </w:r>
      <w:r w:rsidR="006062AB">
        <w:t xml:space="preserve"> receiving tocilizumab in Study </w:t>
      </w:r>
      <w:r w:rsidRPr="00DF122F">
        <w:t xml:space="preserve">SFY13370 and 21 deaths in patients who received combination SAR and DMARD therapy. Another 2 deaths in subjects receiving SAR + DMARD therapy have been reported after the data cut-off date of 29 April, 2015. There is also 1 additional mortality in a patient who received SAR monotherapy. The rates and causes of death reported with SAR are consistent with what would be expected in an RA patient population with underlying co-morbid disease conditions. The </w:t>
      </w:r>
      <w:r w:rsidRPr="00DF122F">
        <w:lastRenderedPageBreak/>
        <w:t>mortality rate in patients with RA is 2.7 deaths/100 patient</w:t>
      </w:r>
      <w:r w:rsidR="004D78CD">
        <w:t xml:space="preserve"> year</w:t>
      </w:r>
      <w:r w:rsidRPr="00DF122F">
        <w:t xml:space="preserve">s (95% CI: 2.2, 3.3), with the most frequent causes of death being MACE, malignancy and infection. Of the 21 deaths with SAR + DMARD in the </w:t>
      </w:r>
      <w:r w:rsidR="004D78CD">
        <w:t>long term</w:t>
      </w:r>
      <w:r w:rsidRPr="00DF122F">
        <w:t xml:space="preserve"> safety population, 7 were related to MACE (including 5 cardiac, 1 stroke and 1 pulmonary embolus), 12 were not due to MACE related events (including 6 infections and 3 malignancy related deaths), 2 were of undetermined cause (including 1 additional cancer case) and 1 was not adjudicated (occurred in the </w:t>
      </w:r>
      <w:r w:rsidR="004D78CD">
        <w:t>Phase II</w:t>
      </w:r>
      <w:r w:rsidR="006062AB">
        <w:t xml:space="preserve"> study;</w:t>
      </w:r>
      <w:r w:rsidRPr="00DF122F">
        <w:t xml:space="preserve"> stroke and adult respiratory distress syndrome). The exposure-adjusted rate of death with SAR + DMARD treatment did not increase over time in the </w:t>
      </w:r>
      <w:r w:rsidR="004D78CD">
        <w:t>long term</w:t>
      </w:r>
      <w:r w:rsidRPr="00DF122F">
        <w:t xml:space="preserve"> safety population</w:t>
      </w:r>
      <w:r>
        <w:t xml:space="preserve"> (up to month 54).</w:t>
      </w:r>
    </w:p>
    <w:p w14:paraId="1E36BF86" w14:textId="590C1B69" w:rsidR="00A343A3" w:rsidRDefault="00DF122F" w:rsidP="00DF122F">
      <w:r w:rsidRPr="00DF122F">
        <w:t xml:space="preserve">In the </w:t>
      </w:r>
      <w:r w:rsidR="004D78CD">
        <w:t>long term</w:t>
      </w:r>
      <w:r w:rsidRPr="00DF122F">
        <w:t xml:space="preserve"> safety population, the exposure adjusted incident rate of SAEs appears to be slightly higher in the SAR 200 mg (11.3 SAEs/100 PY) versus 150 mg group (9.0 SAEs/100 PY), and the incidence of SAEs with both doses of SAR remains co</w:t>
      </w:r>
      <w:r w:rsidR="006062AB">
        <w:t>nstant over time (analysed by 6 </w:t>
      </w:r>
      <w:r w:rsidRPr="00DF122F">
        <w:t xml:space="preserve">month periods up to 52 months). The difference between the 2 SAR dose groups is primarily explained by rate differences in the SOC of infection (4.3 SAEs/100 PY in SAR 200 mg q2w versus 3.1 SAEs/100 PY in SAR 150 mg q2w). The most frequent types of SAEs by PT were pneumonia (27 </w:t>
      </w:r>
      <w:r w:rsidR="00BF33B8">
        <w:t>(</w:t>
      </w:r>
      <w:r w:rsidRPr="00DF122F">
        <w:t>0.9%</w:t>
      </w:r>
      <w:r w:rsidR="00BF33B8">
        <w:t>)</w:t>
      </w:r>
      <w:r w:rsidRPr="00DF122F">
        <w:t xml:space="preserve"> patients), RA (21 </w:t>
      </w:r>
      <w:r w:rsidR="00BF33B8">
        <w:t>(</w:t>
      </w:r>
      <w:r w:rsidRPr="00DF122F">
        <w:t>0.7%</w:t>
      </w:r>
      <w:r w:rsidR="00BF33B8">
        <w:t>)</w:t>
      </w:r>
      <w:r w:rsidRPr="00DF122F">
        <w:t xml:space="preserve"> patients), osteoarthritis (20 </w:t>
      </w:r>
      <w:r w:rsidR="00BF33B8">
        <w:t>(</w:t>
      </w:r>
      <w:r w:rsidRPr="00DF122F">
        <w:t>0.7%</w:t>
      </w:r>
      <w:r w:rsidR="00BF33B8">
        <w:t>)</w:t>
      </w:r>
      <w:r w:rsidRPr="00DF122F">
        <w:t xml:space="preserve"> patients) and neutro</w:t>
      </w:r>
      <w:r w:rsidR="00BA3918">
        <w:t>paenia</w:t>
      </w:r>
      <w:r w:rsidRPr="00DF122F">
        <w:t xml:space="preserve"> (16 </w:t>
      </w:r>
      <w:r w:rsidR="00BF33B8">
        <w:t>(</w:t>
      </w:r>
      <w:r w:rsidRPr="00DF122F">
        <w:t>0.6%</w:t>
      </w:r>
      <w:r w:rsidR="00BF33B8">
        <w:t>)</w:t>
      </w:r>
      <w:r w:rsidRPr="00DF122F">
        <w:t xml:space="preserve"> patients). Pneumonia occurred at a slightly higher incident rate with SAR 200 mg (0.6/100 PY) versus 150 mg therapy (0.3/100 PY). However, the incidence of neutro</w:t>
      </w:r>
      <w:r w:rsidR="00BA3918">
        <w:t>paenia</w:t>
      </w:r>
      <w:r w:rsidRPr="00DF122F">
        <w:t xml:space="preserve"> is higher in the lower SAR dose group (0.7 versus 0.4/100 PY). In the </w:t>
      </w:r>
      <w:r w:rsidR="004D78CD">
        <w:t>long term</w:t>
      </w:r>
      <w:r w:rsidRPr="00DF122F">
        <w:t xml:space="preserve"> safety population, 2 patients (both receiving SAR 200 mg q2w) have reported the SAE of pancyto</w:t>
      </w:r>
      <w:r w:rsidR="00BA3918">
        <w:t>paenia</w:t>
      </w:r>
      <w:r w:rsidRPr="00DF122F">
        <w:t>. In both cases, pancyto</w:t>
      </w:r>
      <w:r w:rsidR="00BA3918">
        <w:t>paenia</w:t>
      </w:r>
      <w:r w:rsidRPr="00DF122F">
        <w:t xml:space="preserve"> was of acute onset and occurred 1</w:t>
      </w:r>
      <w:r w:rsidR="006062AB">
        <w:t>2 to 1</w:t>
      </w:r>
      <w:r w:rsidRPr="00DF122F">
        <w:t xml:space="preserve">6 months after initiation of SAR. One patient was subsequently diagnosed with non-specific inflammatory bowel disease (requiring treatment) and the other had vitamin B12 deficiency as a potential confounding </w:t>
      </w:r>
      <w:r w:rsidR="00913BB9">
        <w:t>a</w:t>
      </w:r>
      <w:r w:rsidRPr="00DF122F">
        <w:t>etiology. Another patient in Study LTS11210 recorded persistent severe neutro</w:t>
      </w:r>
      <w:r w:rsidR="00BA3918">
        <w:t>paenia</w:t>
      </w:r>
      <w:r w:rsidRPr="00DF122F">
        <w:t xml:space="preserve"> during most of their SAR therapy and had a reported SAE of bone marrow failure, based on bone marrow biopsy conducted 22 months after initiation of SAR. Bone marrow histology was suggestive of bone marrow hypoplasia but the amount of hematopoietic tissue available was limited. SAR and MTX were discontinued and the neutro</w:t>
      </w:r>
      <w:r w:rsidR="00BA3918">
        <w:t>paenia</w:t>
      </w:r>
      <w:r w:rsidRPr="00DF122F">
        <w:t xml:space="preserve"> improved. Given the limited amount of hematopoietic tissue available from bone marrow biopsy, no conclusive assessment regarding bone marrow failure was feasible. Six patients reported pancreatitis in the </w:t>
      </w:r>
      <w:r w:rsidR="004D78CD">
        <w:t>long term</w:t>
      </w:r>
      <w:r w:rsidRPr="00DF122F">
        <w:t xml:space="preserve"> safety population, but only 1 was considered to be possibly related to SAR</w:t>
      </w:r>
      <w:r w:rsidR="00A343A3">
        <w:t>.</w:t>
      </w:r>
    </w:p>
    <w:p w14:paraId="355E3EF0" w14:textId="77777777" w:rsidR="00DF122F" w:rsidRPr="00DF122F" w:rsidRDefault="00DF122F" w:rsidP="00DF122F">
      <w:pPr>
        <w:pStyle w:val="Heading4"/>
      </w:pPr>
      <w:bookmarkStart w:id="244" w:name="_Toc241374325"/>
      <w:bookmarkStart w:id="245" w:name="_Ref272333477"/>
      <w:bookmarkStart w:id="246" w:name="_Toc272414667"/>
      <w:bookmarkStart w:id="247" w:name="_Toc290888531"/>
      <w:bookmarkStart w:id="248" w:name="_Toc464131553"/>
      <w:r w:rsidRPr="00DF122F">
        <w:t>Discontinuation due to adverse events</w:t>
      </w:r>
      <w:bookmarkEnd w:id="244"/>
      <w:bookmarkEnd w:id="245"/>
      <w:bookmarkEnd w:id="246"/>
      <w:bookmarkEnd w:id="247"/>
      <w:bookmarkEnd w:id="248"/>
    </w:p>
    <w:p w14:paraId="7BA14D0F" w14:textId="77777777" w:rsidR="00DF122F" w:rsidRPr="00DF122F" w:rsidRDefault="00DF122F" w:rsidP="00DF122F">
      <w:pPr>
        <w:pStyle w:val="Heading5"/>
      </w:pPr>
      <w:r w:rsidRPr="00DF122F">
        <w:t>Pivotal studies</w:t>
      </w:r>
    </w:p>
    <w:p w14:paraId="76162A6A" w14:textId="77777777" w:rsidR="00DF122F" w:rsidRPr="00DF122F" w:rsidRDefault="006062AB" w:rsidP="00DF122F">
      <w:pPr>
        <w:pStyle w:val="Heading6"/>
      </w:pPr>
      <w:r>
        <w:t>Part B of Study EFC11072</w:t>
      </w:r>
    </w:p>
    <w:p w14:paraId="4B6608FC" w14:textId="5426BD43" w:rsidR="00DF122F" w:rsidRPr="00DF122F" w:rsidRDefault="00DF122F" w:rsidP="00DF122F">
      <w:r w:rsidRPr="00DF122F">
        <w:t xml:space="preserve">In this safety population, the incidence of subjects permanently discontinuing from study medication due to AEs was higher in the 2 SAR treatment groups (12.5% </w:t>
      </w:r>
      <w:r w:rsidR="00BF33B8">
        <w:t>(</w:t>
      </w:r>
      <w:r w:rsidRPr="00DF122F">
        <w:t>54/431</w:t>
      </w:r>
      <w:r w:rsidR="00BF33B8">
        <w:t>)</w:t>
      </w:r>
      <w:r w:rsidRPr="00DF122F">
        <w:t xml:space="preserve"> in the SAR 150 mg arm and 13.9% </w:t>
      </w:r>
      <w:r w:rsidR="00BF33B8">
        <w:t>(</w:t>
      </w:r>
      <w:r w:rsidRPr="00DF122F">
        <w:t>59/424</w:t>
      </w:r>
      <w:r w:rsidR="00BF33B8">
        <w:t>)</w:t>
      </w:r>
      <w:r w:rsidRPr="00DF122F">
        <w:t xml:space="preserve"> in the SAR 200 mg group) compared with </w:t>
      </w:r>
      <w:r>
        <w:t xml:space="preserve">the </w:t>
      </w:r>
      <w:r w:rsidR="00A343A3">
        <w:t>placebo</w:t>
      </w:r>
      <w:r>
        <w:t xml:space="preserve"> arm (4.7%; 20/427).</w:t>
      </w:r>
    </w:p>
    <w:p w14:paraId="24739BB7" w14:textId="77777777" w:rsidR="00DF122F" w:rsidRPr="00DF122F" w:rsidRDefault="00DF122F" w:rsidP="00DF122F">
      <w:r w:rsidRPr="00DF122F">
        <w:t>The 3 most frequently reported types of AEs by SOC leading to treatment discontinuation were:</w:t>
      </w:r>
    </w:p>
    <w:p w14:paraId="0229921A" w14:textId="77777777" w:rsidR="00DF122F" w:rsidRPr="00DF122F" w:rsidRDefault="006062AB" w:rsidP="000C2144">
      <w:pPr>
        <w:pStyle w:val="ListBullet"/>
      </w:pPr>
      <w:r>
        <w:t>Infections;</w:t>
      </w:r>
      <w:r w:rsidR="00DF122F" w:rsidRPr="00DF122F">
        <w:t xml:space="preserve"> affecting 1.4% (6/427) of subjects in the </w:t>
      </w:r>
      <w:r w:rsidR="00A343A3">
        <w:t>placebo</w:t>
      </w:r>
      <w:r w:rsidR="00DF122F" w:rsidRPr="00DF122F">
        <w:t xml:space="preserve"> group, 3.2% (14/431) of patients in the SAR 150 mg arm and 3.1% (13/424) of su</w:t>
      </w:r>
      <w:r>
        <w:t>bjects in the SAR 200 mg group;</w:t>
      </w:r>
    </w:p>
    <w:p w14:paraId="0FD6A206" w14:textId="77777777" w:rsidR="00DF122F" w:rsidRPr="00DF122F" w:rsidRDefault="00DF122F" w:rsidP="000C2144">
      <w:pPr>
        <w:pStyle w:val="ListBullet"/>
      </w:pPr>
      <w:r w:rsidRPr="00DF122F">
        <w:t>Blood a</w:t>
      </w:r>
      <w:r w:rsidR="006062AB">
        <w:t xml:space="preserve">nd lymphatic system disorders; </w:t>
      </w:r>
      <w:r w:rsidRPr="00DF122F">
        <w:t xml:space="preserve">affecting 0.2% (1/427) of subjects in the </w:t>
      </w:r>
      <w:r w:rsidR="00A343A3">
        <w:t>placebo</w:t>
      </w:r>
      <w:r w:rsidRPr="00DF122F">
        <w:t xml:space="preserve"> group, 2.6% (11/431) of patients in the SAR 150 mg arm and 3.1% (13/424) in the SAR 200 mg group; and </w:t>
      </w:r>
    </w:p>
    <w:p w14:paraId="38128AF6" w14:textId="77777777" w:rsidR="00DF122F" w:rsidRPr="00DF122F" w:rsidRDefault="006062AB" w:rsidP="00DF122F">
      <w:pPr>
        <w:pStyle w:val="ListBullet"/>
      </w:pPr>
      <w:r>
        <w:t>Abnormal investigation results;</w:t>
      </w:r>
      <w:r w:rsidR="00DF122F" w:rsidRPr="00DF122F">
        <w:t xml:space="preserve"> affecting 0.2% (1/427) of subjects in the </w:t>
      </w:r>
      <w:r w:rsidR="00A343A3">
        <w:t>placebo</w:t>
      </w:r>
      <w:r w:rsidR="00DF122F" w:rsidRPr="00DF122F">
        <w:t xml:space="preserve"> group, 2.3% (10/431) of patients in the SAR 150 mg arm and 2.8% (12/424) of subjects in the SAR 200 mg group.</w:t>
      </w:r>
    </w:p>
    <w:p w14:paraId="3A69D47D" w14:textId="77777777" w:rsidR="00DF122F" w:rsidRPr="00DF122F" w:rsidRDefault="00DF122F" w:rsidP="00DF122F">
      <w:r w:rsidRPr="00DF122F">
        <w:t xml:space="preserve">Regarding the specific types of infection that led to treatment discontinuation, there were 2 cases of herpes zoster in each of the 3 treatment groups (6 events in total), 3 cases of </w:t>
      </w:r>
      <w:r w:rsidRPr="00DF122F">
        <w:lastRenderedPageBreak/>
        <w:t>oral</w:t>
      </w:r>
      <w:r w:rsidR="006062AB">
        <w:t> </w:t>
      </w:r>
      <w:r w:rsidRPr="00DF122F">
        <w:t xml:space="preserve">herpes (2 in the SAR 150 mg group and 1 in the SAR 200 mg arm) and 2 cases of pneumonia (1 in each SAR treatment group). The remainder of infection related AEs leading to study discontinuation were single types of AEs although it is worth noting that 2 additional SAR 150 mg treated subjects developed herpes infections resulting in treatment discontinuation (1 case each of herpes zoster </w:t>
      </w:r>
      <w:r w:rsidR="000C2144">
        <w:t>ophthalmic and genital herpes).</w:t>
      </w:r>
    </w:p>
    <w:p w14:paraId="09098014" w14:textId="777642EF" w:rsidR="00DF122F" w:rsidRPr="00DF122F" w:rsidRDefault="00DF122F" w:rsidP="00DF122F">
      <w:r w:rsidRPr="00DF122F">
        <w:t>The withdrawals due to blood disorders were principally accounted for by neutro</w:t>
      </w:r>
      <w:r w:rsidR="00BA3918">
        <w:t>paenia</w:t>
      </w:r>
      <w:r w:rsidRPr="00DF122F">
        <w:t xml:space="preserve"> (9 cases in each SAR treatment group) followed by thrombocyto</w:t>
      </w:r>
      <w:r w:rsidR="00BA3918">
        <w:t>paenia</w:t>
      </w:r>
      <w:r w:rsidRPr="00DF122F">
        <w:t xml:space="preserve"> (2 cases in the SAR 200 mg group and 1 case in the SAR 150 mg arm). No cases of treatment discontinuation due to either neutro</w:t>
      </w:r>
      <w:r w:rsidR="00BA3918">
        <w:t>paenia</w:t>
      </w:r>
      <w:r w:rsidRPr="00DF122F">
        <w:t xml:space="preserve"> or thrombocyto</w:t>
      </w:r>
      <w:r w:rsidR="00BA3918">
        <w:t>paenia</w:t>
      </w:r>
      <w:r w:rsidRPr="00DF122F">
        <w:t xml:space="preserve"> </w:t>
      </w:r>
      <w:r w:rsidR="000C2144">
        <w:t xml:space="preserve">were observed in the </w:t>
      </w:r>
      <w:r w:rsidR="00A343A3">
        <w:t>placebo</w:t>
      </w:r>
      <w:r w:rsidR="000C2144">
        <w:t xml:space="preserve"> group.</w:t>
      </w:r>
    </w:p>
    <w:p w14:paraId="4C832960" w14:textId="77777777" w:rsidR="00DF122F" w:rsidRPr="00DF122F" w:rsidRDefault="00DF122F" w:rsidP="00DF122F">
      <w:r w:rsidRPr="00DF122F">
        <w:t>Withdrawing cases due to abnormal investigation results were mainly accounted for by increased serum transaminases, which affected 10 individu</w:t>
      </w:r>
      <w:r w:rsidR="006062AB">
        <w:t>als in the SAR 150 mg group, 11 </w:t>
      </w:r>
      <w:r w:rsidRPr="00DF122F">
        <w:t>subjects in the SAR 200 mg arm a</w:t>
      </w:r>
      <w:r w:rsidR="000C2144">
        <w:t xml:space="preserve">nd 1 patient in the </w:t>
      </w:r>
      <w:r w:rsidR="00A343A3">
        <w:t>placebo</w:t>
      </w:r>
      <w:r w:rsidR="000C2144">
        <w:t xml:space="preserve"> arm.</w:t>
      </w:r>
    </w:p>
    <w:p w14:paraId="5ED724DC" w14:textId="77777777" w:rsidR="00DF122F" w:rsidRPr="00DF122F" w:rsidRDefault="00DF122F" w:rsidP="000C2144">
      <w:pPr>
        <w:pStyle w:val="Heading6"/>
      </w:pPr>
      <w:r w:rsidRPr="00DF122F">
        <w:t>Study EFC10832</w:t>
      </w:r>
    </w:p>
    <w:p w14:paraId="7EADF5B8" w14:textId="713B4099" w:rsidR="004D78CD" w:rsidRDefault="00DF122F" w:rsidP="00DF122F">
      <w:r w:rsidRPr="00DF122F">
        <w:t xml:space="preserve">In Study EFC10832, a higher incidence of TEAEs leading to permanent treatment discontinuation was observed in the 2 SAR treatment groups compared to the control arm. A total of 39 subjects prematurely discontinued from this trial due to AEs. The number and frequency of AEs leading to treatment discontinuation were 4.4% (8/181) in the </w:t>
      </w:r>
      <w:r w:rsidR="00A343A3">
        <w:t>placebo</w:t>
      </w:r>
      <w:r w:rsidRPr="00DF122F">
        <w:t xml:space="preserve"> group, 7.7% (14/181) in the SAR 150 mg arm and 9.2% (17/184) in the SAR 200 mg group. The 2 most common types of AEs leading to discontinuation were infections (affecting 5 subjects in each SAR treatment group </w:t>
      </w:r>
      <w:r w:rsidR="00BF33B8">
        <w:t>(</w:t>
      </w:r>
      <w:r w:rsidRPr="00DF122F">
        <w:t>2.8%</w:t>
      </w:r>
      <w:r w:rsidR="00BF33B8">
        <w:t>)</w:t>
      </w:r>
      <w:r w:rsidRPr="00DF122F">
        <w:t xml:space="preserve"> and 1 patient </w:t>
      </w:r>
      <w:r w:rsidR="00BF33B8">
        <w:t>(</w:t>
      </w:r>
      <w:r w:rsidRPr="00DF122F">
        <w:t>0.6%</w:t>
      </w:r>
      <w:r w:rsidR="00BF33B8">
        <w:t>)</w:t>
      </w:r>
      <w:r w:rsidRPr="00DF122F">
        <w:t xml:space="preserve"> in the </w:t>
      </w:r>
      <w:r w:rsidR="00A343A3">
        <w:t>placebo</w:t>
      </w:r>
      <w:r w:rsidRPr="00DF122F">
        <w:t xml:space="preserve"> arm) and blood disorders (affecting 5 subjects in each SAR treatment group </w:t>
      </w:r>
      <w:r w:rsidR="00BF33B8">
        <w:t>(</w:t>
      </w:r>
      <w:r w:rsidRPr="00DF122F">
        <w:t>2.8%</w:t>
      </w:r>
      <w:r w:rsidR="00BF33B8">
        <w:t>)</w:t>
      </w:r>
      <w:r w:rsidRPr="00DF122F">
        <w:t xml:space="preserve"> and 1 patient </w:t>
      </w:r>
      <w:r w:rsidR="00BF33B8">
        <w:t>(</w:t>
      </w:r>
      <w:r w:rsidRPr="00DF122F">
        <w:t>0.6%</w:t>
      </w:r>
      <w:r w:rsidR="00BF33B8">
        <w:t>)</w:t>
      </w:r>
      <w:r w:rsidRPr="00DF122F">
        <w:t xml:space="preserve"> in the </w:t>
      </w:r>
      <w:r w:rsidR="00A343A3">
        <w:t>placebo</w:t>
      </w:r>
      <w:r w:rsidRPr="00DF122F">
        <w:t xml:space="preserve"> arm)</w:t>
      </w:r>
      <w:r w:rsidR="004D78CD">
        <w:t>.</w:t>
      </w:r>
    </w:p>
    <w:p w14:paraId="72B87FF6" w14:textId="77777777" w:rsidR="00DF122F" w:rsidRPr="00DF122F" w:rsidRDefault="00DF122F" w:rsidP="00DF122F">
      <w:r w:rsidRPr="00DF122F">
        <w:t>Regarding the specific types of infection that led to treatmen</w:t>
      </w:r>
      <w:r w:rsidR="006062AB">
        <w:t>t discontinuation, there were 3 </w:t>
      </w:r>
      <w:r w:rsidRPr="00DF122F">
        <w:t xml:space="preserve">cases of cellulitis (2 in the SAR 150 mg group and 1 case in the SAR 200 mg arm), 2 cases of herpes zoster (1 in the </w:t>
      </w:r>
      <w:r w:rsidR="00A343A3">
        <w:t>placebo</w:t>
      </w:r>
      <w:r w:rsidRPr="00DF122F">
        <w:t xml:space="preserve"> group and 1 in the SAR 200 mg arm) and 2 cases of pneumonia (1 in each SAR treatment group). The remainder of infection related AEs leading to study discontinuation were single types of AEs such as breast abscess, sialoadenitis</w:t>
      </w:r>
      <w:r w:rsidR="000C2144">
        <w:t>, sinusitis and infected bites.</w:t>
      </w:r>
    </w:p>
    <w:p w14:paraId="2B1204C4" w14:textId="3F01E83F" w:rsidR="00DF122F" w:rsidRPr="00DF122F" w:rsidRDefault="00DF122F" w:rsidP="00DF122F">
      <w:r w:rsidRPr="00DF122F">
        <w:t>The withdrawals due to blood disorders were principally accounted for by neutro</w:t>
      </w:r>
      <w:r w:rsidR="00BA3918">
        <w:t>paenia</w:t>
      </w:r>
      <w:r w:rsidRPr="00DF122F">
        <w:t xml:space="preserve"> (5 cases in the SAR 150 mg treatment group, 3 in the SAR 200 mg arm and 1 in the </w:t>
      </w:r>
      <w:r w:rsidR="00A343A3">
        <w:t>placebo</w:t>
      </w:r>
      <w:r w:rsidR="006062AB">
        <w:t xml:space="preserve"> group) and 1 </w:t>
      </w:r>
      <w:r w:rsidRPr="00DF122F">
        <w:t>case of thrombocyto</w:t>
      </w:r>
      <w:r w:rsidR="00BA3918">
        <w:t>paenia</w:t>
      </w:r>
      <w:r w:rsidRPr="00DF122F">
        <w:t xml:space="preserve"> in a patient treated in the SAR 200 mg group. Four patients (2 in the SAR 200 mg group and 1 each in the other 2 arms) ceased involvement in Study EFC10832 due to abnorma</w:t>
      </w:r>
      <w:r w:rsidR="000C2144">
        <w:t>lities of liver function tests.</w:t>
      </w:r>
    </w:p>
    <w:p w14:paraId="6D4DAB8B" w14:textId="77777777" w:rsidR="00DF122F" w:rsidRPr="00DF122F" w:rsidRDefault="00DF122F" w:rsidP="000C2144">
      <w:pPr>
        <w:pStyle w:val="Heading5"/>
      </w:pPr>
      <w:r w:rsidRPr="00DF122F">
        <w:t>Other studies</w:t>
      </w:r>
    </w:p>
    <w:p w14:paraId="57BAD341" w14:textId="77777777" w:rsidR="00DF122F" w:rsidRPr="00DF122F" w:rsidRDefault="00DF122F" w:rsidP="000C2144">
      <w:pPr>
        <w:pStyle w:val="Heading6"/>
      </w:pPr>
      <w:r w:rsidRPr="00DF122F">
        <w:t>Part A of Study EFC11072</w:t>
      </w:r>
    </w:p>
    <w:p w14:paraId="354743D9" w14:textId="540165A8" w:rsidR="00DF122F" w:rsidRPr="00DF122F" w:rsidRDefault="00DF122F" w:rsidP="00DF122F">
      <w:r w:rsidRPr="00DF122F">
        <w:t xml:space="preserve">A total of 28 patients experienced AEs that led to permanent treatment discontinuation, 6 of which were classified as SAEs. There was considerable variability across the treatment groups for the incidence of AEs that led to discontinuation. In the </w:t>
      </w:r>
      <w:r w:rsidR="00A343A3">
        <w:t>placebo</w:t>
      </w:r>
      <w:r w:rsidRPr="00DF122F">
        <w:t xml:space="preserve"> and SAR 150 mg q2w treatment groups the discontinuation rate was low and comparable at 3.9% (2/51) and 3.8% (2/52), respectively. The frequency of cessation was 7.8% (4/51) in both the SAR 100 mg q2w and 200 mg q2w, and 6.0% (3/50) in the SAR 150 mg qw arm. However, in the SAR 100 mg qw treatment arm 13 subjects (26.0% of 50) withdrew because of AEs. Six of these 13 patients stopped treatment because of neutro</w:t>
      </w:r>
      <w:r w:rsidR="00BA3918">
        <w:t>paenia</w:t>
      </w:r>
      <w:r w:rsidRPr="00DF122F">
        <w:t xml:space="preserve"> (4 of which were Grade 4 neutro</w:t>
      </w:r>
      <w:r w:rsidR="00BA3918">
        <w:t>paenia</w:t>
      </w:r>
      <w:r w:rsidRPr="00DF122F">
        <w:t xml:space="preserve"> and 2 were Grade 3). Overall, neutro</w:t>
      </w:r>
      <w:r w:rsidR="00BA3918">
        <w:t>paenia</w:t>
      </w:r>
      <w:r w:rsidRPr="00DF122F">
        <w:t xml:space="preserve"> was the AE resulting in the highest incidence of permanent treatment discontinuation affecting 7 patients in total (1 additional patient in the SAR 200 mg q2w group developed Grade 3 neutro</w:t>
      </w:r>
      <w:r w:rsidR="00BA3918">
        <w:t>paenia</w:t>
      </w:r>
      <w:r w:rsidRPr="00DF122F">
        <w:t>). The incidence of infections leading to permanent treatment discontinuation was low. There was 1 patient in the SAR 100 mg qw group who withdrew after experiencing urinary tract infection and 1 patient in the SAR 150 mg q2w arm withdrew because of herpes zoster infection involving the face</w:t>
      </w:r>
      <w:r w:rsidR="000C2144">
        <w:t>.</w:t>
      </w:r>
    </w:p>
    <w:p w14:paraId="0A02B081" w14:textId="77777777" w:rsidR="00DF122F" w:rsidRPr="00DF122F" w:rsidRDefault="004D78CD" w:rsidP="000C2144">
      <w:pPr>
        <w:pStyle w:val="Heading6"/>
      </w:pPr>
      <w:r>
        <w:lastRenderedPageBreak/>
        <w:t xml:space="preserve">Long </w:t>
      </w:r>
      <w:r w:rsidR="006062AB">
        <w:t>term</w:t>
      </w:r>
      <w:r w:rsidR="006062AB" w:rsidRPr="00DF122F">
        <w:t xml:space="preserve"> safety population</w:t>
      </w:r>
    </w:p>
    <w:p w14:paraId="243A0215" w14:textId="5B2C88D4" w:rsidR="004D78CD" w:rsidRDefault="00DF122F" w:rsidP="00DF122F">
      <w:r w:rsidRPr="00DF122F">
        <w:t xml:space="preserve">The exposure-adjusted discontinuation rate did not increase in the </w:t>
      </w:r>
      <w:r w:rsidR="004D78CD">
        <w:t>long term</w:t>
      </w:r>
      <w:r w:rsidRPr="00DF122F">
        <w:t xml:space="preserve"> safety population. BY SOC, infection was the most common cause of treatment discontinuation affecting 3.9% (174/2887) of individuals at a rate of 3.9 AEs per 100 PY. By PT, neutro</w:t>
      </w:r>
      <w:r w:rsidR="00BA3918">
        <w:t>paenia</w:t>
      </w:r>
      <w:r w:rsidRPr="00DF122F">
        <w:t xml:space="preserve"> (3.0%; 86/2887; 1.9 events per 100 PY), increased serum ALT (2.6%; 73/2887; 1.7 events per 100 PY) and herpes zoster infection (1.0%; 29/2887; 0.6 events per 100 PY) remained the most frequent types of AEs leading to permanent discontinuation from SAR therapy. The highest incidence of drug cessation due to AEs occurred during the first 48 weeks of SAR therapy and was 14% overall. After the initial 48 weeks of therapy, the average rate of treatment discontinuation per 48-week period was stable at 5%</w:t>
      </w:r>
      <w:r w:rsidR="004D78CD">
        <w:t>.</w:t>
      </w:r>
    </w:p>
    <w:p w14:paraId="606EA277" w14:textId="77777777" w:rsidR="00DF122F" w:rsidRPr="00DF122F" w:rsidRDefault="00DF122F" w:rsidP="000C2144">
      <w:pPr>
        <w:pStyle w:val="Heading3"/>
      </w:pPr>
      <w:bookmarkStart w:id="249" w:name="_Toc241374321"/>
      <w:bookmarkStart w:id="250" w:name="_Ref271044780"/>
      <w:bookmarkStart w:id="251" w:name="_Ref271196640"/>
      <w:bookmarkStart w:id="252" w:name="_Ref272333085"/>
      <w:bookmarkStart w:id="253" w:name="_Toc272414668"/>
      <w:bookmarkStart w:id="254" w:name="_Toc290888532"/>
      <w:bookmarkStart w:id="255" w:name="_Toc464131554"/>
      <w:bookmarkStart w:id="256" w:name="_Toc519848451"/>
      <w:r w:rsidRPr="00DF122F">
        <w:t>Laboratory tests</w:t>
      </w:r>
      <w:bookmarkEnd w:id="249"/>
      <w:bookmarkEnd w:id="250"/>
      <w:bookmarkEnd w:id="251"/>
      <w:bookmarkEnd w:id="252"/>
      <w:bookmarkEnd w:id="253"/>
      <w:bookmarkEnd w:id="254"/>
      <w:bookmarkEnd w:id="255"/>
      <w:bookmarkEnd w:id="256"/>
    </w:p>
    <w:p w14:paraId="0F5B89F9" w14:textId="77777777" w:rsidR="00DF122F" w:rsidRPr="00DF122F" w:rsidRDefault="00DF122F" w:rsidP="000C2144">
      <w:pPr>
        <w:pStyle w:val="Heading4"/>
      </w:pPr>
      <w:bookmarkStart w:id="257" w:name="_Toc272414669"/>
      <w:bookmarkStart w:id="258" w:name="_Toc290888533"/>
      <w:bookmarkStart w:id="259" w:name="_Toc464131555"/>
      <w:r w:rsidRPr="00DF122F">
        <w:t>Liver function</w:t>
      </w:r>
      <w:bookmarkEnd w:id="257"/>
      <w:bookmarkEnd w:id="258"/>
      <w:bookmarkEnd w:id="259"/>
    </w:p>
    <w:p w14:paraId="45C8C7A9" w14:textId="77777777" w:rsidR="00DF122F" w:rsidRPr="00DF122F" w:rsidRDefault="00DF122F" w:rsidP="000C2144">
      <w:pPr>
        <w:pStyle w:val="Heading5"/>
      </w:pPr>
      <w:r w:rsidRPr="00DF122F">
        <w:t>Pivotal studies</w:t>
      </w:r>
    </w:p>
    <w:p w14:paraId="42A06CB2" w14:textId="77777777" w:rsidR="00DF122F" w:rsidRPr="00DF122F" w:rsidRDefault="006062AB" w:rsidP="000C2144">
      <w:pPr>
        <w:pStyle w:val="Heading6"/>
      </w:pPr>
      <w:r>
        <w:t>Part B of Study EFC11072</w:t>
      </w:r>
    </w:p>
    <w:p w14:paraId="1F76BB63" w14:textId="33947ACC" w:rsidR="00DF122F" w:rsidRPr="00DF122F" w:rsidRDefault="00DF122F" w:rsidP="00DF122F">
      <w:r w:rsidRPr="00DF122F">
        <w:t xml:space="preserve">During the </w:t>
      </w:r>
      <w:r w:rsidR="00E0128B">
        <w:t>double blind</w:t>
      </w:r>
      <w:r w:rsidRPr="00DF122F">
        <w:t xml:space="preserve"> period of this trial, mean increases </w:t>
      </w:r>
      <w:r w:rsidR="00F01361">
        <w:t>from Baseline</w:t>
      </w:r>
      <w:r w:rsidRPr="00DF122F">
        <w:t xml:space="preserve"> were observed in serum transaminases (ALT and AST) as well as serum total bilirubin for both doses of SAR compared with </w:t>
      </w:r>
      <w:r w:rsidR="00A343A3">
        <w:t>placebo</w:t>
      </w:r>
      <w:r w:rsidRPr="00DF122F">
        <w:t xml:space="preserve">. The mean values of ALT, AST and total bilirubin remained within the normal range for all 3 treatment groups. However, from a baseline mean value of </w:t>
      </w:r>
      <w:r w:rsidR="006062AB">
        <w:t xml:space="preserve">20 to 22 </w:t>
      </w:r>
      <w:r w:rsidRPr="00DF122F">
        <w:t>U/L for serum transaminases, both doses o</w:t>
      </w:r>
      <w:r w:rsidR="006062AB">
        <w:t xml:space="preserve">f SAR increased serum ALT by 40 to </w:t>
      </w:r>
      <w:r w:rsidRPr="00DF122F">
        <w:t xml:space="preserve">45% (versus no change with </w:t>
      </w:r>
      <w:r w:rsidR="00A343A3">
        <w:t>placebo</w:t>
      </w:r>
      <w:r w:rsidRPr="00DF122F">
        <w:t xml:space="preserve">) and both doses of SAR increased serum AST by 25% (versus no change with </w:t>
      </w:r>
      <w:r w:rsidR="00A343A3">
        <w:t>placebo</w:t>
      </w:r>
      <w:r w:rsidRPr="00DF122F">
        <w:t xml:space="preserve">). From a baseline mean of 6.65 µmol/L, serum total bilirubin increased to 10.6 µmol/L in the SAR 200 mg group and increased to 9.8 µmol/L in the SAR 150 mg arm versus no change </w:t>
      </w:r>
      <w:r w:rsidR="00F01361">
        <w:t>from Baseline</w:t>
      </w:r>
      <w:r w:rsidRPr="00DF122F">
        <w:t xml:space="preserve"> in the control group (</w:t>
      </w:r>
      <w:r w:rsidR="00A343A3">
        <w:t>placebo</w:t>
      </w:r>
      <w:r w:rsidRPr="00DF122F">
        <w:t>+DMARD).</w:t>
      </w:r>
    </w:p>
    <w:p w14:paraId="28FF8CD3" w14:textId="77777777" w:rsidR="00DF122F" w:rsidRPr="00DF122F" w:rsidRDefault="00DF122F" w:rsidP="00DF122F">
      <w:r w:rsidRPr="00DF122F">
        <w:t>A greater percentage of subjects treated with SAR recorded elevations of serum transaminases compare</w:t>
      </w:r>
      <w:r w:rsidR="00414D0A">
        <w:t>d to the control arm,</w:t>
      </w:r>
      <w:r w:rsidRPr="00DF122F">
        <w:t xml:space="preserve"> refer </w:t>
      </w:r>
      <w:r w:rsidRPr="00414D0A">
        <w:t>to Table 3</w:t>
      </w:r>
      <w:r w:rsidR="00414D0A" w:rsidRPr="00414D0A">
        <w:t>3</w:t>
      </w:r>
      <w:r w:rsidRPr="00414D0A">
        <w:t>. The</w:t>
      </w:r>
      <w:r w:rsidRPr="00DF122F">
        <w:t xml:space="preserve"> incidenc</w:t>
      </w:r>
      <w:r w:rsidR="006062AB">
        <w:t>e of raised serum ALT was 44.5% </w:t>
      </w:r>
      <w:r w:rsidRPr="00DF122F">
        <w:t xml:space="preserve">(192/431) in the SAR 150 mg group, 53.8% (228/424) in the SAR 200 mg arm and 32.8% (140/427) in the </w:t>
      </w:r>
      <w:r w:rsidR="00A343A3">
        <w:t>placebo</w:t>
      </w:r>
      <w:r w:rsidRPr="00DF122F">
        <w:t xml:space="preserve"> group. The incidenc</w:t>
      </w:r>
      <w:r w:rsidR="006062AB">
        <w:t>e of raised serum AST was 40.1% </w:t>
      </w:r>
      <w:r w:rsidRPr="00DF122F">
        <w:t xml:space="preserve">(173/431) in the SAR 150 mg group, 41.3% (175/424) in the SAR 200 mg arm and 19.4% (83/427) in the </w:t>
      </w:r>
      <w:r w:rsidR="00A343A3">
        <w:t>placebo</w:t>
      </w:r>
      <w:r w:rsidRPr="00DF122F">
        <w:t xml:space="preserve"> group. Increases in serum transaminases were mostly mild (</w:t>
      </w:r>
      <w:r w:rsidR="004D78CD">
        <w:t>that is</w:t>
      </w:r>
      <w:r w:rsidRPr="00DF122F">
        <w:t xml:space="preserve"> </w:t>
      </w:r>
      <w:r w:rsidR="007312A2">
        <w:t xml:space="preserve">&gt; </w:t>
      </w:r>
      <w:r w:rsidR="006062AB">
        <w:t xml:space="preserve">1 to </w:t>
      </w:r>
      <w:r w:rsidRPr="00DF122F">
        <w:t>3 x ULN), but the incidence of moderate serum transaminases elevations (</w:t>
      </w:r>
      <w:r w:rsidR="004D78CD">
        <w:t>that is</w:t>
      </w:r>
      <w:r w:rsidRPr="00DF122F">
        <w:t xml:space="preserve"> </w:t>
      </w:r>
      <w:r w:rsidR="007312A2">
        <w:t xml:space="preserve">&gt; </w:t>
      </w:r>
      <w:r w:rsidR="006062AB">
        <w:t xml:space="preserve">3 to </w:t>
      </w:r>
      <w:r w:rsidRPr="00DF122F">
        <w:t xml:space="preserve">5 x ULN) was also higher in the SAR treatment groups versus </w:t>
      </w:r>
      <w:r w:rsidR="00A343A3">
        <w:t>placebo</w:t>
      </w:r>
      <w:r w:rsidR="006062AB">
        <w:t xml:space="preserve"> (irrespective of the SAR dose;</w:t>
      </w:r>
      <w:r w:rsidRPr="00DF122F">
        <w:t xml:space="preserve"> 150 mg versus 200 mg q2w). One patient (62 year old male) in the SAR 150 mg group developed a concurrent increase in serum ALT/AST </w:t>
      </w:r>
      <w:r w:rsidR="007312A2">
        <w:t xml:space="preserve">&gt; </w:t>
      </w:r>
      <w:r w:rsidRPr="00DF122F">
        <w:t xml:space="preserve">10 x ULN and total bilirubin </w:t>
      </w:r>
      <w:r w:rsidR="007312A2">
        <w:t xml:space="preserve">&gt; </w:t>
      </w:r>
      <w:r w:rsidRPr="00DF122F">
        <w:t xml:space="preserve">5 x ULN on study </w:t>
      </w:r>
      <w:r w:rsidR="00E0128B">
        <w:t>Day</w:t>
      </w:r>
      <w:r w:rsidRPr="00DF122F">
        <w:t xml:space="preserve"> 275 (7 days after last dose of SAR), which was attributed to toxic hepatitis from recent exposure to sulfuric and hydrochloric acid. Liver function tests and serum bilirubin normalised within 3 weeks, but SAR was permanently discontinued.</w:t>
      </w:r>
    </w:p>
    <w:p w14:paraId="6ECA358B" w14:textId="2D1E40F8" w:rsidR="00DF122F" w:rsidRPr="00DF122F" w:rsidRDefault="00DF122F" w:rsidP="00DF122F">
      <w:r w:rsidRPr="00DF122F">
        <w:t xml:space="preserve">A total of 84 patients (9 in the </w:t>
      </w:r>
      <w:r w:rsidR="00A343A3">
        <w:t>placebo</w:t>
      </w:r>
      <w:r w:rsidRPr="00DF122F">
        <w:t xml:space="preserve"> group, 41 in the SAR 1</w:t>
      </w:r>
      <w:r w:rsidR="006062AB">
        <w:t>50 mg arm and 34 in the SAR 200 </w:t>
      </w:r>
      <w:r w:rsidRPr="00DF122F">
        <w:t xml:space="preserve">mg group) experienced ALT </w:t>
      </w:r>
      <w:r w:rsidR="007312A2">
        <w:t xml:space="preserve">&gt; </w:t>
      </w:r>
      <w:r w:rsidRPr="00DF122F">
        <w:t>3 x ULN. The majority of these subjects developed an increase in ALT within 3 months of commencing study treatment</w:t>
      </w:r>
      <w:r w:rsidR="006062AB">
        <w:t>. For almost half (39 patients;</w:t>
      </w:r>
      <w:r w:rsidRPr="00DF122F">
        <w:t xml:space="preserve"> 7 in the </w:t>
      </w:r>
      <w:r w:rsidR="00A343A3">
        <w:t>placebo</w:t>
      </w:r>
      <w:r w:rsidRPr="00DF122F">
        <w:t xml:space="preserve"> group, 19 in the SAR 150 mg arm and 13 in the SAR 200 mg group) the raised ALT reading normalised while continuing study treatment and for another 17 subjects, liver function test abnormalities resolved following permanent cessation of study medication. The same pattern of outcomes was observed for the 17 SAR treated subjects (10 in the 150 mg dose group and 7 in the 200 mg arm) who developed AST </w:t>
      </w:r>
      <w:r w:rsidR="007312A2">
        <w:t xml:space="preserve">&gt; </w:t>
      </w:r>
      <w:r w:rsidRPr="00DF122F">
        <w:t xml:space="preserve">3 x ULN. There was also a higher incidence of SAR treated patients (3.5% </w:t>
      </w:r>
      <w:r w:rsidR="00BF33B8">
        <w:t>(</w:t>
      </w:r>
      <w:r w:rsidRPr="00DF122F">
        <w:t>15/431</w:t>
      </w:r>
      <w:r w:rsidR="00BF33B8">
        <w:t>)</w:t>
      </w:r>
      <w:r w:rsidRPr="00DF122F">
        <w:t xml:space="preserve"> in the SAR 150 mg group and 2.8% </w:t>
      </w:r>
      <w:r w:rsidR="00BF33B8">
        <w:t>(</w:t>
      </w:r>
      <w:r w:rsidRPr="00DF122F">
        <w:t>12/424</w:t>
      </w:r>
      <w:r w:rsidR="00BF33B8">
        <w:t>)</w:t>
      </w:r>
      <w:r w:rsidRPr="00DF122F">
        <w:t xml:space="preserve"> in the SAR 200 mg arm) experiencing an increase in total bilirubin </w:t>
      </w:r>
      <w:r w:rsidR="007312A2">
        <w:t xml:space="preserve">&gt; </w:t>
      </w:r>
      <w:r w:rsidRPr="00DF122F">
        <w:t xml:space="preserve">1.5 x ULN compared to </w:t>
      </w:r>
      <w:r w:rsidR="00A343A3">
        <w:t>placebo</w:t>
      </w:r>
      <w:r w:rsidRPr="00DF122F">
        <w:t xml:space="preserve"> (0 subjects).</w:t>
      </w:r>
    </w:p>
    <w:p w14:paraId="5E750CDB" w14:textId="77777777" w:rsidR="00DF122F" w:rsidRPr="00DF122F" w:rsidRDefault="00DF122F" w:rsidP="000C2144">
      <w:pPr>
        <w:pStyle w:val="Tabletitle"/>
      </w:pPr>
      <w:r w:rsidRPr="00414D0A">
        <w:lastRenderedPageBreak/>
        <w:t>Table 3</w:t>
      </w:r>
      <w:r w:rsidR="00414D0A" w:rsidRPr="00414D0A">
        <w:t>3</w:t>
      </w:r>
      <w:r w:rsidR="000C2144" w:rsidRPr="00414D0A">
        <w:t>:</w:t>
      </w:r>
      <w:r w:rsidRPr="00414D0A">
        <w:t xml:space="preserve"> Number</w:t>
      </w:r>
      <w:r w:rsidRPr="00DF122F">
        <w:t xml:space="preserve"> and </w:t>
      </w:r>
      <w:r w:rsidR="00414D0A" w:rsidRPr="00DF122F">
        <w:t xml:space="preserve">incidence of abnormal liver function tests </w:t>
      </w:r>
      <w:r w:rsidRPr="00DF122F">
        <w:t>in Part B of Study EFC11072</w:t>
      </w:r>
    </w:p>
    <w:p w14:paraId="4B7B1509" w14:textId="77777777" w:rsidR="00651BD3" w:rsidRDefault="000C2144" w:rsidP="00C22678">
      <w:pPr>
        <w:rPr>
          <w:lang w:eastAsia="ja-JP"/>
        </w:rPr>
      </w:pPr>
      <w:r>
        <w:rPr>
          <w:noProof/>
          <w:lang w:eastAsia="en-AU"/>
        </w:rPr>
        <w:drawing>
          <wp:inline distT="0" distB="0" distL="0" distR="0" wp14:anchorId="0B431139" wp14:editId="03E7EA9C">
            <wp:extent cx="5499481" cy="5025542"/>
            <wp:effectExtent l="0" t="0" r="6350" b="3810"/>
            <wp:docPr id="42" name="Picture 42" descr="Number and incidence of abnormal liver function tests in Part B of Study EFC1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99368" cy="5025438"/>
                    </a:xfrm>
                    <a:prstGeom prst="rect">
                      <a:avLst/>
                    </a:prstGeom>
                  </pic:spPr>
                </pic:pic>
              </a:graphicData>
            </a:graphic>
          </wp:inline>
        </w:drawing>
      </w:r>
    </w:p>
    <w:p w14:paraId="4BE2CE30" w14:textId="77777777" w:rsidR="000C2144" w:rsidRPr="000C2144" w:rsidRDefault="000C2144" w:rsidP="000C2144">
      <w:pPr>
        <w:pStyle w:val="Heading6"/>
      </w:pPr>
      <w:r w:rsidRPr="000C2144">
        <w:t>Study EFC10832</w:t>
      </w:r>
    </w:p>
    <w:p w14:paraId="570CF20F" w14:textId="508DE965" w:rsidR="000C2144" w:rsidRPr="000C2144" w:rsidRDefault="000C2144" w:rsidP="000C2144">
      <w:r w:rsidRPr="000C2144">
        <w:t xml:space="preserve">During the </w:t>
      </w:r>
      <w:r w:rsidR="00041F97">
        <w:t>24 week</w:t>
      </w:r>
      <w:r w:rsidRPr="000C2144">
        <w:t xml:space="preserve"> </w:t>
      </w:r>
      <w:r w:rsidR="00E0128B">
        <w:t>double blind</w:t>
      </w:r>
      <w:r w:rsidRPr="000C2144">
        <w:t xml:space="preserve"> period of Study EFC10832, mean increases </w:t>
      </w:r>
      <w:r w:rsidR="00F01361">
        <w:t>from Baseline</w:t>
      </w:r>
      <w:r w:rsidRPr="000C2144">
        <w:t xml:space="preserve"> were observed in serum transaminases (ALT and AST) as well as serum total bilirubin for both doses of SAR compared with </w:t>
      </w:r>
      <w:r w:rsidR="00A343A3">
        <w:t>placebo</w:t>
      </w:r>
      <w:r w:rsidRPr="000C2144">
        <w:t>. The mean values of ALT, AST and total bilirubin remained within the normal range for all 3 treatment groups. However, f</w:t>
      </w:r>
      <w:r w:rsidR="006062AB">
        <w:t xml:space="preserve">rom a baseline mean value of 20 to </w:t>
      </w:r>
      <w:r w:rsidRPr="000C2144">
        <w:t xml:space="preserve">21 U/L for serum transaminases, both doses of SAR increased serum ALT by </w:t>
      </w:r>
      <w:r w:rsidR="000F37C5">
        <w:t xml:space="preserve">approximately </w:t>
      </w:r>
      <w:r w:rsidRPr="000C2144">
        <w:t xml:space="preserve">40% (versus no change with </w:t>
      </w:r>
      <w:r w:rsidR="00A343A3">
        <w:t>placebo</w:t>
      </w:r>
      <w:r w:rsidRPr="000C2144">
        <w:t xml:space="preserve">) and both doses of SAR increased serum AST by </w:t>
      </w:r>
      <w:r w:rsidR="000F37C5">
        <w:t xml:space="preserve">approximately </w:t>
      </w:r>
      <w:r w:rsidRPr="000C2144">
        <w:t xml:space="preserve">25% (versus no change with </w:t>
      </w:r>
      <w:r w:rsidR="00A343A3">
        <w:t>placebo</w:t>
      </w:r>
      <w:r w:rsidR="006062AB">
        <w:t>). From a baseline mean of 6.5 </w:t>
      </w:r>
      <w:r w:rsidRPr="000C2144">
        <w:t xml:space="preserve">µmol/L, serum total bilirubin increased to 11.0 µmol/L in the SAR 200 mg group and increased to 9.0 µmol/L in the SAR 150 mg arm versus no change </w:t>
      </w:r>
      <w:r w:rsidR="00F01361">
        <w:t>from Baseline</w:t>
      </w:r>
      <w:r w:rsidRPr="000C2144">
        <w:t xml:space="preserve"> in </w:t>
      </w:r>
      <w:r>
        <w:t>the control group (</w:t>
      </w:r>
      <w:r w:rsidR="00A343A3">
        <w:t>placebo</w:t>
      </w:r>
      <w:r>
        <w:t>+DMARD).</w:t>
      </w:r>
    </w:p>
    <w:p w14:paraId="26AF157F" w14:textId="77777777" w:rsidR="000C2144" w:rsidRPr="000C2144" w:rsidRDefault="000C2144" w:rsidP="000C2144">
      <w:r w:rsidRPr="000C2144">
        <w:t xml:space="preserve">As summarised </w:t>
      </w:r>
      <w:r w:rsidRPr="00414D0A">
        <w:t xml:space="preserve">in </w:t>
      </w:r>
      <w:r w:rsidR="00414D0A" w:rsidRPr="00414D0A">
        <w:t>Table 34</w:t>
      </w:r>
      <w:r w:rsidRPr="00414D0A">
        <w:t>, there</w:t>
      </w:r>
      <w:r w:rsidRPr="000C2144">
        <w:t xml:space="preserve"> was a higher incidence of raised serum ALT and AST values observed in the SAR treatment groups compared to </w:t>
      </w:r>
      <w:r w:rsidR="00A343A3">
        <w:t>placebo</w:t>
      </w:r>
      <w:r w:rsidRPr="000C2144">
        <w:t xml:space="preserve">, with no clear dose relationship for effect. The incidence of raised serum ALT was 27.8% (50/180) in the SAR 150 mg group, 28.0% (51/182) in the SAR 200 mg arm and 18.2% (33/181) in the </w:t>
      </w:r>
      <w:r w:rsidR="00A343A3">
        <w:t>placebo</w:t>
      </w:r>
      <w:r w:rsidRPr="000C2144">
        <w:t xml:space="preserve"> group. The incidence of raised serum AST was 17.8% (32/180) in the SAR 150 mg group, 19.2% (35/182) in the SAR 200 mg arm and 12.2% (22/181) in the </w:t>
      </w:r>
      <w:r w:rsidR="00A343A3">
        <w:t>placebo</w:t>
      </w:r>
      <w:r w:rsidRPr="000C2144">
        <w:t xml:space="preserve"> group. Increases in serum transaminases were mostly mild (</w:t>
      </w:r>
      <w:r w:rsidR="004D78CD">
        <w:t>that is</w:t>
      </w:r>
      <w:r w:rsidRPr="000C2144">
        <w:t xml:space="preserve"> </w:t>
      </w:r>
      <w:r w:rsidR="007312A2">
        <w:t xml:space="preserve">&gt; </w:t>
      </w:r>
      <w:r w:rsidR="006062AB">
        <w:t xml:space="preserve">1 to </w:t>
      </w:r>
      <w:r w:rsidRPr="000C2144">
        <w:t xml:space="preserve">3 x ULN), but the incidence of moderate serum transaminases </w:t>
      </w:r>
      <w:r w:rsidRPr="000C2144">
        <w:lastRenderedPageBreak/>
        <w:t>elevations (</w:t>
      </w:r>
      <w:r w:rsidR="004D78CD">
        <w:t>that is</w:t>
      </w:r>
      <w:r w:rsidRPr="000C2144">
        <w:t xml:space="preserve"> </w:t>
      </w:r>
      <w:r w:rsidR="007312A2">
        <w:t xml:space="preserve">&gt; </w:t>
      </w:r>
      <w:r w:rsidR="006062AB">
        <w:t xml:space="preserve">3 to </w:t>
      </w:r>
      <w:r w:rsidRPr="000C2144">
        <w:t xml:space="preserve">5 x ULN) was also higher in the SAR treatment groups (particularly for the higher SAR dose of 200 mg q2w) versus </w:t>
      </w:r>
      <w:r w:rsidR="00A343A3">
        <w:t>placebo</w:t>
      </w:r>
      <w:r>
        <w:t>.</w:t>
      </w:r>
    </w:p>
    <w:p w14:paraId="25D88021" w14:textId="77777777" w:rsidR="000C2144" w:rsidRPr="000C2144" w:rsidRDefault="000C2144" w:rsidP="000C2144">
      <w:pPr>
        <w:pStyle w:val="Tabletitle"/>
      </w:pPr>
      <w:r w:rsidRPr="00414D0A">
        <w:t>Table 3</w:t>
      </w:r>
      <w:r w:rsidR="00414D0A" w:rsidRPr="00414D0A">
        <w:t>4</w:t>
      </w:r>
      <w:r w:rsidRPr="00414D0A">
        <w:t xml:space="preserve">: Number </w:t>
      </w:r>
      <w:r w:rsidR="00414D0A" w:rsidRPr="00414D0A">
        <w:t xml:space="preserve">and incidence of abnormal liver function tests </w:t>
      </w:r>
      <w:r w:rsidRPr="00414D0A">
        <w:t>in Study EFC10832</w:t>
      </w:r>
    </w:p>
    <w:p w14:paraId="7DB84767" w14:textId="77777777" w:rsidR="00651BD3" w:rsidRDefault="000C2144" w:rsidP="00C22678">
      <w:pPr>
        <w:rPr>
          <w:lang w:eastAsia="ja-JP"/>
        </w:rPr>
      </w:pPr>
      <w:r>
        <w:rPr>
          <w:noProof/>
          <w:lang w:eastAsia="en-AU"/>
        </w:rPr>
        <w:drawing>
          <wp:inline distT="0" distB="0" distL="0" distR="0" wp14:anchorId="2622F9FE" wp14:editId="732023B5">
            <wp:extent cx="5547770" cy="6056986"/>
            <wp:effectExtent l="0" t="0" r="0" b="1270"/>
            <wp:docPr id="43" name="Picture 43" descr="Number and incidence of abnormal liver function tests in Study EFC1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550515" cy="6059983"/>
                    </a:xfrm>
                    <a:prstGeom prst="rect">
                      <a:avLst/>
                    </a:prstGeom>
                  </pic:spPr>
                </pic:pic>
              </a:graphicData>
            </a:graphic>
          </wp:inline>
        </w:drawing>
      </w:r>
    </w:p>
    <w:p w14:paraId="21983D52" w14:textId="665A7BE1" w:rsidR="00A343A3" w:rsidRDefault="000C2144" w:rsidP="000C2144">
      <w:r w:rsidRPr="000C2144">
        <w:t>One patient (77 year old female) in the SAR 200 mg g</w:t>
      </w:r>
      <w:r w:rsidR="006062AB">
        <w:t>roup (plus concomitant oral MTX </w:t>
      </w:r>
      <w:r w:rsidRPr="000C2144">
        <w:t xml:space="preserve">15 </w:t>
      </w:r>
      <w:r w:rsidR="006062AB">
        <w:t> </w:t>
      </w:r>
      <w:r w:rsidRPr="000C2144">
        <w:t xml:space="preserve">mg/week) experienced an increase in serum ALT </w:t>
      </w:r>
      <w:r w:rsidR="007312A2">
        <w:t xml:space="preserve">&gt; </w:t>
      </w:r>
      <w:r w:rsidRPr="000C2144">
        <w:t xml:space="preserve">20 x ULN on study </w:t>
      </w:r>
      <w:r w:rsidR="00E0128B">
        <w:t>Day</w:t>
      </w:r>
      <w:r w:rsidRPr="000C2144">
        <w:t xml:space="preserve"> 116. All prior liver function tests were normal and investigation (imaging and viral serology) was unrevealing as to </w:t>
      </w:r>
      <w:r w:rsidR="006062AB">
        <w:t>a</w:t>
      </w:r>
      <w:r w:rsidRPr="000C2144">
        <w:t xml:space="preserve">etiology. SAR therapy was permanently discontinued and MTX was temporarily interrupted. A total of 14 patients (2 in the </w:t>
      </w:r>
      <w:r w:rsidR="00A343A3">
        <w:t>placebo</w:t>
      </w:r>
      <w:r w:rsidRPr="000C2144">
        <w:t xml:space="preserve"> group, 4 in the SAR 150 mg arm and 8 in the SAR 200 mg group) experienced ALT </w:t>
      </w:r>
      <w:r w:rsidR="007312A2">
        <w:t xml:space="preserve">&gt; </w:t>
      </w:r>
      <w:r w:rsidRPr="000C2144">
        <w:t xml:space="preserve">3 x ULN. Six patients (1 in the </w:t>
      </w:r>
      <w:r w:rsidR="00A343A3">
        <w:t>placebo</w:t>
      </w:r>
      <w:r w:rsidRPr="000C2144">
        <w:t xml:space="preserve"> group, 3 in the SAR 150 mg arm and 2 in the SAR 200 mg group) had their initial episode of ALT </w:t>
      </w:r>
      <w:r w:rsidR="007312A2">
        <w:t xml:space="preserve">&gt; </w:t>
      </w:r>
      <w:r w:rsidRPr="000C2144">
        <w:t>3 x ULN within 14 days after their last dose of study medication. The remaining 8 patients reinitiated study medication after the initial episode of increased serum ALT and half of them could be reinitiated within the specified dosing interval (</w:t>
      </w:r>
      <w:r w:rsidR="00041F97">
        <w:t xml:space="preserve">≤ </w:t>
      </w:r>
      <w:r w:rsidRPr="000C2144">
        <w:t xml:space="preserve">17 days from prior dose). The same pattern of outcomes was observed for the 9 SAR treated subjects (2 in the 150 mg dose group and 7 in the 200 mg arm) who developed AST </w:t>
      </w:r>
      <w:r w:rsidR="007312A2">
        <w:t xml:space="preserve">&gt; </w:t>
      </w:r>
      <w:r w:rsidRPr="000C2144">
        <w:t xml:space="preserve">3 x ULN. There was a higher incidence of SAR </w:t>
      </w:r>
      <w:r w:rsidRPr="000C2144">
        <w:lastRenderedPageBreak/>
        <w:t xml:space="preserve">treated patients (5.0% </w:t>
      </w:r>
      <w:r w:rsidR="00BF33B8">
        <w:t>(</w:t>
      </w:r>
      <w:r w:rsidRPr="000C2144">
        <w:t>9/179</w:t>
      </w:r>
      <w:r w:rsidR="00BF33B8">
        <w:t>)</w:t>
      </w:r>
      <w:r w:rsidRPr="000C2144">
        <w:t xml:space="preserve"> in the SAR 150 mg group and 8.2% </w:t>
      </w:r>
      <w:r w:rsidR="00BF33B8">
        <w:t>(</w:t>
      </w:r>
      <w:r w:rsidRPr="000C2144">
        <w:t>15/182</w:t>
      </w:r>
      <w:r w:rsidR="00BF33B8">
        <w:t>)</w:t>
      </w:r>
      <w:r w:rsidRPr="000C2144">
        <w:t xml:space="preserve"> in the SAR 200 mg arm) experiencing an increase in unconjugated bilirubin </w:t>
      </w:r>
      <w:r w:rsidR="007312A2">
        <w:t xml:space="preserve">&gt; </w:t>
      </w:r>
      <w:r w:rsidRPr="000C2144">
        <w:t xml:space="preserve">1.5 x ULN compared to </w:t>
      </w:r>
      <w:r w:rsidR="00A343A3">
        <w:t>placebo</w:t>
      </w:r>
      <w:r w:rsidRPr="000C2144">
        <w:t xml:space="preserve"> (1.7%; 3/181)</w:t>
      </w:r>
      <w:r w:rsidR="00A343A3">
        <w:t>.</w:t>
      </w:r>
    </w:p>
    <w:p w14:paraId="687532DA" w14:textId="77777777" w:rsidR="000C2144" w:rsidRPr="000C2144" w:rsidRDefault="000C2144" w:rsidP="000C2144">
      <w:pPr>
        <w:pStyle w:val="Heading5"/>
      </w:pPr>
      <w:r w:rsidRPr="000C2144">
        <w:t>Other studies</w:t>
      </w:r>
    </w:p>
    <w:p w14:paraId="732CBAA5" w14:textId="77777777" w:rsidR="000C2144" w:rsidRPr="000C2144" w:rsidRDefault="000C2144" w:rsidP="000C2144">
      <w:pPr>
        <w:pStyle w:val="Heading6"/>
      </w:pPr>
      <w:r w:rsidRPr="000C2144">
        <w:t>Part A of Study EFC11072</w:t>
      </w:r>
    </w:p>
    <w:p w14:paraId="160149E6" w14:textId="77777777" w:rsidR="000C2144" w:rsidRPr="000C2144" w:rsidRDefault="000C2144" w:rsidP="000C2144">
      <w:r w:rsidRPr="000C2144">
        <w:t xml:space="preserve">Eleven patients developed abnormalities of liver function tests, all of which were increased serum transaminases, particularly raised ALT. The incidence of increased liver function tests ranged from 3.9% (in the SAR 200 mg q2w group) to 6.0% (for the SAR 150 mg q2w arm). No subjects in the </w:t>
      </w:r>
      <w:r w:rsidR="00A343A3">
        <w:t>placebo</w:t>
      </w:r>
      <w:r w:rsidRPr="000C2144">
        <w:t xml:space="preserve"> or lowest dose SAR group (100 mg qw) recorded abnormal liver function tests during the trial. Three patients discontinued from the study because of increased ALT. All cases were reversible and no cases met the criteria of ALT </w:t>
      </w:r>
      <w:r w:rsidR="007312A2">
        <w:t xml:space="preserve">&gt; </w:t>
      </w:r>
      <w:r w:rsidRPr="000C2144">
        <w:t xml:space="preserve">3 x ULN with concomitant total bilirubin </w:t>
      </w:r>
      <w:r w:rsidR="007312A2">
        <w:t xml:space="preserve">&gt; </w:t>
      </w:r>
      <w:r w:rsidRPr="000C2144">
        <w:t>2 x ULN.</w:t>
      </w:r>
    </w:p>
    <w:p w14:paraId="4A7CBD11" w14:textId="77777777" w:rsidR="000C2144" w:rsidRPr="000C2144" w:rsidRDefault="004D78CD" w:rsidP="000C2144">
      <w:pPr>
        <w:pStyle w:val="Heading6"/>
      </w:pPr>
      <w:r>
        <w:t xml:space="preserve">Long </w:t>
      </w:r>
      <w:r w:rsidR="006062AB">
        <w:t>term</w:t>
      </w:r>
      <w:r w:rsidR="006062AB" w:rsidRPr="000C2144">
        <w:t xml:space="preserve"> safety population</w:t>
      </w:r>
    </w:p>
    <w:p w14:paraId="2E6E1E14" w14:textId="3E9B6946" w:rsidR="004D78CD" w:rsidRDefault="000C2144" w:rsidP="000C2144">
      <w:r w:rsidRPr="000C2144">
        <w:t xml:space="preserve">As expected, the incidence of abnormal liver function tests was numerically higher in the </w:t>
      </w:r>
      <w:r w:rsidR="004D78CD">
        <w:t>long term</w:t>
      </w:r>
      <w:r w:rsidRPr="000C2144">
        <w:t xml:space="preserve"> safety population, but the overall pattern of abnormal liver function tests were consistent with what was seen in the </w:t>
      </w:r>
      <w:r w:rsidR="00A343A3">
        <w:t>placebo</w:t>
      </w:r>
      <w:r w:rsidR="006062AB">
        <w:t xml:space="preserve"> </w:t>
      </w:r>
      <w:r w:rsidRPr="000C2144">
        <w:t xml:space="preserve">controlled populations with the majority of elevations being ALT </w:t>
      </w:r>
      <w:r w:rsidR="007312A2">
        <w:t xml:space="preserve">&gt; </w:t>
      </w:r>
      <w:r w:rsidR="006062AB">
        <w:t xml:space="preserve">1 to </w:t>
      </w:r>
      <w:r w:rsidRPr="000C2144">
        <w:t xml:space="preserve">3 x ULN. The onset of the ALT </w:t>
      </w:r>
      <w:r w:rsidR="007312A2">
        <w:t xml:space="preserve">&gt; </w:t>
      </w:r>
      <w:r w:rsidRPr="000C2144">
        <w:t xml:space="preserve">3 x ULN was most prevalent within the first 6 months of administration with no trend of increasing occurrence over time. There was a numerically higher incidence of raised serum ALT values in the SAR 200 mg q2w dose group (27.7%; 373/1345) compared to the SAR 150 mg q2w arm (23.4%; 269/1151), but with similar incidences in both dose groups for the occurrence of ALT </w:t>
      </w:r>
      <w:r w:rsidR="007312A2">
        <w:t xml:space="preserve">&gt; </w:t>
      </w:r>
      <w:r w:rsidR="006062AB">
        <w:t xml:space="preserve">5 x ULN (1.0 to </w:t>
      </w:r>
      <w:r w:rsidR="00414D0A">
        <w:t>2.0%),</w:t>
      </w:r>
      <w:r w:rsidRPr="000C2144">
        <w:t xml:space="preserve"> refer </w:t>
      </w:r>
      <w:r w:rsidRPr="00414D0A">
        <w:t xml:space="preserve">to </w:t>
      </w:r>
      <w:r w:rsidR="00414D0A">
        <w:t>Table </w:t>
      </w:r>
      <w:r w:rsidR="00414D0A" w:rsidRPr="00414D0A">
        <w:t>35</w:t>
      </w:r>
      <w:r w:rsidRPr="000C2144">
        <w:t xml:space="preserve">. In the </w:t>
      </w:r>
      <w:r w:rsidR="004D78CD">
        <w:t>long term</w:t>
      </w:r>
      <w:r w:rsidRPr="000C2144">
        <w:t xml:space="preserve"> safety population, 6 patients recorded serum ALT values </w:t>
      </w:r>
      <w:r w:rsidR="007312A2">
        <w:t xml:space="preserve">&gt; </w:t>
      </w:r>
      <w:r w:rsidRPr="000C2144">
        <w:t xml:space="preserve">3 x ULN in conjunction with total serum bilirubin </w:t>
      </w:r>
      <w:r w:rsidR="007312A2">
        <w:t xml:space="preserve">&gt; </w:t>
      </w:r>
      <w:r w:rsidRPr="000C2144">
        <w:t>2 x ULN. All of the patients had other plausible explanations for the elevations (</w:t>
      </w:r>
      <w:r w:rsidR="007312A2">
        <w:t>for example</w:t>
      </w:r>
      <w:r w:rsidRPr="000C2144">
        <w:t xml:space="preserve"> biliary pancreatitis, suspected bile duct stone, recent hepatic abscess and cholelithiasis). Therefore, these cases did not fulfil criteria for Hy’s law. In the </w:t>
      </w:r>
      <w:r w:rsidR="004D78CD">
        <w:t>long term</w:t>
      </w:r>
      <w:r w:rsidRPr="000C2144">
        <w:t xml:space="preserve"> safety population, 10 patients on SAR had serum ALT values </w:t>
      </w:r>
      <w:r w:rsidR="007312A2">
        <w:t xml:space="preserve">&gt; </w:t>
      </w:r>
      <w:r w:rsidRPr="000C2144">
        <w:t xml:space="preserve">10 x ULN, of which 3 patients had total bilirubin </w:t>
      </w:r>
      <w:r w:rsidR="007312A2">
        <w:t xml:space="preserve">&gt; </w:t>
      </w:r>
      <w:r w:rsidRPr="000C2144">
        <w:t xml:space="preserve">2 x ULN (including 3 of the above mentioned subjects). Of the remaining 7 patients, 2 patients were diagnosed with cholelithiasis and 1 patient was diagnosed with endocarditis. In the remaining 4 patients the </w:t>
      </w:r>
      <w:r w:rsidR="009E4A99" w:rsidRPr="000C2144">
        <w:t>aetiology</w:t>
      </w:r>
      <w:r w:rsidRPr="000C2144">
        <w:t xml:space="preserve"> was not determined</w:t>
      </w:r>
      <w:r w:rsidR="004D78CD">
        <w:t>.</w:t>
      </w:r>
    </w:p>
    <w:p w14:paraId="5184A421" w14:textId="77777777" w:rsidR="00A343A3" w:rsidRDefault="000C2144" w:rsidP="000C2144">
      <w:r w:rsidRPr="000C2144">
        <w:t xml:space="preserve">As per protocol, SAR was to be discontinued in the case of ALT </w:t>
      </w:r>
      <w:r w:rsidR="007312A2">
        <w:t xml:space="preserve">&gt; </w:t>
      </w:r>
      <w:r w:rsidR="006062AB">
        <w:t>5 x ULN or in case of ALT &gt; 3 x </w:t>
      </w:r>
      <w:r w:rsidRPr="000C2144">
        <w:t xml:space="preserve">ULN and concomitant total serum bilirubin </w:t>
      </w:r>
      <w:r w:rsidR="007312A2">
        <w:t xml:space="preserve">&gt; </w:t>
      </w:r>
      <w:r w:rsidRPr="000C2144">
        <w:t xml:space="preserve">2 x ULN (unless the patient had documented Gilbert’s disease). If ALT was </w:t>
      </w:r>
      <w:r w:rsidR="007312A2">
        <w:t xml:space="preserve">≥ </w:t>
      </w:r>
      <w:r w:rsidRPr="000C2144">
        <w:t xml:space="preserve">3 x ULN and </w:t>
      </w:r>
      <w:r w:rsidR="00041F97">
        <w:t xml:space="preserve">≤ </w:t>
      </w:r>
      <w:r w:rsidRPr="000C2144">
        <w:t xml:space="preserve">5 x ULN and bilirubin </w:t>
      </w:r>
      <w:r w:rsidR="00041F97">
        <w:t xml:space="preserve">≤ </w:t>
      </w:r>
      <w:r w:rsidRPr="000C2144">
        <w:t xml:space="preserve">2 x ULN, SAR was to be temporarily withheld and could be re-initiated once the ALT value was </w:t>
      </w:r>
      <w:r w:rsidR="007312A2">
        <w:t xml:space="preserve">&lt; </w:t>
      </w:r>
      <w:r w:rsidRPr="000C2144">
        <w:t xml:space="preserve">3 x ULN. Of the 254 patients on any dose of SAR who had an ALT reading </w:t>
      </w:r>
      <w:r w:rsidR="007312A2">
        <w:t xml:space="preserve">&gt; </w:t>
      </w:r>
      <w:r w:rsidRPr="000C2144">
        <w:t>3 x ULN, 132 (52%) patients normalised on-treatment (</w:t>
      </w:r>
      <w:r w:rsidR="004D78CD">
        <w:t>that is</w:t>
      </w:r>
      <w:r w:rsidRPr="000C2144">
        <w:t xml:space="preserve"> at least 1 ALT value was normal within </w:t>
      </w:r>
      <w:r w:rsidR="00041F97">
        <w:t xml:space="preserve">≤ </w:t>
      </w:r>
      <w:r w:rsidRPr="000C2144">
        <w:t xml:space="preserve">17 days after last dose of SAR), 57 (22%) patients normalised after discontinuation of SAR and 65 (26%) patients had not normalised as of the last available reading. In the 65 patients who had not normalised, 28 (43%) patients were still enrolled in a study and receiving ongoing SAR therapy. Of the patients who had permanently discontinued SAR but normalisation was not documented, the median time of the ALT last value from their last dose of SAR was 43 days. In the majority of these patients, the last measured ALT value was </w:t>
      </w:r>
      <w:r w:rsidR="007312A2">
        <w:t xml:space="preserve">&lt; </w:t>
      </w:r>
      <w:r w:rsidRPr="000C2144">
        <w:t>3 x ULN (</w:t>
      </w:r>
      <w:r w:rsidR="004D78CD">
        <w:t>that is</w:t>
      </w:r>
      <w:r w:rsidRPr="000C2144">
        <w:t xml:space="preserve"> reducing over time)</w:t>
      </w:r>
      <w:r w:rsidR="00A343A3">
        <w:t>.</w:t>
      </w:r>
    </w:p>
    <w:p w14:paraId="68996F09" w14:textId="77777777" w:rsidR="000C2144" w:rsidRPr="000C2144" w:rsidRDefault="000C2144" w:rsidP="000C2144">
      <w:pPr>
        <w:pStyle w:val="Tabletitle"/>
      </w:pPr>
      <w:r w:rsidRPr="00414D0A">
        <w:lastRenderedPageBreak/>
        <w:t>Table 3</w:t>
      </w:r>
      <w:r w:rsidR="00414D0A" w:rsidRPr="00414D0A">
        <w:t>5</w:t>
      </w:r>
      <w:r w:rsidRPr="00414D0A">
        <w:t>: Number</w:t>
      </w:r>
      <w:r w:rsidRPr="000C2144">
        <w:t xml:space="preserve"> </w:t>
      </w:r>
      <w:r w:rsidR="00414D0A" w:rsidRPr="000C2144">
        <w:t xml:space="preserve">and incidence of abnormal liver function tests in </w:t>
      </w:r>
      <w:r w:rsidR="00414D0A">
        <w:t>long term</w:t>
      </w:r>
      <w:r w:rsidR="00414D0A" w:rsidRPr="000C2144">
        <w:t xml:space="preserve"> </w:t>
      </w:r>
      <w:r w:rsidRPr="000C2144">
        <w:t>Safety Population</w:t>
      </w:r>
    </w:p>
    <w:p w14:paraId="61459F6F" w14:textId="77777777" w:rsidR="00651BD3" w:rsidRDefault="000C2144" w:rsidP="00C22678">
      <w:pPr>
        <w:rPr>
          <w:lang w:eastAsia="ja-JP"/>
        </w:rPr>
      </w:pPr>
      <w:r>
        <w:rPr>
          <w:noProof/>
          <w:lang w:eastAsia="en-AU"/>
        </w:rPr>
        <w:drawing>
          <wp:inline distT="0" distB="0" distL="0" distR="0" wp14:anchorId="154ED071" wp14:editId="2682DCFF">
            <wp:extent cx="5523134" cy="4550054"/>
            <wp:effectExtent l="0" t="0" r="1905" b="3175"/>
            <wp:docPr id="44" name="Picture 44" descr="Number and incidence of abnormal liver function tests in long term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519660" cy="4547192"/>
                    </a:xfrm>
                    <a:prstGeom prst="rect">
                      <a:avLst/>
                    </a:prstGeom>
                  </pic:spPr>
                </pic:pic>
              </a:graphicData>
            </a:graphic>
          </wp:inline>
        </w:drawing>
      </w:r>
    </w:p>
    <w:p w14:paraId="47024622" w14:textId="77777777" w:rsidR="000C2144" w:rsidRPr="000C2144" w:rsidRDefault="000C2144" w:rsidP="000C2144">
      <w:pPr>
        <w:pStyle w:val="Heading4"/>
      </w:pPr>
      <w:bookmarkStart w:id="260" w:name="_Toc272414670"/>
      <w:bookmarkStart w:id="261" w:name="_Toc290888534"/>
      <w:bookmarkStart w:id="262" w:name="_Toc464131556"/>
      <w:r w:rsidRPr="000C2144">
        <w:t>Kidney function</w:t>
      </w:r>
      <w:bookmarkEnd w:id="260"/>
      <w:bookmarkEnd w:id="261"/>
      <w:bookmarkEnd w:id="262"/>
    </w:p>
    <w:p w14:paraId="3D4953E7" w14:textId="77777777" w:rsidR="000C2144" w:rsidRPr="000C2144" w:rsidRDefault="000C2144" w:rsidP="000C2144">
      <w:pPr>
        <w:pStyle w:val="Heading5"/>
      </w:pPr>
      <w:r w:rsidRPr="000C2144">
        <w:t>Pivotal studies</w:t>
      </w:r>
    </w:p>
    <w:p w14:paraId="41249EAF" w14:textId="77777777" w:rsidR="000C2144" w:rsidRPr="000C2144" w:rsidRDefault="000C2144" w:rsidP="000C2144">
      <w:pPr>
        <w:pStyle w:val="Heading6"/>
      </w:pPr>
      <w:r>
        <w:t>Part B of Study EFC11072</w:t>
      </w:r>
    </w:p>
    <w:p w14:paraId="34E86A47" w14:textId="42D77AF1" w:rsidR="004D78CD" w:rsidRDefault="000C2144" w:rsidP="000C2144">
      <w:r w:rsidRPr="000C2144">
        <w:t xml:space="preserve">The proportion of patients with </w:t>
      </w:r>
      <w:r w:rsidR="007312A2">
        <w:t xml:space="preserve">≥ </w:t>
      </w:r>
      <w:r w:rsidRPr="000C2144">
        <w:t xml:space="preserve">30% change </w:t>
      </w:r>
      <w:r w:rsidR="00F01361">
        <w:t>from Baseline</w:t>
      </w:r>
      <w:r w:rsidRPr="000C2144">
        <w:t xml:space="preserve"> in serum creatinine was higher in the SAR treatment groups (14.2% </w:t>
      </w:r>
      <w:r w:rsidR="00BF33B8">
        <w:t>(</w:t>
      </w:r>
      <w:r w:rsidRPr="000C2144">
        <w:t>61/431</w:t>
      </w:r>
      <w:r w:rsidR="00BF33B8">
        <w:t>)</w:t>
      </w:r>
      <w:r w:rsidRPr="000C2144">
        <w:t xml:space="preserve"> in the SAR 150 mg arm and 13.7% (58/424) in the SAR 200 mg group) compared to the </w:t>
      </w:r>
      <w:r w:rsidR="00A343A3">
        <w:t>placebo</w:t>
      </w:r>
      <w:r w:rsidRPr="000C2144">
        <w:t xml:space="preserve"> arm (9.1%; 39/427). There were no clinically relevant differences between the 3 treatment groups for changes (increase) in blood urea nitrogen. However, patients in the SAR treatment groups also had a higher percentage of subjects (21.2% </w:t>
      </w:r>
      <w:r w:rsidR="00BF33B8">
        <w:t>(</w:t>
      </w:r>
      <w:r w:rsidRPr="000C2144">
        <w:t>91/429</w:t>
      </w:r>
      <w:r w:rsidR="00BF33B8">
        <w:t>)</w:t>
      </w:r>
      <w:r w:rsidRPr="000C2144">
        <w:t xml:space="preserve"> in the SAR 150 mg arm and 21.6% (91/422) in the SAR 200 mg group) with raised serum urate readings (</w:t>
      </w:r>
      <w:r w:rsidR="007312A2">
        <w:t xml:space="preserve">&gt; </w:t>
      </w:r>
      <w:r w:rsidRPr="000C2144">
        <w:t xml:space="preserve">408 µmol/L or 6.86 mg/dL) compared to the </w:t>
      </w:r>
      <w:r w:rsidR="00A343A3">
        <w:t>placebo</w:t>
      </w:r>
      <w:r w:rsidRPr="000C2144">
        <w:t xml:space="preserve"> arm (14.1%; 60/427)</w:t>
      </w:r>
      <w:r w:rsidR="004D78CD">
        <w:t>.</w:t>
      </w:r>
    </w:p>
    <w:p w14:paraId="5342034D" w14:textId="77777777" w:rsidR="000C2144" w:rsidRPr="000C2144" w:rsidRDefault="000C2144" w:rsidP="000C2144">
      <w:pPr>
        <w:pStyle w:val="Heading6"/>
      </w:pPr>
      <w:r w:rsidRPr="000C2144">
        <w:t>Study EFC10832</w:t>
      </w:r>
    </w:p>
    <w:p w14:paraId="26859530" w14:textId="466EDBFD" w:rsidR="004D78CD" w:rsidRDefault="000C2144" w:rsidP="000C2144">
      <w:r w:rsidRPr="000C2144">
        <w:t>Over 24 weeks of treatment, there were small and similar mean increases (</w:t>
      </w:r>
      <w:r w:rsidR="000F37C5">
        <w:t xml:space="preserve">approximately </w:t>
      </w:r>
      <w:r w:rsidRPr="000C2144">
        <w:t xml:space="preserve">10%) </w:t>
      </w:r>
      <w:r w:rsidR="00F01361">
        <w:t>from Baseline</w:t>
      </w:r>
      <w:r w:rsidRPr="000C2144">
        <w:t xml:space="preserve"> in serum creatinine and blood urea nitrogen with both doses of SAR, but no significant mean change </w:t>
      </w:r>
      <w:r w:rsidR="00F01361">
        <w:t>from Baseline</w:t>
      </w:r>
      <w:r w:rsidRPr="000C2144">
        <w:t xml:space="preserve"> in kidney function in the control group</w:t>
      </w:r>
      <w:r w:rsidR="004D78CD">
        <w:t>.</w:t>
      </w:r>
    </w:p>
    <w:p w14:paraId="6DB921B6" w14:textId="7A030730" w:rsidR="000C2144" w:rsidRPr="000C2144" w:rsidRDefault="000C2144" w:rsidP="000C2144">
      <w:r w:rsidRPr="000C2144">
        <w:t xml:space="preserve">The proportion of patients with </w:t>
      </w:r>
      <w:r w:rsidR="007312A2">
        <w:t xml:space="preserve">≥ </w:t>
      </w:r>
      <w:r w:rsidRPr="000C2144">
        <w:t xml:space="preserve">30% change </w:t>
      </w:r>
      <w:r w:rsidR="00F01361">
        <w:t>from Baseline</w:t>
      </w:r>
      <w:r w:rsidRPr="000C2144">
        <w:t xml:space="preserve"> in serum creatinine was 11.0% (20/181) in the </w:t>
      </w:r>
      <w:r w:rsidR="00A343A3">
        <w:t>placebo</w:t>
      </w:r>
      <w:r w:rsidRPr="000C2144">
        <w:t xml:space="preserve"> group, 13.9% (25/181) in the SAR 150 mg arm and 18.1% (33/184) in the SAR 200 mg group. The majority of these abnormal readings were transient but in 4 of these patients (2 in the </w:t>
      </w:r>
      <w:r w:rsidR="00A343A3">
        <w:t>placebo</w:t>
      </w:r>
      <w:r w:rsidRPr="000C2144">
        <w:t xml:space="preserve"> group and 2 in the SAR 200 mg arm) there was </w:t>
      </w:r>
      <w:r w:rsidR="007312A2">
        <w:t xml:space="preserve">≥ </w:t>
      </w:r>
      <w:r w:rsidRPr="000C2144">
        <w:t xml:space="preserve">30% change </w:t>
      </w:r>
      <w:r w:rsidR="00F01361">
        <w:t xml:space="preserve">from </w:t>
      </w:r>
      <w:r w:rsidR="00F01361">
        <w:lastRenderedPageBreak/>
        <w:t>Baseline</w:t>
      </w:r>
      <w:r w:rsidRPr="000C2144">
        <w:t xml:space="preserve"> in serum creatinine for at least 2 scheduled assessments. One patient in the </w:t>
      </w:r>
      <w:r w:rsidR="00A343A3">
        <w:t>placebo</w:t>
      </w:r>
      <w:r w:rsidRPr="000C2144">
        <w:t xml:space="preserve"> group was diagnosed with urothelial carcinoma and the other patient had urinary tract infection. Diagnostic evaluation or potential </w:t>
      </w:r>
      <w:r w:rsidR="006062AB">
        <w:t>a</w:t>
      </w:r>
      <w:r w:rsidRPr="000C2144">
        <w:t xml:space="preserve">etiology was not reported in either of the SAR treated patients (both were </w:t>
      </w:r>
      <w:r w:rsidR="007312A2">
        <w:t xml:space="preserve">&gt; </w:t>
      </w:r>
      <w:r w:rsidRPr="000C2144">
        <w:t>70 years of age with a history of hypertension), who had both completed the study.</w:t>
      </w:r>
    </w:p>
    <w:p w14:paraId="724F23B2" w14:textId="77777777" w:rsidR="000C2144" w:rsidRPr="000C2144" w:rsidRDefault="000C2144" w:rsidP="000C2144">
      <w:pPr>
        <w:pStyle w:val="Heading5"/>
      </w:pPr>
      <w:r w:rsidRPr="000C2144">
        <w:t>Other studies</w:t>
      </w:r>
    </w:p>
    <w:p w14:paraId="6119691C" w14:textId="77777777" w:rsidR="000C2144" w:rsidRPr="000C2144" w:rsidRDefault="000C2144" w:rsidP="000C2144">
      <w:pPr>
        <w:pStyle w:val="Heading6"/>
      </w:pPr>
      <w:r w:rsidRPr="000C2144">
        <w:t xml:space="preserve">Part A of Study EFC11072 and </w:t>
      </w:r>
      <w:r w:rsidR="004D78CD">
        <w:t>Long term</w:t>
      </w:r>
      <w:r w:rsidRPr="000C2144">
        <w:t xml:space="preserve"> Safety Population</w:t>
      </w:r>
    </w:p>
    <w:p w14:paraId="26E24458" w14:textId="5705B911" w:rsidR="000C2144" w:rsidRPr="000C2144" w:rsidRDefault="000C2144" w:rsidP="000C2144">
      <w:r w:rsidRPr="000C2144">
        <w:t xml:space="preserve">No clinically relevant changes were observed for renal function. In the </w:t>
      </w:r>
      <w:r w:rsidR="004D78CD">
        <w:t>long term</w:t>
      </w:r>
      <w:r w:rsidRPr="000C2144">
        <w:t xml:space="preserve"> safety population, 10 patients reported an AE of renal failure and/or impairment, all of which were not treatment related. This includes 7 cases of acute renal impairment due to dehydration from either sepsis and/or hyperglycaemia. However, in Study SFY13370, a small but similar increase </w:t>
      </w:r>
      <w:r w:rsidR="00F01361">
        <w:t>from Baseline</w:t>
      </w:r>
      <w:r w:rsidRPr="000C2144">
        <w:t xml:space="preserve"> in serum creatinine was observed with both SAR and tocilizumab</w:t>
      </w:r>
      <w:r>
        <w:t>.</w:t>
      </w:r>
    </w:p>
    <w:p w14:paraId="5164B065" w14:textId="77777777" w:rsidR="000C2144" w:rsidRPr="000C2144" w:rsidRDefault="000C2144" w:rsidP="000C2144">
      <w:pPr>
        <w:pStyle w:val="Heading4"/>
      </w:pPr>
      <w:bookmarkStart w:id="263" w:name="_Toc272414671"/>
      <w:bookmarkStart w:id="264" w:name="_Toc290888535"/>
      <w:bookmarkStart w:id="265" w:name="_Toc464131557"/>
      <w:r w:rsidRPr="000C2144">
        <w:t>Other clinical chemistry</w:t>
      </w:r>
      <w:bookmarkEnd w:id="263"/>
      <w:bookmarkEnd w:id="264"/>
      <w:bookmarkEnd w:id="265"/>
    </w:p>
    <w:p w14:paraId="1ECFF706" w14:textId="77777777" w:rsidR="000C2144" w:rsidRPr="000C2144" w:rsidRDefault="000C2144" w:rsidP="000C2144">
      <w:pPr>
        <w:pStyle w:val="Heading5"/>
      </w:pPr>
      <w:r w:rsidRPr="000C2144">
        <w:t>Pivotal studies</w:t>
      </w:r>
    </w:p>
    <w:p w14:paraId="2B445CF9" w14:textId="77777777" w:rsidR="000C2144" w:rsidRPr="000C2144" w:rsidRDefault="000C2144" w:rsidP="000C2144">
      <w:pPr>
        <w:pStyle w:val="Heading6"/>
      </w:pPr>
      <w:r w:rsidRPr="000C2144">
        <w:t>Studies EFC11072 (Part B) and EFC10832</w:t>
      </w:r>
    </w:p>
    <w:p w14:paraId="78AF9458" w14:textId="77777777" w:rsidR="000C2144" w:rsidRPr="000C2144" w:rsidRDefault="000C2144" w:rsidP="000C2144">
      <w:r w:rsidRPr="000C2144">
        <w:t>There were no notable differences related to electrolyte and glucose readings (mean and the percentage of individual abnormal results) be</w:t>
      </w:r>
      <w:r>
        <w:t>tween the 3 treatment groups.</w:t>
      </w:r>
    </w:p>
    <w:p w14:paraId="02DAF6A6" w14:textId="77777777" w:rsidR="000C2144" w:rsidRPr="000C2144" w:rsidRDefault="000C2144" w:rsidP="000C2144">
      <w:pPr>
        <w:pStyle w:val="Heading5"/>
      </w:pPr>
      <w:r w:rsidRPr="000C2144">
        <w:t>Other studies</w:t>
      </w:r>
    </w:p>
    <w:p w14:paraId="2534E964" w14:textId="77777777" w:rsidR="000C2144" w:rsidRPr="000C2144" w:rsidRDefault="000C2144" w:rsidP="000C2144">
      <w:pPr>
        <w:pStyle w:val="Heading6"/>
      </w:pPr>
      <w:r w:rsidRPr="000C2144">
        <w:t xml:space="preserve">Part A of Study EFC11072 and </w:t>
      </w:r>
      <w:r w:rsidR="004D78CD">
        <w:t>Long term</w:t>
      </w:r>
      <w:r w:rsidRPr="000C2144">
        <w:t xml:space="preserve"> Safety Population</w:t>
      </w:r>
    </w:p>
    <w:p w14:paraId="79EA65D0" w14:textId="77777777" w:rsidR="000C2144" w:rsidRPr="000C2144" w:rsidRDefault="000C2144" w:rsidP="000C2144">
      <w:r w:rsidRPr="000C2144">
        <w:t xml:space="preserve">No clinically relevant changes were </w:t>
      </w:r>
      <w:r>
        <w:t>observed for clinical chemistry.</w:t>
      </w:r>
    </w:p>
    <w:p w14:paraId="3050CE28" w14:textId="77777777" w:rsidR="000C2144" w:rsidRPr="000C2144" w:rsidRDefault="000C2144" w:rsidP="000C2144">
      <w:pPr>
        <w:pStyle w:val="Heading4"/>
      </w:pPr>
      <w:bookmarkStart w:id="266" w:name="_Toc272414672"/>
      <w:bookmarkStart w:id="267" w:name="_Toc290888536"/>
      <w:bookmarkStart w:id="268" w:name="_Toc464131558"/>
      <w:r w:rsidRPr="000C2144">
        <w:t>Haematology</w:t>
      </w:r>
      <w:bookmarkEnd w:id="266"/>
      <w:bookmarkEnd w:id="267"/>
      <w:bookmarkEnd w:id="268"/>
    </w:p>
    <w:p w14:paraId="27019618" w14:textId="77777777" w:rsidR="000C2144" w:rsidRPr="000C2144" w:rsidRDefault="000C2144" w:rsidP="000C2144">
      <w:pPr>
        <w:pStyle w:val="Heading5"/>
      </w:pPr>
      <w:r w:rsidRPr="000C2144">
        <w:t>Pivotal studies</w:t>
      </w:r>
    </w:p>
    <w:p w14:paraId="02E7EE17" w14:textId="77777777" w:rsidR="000C2144" w:rsidRPr="000C2144" w:rsidRDefault="000C2144" w:rsidP="000C2144">
      <w:pPr>
        <w:pStyle w:val="Heading6"/>
      </w:pPr>
      <w:r>
        <w:t>Part B of Study EFC11072</w:t>
      </w:r>
    </w:p>
    <w:p w14:paraId="16A593E4" w14:textId="4865DDD8" w:rsidR="000C2144" w:rsidRDefault="000C2144" w:rsidP="000C2144">
      <w:r w:rsidRPr="000C2144">
        <w:t xml:space="preserve">At 52 weeks, there was a dose dependent mean decrease </w:t>
      </w:r>
      <w:r w:rsidR="00F01361">
        <w:t>from Baseline</w:t>
      </w:r>
      <w:r w:rsidRPr="000C2144">
        <w:t xml:space="preserve"> in the neutrophil cell count observed in both SAR groups (-1.97 x </w:t>
      </w:r>
      <w:r w:rsidR="007312A2" w:rsidRPr="00984208">
        <w:t>10</w:t>
      </w:r>
      <w:r w:rsidR="007312A2" w:rsidRPr="007312A2">
        <w:rPr>
          <w:vertAlign w:val="superscript"/>
        </w:rPr>
        <w:t>9</w:t>
      </w:r>
      <w:r w:rsidRPr="000C2144">
        <w:t xml:space="preserve">/L for SAR 150 mg and -2.68 x </w:t>
      </w:r>
      <w:r w:rsidR="007312A2" w:rsidRPr="00984208">
        <w:t>10</w:t>
      </w:r>
      <w:r w:rsidR="007312A2" w:rsidRPr="007312A2">
        <w:rPr>
          <w:vertAlign w:val="superscript"/>
        </w:rPr>
        <w:t>9</w:t>
      </w:r>
      <w:r w:rsidR="006062AB">
        <w:t>/L for SAR 200 </w:t>
      </w:r>
      <w:r w:rsidRPr="000C2144">
        <w:t xml:space="preserve">mg) compared to </w:t>
      </w:r>
      <w:r w:rsidR="00A343A3">
        <w:t>placebo</w:t>
      </w:r>
      <w:r w:rsidRPr="000C2144">
        <w:t xml:space="preserve"> (no significant change; baseline mean neutrophil cell count of 6.0 x </w:t>
      </w:r>
      <w:r w:rsidR="007312A2" w:rsidRPr="00984208">
        <w:t>10</w:t>
      </w:r>
      <w:r w:rsidR="007312A2" w:rsidRPr="007312A2">
        <w:rPr>
          <w:vertAlign w:val="superscript"/>
        </w:rPr>
        <w:t>9</w:t>
      </w:r>
      <w:r w:rsidRPr="000C2144">
        <w:t>/L across the 3 treatment groups). There were no clinically relevant changes in other white blood cell types, including lymphocytes.</w:t>
      </w:r>
    </w:p>
    <w:p w14:paraId="692759C2" w14:textId="28F9870C" w:rsidR="000C2144" w:rsidRPr="000C2144" w:rsidRDefault="000C2144" w:rsidP="000C2144">
      <w:r w:rsidRPr="000C2144">
        <w:t>Neutro</w:t>
      </w:r>
      <w:r w:rsidR="00BA3918">
        <w:t>paenia</w:t>
      </w:r>
      <w:r w:rsidRPr="000C2144">
        <w:t xml:space="preserve"> was recorded in a higher percentage of SAR treated subjects (10.7% </w:t>
      </w:r>
      <w:r w:rsidR="00BF33B8">
        <w:t>(</w:t>
      </w:r>
      <w:r w:rsidRPr="000C2144">
        <w:t>46/431</w:t>
      </w:r>
      <w:r w:rsidR="00BF33B8">
        <w:t>)</w:t>
      </w:r>
      <w:r w:rsidRPr="000C2144">
        <w:t xml:space="preserve"> in the SAR 150 mg group and 15.8% </w:t>
      </w:r>
      <w:r w:rsidR="00BF33B8">
        <w:t>(</w:t>
      </w:r>
      <w:r w:rsidRPr="000C2144">
        <w:t>67/424</w:t>
      </w:r>
      <w:r w:rsidR="00BF33B8">
        <w:t>)</w:t>
      </w:r>
      <w:r w:rsidRPr="000C2144">
        <w:t xml:space="preserve"> in the SAR 200 mg arm) compared to the </w:t>
      </w:r>
      <w:r w:rsidR="00A343A3">
        <w:t>placebo</w:t>
      </w:r>
      <w:r w:rsidRPr="000C2144">
        <w:t xml:space="preserve"> group (0.5%; 2/427).</w:t>
      </w:r>
      <w:r w:rsidR="004D78CD">
        <w:t xml:space="preserve"> </w:t>
      </w:r>
      <w:r w:rsidRPr="000C2144">
        <w:t>The majority of neutro</w:t>
      </w:r>
      <w:r w:rsidR="00BA3918">
        <w:t>paenia</w:t>
      </w:r>
      <w:r w:rsidRPr="000C2144">
        <w:t xml:space="preserve"> was rated as non-serious. Patients with a neutrophil count below the LLN did not have a higher incidence of infection compared with those patients with normal absolute neutrophil count. Neutro</w:t>
      </w:r>
      <w:r w:rsidR="00BA3918">
        <w:t>paenia</w:t>
      </w:r>
      <w:r w:rsidRPr="000C2144">
        <w:t xml:space="preserve"> was one of the most frequently reported AEs, but only 8 neutro</w:t>
      </w:r>
      <w:r w:rsidR="00BA3918">
        <w:t>paenia</w:t>
      </w:r>
      <w:r w:rsidRPr="000C2144">
        <w:t xml:space="preserve"> AEs (3 patients in the SAR 150 mg group and 5 subjects in the SAR 200 mg arm) were rated as SAEs. There was no case of neutro</w:t>
      </w:r>
      <w:r w:rsidR="00BA3918">
        <w:t>paenia</w:t>
      </w:r>
      <w:r w:rsidRPr="000C2144">
        <w:t xml:space="preserve"> resulting in hospitalisation. Approximately half of all subjects identified with neutro</w:t>
      </w:r>
      <w:r w:rsidR="00BA3918">
        <w:t>paenia</w:t>
      </w:r>
      <w:r w:rsidRPr="000C2144">
        <w:t xml:space="preserve"> continued with study medication. However, a significant number of other subjects prematurely discontinued as a result of neutro</w:t>
      </w:r>
      <w:r w:rsidR="00BA3918">
        <w:t>paenia</w:t>
      </w:r>
      <w:r w:rsidRPr="000C2144">
        <w:t xml:space="preserve"> (9 patients </w:t>
      </w:r>
      <w:r w:rsidR="00BF33B8">
        <w:t>(</w:t>
      </w:r>
      <w:r w:rsidRPr="000C2144">
        <w:t>2.1%</w:t>
      </w:r>
      <w:r w:rsidR="00BF33B8">
        <w:t>)</w:t>
      </w:r>
      <w:r w:rsidR="006062AB">
        <w:t xml:space="preserve"> in the SAR 150 mg group and 10 </w:t>
      </w:r>
      <w:r w:rsidRPr="000C2144">
        <w:t xml:space="preserve">subjects </w:t>
      </w:r>
      <w:r w:rsidR="00BF33B8">
        <w:t>(</w:t>
      </w:r>
      <w:r w:rsidRPr="000C2144">
        <w:t>2.4%</w:t>
      </w:r>
      <w:r w:rsidR="00BF33B8">
        <w:t>)</w:t>
      </w:r>
      <w:r w:rsidRPr="000C2144">
        <w:t xml:space="preserve"> in the SAR 200 mg arm versus no patient in the </w:t>
      </w:r>
      <w:r w:rsidR="00A343A3">
        <w:t>placebo</w:t>
      </w:r>
      <w:r w:rsidRPr="000C2144">
        <w:t xml:space="preserve"> group). With treatment discontinuation the majority of cases resolved, however, some subjects had persistent neutro</w:t>
      </w:r>
      <w:r w:rsidR="00BA3918">
        <w:t>paenia</w:t>
      </w:r>
      <w:r w:rsidRPr="000C2144">
        <w:t xml:space="preserve"> at their last assessment following drug</w:t>
      </w:r>
      <w:r>
        <w:t xml:space="preserve"> cessation.</w:t>
      </w:r>
    </w:p>
    <w:p w14:paraId="25AB66B5" w14:textId="3719DC12" w:rsidR="000C2144" w:rsidRPr="000C2144" w:rsidRDefault="000C2144" w:rsidP="000C2144">
      <w:r w:rsidRPr="000C2144">
        <w:t xml:space="preserve">In Part B of Study EFC11072, the mean </w:t>
      </w:r>
      <w:r w:rsidR="006062AB">
        <w:t xml:space="preserve">baseline platelet count was 340 to </w:t>
      </w:r>
      <w:r w:rsidRPr="000C2144">
        <w:t xml:space="preserve">350 x </w:t>
      </w:r>
      <w:r w:rsidR="007312A2" w:rsidRPr="00984208">
        <w:t>10</w:t>
      </w:r>
      <w:r w:rsidR="007312A2" w:rsidRPr="007312A2">
        <w:rPr>
          <w:vertAlign w:val="superscript"/>
        </w:rPr>
        <w:t>9</w:t>
      </w:r>
      <w:r w:rsidRPr="000C2144">
        <w:t>/L for the 3 treatment groups. At 5</w:t>
      </w:r>
      <w:r w:rsidR="006062AB">
        <w:t xml:space="preserve">2 weeks, a mean decrease to 241 to </w:t>
      </w:r>
      <w:r w:rsidRPr="000C2144">
        <w:t xml:space="preserve">248 x </w:t>
      </w:r>
      <w:r w:rsidR="007312A2" w:rsidRPr="00984208">
        <w:t>10</w:t>
      </w:r>
      <w:r w:rsidR="007312A2" w:rsidRPr="007312A2">
        <w:rPr>
          <w:vertAlign w:val="superscript"/>
        </w:rPr>
        <w:t>9</w:t>
      </w:r>
      <w:r w:rsidRPr="000C2144">
        <w:t xml:space="preserve">/L was seen in the SAR treatment arms and to 319 x </w:t>
      </w:r>
      <w:r w:rsidR="007312A2" w:rsidRPr="00984208">
        <w:t>10</w:t>
      </w:r>
      <w:r w:rsidR="007312A2" w:rsidRPr="007312A2">
        <w:rPr>
          <w:vertAlign w:val="superscript"/>
        </w:rPr>
        <w:t>9</w:t>
      </w:r>
      <w:r w:rsidRPr="000C2144">
        <w:t xml:space="preserve">/L for the </w:t>
      </w:r>
      <w:r w:rsidR="00A343A3">
        <w:t>placebo</w:t>
      </w:r>
      <w:r w:rsidRPr="000C2144">
        <w:t xml:space="preserve"> group. Nine SAR treated patients (4 in the 150 mg dose group </w:t>
      </w:r>
      <w:r w:rsidR="00BF33B8">
        <w:t>(</w:t>
      </w:r>
      <w:r w:rsidRPr="000C2144">
        <w:t>0.9% of 431</w:t>
      </w:r>
      <w:r w:rsidR="00BF33B8">
        <w:t>)</w:t>
      </w:r>
      <w:r w:rsidRPr="000C2144">
        <w:t xml:space="preserve"> and 5 in the 200 mg arm </w:t>
      </w:r>
      <w:r w:rsidR="00BF33B8">
        <w:t>(</w:t>
      </w:r>
      <w:r w:rsidRPr="000C2144">
        <w:t>1.2% of 423</w:t>
      </w:r>
      <w:r w:rsidR="00BF33B8">
        <w:t>)</w:t>
      </w:r>
      <w:r w:rsidRPr="000C2144">
        <w:t>) developed significant thrombocyto</w:t>
      </w:r>
      <w:r w:rsidR="00BA3918">
        <w:t>paenia</w:t>
      </w:r>
      <w:r w:rsidRPr="000C2144">
        <w:t xml:space="preserve"> (platelet count </w:t>
      </w:r>
      <w:r w:rsidR="007312A2">
        <w:t xml:space="preserve">&lt; </w:t>
      </w:r>
      <w:r w:rsidRPr="000C2144">
        <w:t xml:space="preserve">100 x </w:t>
      </w:r>
      <w:r w:rsidR="007312A2" w:rsidRPr="00984208">
        <w:t>10</w:t>
      </w:r>
      <w:r w:rsidR="007312A2" w:rsidRPr="007312A2">
        <w:rPr>
          <w:vertAlign w:val="superscript"/>
        </w:rPr>
        <w:t>9</w:t>
      </w:r>
      <w:r w:rsidRPr="000C2144">
        <w:t xml:space="preserve">/L) versus no subjects in the </w:t>
      </w:r>
      <w:r w:rsidR="00A343A3">
        <w:t>placebo</w:t>
      </w:r>
      <w:r w:rsidRPr="000C2144">
        <w:t xml:space="preserve"> arm. For 8 </w:t>
      </w:r>
      <w:r w:rsidRPr="000C2144">
        <w:lastRenderedPageBreak/>
        <w:t xml:space="preserve">of the 9 subjects, the platelet count </w:t>
      </w:r>
      <w:r w:rsidR="006062AB">
        <w:t xml:space="preserve">reduction had a nadir in the 50 to </w:t>
      </w:r>
      <w:r w:rsidRPr="000C2144">
        <w:t xml:space="preserve">100 x </w:t>
      </w:r>
      <w:r w:rsidR="007312A2" w:rsidRPr="00984208">
        <w:t>10</w:t>
      </w:r>
      <w:r w:rsidR="007312A2" w:rsidRPr="007312A2">
        <w:rPr>
          <w:vertAlign w:val="superscript"/>
        </w:rPr>
        <w:t>9</w:t>
      </w:r>
      <w:r w:rsidRPr="000C2144">
        <w:t xml:space="preserve">/L range, but 1 patient had a platelet count of </w:t>
      </w:r>
      <w:r w:rsidR="007312A2">
        <w:t xml:space="preserve">&lt; </w:t>
      </w:r>
      <w:r w:rsidRPr="000C2144">
        <w:t xml:space="preserve">25 x </w:t>
      </w:r>
      <w:r w:rsidR="007312A2" w:rsidRPr="00984208">
        <w:t>10</w:t>
      </w:r>
      <w:r w:rsidR="007312A2" w:rsidRPr="007312A2">
        <w:rPr>
          <w:vertAlign w:val="superscript"/>
        </w:rPr>
        <w:t>9</w:t>
      </w:r>
      <w:r w:rsidRPr="000C2144">
        <w:t>/L. Three subjects permanently discontinued treatment because of thrombocyto</w:t>
      </w:r>
      <w:r w:rsidR="00BA3918">
        <w:t>paenia</w:t>
      </w:r>
      <w:r w:rsidRPr="000C2144">
        <w:t>, and for 4 of the patients continuing SAR, thrombocyto</w:t>
      </w:r>
      <w:r w:rsidR="00BA3918">
        <w:t>paenia</w:t>
      </w:r>
      <w:r w:rsidRPr="000C2144">
        <w:t xml:space="preserve"> was an isolated and transie</w:t>
      </w:r>
      <w:r>
        <w:t>nt finding.</w:t>
      </w:r>
    </w:p>
    <w:p w14:paraId="3B8FF191" w14:textId="77777777" w:rsidR="000C2144" w:rsidRPr="000C2144" w:rsidRDefault="000C2144" w:rsidP="000C2144">
      <w:pPr>
        <w:pStyle w:val="Heading6"/>
      </w:pPr>
      <w:r w:rsidRPr="000C2144">
        <w:t>Study EFC10832</w:t>
      </w:r>
    </w:p>
    <w:p w14:paraId="1C3309EA" w14:textId="63AE3C72" w:rsidR="000C2144" w:rsidRPr="000C2144" w:rsidRDefault="000C2144" w:rsidP="000C2144">
      <w:r w:rsidRPr="000C2144">
        <w:t xml:space="preserve">Over 24 weeks, mean decreases </w:t>
      </w:r>
      <w:r w:rsidR="00F01361">
        <w:t>from Baseline</w:t>
      </w:r>
      <w:r w:rsidRPr="000C2144">
        <w:t xml:space="preserve"> in the total white blood cell count were observed in both SAR groups (-1.66 x </w:t>
      </w:r>
      <w:r w:rsidR="007312A2" w:rsidRPr="00984208">
        <w:t>10</w:t>
      </w:r>
      <w:r w:rsidR="007312A2" w:rsidRPr="007312A2">
        <w:rPr>
          <w:vertAlign w:val="superscript"/>
        </w:rPr>
        <w:t>9</w:t>
      </w:r>
      <w:r w:rsidRPr="000C2144">
        <w:t xml:space="preserve">/L for SAR 150 mg and -2.39 x </w:t>
      </w:r>
      <w:r w:rsidR="007312A2" w:rsidRPr="00984208">
        <w:t>10</w:t>
      </w:r>
      <w:r w:rsidR="007312A2" w:rsidRPr="007312A2">
        <w:rPr>
          <w:vertAlign w:val="superscript"/>
        </w:rPr>
        <w:t>9</w:t>
      </w:r>
      <w:r w:rsidRPr="000C2144">
        <w:t xml:space="preserve">/L for SAR 200 mg), secondary to mean decreases in the neutrophil count, compared to </w:t>
      </w:r>
      <w:r w:rsidR="00A343A3">
        <w:t>placebo</w:t>
      </w:r>
      <w:r w:rsidRPr="000C2144">
        <w:t xml:space="preserve"> (no significant change; baseline mea</w:t>
      </w:r>
      <w:r w:rsidR="006062AB">
        <w:t xml:space="preserve">n total white cell count of 8.5 to </w:t>
      </w:r>
      <w:r w:rsidRPr="000C2144">
        <w:t xml:space="preserve">9.0 x </w:t>
      </w:r>
      <w:r w:rsidR="007312A2" w:rsidRPr="00984208">
        <w:t>10</w:t>
      </w:r>
      <w:r w:rsidR="007312A2" w:rsidRPr="007312A2">
        <w:rPr>
          <w:vertAlign w:val="superscript"/>
        </w:rPr>
        <w:t>9</w:t>
      </w:r>
      <w:r w:rsidRPr="000C2144">
        <w:t>/L across the 3 treatment groups). There were no clinically relevant changes in other white blood cell types, including lymphocytes.</w:t>
      </w:r>
    </w:p>
    <w:p w14:paraId="6D101F5C" w14:textId="407A6783" w:rsidR="000C2144" w:rsidRPr="000C2144" w:rsidRDefault="000C2144" w:rsidP="000C2144">
      <w:r w:rsidRPr="000C2144">
        <w:t xml:space="preserve">As </w:t>
      </w:r>
      <w:r w:rsidRPr="00414D0A">
        <w:t>summarised in Table 3</w:t>
      </w:r>
      <w:r w:rsidR="00414D0A" w:rsidRPr="00414D0A">
        <w:t>6</w:t>
      </w:r>
      <w:r w:rsidRPr="00414D0A">
        <w:t>, a higher incidence</w:t>
      </w:r>
      <w:r w:rsidRPr="000C2144">
        <w:t xml:space="preserve"> of Grade 1-3 neutro</w:t>
      </w:r>
      <w:r w:rsidR="00BA3918">
        <w:t>paenia</w:t>
      </w:r>
      <w:r w:rsidRPr="000C2144">
        <w:t xml:space="preserve"> was observed in the SAR 200 mg group (8.</w:t>
      </w:r>
      <w:r w:rsidR="006062AB">
        <w:t>7 to 1</w:t>
      </w:r>
      <w:r w:rsidRPr="000C2144">
        <w:t>6.4%) than in the SAR 150 mg arm (5.</w:t>
      </w:r>
      <w:r w:rsidR="006062AB">
        <w:t>5 to 1</w:t>
      </w:r>
      <w:r w:rsidRPr="000C2144">
        <w:t xml:space="preserve">4.4%) and the </w:t>
      </w:r>
      <w:r w:rsidR="00A343A3">
        <w:t>placebo</w:t>
      </w:r>
      <w:r w:rsidR="006062AB">
        <w:t xml:space="preserve"> group (0.6 to </w:t>
      </w:r>
      <w:r w:rsidRPr="000C2144">
        <w:t>2.8%).</w:t>
      </w:r>
      <w:r w:rsidR="004D78CD">
        <w:t xml:space="preserve"> </w:t>
      </w:r>
      <w:r w:rsidRPr="000C2144">
        <w:t>The incidence of Grade 4 neutro</w:t>
      </w:r>
      <w:r w:rsidR="00BA3918">
        <w:t>paenia</w:t>
      </w:r>
      <w:r w:rsidRPr="000C2144">
        <w:t xml:space="preserve"> was comparable betwee</w:t>
      </w:r>
      <w:r w:rsidR="006062AB">
        <w:t xml:space="preserve">n the SAR treatment groups (1.1 to </w:t>
      </w:r>
      <w:r w:rsidRPr="000C2144">
        <w:t>2.2%). Patients with a neutrophil count below the LLN did not have a higher incidence of infection compared with those patients with normal absolute neutrophil count. Neutro</w:t>
      </w:r>
      <w:r w:rsidR="00BA3918">
        <w:t>paenia</w:t>
      </w:r>
      <w:r w:rsidRPr="000C2144">
        <w:t xml:space="preserve"> was one of the most frequently reported AEs</w:t>
      </w:r>
      <w:r w:rsidR="006062AB">
        <w:t>, but only 3 neutro</w:t>
      </w:r>
      <w:r w:rsidR="00BA3918">
        <w:t>paenia</w:t>
      </w:r>
      <w:r w:rsidR="006062AB">
        <w:t xml:space="preserve"> AEs (1 </w:t>
      </w:r>
      <w:r w:rsidRPr="000C2144">
        <w:t>patient in the SAR 150 mg group and 2 subjects in the SAR 200 mg arm) were rated as SAEs. There was no case of neutro</w:t>
      </w:r>
      <w:r w:rsidR="00BA3918">
        <w:t>paenia</w:t>
      </w:r>
      <w:r w:rsidRPr="000C2144">
        <w:t xml:space="preserve"> resulting in hospitalisation. Approximately half of all subjects identified with neutro</w:t>
      </w:r>
      <w:r w:rsidR="00BA3918">
        <w:t>paenia</w:t>
      </w:r>
      <w:r w:rsidRPr="000C2144">
        <w:t xml:space="preserve"> continued with study medication. However, a significant number of other subjects prematurely discontinued as a result of neutro</w:t>
      </w:r>
      <w:r w:rsidR="00BA3918">
        <w:t>paenia</w:t>
      </w:r>
      <w:r w:rsidRPr="000C2144">
        <w:t xml:space="preserve"> (5 p</w:t>
      </w:r>
      <w:r w:rsidR="006062AB">
        <w:t>atients in the SAR 150 </w:t>
      </w:r>
      <w:r w:rsidRPr="000C2144">
        <w:t xml:space="preserve">mg group, 4 subjects in the SAR 200 mg arm and 1 patient in the </w:t>
      </w:r>
      <w:r w:rsidR="00A343A3">
        <w:t>placebo</w:t>
      </w:r>
      <w:r w:rsidRPr="000C2144">
        <w:t xml:space="preserve"> group). Some subjects had persistent neutro</w:t>
      </w:r>
      <w:r w:rsidR="00BA3918">
        <w:t>paenia</w:t>
      </w:r>
      <w:r w:rsidRPr="000C2144">
        <w:t xml:space="preserve"> at their last assessment and enrolled into Study LTS11210 (2.2% </w:t>
      </w:r>
      <w:r w:rsidR="00BF33B8">
        <w:t>(</w:t>
      </w:r>
      <w:r w:rsidRPr="000C2144">
        <w:t>4/184</w:t>
      </w:r>
      <w:r w:rsidR="00BF33B8">
        <w:t>)</w:t>
      </w:r>
      <w:r w:rsidRPr="000C2144">
        <w:t xml:space="preserve"> in the SAR 200 mg group, 1.7% </w:t>
      </w:r>
      <w:r w:rsidR="00BF33B8">
        <w:t>(</w:t>
      </w:r>
      <w:r w:rsidRPr="000C2144">
        <w:t>3/181</w:t>
      </w:r>
      <w:r w:rsidR="00BF33B8">
        <w:t>)</w:t>
      </w:r>
      <w:r w:rsidRPr="000C2144">
        <w:t xml:space="preserve"> in the SAR 150 mg arm and </w:t>
      </w:r>
      <w:r>
        <w:t xml:space="preserve">0.6% </w:t>
      </w:r>
      <w:r w:rsidR="00BF33B8">
        <w:t>(</w:t>
      </w:r>
      <w:r>
        <w:t>1/181</w:t>
      </w:r>
      <w:r w:rsidR="00BF33B8">
        <w:t>)</w:t>
      </w:r>
      <w:r>
        <w:t xml:space="preserve"> in the </w:t>
      </w:r>
      <w:r w:rsidR="00A343A3">
        <w:t>placebo</w:t>
      </w:r>
      <w:r>
        <w:t xml:space="preserve"> group).</w:t>
      </w:r>
    </w:p>
    <w:p w14:paraId="1E9005F5" w14:textId="7D0FB477" w:rsidR="00651BD3" w:rsidRPr="000C2144" w:rsidRDefault="000C2144" w:rsidP="000C2144">
      <w:pPr>
        <w:pStyle w:val="Tabletitle"/>
      </w:pPr>
      <w:r w:rsidRPr="00414D0A">
        <w:t>Table 3</w:t>
      </w:r>
      <w:r w:rsidR="00414D0A" w:rsidRPr="00414D0A">
        <w:t>6</w:t>
      </w:r>
      <w:r w:rsidRPr="00414D0A">
        <w:t>: Number</w:t>
      </w:r>
      <w:r w:rsidRPr="000C2144">
        <w:t xml:space="preserve"> </w:t>
      </w:r>
      <w:r w:rsidR="00414D0A" w:rsidRPr="000C2144">
        <w:t>and percentage of subjects with neutro</w:t>
      </w:r>
      <w:r w:rsidR="00BA3918">
        <w:t>paenia</w:t>
      </w:r>
      <w:r w:rsidR="00414D0A" w:rsidRPr="000C2144">
        <w:t xml:space="preserve"> </w:t>
      </w:r>
      <w:r w:rsidRPr="000C2144">
        <w:t>(by Grade) in Study</w:t>
      </w:r>
      <w:r w:rsidR="00380E31">
        <w:t> </w:t>
      </w:r>
      <w:r w:rsidRPr="000C2144">
        <w:t>EFC10832</w:t>
      </w:r>
    </w:p>
    <w:p w14:paraId="16415376" w14:textId="77777777" w:rsidR="00651BD3" w:rsidRDefault="000C2144" w:rsidP="00C22678">
      <w:pPr>
        <w:rPr>
          <w:lang w:eastAsia="ja-JP"/>
        </w:rPr>
      </w:pPr>
      <w:r>
        <w:rPr>
          <w:noProof/>
          <w:lang w:eastAsia="en-AU"/>
        </w:rPr>
        <w:drawing>
          <wp:inline distT="0" distB="0" distL="0" distR="0" wp14:anchorId="7941EA18" wp14:editId="0564EEEB">
            <wp:extent cx="5494356" cy="2033625"/>
            <wp:effectExtent l="0" t="0" r="0" b="5080"/>
            <wp:docPr id="45" name="Picture 45" descr="Number and percentage of subjects with neutropenia (by Grade) in Study EFC1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94343" cy="2033620"/>
                    </a:xfrm>
                    <a:prstGeom prst="rect">
                      <a:avLst/>
                    </a:prstGeom>
                  </pic:spPr>
                </pic:pic>
              </a:graphicData>
            </a:graphic>
          </wp:inline>
        </w:drawing>
      </w:r>
    </w:p>
    <w:p w14:paraId="632B85F8" w14:textId="238E232F" w:rsidR="000C2144" w:rsidRPr="000C2144" w:rsidRDefault="000C2144" w:rsidP="000C2144">
      <w:r w:rsidRPr="000C2144">
        <w:t xml:space="preserve">In Study EFC10832, the mean baseline platelet count was 325 x </w:t>
      </w:r>
      <w:r w:rsidR="007312A2" w:rsidRPr="00984208">
        <w:t>10</w:t>
      </w:r>
      <w:r w:rsidR="007312A2" w:rsidRPr="007312A2">
        <w:rPr>
          <w:vertAlign w:val="superscript"/>
        </w:rPr>
        <w:t>9</w:t>
      </w:r>
      <w:r w:rsidRPr="000C2144">
        <w:t xml:space="preserve">/L for the SAR 150 mg group and 350 x </w:t>
      </w:r>
      <w:r w:rsidR="007312A2" w:rsidRPr="00984208">
        <w:t>10</w:t>
      </w:r>
      <w:r w:rsidR="007312A2" w:rsidRPr="007312A2">
        <w:rPr>
          <w:vertAlign w:val="superscript"/>
        </w:rPr>
        <w:t>9</w:t>
      </w:r>
      <w:r w:rsidRPr="000C2144">
        <w:t xml:space="preserve">/L for the SAR 200 mg and </w:t>
      </w:r>
      <w:r w:rsidR="00A343A3">
        <w:t>placebo</w:t>
      </w:r>
      <w:r w:rsidRPr="000C2144">
        <w:t xml:space="preserve"> groups. At 2</w:t>
      </w:r>
      <w:r w:rsidR="006062AB">
        <w:t xml:space="preserve">4 weeks, a mean decrease to 240 to </w:t>
      </w:r>
      <w:r w:rsidRPr="000C2144">
        <w:t xml:space="preserve">250 x </w:t>
      </w:r>
      <w:r w:rsidR="007312A2" w:rsidRPr="00984208">
        <w:t>10</w:t>
      </w:r>
      <w:r w:rsidR="007312A2" w:rsidRPr="007312A2">
        <w:rPr>
          <w:vertAlign w:val="superscript"/>
        </w:rPr>
        <w:t>9</w:t>
      </w:r>
      <w:r w:rsidRPr="000C2144">
        <w:t xml:space="preserve">/L was seen in the SAR treatment arms and to 325 x </w:t>
      </w:r>
      <w:r w:rsidR="007312A2" w:rsidRPr="00984208">
        <w:t>10</w:t>
      </w:r>
      <w:r w:rsidR="007312A2" w:rsidRPr="007312A2">
        <w:rPr>
          <w:vertAlign w:val="superscript"/>
        </w:rPr>
        <w:t>9</w:t>
      </w:r>
      <w:r w:rsidRPr="000C2144">
        <w:t xml:space="preserve">/L for the </w:t>
      </w:r>
      <w:r w:rsidR="00A343A3">
        <w:t>placebo</w:t>
      </w:r>
      <w:r w:rsidRPr="000C2144">
        <w:t xml:space="preserve"> group. Six patients in the SAR 200 mg group developed significant thrombocyto</w:t>
      </w:r>
      <w:r w:rsidR="00BA3918">
        <w:t>paenia</w:t>
      </w:r>
      <w:r w:rsidRPr="000C2144">
        <w:t xml:space="preserve"> (platelet count </w:t>
      </w:r>
      <w:r w:rsidR="007312A2">
        <w:t xml:space="preserve">&lt; </w:t>
      </w:r>
      <w:r w:rsidRPr="000C2144">
        <w:t xml:space="preserve">100 x </w:t>
      </w:r>
      <w:r w:rsidR="007312A2" w:rsidRPr="00984208">
        <w:t>10</w:t>
      </w:r>
      <w:r w:rsidR="007312A2" w:rsidRPr="007312A2">
        <w:rPr>
          <w:vertAlign w:val="superscript"/>
        </w:rPr>
        <w:t>9</w:t>
      </w:r>
      <w:r w:rsidRPr="000C2144">
        <w:t xml:space="preserve">/L) versus no subjects in the other 2 treatment groups. For 5 of the 6 subjects, the platelet count </w:t>
      </w:r>
      <w:r w:rsidR="006062AB">
        <w:t xml:space="preserve">reduction had a nadir in the 50 to </w:t>
      </w:r>
      <w:r w:rsidRPr="000C2144">
        <w:t xml:space="preserve">100 x </w:t>
      </w:r>
      <w:r w:rsidR="007312A2" w:rsidRPr="00984208">
        <w:t>10</w:t>
      </w:r>
      <w:r w:rsidR="007312A2" w:rsidRPr="007312A2">
        <w:rPr>
          <w:vertAlign w:val="superscript"/>
        </w:rPr>
        <w:t>9</w:t>
      </w:r>
      <w:r w:rsidRPr="000C2144">
        <w:t xml:space="preserve">/L range, but 1 patient had a platelet count nadir of 7 x </w:t>
      </w:r>
      <w:r w:rsidR="007312A2" w:rsidRPr="00984208">
        <w:t>10</w:t>
      </w:r>
      <w:r w:rsidR="007312A2" w:rsidRPr="007312A2">
        <w:rPr>
          <w:vertAlign w:val="superscript"/>
        </w:rPr>
        <w:t>9</w:t>
      </w:r>
      <w:r w:rsidRPr="000C2144">
        <w:t xml:space="preserve">/L on </w:t>
      </w:r>
      <w:r w:rsidR="00E0128B">
        <w:t>Day</w:t>
      </w:r>
      <w:r w:rsidRPr="000C2144">
        <w:t xml:space="preserve"> 31, which was 189 x </w:t>
      </w:r>
      <w:r w:rsidR="007312A2" w:rsidRPr="00984208">
        <w:t>10</w:t>
      </w:r>
      <w:r w:rsidR="007312A2" w:rsidRPr="007312A2">
        <w:rPr>
          <w:vertAlign w:val="superscript"/>
        </w:rPr>
        <w:t>9</w:t>
      </w:r>
      <w:r w:rsidRPr="000C2144">
        <w:t>/L the following day, sug</w:t>
      </w:r>
      <w:r>
        <w:t>gesting laboratory error.</w:t>
      </w:r>
    </w:p>
    <w:p w14:paraId="17BF6C77" w14:textId="77777777" w:rsidR="000C2144" w:rsidRPr="000C2144" w:rsidRDefault="000C2144" w:rsidP="000C2144">
      <w:pPr>
        <w:pStyle w:val="Heading5"/>
      </w:pPr>
      <w:r w:rsidRPr="000C2144">
        <w:lastRenderedPageBreak/>
        <w:t>Other studies</w:t>
      </w:r>
    </w:p>
    <w:p w14:paraId="25B0BDE4" w14:textId="77777777" w:rsidR="000C2144" w:rsidRPr="000C2144" w:rsidRDefault="000C2144" w:rsidP="000C2144">
      <w:pPr>
        <w:pStyle w:val="Heading6"/>
      </w:pPr>
      <w:r w:rsidRPr="000C2144">
        <w:t>Part A of Study EFC11072</w:t>
      </w:r>
    </w:p>
    <w:p w14:paraId="08719133" w14:textId="5282CACF" w:rsidR="004D78CD" w:rsidRDefault="000C2144" w:rsidP="000C2144">
      <w:r w:rsidRPr="000C2144">
        <w:t>A total of 24 patients recorded neutro</w:t>
      </w:r>
      <w:r w:rsidR="00BA3918">
        <w:t>paenia</w:t>
      </w:r>
      <w:r w:rsidRPr="000C2144">
        <w:t xml:space="preserve">: 10 patients (19.6% of 51) in the SAR 200 mg q2w group, 7 subjects (14.0% of 50) in the SAR 100 mg qw arm, 6 patients (12.0% of 50) in the SAR 150 mg qw group and 1 subject (1.9% of 52) in the SAR 150 mg q2w arm. No subjects in the </w:t>
      </w:r>
      <w:r w:rsidR="00A343A3">
        <w:t>placebo</w:t>
      </w:r>
      <w:r w:rsidRPr="000C2144">
        <w:t xml:space="preserve"> and lowest dose SAR groups developed neutro</w:t>
      </w:r>
      <w:r w:rsidR="00BA3918">
        <w:t>paenia</w:t>
      </w:r>
      <w:r w:rsidRPr="000C2144">
        <w:t>. Of the affected cases, 1 case of asymptomatic Grade 4</w:t>
      </w:r>
      <w:r w:rsidR="00913BB9">
        <w:t xml:space="preserve"> </w:t>
      </w:r>
      <w:r w:rsidRPr="000C2144">
        <w:t>neutro</w:t>
      </w:r>
      <w:r w:rsidR="00BA3918">
        <w:t>paenia</w:t>
      </w:r>
      <w:r w:rsidRPr="000C2144">
        <w:t xml:space="preserve"> was reported as a medically important SAE. No cases of thrombocyto</w:t>
      </w:r>
      <w:r w:rsidR="00BA3918">
        <w:t>paenia</w:t>
      </w:r>
      <w:r w:rsidRPr="000C2144">
        <w:t xml:space="preserve"> (platelet count </w:t>
      </w:r>
      <w:r w:rsidR="007312A2">
        <w:t xml:space="preserve">&lt; </w:t>
      </w:r>
      <w:r w:rsidRPr="000C2144">
        <w:t xml:space="preserve">100 x </w:t>
      </w:r>
      <w:r w:rsidR="007312A2" w:rsidRPr="00984208">
        <w:t>10</w:t>
      </w:r>
      <w:r w:rsidR="007312A2" w:rsidRPr="007312A2">
        <w:rPr>
          <w:vertAlign w:val="superscript"/>
        </w:rPr>
        <w:t>9</w:t>
      </w:r>
      <w:r w:rsidRPr="000C2144">
        <w:t>/L) were observed in this trial</w:t>
      </w:r>
      <w:r w:rsidR="004D78CD">
        <w:t>.</w:t>
      </w:r>
    </w:p>
    <w:p w14:paraId="07DBFBF1" w14:textId="77777777" w:rsidR="000C2144" w:rsidRPr="000C2144" w:rsidRDefault="004D78CD" w:rsidP="000C2144">
      <w:pPr>
        <w:pStyle w:val="Heading6"/>
      </w:pPr>
      <w:r>
        <w:t>Long term</w:t>
      </w:r>
      <w:r w:rsidR="000C2144" w:rsidRPr="000C2144">
        <w:t xml:space="preserve"> </w:t>
      </w:r>
      <w:r w:rsidR="006062AB" w:rsidRPr="000C2144">
        <w:t>safety population</w:t>
      </w:r>
    </w:p>
    <w:p w14:paraId="1D5CF8B0" w14:textId="39A336CD" w:rsidR="000C2144" w:rsidRPr="000C2144" w:rsidRDefault="000C2144" w:rsidP="000C2144">
      <w:r w:rsidRPr="000C2144">
        <w:t>As expected with the longer observation periods, the incidence of neutro</w:t>
      </w:r>
      <w:r w:rsidR="00BA3918">
        <w:t>paenia</w:t>
      </w:r>
      <w:r w:rsidRPr="000C2144">
        <w:t xml:space="preserve"> (any Grade) was numerically higher in the </w:t>
      </w:r>
      <w:r w:rsidR="004D78CD">
        <w:t>long term</w:t>
      </w:r>
      <w:r w:rsidRPr="000C2144">
        <w:t xml:space="preserve"> safety population affecting 15.5% (179/1153) of patients who received SAR 150 mg q2w therapy and 19.8% (267/1346) of subjects given SAR 200 mg q2w. The incidence of severe neutro</w:t>
      </w:r>
      <w:r w:rsidR="00BA3918">
        <w:t>paenia</w:t>
      </w:r>
      <w:r w:rsidR="007312A2">
        <w:t xml:space="preserve">&lt; </w:t>
      </w:r>
      <w:r w:rsidRPr="000C2144">
        <w:t xml:space="preserve">1.0 x </w:t>
      </w:r>
      <w:r w:rsidR="007312A2" w:rsidRPr="00984208">
        <w:t>10</w:t>
      </w:r>
      <w:r w:rsidR="007312A2" w:rsidRPr="007312A2">
        <w:rPr>
          <w:vertAlign w:val="superscript"/>
        </w:rPr>
        <w:t>9</w:t>
      </w:r>
      <w:r w:rsidRPr="000C2144">
        <w:t xml:space="preserve">/L was also numerically higher in patients taking SAR 200 mg q2w (9.7%; 131/1346) versus SAR 150 mg q2w (5.9%; 68/1153) in the </w:t>
      </w:r>
      <w:r w:rsidR="004D78CD">
        <w:t>long term</w:t>
      </w:r>
      <w:r w:rsidRPr="000C2144">
        <w:t xml:space="preserve"> </w:t>
      </w:r>
      <w:r w:rsidR="006062AB">
        <w:t xml:space="preserve">safety population. The exposure </w:t>
      </w:r>
      <w:r w:rsidRPr="000C2144">
        <w:t>adjusted rate of neutro</w:t>
      </w:r>
      <w:r w:rsidR="00BA3918">
        <w:t>paenia</w:t>
      </w:r>
      <w:r w:rsidRPr="000C2144">
        <w:t xml:space="preserve"> appeared to reduce over time as seen in a Kaplan-Meier plot for time to onset of neutro</w:t>
      </w:r>
      <w:r w:rsidR="00BA3918">
        <w:t>paenia</w:t>
      </w:r>
      <w:r w:rsidR="007312A2">
        <w:t xml:space="preserve">&lt; </w:t>
      </w:r>
      <w:r w:rsidRPr="000C2144">
        <w:t xml:space="preserve">1.0 x </w:t>
      </w:r>
      <w:r w:rsidR="007312A2" w:rsidRPr="00984208">
        <w:t>10</w:t>
      </w:r>
      <w:r w:rsidR="007312A2" w:rsidRPr="007312A2">
        <w:rPr>
          <w:vertAlign w:val="superscript"/>
        </w:rPr>
        <w:t>9</w:t>
      </w:r>
      <w:r w:rsidR="006062AB">
        <w:t xml:space="preserve">/L 6 </w:t>
      </w:r>
      <w:r w:rsidRPr="000C2144">
        <w:t>month intervals which shows the</w:t>
      </w:r>
      <w:r>
        <w:t xml:space="preserve"> </w:t>
      </w:r>
      <w:r w:rsidRPr="000C2144">
        <w:t>highest frequency occurs in the first 6 months of treatment and the event rate decreases over time (up to 216 months).</w:t>
      </w:r>
    </w:p>
    <w:p w14:paraId="12BD2AE4" w14:textId="2F7AB152" w:rsidR="000C2144" w:rsidRDefault="000C2144" w:rsidP="000C2144">
      <w:r w:rsidRPr="000C2144">
        <w:t xml:space="preserve">In the </w:t>
      </w:r>
      <w:r w:rsidR="004D78CD">
        <w:t>long term</w:t>
      </w:r>
      <w:r w:rsidRPr="000C2144">
        <w:t xml:space="preserve"> studies protocol, SAR was to be permanently discontinued in case of Grade 4 neutro</w:t>
      </w:r>
      <w:r w:rsidR="00BA3918">
        <w:t>paenia</w:t>
      </w:r>
      <w:r w:rsidRPr="000C2144">
        <w:t xml:space="preserve"> (neutrophil count </w:t>
      </w:r>
      <w:r w:rsidR="007312A2">
        <w:t xml:space="preserve">&lt; </w:t>
      </w:r>
      <w:r w:rsidRPr="000C2144">
        <w:t xml:space="preserve">0.5 x </w:t>
      </w:r>
      <w:r w:rsidR="007312A2" w:rsidRPr="00984208">
        <w:t>10</w:t>
      </w:r>
      <w:r w:rsidR="007312A2" w:rsidRPr="007312A2">
        <w:rPr>
          <w:vertAlign w:val="superscript"/>
        </w:rPr>
        <w:t>9</w:t>
      </w:r>
      <w:r w:rsidRPr="000C2144">
        <w:t>/L) or Grade 3 neutro</w:t>
      </w:r>
      <w:r w:rsidR="00BA3918">
        <w:t>paenia</w:t>
      </w:r>
      <w:r w:rsidRPr="000C2144">
        <w:t xml:space="preserve"> with associated infection (neutrophil count </w:t>
      </w:r>
      <w:r w:rsidR="007312A2">
        <w:t xml:space="preserve">&gt; </w:t>
      </w:r>
      <w:r w:rsidRPr="000C2144">
        <w:t xml:space="preserve">0.5 and </w:t>
      </w:r>
      <w:r w:rsidR="007312A2">
        <w:t xml:space="preserve">&lt; </w:t>
      </w:r>
      <w:r w:rsidRPr="000C2144">
        <w:t xml:space="preserve">1.0 x </w:t>
      </w:r>
      <w:r w:rsidR="007312A2" w:rsidRPr="00984208">
        <w:t>10</w:t>
      </w:r>
      <w:r w:rsidR="007312A2" w:rsidRPr="007312A2">
        <w:rPr>
          <w:vertAlign w:val="superscript"/>
        </w:rPr>
        <w:t>9</w:t>
      </w:r>
      <w:r w:rsidRPr="000C2144">
        <w:t>/L. In the setting of Grade 3 neutro</w:t>
      </w:r>
      <w:r w:rsidR="00BA3918">
        <w:t>paenia</w:t>
      </w:r>
      <w:r w:rsidRPr="000C2144">
        <w:t xml:space="preserve"> without associated infection, administration of SAR was to be temporarily withheld and re-initiated after the neutrophil count was </w:t>
      </w:r>
      <w:r w:rsidR="007312A2">
        <w:t xml:space="preserve">≥ </w:t>
      </w:r>
      <w:r w:rsidRPr="000C2144">
        <w:t xml:space="preserve">1.0 x </w:t>
      </w:r>
      <w:r w:rsidR="007312A2" w:rsidRPr="00984208">
        <w:t>10</w:t>
      </w:r>
      <w:r w:rsidR="007312A2" w:rsidRPr="007312A2">
        <w:rPr>
          <w:vertAlign w:val="superscript"/>
        </w:rPr>
        <w:t>9</w:t>
      </w:r>
      <w:r w:rsidRPr="000C2144">
        <w:t>/L (</w:t>
      </w:r>
      <w:r w:rsidR="004D78CD">
        <w:t>that is</w:t>
      </w:r>
      <w:r w:rsidRPr="000C2144">
        <w:t xml:space="preserve"> Grade 2 neutro</w:t>
      </w:r>
      <w:r w:rsidR="00BA3918">
        <w:t>paenia</w:t>
      </w:r>
      <w:r w:rsidRPr="000C2144">
        <w:t xml:space="preserve">). Of the 322 patients on any dose of SAR in the </w:t>
      </w:r>
      <w:r w:rsidR="004D78CD">
        <w:t>long term</w:t>
      </w:r>
      <w:r w:rsidRPr="000C2144">
        <w:t xml:space="preserve"> safety population who had an neutro</w:t>
      </w:r>
      <w:r w:rsidR="00BA3918">
        <w:t>paenia</w:t>
      </w:r>
      <w:r w:rsidR="007312A2">
        <w:t xml:space="preserve">&lt; </w:t>
      </w:r>
      <w:r w:rsidRPr="000C2144">
        <w:t xml:space="preserve">1.0 x </w:t>
      </w:r>
      <w:r w:rsidR="007312A2" w:rsidRPr="00984208">
        <w:t>10</w:t>
      </w:r>
      <w:r w:rsidR="007312A2" w:rsidRPr="007312A2">
        <w:rPr>
          <w:vertAlign w:val="superscript"/>
        </w:rPr>
        <w:t>9</w:t>
      </w:r>
      <w:r w:rsidRPr="000C2144">
        <w:t>/L, 67% (215 patients) normalised on-treatment (</w:t>
      </w:r>
      <w:r w:rsidR="004D78CD">
        <w:t>that is</w:t>
      </w:r>
      <w:r w:rsidRPr="000C2144">
        <w:t xml:space="preserve"> at least one neutrophil count was normal within </w:t>
      </w:r>
      <w:r w:rsidR="00041F97">
        <w:t xml:space="preserve">≤ </w:t>
      </w:r>
      <w:r w:rsidRPr="000C2144">
        <w:t>17 days after last dose of SAR), 23% (75 patients) normalised after discontinuation of SAR and 10% (32 patients) had not normalised as of the last available assessment. In the 32 patients who had not normalised, half (17 patients) were still enrolled in the studies and receiving SAR therapy. Of the 15 patients who had permanently discontinued SAR therapy but neutrophil count normalisation was not documented, the median time of the last value was 20 days from their last SAR dose</w:t>
      </w:r>
      <w:r>
        <w:t>.</w:t>
      </w:r>
    </w:p>
    <w:p w14:paraId="7E233415" w14:textId="3E9D7670" w:rsidR="000C2144" w:rsidRPr="000C2144" w:rsidRDefault="000C2144" w:rsidP="000C2144">
      <w:r w:rsidRPr="000C2144">
        <w:t xml:space="preserve">In the </w:t>
      </w:r>
      <w:r w:rsidR="004D78CD">
        <w:t>long term</w:t>
      </w:r>
      <w:r w:rsidRPr="000C2144">
        <w:t xml:space="preserve"> safety population (with any dose of SAR therapy), a total of 57 patients (2.0% of 2</w:t>
      </w:r>
      <w:r w:rsidR="006062AB">
        <w:t>,</w:t>
      </w:r>
      <w:r w:rsidRPr="000C2144">
        <w:t xml:space="preserve">878) were observed to develop platelet count </w:t>
      </w:r>
      <w:r w:rsidR="007312A2">
        <w:t xml:space="preserve">&lt; </w:t>
      </w:r>
      <w:r w:rsidRPr="000C2144">
        <w:t xml:space="preserve">100 x </w:t>
      </w:r>
      <w:r w:rsidR="007312A2" w:rsidRPr="00984208">
        <w:t>10</w:t>
      </w:r>
      <w:r w:rsidR="007312A2" w:rsidRPr="007312A2">
        <w:rPr>
          <w:vertAlign w:val="superscript"/>
        </w:rPr>
        <w:t>9</w:t>
      </w:r>
      <w:r w:rsidRPr="000C2144">
        <w:t>/L. There was a numerically higher incidence of thrombocyto</w:t>
      </w:r>
      <w:r w:rsidR="00BA3918">
        <w:t>paenia</w:t>
      </w:r>
      <w:r w:rsidRPr="000C2144">
        <w:t xml:space="preserve"> observed in the SAR 200 mg q2w group (2.2%; 30/1</w:t>
      </w:r>
      <w:r w:rsidR="006062AB">
        <w:t>,</w:t>
      </w:r>
      <w:r w:rsidRPr="000C2144">
        <w:t>345) than in the SAR 150 mg q2w treated cohort (0.7%; 8/1</w:t>
      </w:r>
      <w:r w:rsidR="006062AB">
        <w:t>,</w:t>
      </w:r>
      <w:r w:rsidRPr="000C2144">
        <w:t xml:space="preserve">153). The time to onset of platelet count </w:t>
      </w:r>
      <w:r w:rsidR="007312A2">
        <w:t xml:space="preserve">&lt; </w:t>
      </w:r>
      <w:r w:rsidRPr="000C2144">
        <w:t xml:space="preserve">100 x </w:t>
      </w:r>
      <w:r w:rsidR="007312A2" w:rsidRPr="00984208">
        <w:t>10</w:t>
      </w:r>
      <w:r w:rsidR="007312A2" w:rsidRPr="007312A2">
        <w:rPr>
          <w:vertAlign w:val="superscript"/>
        </w:rPr>
        <w:t>9</w:t>
      </w:r>
      <w:r w:rsidRPr="000C2144">
        <w:t>/L was most prevalent within the first 6 months with no trend of increasing event rate over time.</w:t>
      </w:r>
    </w:p>
    <w:p w14:paraId="2791FFDE" w14:textId="56634482" w:rsidR="000C2144" w:rsidRPr="000C2144" w:rsidRDefault="000C2144" w:rsidP="000C2144">
      <w:r w:rsidRPr="000C2144">
        <w:t>A total of 5 patients (all treated with SAR 200 mg q2w therapy) developed severe persistent thrombocyto</w:t>
      </w:r>
      <w:r w:rsidR="00BA3918">
        <w:t>paenia</w:t>
      </w:r>
      <w:r w:rsidRPr="000C2144">
        <w:t xml:space="preserve"> (platelet count </w:t>
      </w:r>
      <w:r w:rsidR="007312A2">
        <w:t xml:space="preserve">&lt; </w:t>
      </w:r>
      <w:r w:rsidRPr="000C2144">
        <w:t xml:space="preserve">50 x </w:t>
      </w:r>
      <w:r w:rsidR="007312A2" w:rsidRPr="00984208">
        <w:t>10</w:t>
      </w:r>
      <w:r w:rsidR="007312A2" w:rsidRPr="007312A2">
        <w:rPr>
          <w:vertAlign w:val="superscript"/>
        </w:rPr>
        <w:t>9</w:t>
      </w:r>
      <w:r w:rsidRPr="000C2144">
        <w:t xml:space="preserve">/L) in the </w:t>
      </w:r>
      <w:r w:rsidR="004D78CD">
        <w:t>long term</w:t>
      </w:r>
      <w:r w:rsidRPr="000C2144">
        <w:t xml:space="preserve"> safety population, but other potential </w:t>
      </w:r>
      <w:r w:rsidR="006062AB">
        <w:t>a</w:t>
      </w:r>
      <w:r w:rsidRPr="000C2144">
        <w:t xml:space="preserve">etiological factors may have also been involved in each of those cases. SAR was to be discontinued if platelet count </w:t>
      </w:r>
      <w:r w:rsidR="007312A2">
        <w:t xml:space="preserve">&lt; </w:t>
      </w:r>
      <w:r w:rsidRPr="000C2144">
        <w:t xml:space="preserve">50 x </w:t>
      </w:r>
      <w:r w:rsidR="007312A2" w:rsidRPr="00984208">
        <w:t>10</w:t>
      </w:r>
      <w:r w:rsidR="007312A2" w:rsidRPr="007312A2">
        <w:rPr>
          <w:vertAlign w:val="superscript"/>
        </w:rPr>
        <w:t>9</w:t>
      </w:r>
      <w:r w:rsidRPr="000C2144">
        <w:t xml:space="preserve">/L or </w:t>
      </w:r>
      <w:r w:rsidR="007312A2">
        <w:t xml:space="preserve">&lt; </w:t>
      </w:r>
      <w:r w:rsidRPr="000C2144">
        <w:t xml:space="preserve">100 x </w:t>
      </w:r>
      <w:r w:rsidR="007312A2" w:rsidRPr="00984208">
        <w:t>10</w:t>
      </w:r>
      <w:r w:rsidR="007312A2" w:rsidRPr="007312A2">
        <w:rPr>
          <w:vertAlign w:val="superscript"/>
        </w:rPr>
        <w:t>9</w:t>
      </w:r>
      <w:r w:rsidRPr="000C2144">
        <w:t>/L with evidence of bleedin</w:t>
      </w:r>
      <w:r w:rsidR="006062AB">
        <w:t xml:space="preserve">g. If the platelet count was 50 to </w:t>
      </w:r>
      <w:r w:rsidRPr="000C2144">
        <w:t xml:space="preserve">100 x </w:t>
      </w:r>
      <w:r w:rsidR="007312A2" w:rsidRPr="00984208">
        <w:t>10</w:t>
      </w:r>
      <w:r w:rsidR="007312A2" w:rsidRPr="007312A2">
        <w:rPr>
          <w:vertAlign w:val="superscript"/>
        </w:rPr>
        <w:t>9</w:t>
      </w:r>
      <w:r w:rsidRPr="000C2144">
        <w:t xml:space="preserve">/L with no evidence of bleeding, SAR therapy was to be temporarily withheld and re-initiated once platelet count </w:t>
      </w:r>
      <w:r w:rsidR="007312A2">
        <w:t xml:space="preserve">&gt; </w:t>
      </w:r>
      <w:r w:rsidRPr="000C2144">
        <w:t xml:space="preserve">100 x </w:t>
      </w:r>
      <w:r w:rsidR="007312A2" w:rsidRPr="00984208">
        <w:t>10</w:t>
      </w:r>
      <w:r w:rsidR="007312A2" w:rsidRPr="007312A2">
        <w:rPr>
          <w:vertAlign w:val="superscript"/>
        </w:rPr>
        <w:t>9</w:t>
      </w:r>
      <w:r w:rsidRPr="000C2144">
        <w:t xml:space="preserve">/L. Of the 57 patients on any dose of SAR who had a platelet count </w:t>
      </w:r>
      <w:r w:rsidR="007312A2">
        <w:t xml:space="preserve">&lt; </w:t>
      </w:r>
      <w:r w:rsidRPr="000C2144">
        <w:t>100 Giga/L, 58% (33 patients) normalised on treatment (</w:t>
      </w:r>
      <w:r w:rsidR="004D78CD">
        <w:t>that is</w:t>
      </w:r>
      <w:r w:rsidRPr="000C2144">
        <w:t xml:space="preserve"> at least one platelet count was normal within </w:t>
      </w:r>
      <w:r w:rsidR="00041F97">
        <w:t xml:space="preserve">≤ </w:t>
      </w:r>
      <w:r w:rsidRPr="000C2144">
        <w:t>17 days after last dose of SAR), 21% (12 patients) normalised after ceasing SAR and 21% (12 patients) had not normalised as of</w:t>
      </w:r>
      <w:r>
        <w:t xml:space="preserve"> the last available assessment.</w:t>
      </w:r>
    </w:p>
    <w:p w14:paraId="2711B367" w14:textId="77777777" w:rsidR="000C2144" w:rsidRPr="000C2144" w:rsidRDefault="000C2144" w:rsidP="000C2144">
      <w:pPr>
        <w:pStyle w:val="Heading4"/>
      </w:pPr>
      <w:bookmarkStart w:id="269" w:name="_Toc272414673"/>
      <w:bookmarkStart w:id="270" w:name="_Toc290888537"/>
      <w:bookmarkStart w:id="271" w:name="_Toc464131559"/>
      <w:r w:rsidRPr="000C2144">
        <w:lastRenderedPageBreak/>
        <w:t xml:space="preserve">Lipid </w:t>
      </w:r>
      <w:r w:rsidR="006062AB">
        <w:t>p</w:t>
      </w:r>
      <w:r w:rsidRPr="000C2144">
        <w:t>ro</w:t>
      </w:r>
      <w:bookmarkEnd w:id="269"/>
      <w:bookmarkEnd w:id="270"/>
      <w:r w:rsidRPr="000C2144">
        <w:t>file</w:t>
      </w:r>
      <w:bookmarkEnd w:id="271"/>
    </w:p>
    <w:p w14:paraId="6D1C4265" w14:textId="77777777" w:rsidR="000C2144" w:rsidRPr="000C2144" w:rsidRDefault="000C2144" w:rsidP="000C2144">
      <w:pPr>
        <w:pStyle w:val="Heading5"/>
      </w:pPr>
      <w:r w:rsidRPr="000C2144">
        <w:t>Pivotal studies</w:t>
      </w:r>
    </w:p>
    <w:p w14:paraId="702BFD92" w14:textId="77777777" w:rsidR="000C2144" w:rsidRPr="000C2144" w:rsidRDefault="006062AB" w:rsidP="000C2144">
      <w:pPr>
        <w:pStyle w:val="Heading6"/>
      </w:pPr>
      <w:r>
        <w:t>Part B of Study EFC11072</w:t>
      </w:r>
    </w:p>
    <w:p w14:paraId="62ABC4FF" w14:textId="2E422306" w:rsidR="000C2144" w:rsidRPr="000C2144" w:rsidRDefault="000C2144" w:rsidP="000C2144">
      <w:r w:rsidRPr="000C2144">
        <w:t xml:space="preserve">Compared with </w:t>
      </w:r>
      <w:r w:rsidR="00A343A3">
        <w:t>placebo</w:t>
      </w:r>
      <w:r w:rsidRPr="000C2144">
        <w:t xml:space="preserve">, mean increases </w:t>
      </w:r>
      <w:r w:rsidR="00F01361">
        <w:t>from Baseline</w:t>
      </w:r>
      <w:r w:rsidRPr="000C2144">
        <w:t xml:space="preserve"> in lipid profiles were observed in the SAR treatment groups, but overall they remained within the normal range. At 52 weeks, there was a mean increase in LDL of 0.3</w:t>
      </w:r>
      <w:r w:rsidR="006062AB">
        <w:t>6 to 0</w:t>
      </w:r>
      <w:r w:rsidRPr="000C2144">
        <w:t>.43 mmol/L, in HDL of 0.01-0.04 mmol/L and serum triglycerides of 0.3</w:t>
      </w:r>
      <w:r w:rsidR="006062AB">
        <w:t>3 to 0</w:t>
      </w:r>
      <w:r w:rsidRPr="000C2144">
        <w:t xml:space="preserve">.34 mmol/L in the SAR groups versus in the </w:t>
      </w:r>
      <w:r w:rsidR="00A343A3">
        <w:t>placebo</w:t>
      </w:r>
      <w:r w:rsidRPr="000C2144">
        <w:t xml:space="preserve"> arm, there was a mean increase in LDL of 0.02 mmol/L, and a mean decrease in both HDL of 0.001 mmol/L and triglycerides of 0.03 mmol/L</w:t>
      </w:r>
      <w:r>
        <w:t>.</w:t>
      </w:r>
    </w:p>
    <w:p w14:paraId="72B14752" w14:textId="77777777" w:rsidR="004D78CD" w:rsidRDefault="000C2144" w:rsidP="000C2144">
      <w:r w:rsidRPr="000C2144">
        <w:t xml:space="preserve">During the study, a higher incidence of raised lipid results observed in the SAR treatment groups compared to </w:t>
      </w:r>
      <w:r w:rsidR="00A343A3">
        <w:t>placebo</w:t>
      </w:r>
      <w:r w:rsidRPr="000C2144">
        <w:t xml:space="preserve">, with no clear dose relationship for effect. The incidence of raised lipid values was 3.9% (17/431) in the SAR 150 mg group, 4.0% (17/424) in the SAR 200 mg arm and 1.9% (8/427) in the </w:t>
      </w:r>
      <w:r w:rsidR="00A343A3">
        <w:t>placebo</w:t>
      </w:r>
      <w:r w:rsidRPr="000C2144">
        <w:t xml:space="preserve"> group. The majority of cases of abnormal lipid profiles were explained by elevations in serum triglycerides: 1.6% (7/431) in the SAR 150 mg group and 1.7% (7/424) in the SAR 200 mg arm versus 0.5% (2/427) in the </w:t>
      </w:r>
      <w:r w:rsidR="00A343A3">
        <w:t>placebo</w:t>
      </w:r>
      <w:r w:rsidRPr="000C2144">
        <w:t xml:space="preserve"> group. No subjects had elevations of serum triglycerides that were associated with pancreatitis. During the trial, lipid lowering therapy was initiated in 3.0% (13/431) of patients in the SAR 150 mg group and 3.1% (13/424) of subjects in the SAR 200 mg arm versus 3 patients in the </w:t>
      </w:r>
      <w:r w:rsidR="00A343A3">
        <w:t>placebo</w:t>
      </w:r>
      <w:r w:rsidRPr="000C2144">
        <w:t xml:space="preserve"> group (0.7% of 427)</w:t>
      </w:r>
      <w:r w:rsidR="004D78CD">
        <w:t>.</w:t>
      </w:r>
    </w:p>
    <w:p w14:paraId="160A0915" w14:textId="77777777" w:rsidR="000C2144" w:rsidRPr="000C2144" w:rsidRDefault="000C2144" w:rsidP="000C2144">
      <w:pPr>
        <w:pStyle w:val="Heading6"/>
      </w:pPr>
      <w:r w:rsidRPr="000C2144">
        <w:t>Study EFC10832</w:t>
      </w:r>
    </w:p>
    <w:p w14:paraId="1A0B1A83" w14:textId="51160554" w:rsidR="000C2144" w:rsidRPr="000C2144" w:rsidRDefault="000C2144" w:rsidP="000C2144">
      <w:r w:rsidRPr="000C2144">
        <w:t xml:space="preserve">In Study EFC10832, the baseline mean value of LDL was 2.80 mmol/L and for triglyceride was 1.65 mmol/L. At 24 weeks, mean increases in serum LDL (to 3.2-3.3 mmol/L) and triglyceride levels (to 2.0 mmol/L in the SAR 150 mg group and 1.70 in the SAR 200 mg arm) were observed in the SAR groups compared to </w:t>
      </w:r>
      <w:r w:rsidR="00A343A3">
        <w:t>placebo</w:t>
      </w:r>
      <w:r w:rsidRPr="000C2144">
        <w:t xml:space="preserve"> (no significant change </w:t>
      </w:r>
      <w:r w:rsidR="00F01361">
        <w:t>from Baseline</w:t>
      </w:r>
      <w:r w:rsidRPr="000C2144">
        <w:t xml:space="preserve">). All 3 treatment groups showed a mean increase in HDL </w:t>
      </w:r>
      <w:r w:rsidR="00F01361">
        <w:t>from Baseline</w:t>
      </w:r>
      <w:r w:rsidRPr="000C2144">
        <w:t xml:space="preserve"> (1.52 mmol/L), with a higher increase observed in the 2 SAR groups (1.60 mmol/l) compared to the </w:t>
      </w:r>
      <w:r w:rsidR="00A343A3">
        <w:t>placebo</w:t>
      </w:r>
      <w:r w:rsidRPr="000C2144">
        <w:t xml:space="preserve"> ar</w:t>
      </w:r>
      <w:r>
        <w:t>m (no change).</w:t>
      </w:r>
    </w:p>
    <w:p w14:paraId="3704C9B0" w14:textId="77777777" w:rsidR="000C2144" w:rsidRPr="000C2144" w:rsidRDefault="000C2144" w:rsidP="000C2144">
      <w:r w:rsidRPr="000C2144">
        <w:t xml:space="preserve">There was a higher incidence of raised lipid results observed in the SAR treatment groups compared to </w:t>
      </w:r>
      <w:r w:rsidR="00A343A3">
        <w:t>placebo</w:t>
      </w:r>
      <w:r w:rsidRPr="000C2144">
        <w:t xml:space="preserve">, with no clear dose relationship for effect. The incidence of raised lipid values was 11.6% (21/181) in the SAR 150 mg group, 8.2% (15/184) in the SAR 200 mg arm and 2.8% (5/181) in the </w:t>
      </w:r>
      <w:r w:rsidR="00A343A3">
        <w:t>placebo</w:t>
      </w:r>
      <w:r w:rsidRPr="000C2144">
        <w:t xml:space="preserve"> group. The majority of cases of abnormal lipid profiles were explained by elevations in serum triglycerides: 7.2% (13/181) in the SAR 150 mg group and 3.3% (6/184) in the SAR 200 mg arm versus 1.7% (3/181) in the </w:t>
      </w:r>
      <w:r w:rsidR="00A343A3">
        <w:t>placebo</w:t>
      </w:r>
      <w:r w:rsidRPr="000C2144">
        <w:t xml:space="preserve"> group. No subjects had elevations of serum triglycerides that were associated with pancreatitis. During the trial, statin therapy was initiated in 3.9% (7/181) of patients in the SAR 150 mg group and 4.3% (8/184) of subjects in the SAR 200 mg arm. No patient in the </w:t>
      </w:r>
      <w:r w:rsidR="00A343A3">
        <w:t>placebo</w:t>
      </w:r>
      <w:r w:rsidRPr="000C2144">
        <w:t xml:space="preserve"> group initiated statin therapy during the study.</w:t>
      </w:r>
    </w:p>
    <w:p w14:paraId="4DBA4452" w14:textId="77777777" w:rsidR="000C2144" w:rsidRPr="000C2144" w:rsidRDefault="000C2144" w:rsidP="000C2144">
      <w:pPr>
        <w:pStyle w:val="Heading5"/>
      </w:pPr>
      <w:r w:rsidRPr="000C2144">
        <w:t>Other studies</w:t>
      </w:r>
    </w:p>
    <w:p w14:paraId="7DDBE064" w14:textId="77777777" w:rsidR="000C2144" w:rsidRPr="000C2144" w:rsidRDefault="000C2144" w:rsidP="000C2144">
      <w:pPr>
        <w:pStyle w:val="Heading6"/>
      </w:pPr>
      <w:r w:rsidRPr="000C2144">
        <w:t>Part A of Study EFC11072</w:t>
      </w:r>
    </w:p>
    <w:p w14:paraId="773C5E07" w14:textId="43E099B8" w:rsidR="000C2144" w:rsidRPr="000C2144" w:rsidRDefault="000C2144" w:rsidP="000C2144">
      <w:r w:rsidRPr="000C2144">
        <w:t xml:space="preserve">In this study, the mean changes </w:t>
      </w:r>
      <w:r w:rsidR="00F01361">
        <w:t>from Baseline</w:t>
      </w:r>
      <w:r w:rsidRPr="000C2144">
        <w:t xml:space="preserve"> for serum total cholesterol were greater in the SAR groups compared with </w:t>
      </w:r>
      <w:r w:rsidR="00A343A3">
        <w:t>placebo</w:t>
      </w:r>
      <w:r w:rsidRPr="000C2144">
        <w:t xml:space="preserve">. Lipid changes became evident at </w:t>
      </w:r>
      <w:r w:rsidR="002F4291">
        <w:t>Week</w:t>
      </w:r>
      <w:r w:rsidRPr="000C2144">
        <w:t xml:space="preserve"> 4 and remained stable thereafter. At </w:t>
      </w:r>
      <w:r w:rsidR="002F4291">
        <w:t>Week</w:t>
      </w:r>
      <w:r w:rsidRPr="000C2144">
        <w:t xml:space="preserve"> 12, the mean change </w:t>
      </w:r>
      <w:r w:rsidR="00F01361">
        <w:t>from Baseline</w:t>
      </w:r>
      <w:r w:rsidRPr="000C2144">
        <w:t xml:space="preserve"> was 3.1 mmol/L, 23.4 mmol/L, 20.15 mmol/L, 21.8 mmol/L, 26.4 mmol/L and 31.2 mmol/L for the </w:t>
      </w:r>
      <w:r w:rsidR="00A343A3">
        <w:t>placebo</w:t>
      </w:r>
      <w:r w:rsidRPr="000C2144">
        <w:t>, SAR 100 mg q2w, SAR 150 mg q2w, SAR 100 mg qw, SAR 200 q2w and SAR 150 mg qw treatment groups, respectively. The incidence of potentially significant abnormalities for total cholesterol and LDL cholesterol were more frequent in SAR treated subjects (dose independent) than</w:t>
      </w:r>
      <w:r>
        <w:t xml:space="preserve"> for </w:t>
      </w:r>
      <w:r w:rsidR="00A343A3">
        <w:t>placebo</w:t>
      </w:r>
      <w:r>
        <w:t xml:space="preserve"> patients.</w:t>
      </w:r>
    </w:p>
    <w:p w14:paraId="61F01C91" w14:textId="77777777" w:rsidR="000C2144" w:rsidRPr="000C2144" w:rsidRDefault="004D78CD" w:rsidP="000C2144">
      <w:pPr>
        <w:pStyle w:val="Heading6"/>
      </w:pPr>
      <w:r>
        <w:lastRenderedPageBreak/>
        <w:t>Long term</w:t>
      </w:r>
      <w:r w:rsidR="000C2144" w:rsidRPr="000C2144">
        <w:t xml:space="preserve"> </w:t>
      </w:r>
      <w:r w:rsidR="006062AB" w:rsidRPr="000C2144">
        <w:t>safety p</w:t>
      </w:r>
      <w:r w:rsidR="000C2144" w:rsidRPr="000C2144">
        <w:t>opulation</w:t>
      </w:r>
    </w:p>
    <w:p w14:paraId="5384C16A" w14:textId="77777777" w:rsidR="000C2144" w:rsidRPr="000C2144" w:rsidRDefault="000C2144" w:rsidP="000C2144">
      <w:r w:rsidRPr="000C2144">
        <w:t xml:space="preserve">In the </w:t>
      </w:r>
      <w:r w:rsidR="004D78CD">
        <w:t>long term</w:t>
      </w:r>
      <w:r w:rsidRPr="000C2144">
        <w:t xml:space="preserve"> safety population, elevations in lipid parameters remained consistent with what was observed in the </w:t>
      </w:r>
      <w:r w:rsidR="00A343A3">
        <w:t>placebo</w:t>
      </w:r>
      <w:r w:rsidRPr="000C2144">
        <w:t xml:space="preserve">-controlled populations. A total of 119 patients (4.1%) in the </w:t>
      </w:r>
      <w:r w:rsidR="004D78CD">
        <w:t>long term</w:t>
      </w:r>
      <w:r w:rsidRPr="000C2144">
        <w:t xml:space="preserve"> safety population had a serum triglyceride value </w:t>
      </w:r>
      <w:r w:rsidR="007312A2">
        <w:t xml:space="preserve">&gt; </w:t>
      </w:r>
      <w:r w:rsidRPr="000C2144">
        <w:t xml:space="preserve">5.6 mmol/L, none of which resulted in clinical AEs of pancreatitis. Increases in lipid profiles were observed at </w:t>
      </w:r>
      <w:r w:rsidR="002F4291">
        <w:t>Week</w:t>
      </w:r>
      <w:r w:rsidRPr="000C2144">
        <w:t xml:space="preserve"> 4 for LDL, triglycerides and HDL, and the changes remained stable thereafter. At </w:t>
      </w:r>
      <w:r w:rsidR="002F4291">
        <w:t>Week</w:t>
      </w:r>
      <w:r w:rsidRPr="000C2144">
        <w:t xml:space="preserve"> 4, the mean LDL increased by </w:t>
      </w:r>
      <w:r w:rsidR="000F37C5">
        <w:t xml:space="preserve">approximately </w:t>
      </w:r>
      <w:r w:rsidRPr="000C2144">
        <w:t xml:space="preserve">14 mg/dL, mean triglyceride levels increased by </w:t>
      </w:r>
      <w:r w:rsidR="000F37C5">
        <w:t xml:space="preserve">approximately </w:t>
      </w:r>
      <w:r w:rsidRPr="000C2144">
        <w:t xml:space="preserve">23 mg/dL and mean HDL values rose by </w:t>
      </w:r>
      <w:r w:rsidR="000F37C5">
        <w:t xml:space="preserve">approximately </w:t>
      </w:r>
      <w:r w:rsidRPr="000C2144">
        <w:t>3 mg/dL.</w:t>
      </w:r>
    </w:p>
    <w:p w14:paraId="26FCD813" w14:textId="77777777" w:rsidR="000C2144" w:rsidRPr="000C2144" w:rsidRDefault="000C2144" w:rsidP="000C2144">
      <w:pPr>
        <w:pStyle w:val="Heading4"/>
      </w:pPr>
      <w:bookmarkStart w:id="272" w:name="_Toc272414675"/>
      <w:bookmarkStart w:id="273" w:name="_Toc290888539"/>
      <w:bookmarkStart w:id="274" w:name="_Toc464131560"/>
      <w:r w:rsidRPr="000C2144">
        <w:t>Electrocardiograph</w:t>
      </w:r>
      <w:bookmarkEnd w:id="272"/>
      <w:bookmarkEnd w:id="273"/>
      <w:bookmarkEnd w:id="274"/>
    </w:p>
    <w:p w14:paraId="4CFA1F34" w14:textId="77777777" w:rsidR="000C2144" w:rsidRPr="000C2144" w:rsidRDefault="000C2144" w:rsidP="000C2144">
      <w:pPr>
        <w:pStyle w:val="Heading5"/>
      </w:pPr>
      <w:r w:rsidRPr="000C2144">
        <w:t>Pivotal studies</w:t>
      </w:r>
    </w:p>
    <w:p w14:paraId="328BE09D" w14:textId="77777777" w:rsidR="000C2144" w:rsidRPr="000C2144" w:rsidRDefault="000C2144" w:rsidP="000C2144">
      <w:pPr>
        <w:pStyle w:val="Heading6"/>
      </w:pPr>
      <w:r w:rsidRPr="000C2144">
        <w:t>Studies EFC11072 (Part B) and EFC10832</w:t>
      </w:r>
    </w:p>
    <w:p w14:paraId="3B34AEE4" w14:textId="77777777" w:rsidR="000C2144" w:rsidRPr="000C2144" w:rsidRDefault="000C2144" w:rsidP="000C2144">
      <w:r w:rsidRPr="000C2144">
        <w:t>There were no notable differences between the 3 treatment groups related to ECG parameters (mean and the percentage of</w:t>
      </w:r>
      <w:r>
        <w:t xml:space="preserve"> individual abnormal results).</w:t>
      </w:r>
    </w:p>
    <w:p w14:paraId="6F264215" w14:textId="77777777" w:rsidR="000C2144" w:rsidRPr="000C2144" w:rsidRDefault="000C2144" w:rsidP="000C2144">
      <w:pPr>
        <w:pStyle w:val="Heading5"/>
      </w:pPr>
      <w:r w:rsidRPr="000C2144">
        <w:t>Other studies</w:t>
      </w:r>
    </w:p>
    <w:p w14:paraId="29C216FE" w14:textId="77777777" w:rsidR="000C2144" w:rsidRPr="000C2144" w:rsidRDefault="000C2144" w:rsidP="000C2144">
      <w:pPr>
        <w:pStyle w:val="Heading6"/>
      </w:pPr>
      <w:r w:rsidRPr="000C2144">
        <w:t xml:space="preserve">Part A of Study EFC11072 and </w:t>
      </w:r>
      <w:r w:rsidR="006062AB">
        <w:t>long term</w:t>
      </w:r>
      <w:r w:rsidR="006062AB" w:rsidRPr="000C2144">
        <w:t xml:space="preserve"> safety population</w:t>
      </w:r>
    </w:p>
    <w:p w14:paraId="15F8CF64" w14:textId="77777777" w:rsidR="000C2144" w:rsidRPr="000C2144" w:rsidRDefault="000C2144" w:rsidP="000C2144">
      <w:r w:rsidRPr="000C2144">
        <w:t>No clinically relevant changes were observed for ECG parameters.</w:t>
      </w:r>
    </w:p>
    <w:p w14:paraId="0538DCE3" w14:textId="77777777" w:rsidR="000C2144" w:rsidRPr="000C2144" w:rsidRDefault="000C2144" w:rsidP="000C2144">
      <w:pPr>
        <w:pStyle w:val="Heading4"/>
      </w:pPr>
      <w:bookmarkStart w:id="275" w:name="_Toc272414676"/>
      <w:bookmarkStart w:id="276" w:name="_Toc290888540"/>
      <w:bookmarkStart w:id="277" w:name="_Toc464131561"/>
      <w:r w:rsidRPr="000C2144">
        <w:t>Vital signs</w:t>
      </w:r>
      <w:bookmarkEnd w:id="275"/>
      <w:bookmarkEnd w:id="276"/>
      <w:bookmarkEnd w:id="277"/>
    </w:p>
    <w:p w14:paraId="717EB4B9" w14:textId="77777777" w:rsidR="000C2144" w:rsidRPr="000C2144" w:rsidRDefault="000C2144" w:rsidP="000C2144">
      <w:pPr>
        <w:pStyle w:val="Heading5"/>
      </w:pPr>
      <w:r w:rsidRPr="000C2144">
        <w:t>Pivotal studies</w:t>
      </w:r>
    </w:p>
    <w:p w14:paraId="24E80941" w14:textId="77777777" w:rsidR="000C2144" w:rsidRPr="000C2144" w:rsidRDefault="006062AB" w:rsidP="000C2144">
      <w:pPr>
        <w:pStyle w:val="Heading6"/>
      </w:pPr>
      <w:r>
        <w:t>Part B of Study EFC11072</w:t>
      </w:r>
    </w:p>
    <w:p w14:paraId="74B7D9C1" w14:textId="1FA31122" w:rsidR="000C2144" w:rsidRPr="000C2144" w:rsidRDefault="000C2144" w:rsidP="000C2144">
      <w:r w:rsidRPr="000C2144">
        <w:t xml:space="preserve">There were no significant mean changes </w:t>
      </w:r>
      <w:r w:rsidR="00F01361">
        <w:t>from Baseline</w:t>
      </w:r>
      <w:r w:rsidRPr="000C2144">
        <w:t xml:space="preserve"> in blood pressure measurements in any of the treatment groups over the course of the trial. However, the percentage of patients with increased systolic blood pressure changes (</w:t>
      </w:r>
      <w:r w:rsidR="004D78CD">
        <w:t>that is</w:t>
      </w:r>
      <w:r w:rsidRPr="000C2144">
        <w:t xml:space="preserve"> </w:t>
      </w:r>
      <w:r w:rsidR="007312A2">
        <w:t xml:space="preserve">&gt; </w:t>
      </w:r>
      <w:r w:rsidRPr="000C2144">
        <w:t xml:space="preserve">160 mmHg, and an increase </w:t>
      </w:r>
      <w:r w:rsidR="00F01361">
        <w:t>from Baseline</w:t>
      </w:r>
      <w:r w:rsidRPr="000C2144">
        <w:t xml:space="preserve"> of </w:t>
      </w:r>
      <w:r w:rsidR="007312A2">
        <w:t xml:space="preserve">&gt; </w:t>
      </w:r>
      <w:r w:rsidRPr="000C2144">
        <w:t xml:space="preserve">20 mmHg) was higher in the SAR groups (5.6% </w:t>
      </w:r>
      <w:r w:rsidR="00BF33B8">
        <w:t>(</w:t>
      </w:r>
      <w:r w:rsidRPr="000C2144">
        <w:t>24/431</w:t>
      </w:r>
      <w:r w:rsidR="00BF33B8">
        <w:t>)</w:t>
      </w:r>
      <w:r w:rsidRPr="000C2144">
        <w:t xml:space="preserve"> in the SAR 150 mg group and 5.2% </w:t>
      </w:r>
      <w:r w:rsidR="00BF33B8">
        <w:t>(</w:t>
      </w:r>
      <w:r w:rsidRPr="000C2144">
        <w:t>22/423</w:t>
      </w:r>
      <w:r w:rsidR="00BF33B8">
        <w:t>)</w:t>
      </w:r>
      <w:r w:rsidRPr="000C2144">
        <w:t xml:space="preserve"> in the SAR 200 mg arm) compared to the </w:t>
      </w:r>
      <w:r w:rsidR="00A343A3">
        <w:t>placebo</w:t>
      </w:r>
      <w:r w:rsidRPr="000C2144">
        <w:t xml:space="preserve"> arm (3.5%; 15/426). The same finding was observed for the proportion of subjects in each treatment group with increases </w:t>
      </w:r>
      <w:r w:rsidR="00F01361">
        <w:t>from Baseline</w:t>
      </w:r>
      <w:r w:rsidRPr="000C2144">
        <w:t xml:space="preserve"> in dia</w:t>
      </w:r>
      <w:r>
        <w:t>stolic blood pressure readings.</w:t>
      </w:r>
    </w:p>
    <w:p w14:paraId="4C29A478" w14:textId="67F28C85" w:rsidR="000C2144" w:rsidRPr="000C2144" w:rsidRDefault="000C2144" w:rsidP="000C2144">
      <w:r w:rsidRPr="000C2144">
        <w:t xml:space="preserve">The percentage of subjects with an increase in weight of </w:t>
      </w:r>
      <w:r w:rsidR="007312A2">
        <w:t xml:space="preserve">≥ </w:t>
      </w:r>
      <w:r w:rsidRPr="000C2144">
        <w:t xml:space="preserve">5% </w:t>
      </w:r>
      <w:r w:rsidR="00F01361">
        <w:t>from Baseline</w:t>
      </w:r>
      <w:r w:rsidRPr="000C2144">
        <w:t xml:space="preserve"> was higher in the SAR treatment groups (32.7% </w:t>
      </w:r>
      <w:r w:rsidR="00BF33B8">
        <w:t>(</w:t>
      </w:r>
      <w:r w:rsidRPr="000C2144">
        <w:t>141/431</w:t>
      </w:r>
      <w:r w:rsidR="00BF33B8">
        <w:t>)</w:t>
      </w:r>
      <w:r w:rsidRPr="000C2144">
        <w:t xml:space="preserve"> in the SAR 150 mg group and 34.2% </w:t>
      </w:r>
      <w:r w:rsidR="00BF33B8">
        <w:t>(</w:t>
      </w:r>
      <w:r w:rsidRPr="000C2144">
        <w:t>145/424</w:t>
      </w:r>
      <w:r w:rsidR="00BF33B8">
        <w:t>)</w:t>
      </w:r>
      <w:r w:rsidRPr="000C2144">
        <w:t xml:space="preserve"> in the SAR 200 mg arm) compared to the </w:t>
      </w:r>
      <w:r w:rsidR="00A343A3">
        <w:t>placebo</w:t>
      </w:r>
      <w:r w:rsidRPr="000C2144">
        <w:t xml:space="preserve"> group (15.0%; 64/427).</w:t>
      </w:r>
    </w:p>
    <w:p w14:paraId="74976409" w14:textId="77777777" w:rsidR="000C2144" w:rsidRPr="000C2144" w:rsidRDefault="000C2144" w:rsidP="000C2144">
      <w:pPr>
        <w:pStyle w:val="Heading6"/>
      </w:pPr>
      <w:r w:rsidRPr="000C2144">
        <w:t>Study EFC10832</w:t>
      </w:r>
    </w:p>
    <w:p w14:paraId="6EE5A24E" w14:textId="1F226550" w:rsidR="000C2144" w:rsidRPr="000C2144" w:rsidRDefault="000C2144" w:rsidP="000C2144">
      <w:r w:rsidRPr="000C2144">
        <w:t>The incidence of patients with orthostatic systolic blood pressure changes (</w:t>
      </w:r>
      <w:r w:rsidR="004D78CD">
        <w:t>that is</w:t>
      </w:r>
      <w:r w:rsidRPr="000C2144">
        <w:t xml:space="preserve"> </w:t>
      </w:r>
      <w:r w:rsidR="00041F97">
        <w:t xml:space="preserve">≤ </w:t>
      </w:r>
      <w:r w:rsidRPr="000C2144">
        <w:t xml:space="preserve">20 mmHg decrease </w:t>
      </w:r>
      <w:r w:rsidR="00F01361">
        <w:t>from Baseline</w:t>
      </w:r>
      <w:r w:rsidRPr="000C2144">
        <w:t xml:space="preserve">) was increased in the SAR groups (7.8% </w:t>
      </w:r>
      <w:r w:rsidR="00BF33B8">
        <w:t>(</w:t>
      </w:r>
      <w:r w:rsidRPr="000C2144">
        <w:t>14/180</w:t>
      </w:r>
      <w:r w:rsidR="00BF33B8">
        <w:t>)</w:t>
      </w:r>
      <w:r w:rsidRPr="000C2144">
        <w:t xml:space="preserve"> in the SAR 150 mg group and 8.8% </w:t>
      </w:r>
      <w:r w:rsidR="00BF33B8">
        <w:t>(</w:t>
      </w:r>
      <w:r w:rsidRPr="000C2144">
        <w:t>16/182</w:t>
      </w:r>
      <w:r w:rsidR="00BF33B8">
        <w:t>)</w:t>
      </w:r>
      <w:r w:rsidRPr="000C2144">
        <w:t xml:space="preserve"> in the SAR 200 mg arm) compared to the </w:t>
      </w:r>
      <w:r w:rsidR="00A343A3">
        <w:t>placebo</w:t>
      </w:r>
      <w:r w:rsidRPr="000C2144">
        <w:t xml:space="preserve"> arm (3.9%; 7/180). None of the patients with orthostatic blood pressure changes reported associated clinical symptoms.</w:t>
      </w:r>
    </w:p>
    <w:p w14:paraId="7A90800C" w14:textId="282AC849" w:rsidR="000C2144" w:rsidRPr="000C2144" w:rsidRDefault="000C2144" w:rsidP="000C2144">
      <w:r w:rsidRPr="000C2144">
        <w:t xml:space="preserve">The percentage of subjects with an increase in weight of </w:t>
      </w:r>
      <w:r w:rsidR="007312A2">
        <w:t xml:space="preserve">≥ </w:t>
      </w:r>
      <w:r w:rsidRPr="000C2144">
        <w:t xml:space="preserve">5% </w:t>
      </w:r>
      <w:r w:rsidR="00F01361">
        <w:t>from Baseline</w:t>
      </w:r>
      <w:r w:rsidRPr="000C2144">
        <w:t xml:space="preserve"> was higher in the SAR treatment groups (11.2% </w:t>
      </w:r>
      <w:r w:rsidR="00BF33B8">
        <w:t>(</w:t>
      </w:r>
      <w:r w:rsidRPr="000C2144">
        <w:t>20/179</w:t>
      </w:r>
      <w:r w:rsidR="00BF33B8">
        <w:t>)</w:t>
      </w:r>
      <w:r w:rsidRPr="000C2144">
        <w:t xml:space="preserve"> in the SAR 150 mg group and 19.8% </w:t>
      </w:r>
      <w:r w:rsidR="00BF33B8">
        <w:t>(</w:t>
      </w:r>
      <w:r w:rsidRPr="000C2144">
        <w:t>36/182</w:t>
      </w:r>
      <w:r w:rsidR="00BF33B8">
        <w:t>)</w:t>
      </w:r>
      <w:r w:rsidRPr="000C2144">
        <w:t xml:space="preserve"> in the SAR 200 mg arm) compared to the </w:t>
      </w:r>
      <w:r w:rsidR="00A343A3">
        <w:t>placebo</w:t>
      </w:r>
      <w:r w:rsidRPr="000C2144">
        <w:t xml:space="preserve"> group (8.9%; 16/180).</w:t>
      </w:r>
    </w:p>
    <w:p w14:paraId="148D33FD" w14:textId="77777777" w:rsidR="000C2144" w:rsidRPr="000C2144" w:rsidRDefault="000C2144" w:rsidP="000C2144">
      <w:pPr>
        <w:pStyle w:val="Heading5"/>
      </w:pPr>
      <w:r w:rsidRPr="000C2144">
        <w:t>Other studies</w:t>
      </w:r>
    </w:p>
    <w:p w14:paraId="08102C7B" w14:textId="77777777" w:rsidR="000C2144" w:rsidRPr="000C2144" w:rsidRDefault="000C2144" w:rsidP="000C2144">
      <w:pPr>
        <w:pStyle w:val="Heading6"/>
      </w:pPr>
      <w:r w:rsidRPr="000C2144">
        <w:t xml:space="preserve">Part A of Study EFC11072 </w:t>
      </w:r>
      <w:r w:rsidR="006062AB" w:rsidRPr="000C2144">
        <w:t xml:space="preserve">and </w:t>
      </w:r>
      <w:r w:rsidR="006062AB">
        <w:t>long term</w:t>
      </w:r>
      <w:r w:rsidR="006062AB" w:rsidRPr="000C2144">
        <w:t xml:space="preserve"> safety population</w:t>
      </w:r>
    </w:p>
    <w:p w14:paraId="6F872DAB" w14:textId="727826F7" w:rsidR="000C2144" w:rsidRPr="000C2144" w:rsidRDefault="000C2144" w:rsidP="000C2144">
      <w:r w:rsidRPr="000C2144">
        <w:t xml:space="preserve">No clinically relevant changes were observed for vital signs, including blood pressure and changes </w:t>
      </w:r>
      <w:r w:rsidR="00F01361">
        <w:t>from Baseline</w:t>
      </w:r>
      <w:r w:rsidRPr="000C2144">
        <w:t xml:space="preserve"> in subject weight.</w:t>
      </w:r>
    </w:p>
    <w:p w14:paraId="2FEFE1CC" w14:textId="77777777" w:rsidR="000C2144" w:rsidRPr="000C2144" w:rsidRDefault="000C2144" w:rsidP="000C2144">
      <w:pPr>
        <w:pStyle w:val="Heading4"/>
      </w:pPr>
      <w:bookmarkStart w:id="278" w:name="_Toc464131562"/>
      <w:bookmarkStart w:id="279" w:name="_Toc272414677"/>
      <w:bookmarkStart w:id="280" w:name="_Toc290888541"/>
      <w:r w:rsidRPr="000C2144">
        <w:lastRenderedPageBreak/>
        <w:t>Immunogenicity</w:t>
      </w:r>
      <w:bookmarkEnd w:id="278"/>
      <w:r w:rsidRPr="000C2144">
        <w:t xml:space="preserve"> </w:t>
      </w:r>
      <w:bookmarkEnd w:id="279"/>
      <w:bookmarkEnd w:id="280"/>
    </w:p>
    <w:p w14:paraId="20B61F82" w14:textId="158039C1" w:rsidR="000C2144" w:rsidRPr="000C2144" w:rsidRDefault="000C2144" w:rsidP="000C2144">
      <w:r w:rsidRPr="000C2144">
        <w:t>Immunogenicity findings (</w:t>
      </w:r>
      <w:r w:rsidR="004D78CD">
        <w:t>that is</w:t>
      </w:r>
      <w:r w:rsidRPr="000C2144">
        <w:t xml:space="preserve"> detection of anti-drug antibodies </w:t>
      </w:r>
      <w:r w:rsidR="00BF33B8">
        <w:t>(</w:t>
      </w:r>
      <w:r w:rsidRPr="000C2144">
        <w:t>ADA</w:t>
      </w:r>
      <w:r w:rsidR="00BF33B8">
        <w:t>)</w:t>
      </w:r>
      <w:r w:rsidRPr="000C2144">
        <w:t xml:space="preserve">) are highly dependent on the sensitivity and specificity of assays, among other factors including sample handling, timing of sample collection and concomitant medications. Immunogenicity was evaluated throughout the SAR clinical program and a validated ADA assay was used to assess immunogenicity in all clinical studies except for 4 of the </w:t>
      </w:r>
      <w:r w:rsidR="004D78CD">
        <w:t>Phase I</w:t>
      </w:r>
      <w:r w:rsidRPr="000C2144">
        <w:t xml:space="preserve"> studies. A brief description of ADA assays is provided. Initially, a non-validated electro</w:t>
      </w:r>
      <w:r w:rsidR="006062AB">
        <w:t xml:space="preserve"> chemiluminescence </w:t>
      </w:r>
      <w:r w:rsidRPr="000C2144">
        <w:t xml:space="preserve">based bridging assay was developed to detect ADA in human serum samples. The non-validated assay was used to assess samples from the early </w:t>
      </w:r>
      <w:r w:rsidR="004D78CD">
        <w:t>Phase I</w:t>
      </w:r>
      <w:r w:rsidRPr="000C2144">
        <w:t xml:space="preserve"> clinical studies</w:t>
      </w:r>
      <w:r>
        <w:t xml:space="preserve"> </w:t>
      </w:r>
      <w:r w:rsidRPr="000C2144">
        <w:t>(TDU10808/6R88-RA-0703, TDU10809/6R88-RA-0801, ACT10804/6R88-RA-0803 and TDU10805/6R88-RA-0802). This method was a non-quantitative, titre-based immunoassay using</w:t>
      </w:r>
      <w:r>
        <w:t xml:space="preserve"> </w:t>
      </w:r>
      <w:r w:rsidRPr="000C2144">
        <w:t>a MesoScale Discovery instrument which involved potentially 3 different tiers of evaluation of a</w:t>
      </w:r>
      <w:r>
        <w:t xml:space="preserve"> </w:t>
      </w:r>
      <w:r w:rsidRPr="000C2144">
        <w:t xml:space="preserve">sample. The assay cut points were generated using naïve human serum samples from healthy subjects. Subsequently, the non-validated method was modified to address assay interferences identified during the analysis of samples from these early </w:t>
      </w:r>
      <w:r w:rsidR="004D78CD">
        <w:t>Phase I</w:t>
      </w:r>
      <w:r w:rsidRPr="000C2144">
        <w:t xml:space="preserve"> studies. The validated method used in the subsequent trials (including the </w:t>
      </w:r>
      <w:r w:rsidR="004D78CD">
        <w:t>Phase II</w:t>
      </w:r>
      <w:r w:rsidR="00A343A3">
        <w:t>-III</w:t>
      </w:r>
      <w:r w:rsidRPr="000C2144">
        <w:t xml:space="preserve"> program) had appropriate cut-off values and assay sensitivity.</w:t>
      </w:r>
    </w:p>
    <w:p w14:paraId="05E39440" w14:textId="77777777" w:rsidR="000C2144" w:rsidRPr="000C2144" w:rsidRDefault="000C2144" w:rsidP="000C2144">
      <w:pPr>
        <w:pStyle w:val="Heading5"/>
      </w:pPr>
      <w:r w:rsidRPr="000C2144">
        <w:t>Pivotal studies</w:t>
      </w:r>
    </w:p>
    <w:p w14:paraId="06BAFC72" w14:textId="77777777" w:rsidR="000C2144" w:rsidRPr="000C2144" w:rsidRDefault="006062AB" w:rsidP="000C2144">
      <w:pPr>
        <w:pStyle w:val="Heading6"/>
      </w:pPr>
      <w:r>
        <w:t>Part B of Study EFC11072</w:t>
      </w:r>
    </w:p>
    <w:p w14:paraId="4E7366CC" w14:textId="3586978F" w:rsidR="000C2144" w:rsidRPr="000C2144" w:rsidRDefault="000C2144" w:rsidP="000C2144">
      <w:r w:rsidRPr="000C2144">
        <w:t>The incidence of patients with any positive ADA assay result (</w:t>
      </w:r>
      <w:r w:rsidR="004D78CD">
        <w:t>that is</w:t>
      </w:r>
      <w:r w:rsidRPr="000C2144">
        <w:t xml:space="preserve"> having at least 1 positive sample) during the study was 5.9% (25/427) in the </w:t>
      </w:r>
      <w:r w:rsidR="00A343A3">
        <w:t>placebo</w:t>
      </w:r>
      <w:r w:rsidRPr="000C2144">
        <w:t xml:space="preserve"> group, 22.6% (97/430) in the SAR 150 mg arm and 16.0% (68/424) in the SAR 200 mg group. The frequency of new positive ADA assay results during the treatment period (</w:t>
      </w:r>
      <w:r w:rsidR="004D78CD">
        <w:t>that is</w:t>
      </w:r>
      <w:r w:rsidRPr="000C2144">
        <w:t xml:space="preserve"> ADA negative </w:t>
      </w:r>
      <w:r w:rsidR="00F01361">
        <w:t>at Baseline</w:t>
      </w:r>
      <w:r w:rsidRPr="000C2144">
        <w:t xml:space="preserve"> and becoming ADA positive on treatment or ADA positive </w:t>
      </w:r>
      <w:r w:rsidR="00F01361">
        <w:t>at Baseline</w:t>
      </w:r>
      <w:r w:rsidRPr="000C2144">
        <w:t xml:space="preserve"> with at least a 4</w:t>
      </w:r>
      <w:r w:rsidR="007312A2">
        <w:t xml:space="preserve"> fold</w:t>
      </w:r>
      <w:r w:rsidRPr="000C2144">
        <w:t xml:space="preserve"> increase in ADA titre on treatment) was 4.2% (18/427) in the </w:t>
      </w:r>
      <w:r w:rsidR="00A343A3">
        <w:t>placebo</w:t>
      </w:r>
      <w:r w:rsidRPr="000C2144">
        <w:t xml:space="preserve"> group, 19.8% (85/430) in the SAR 150 mg arm and 14.6% (6</w:t>
      </w:r>
      <w:r w:rsidR="00414D0A">
        <w:t>2/424) in the SAR 200 mg group,</w:t>
      </w:r>
      <w:r w:rsidRPr="000C2144">
        <w:t xml:space="preserve"> </w:t>
      </w:r>
      <w:r w:rsidRPr="00414D0A">
        <w:t xml:space="preserve">refer to </w:t>
      </w:r>
      <w:r w:rsidR="00414D0A" w:rsidRPr="00414D0A">
        <w:t>Table 37</w:t>
      </w:r>
      <w:r w:rsidRPr="00414D0A">
        <w:t>. The</w:t>
      </w:r>
      <w:r w:rsidRPr="000C2144">
        <w:t xml:space="preserve"> presence of neutralising anti-drug antibodies was low at 0.2% (1/427) in the </w:t>
      </w:r>
      <w:r w:rsidR="00A343A3">
        <w:t>placebo</w:t>
      </w:r>
      <w:r w:rsidRPr="000C2144">
        <w:t xml:space="preserve"> group, 3.5% (15/430) in the SAR 150 mg arm and 2.4% (10/424) in the SAR 200 mg group. A persistent positive ADA assay result (</w:t>
      </w:r>
      <w:r w:rsidR="004D78CD">
        <w:t>that is</w:t>
      </w:r>
      <w:r w:rsidRPr="000C2144">
        <w:t xml:space="preserve"> at least 2 consecu</w:t>
      </w:r>
      <w:r w:rsidR="006062AB">
        <w:t xml:space="preserve">tive post-baseline samples were </w:t>
      </w:r>
      <w:r w:rsidRPr="000C2144">
        <w:t xml:space="preserve">positive or the last post-baseline sample collected was positive) was observed in 2.3% (10/427) of patients in the </w:t>
      </w:r>
      <w:r w:rsidR="00A343A3">
        <w:t>placebo</w:t>
      </w:r>
      <w:r w:rsidRPr="000C2144">
        <w:t xml:space="preserve"> group, 7.9% (34/430) of subjects in the SAR 150 mg arm and 6.1% (26/424) of patients in the SAR 200 mg group. In addition, patients were grouped by ADA status (positive or negative), regardless of treatment group, for assessment of lack or loss of efficacy (</w:t>
      </w:r>
      <w:r w:rsidR="007312A2">
        <w:t>for example</w:t>
      </w:r>
      <w:r w:rsidRPr="000C2144">
        <w:t xml:space="preserve"> switch to </w:t>
      </w:r>
      <w:r w:rsidR="004D78CD">
        <w:t>open label</w:t>
      </w:r>
      <w:r w:rsidRPr="000C2144">
        <w:t xml:space="preserve"> rescue treatment after achieving ACR50 response) and </w:t>
      </w:r>
      <w:r w:rsidR="006062AB">
        <w:t>treatment emergent</w:t>
      </w:r>
      <w:r w:rsidRPr="000C2144">
        <w:t xml:space="preserve"> hypersensitivity (local and systemic reactions). The rates of the above efficacy and safety outcomes were similar for SAR treated subjects regardless of their ADA status (albeit small patient numbers in subgroups).</w:t>
      </w:r>
    </w:p>
    <w:p w14:paraId="3C3B8197" w14:textId="77777777" w:rsidR="00651BD3" w:rsidRPr="000C2144" w:rsidRDefault="000C2144" w:rsidP="000C2144">
      <w:pPr>
        <w:pStyle w:val="Tabletitle"/>
      </w:pPr>
      <w:r w:rsidRPr="00414D0A">
        <w:lastRenderedPageBreak/>
        <w:t>Table 3</w:t>
      </w:r>
      <w:r w:rsidR="00414D0A" w:rsidRPr="00414D0A">
        <w:t>7</w:t>
      </w:r>
      <w:r>
        <w:t xml:space="preserve">: </w:t>
      </w:r>
      <w:r w:rsidRPr="000C2144">
        <w:t>Summary of Anti-Drug Antibody (ADA) Results in Part B of Study EFC11072</w:t>
      </w:r>
    </w:p>
    <w:p w14:paraId="51E763C2" w14:textId="77777777" w:rsidR="00651BD3" w:rsidRDefault="000C2144" w:rsidP="00C22678">
      <w:pPr>
        <w:rPr>
          <w:lang w:eastAsia="ja-JP"/>
        </w:rPr>
      </w:pPr>
      <w:r>
        <w:rPr>
          <w:noProof/>
          <w:lang w:eastAsia="en-AU"/>
        </w:rPr>
        <w:drawing>
          <wp:inline distT="0" distB="0" distL="0" distR="0" wp14:anchorId="5ADFC657" wp14:editId="69C1FC73">
            <wp:extent cx="5502686" cy="5903367"/>
            <wp:effectExtent l="0" t="0" r="3175" b="2540"/>
            <wp:docPr id="46" name="Picture 46" descr="Summary of Anti-Drug Antibody (ADA) Results in Part B of Study EFC1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506344" cy="5907292"/>
                    </a:xfrm>
                    <a:prstGeom prst="rect">
                      <a:avLst/>
                    </a:prstGeom>
                  </pic:spPr>
                </pic:pic>
              </a:graphicData>
            </a:graphic>
          </wp:inline>
        </w:drawing>
      </w:r>
    </w:p>
    <w:p w14:paraId="34EAE484" w14:textId="77777777" w:rsidR="000C2144" w:rsidRPr="000C2144" w:rsidRDefault="000C2144" w:rsidP="000C2144">
      <w:pPr>
        <w:pStyle w:val="Heading6"/>
      </w:pPr>
      <w:r w:rsidRPr="000C2144">
        <w:t>Study EFC10832</w:t>
      </w:r>
    </w:p>
    <w:p w14:paraId="324D6A08" w14:textId="77777777" w:rsidR="000C2144" w:rsidRPr="000C2144" w:rsidRDefault="000C2144" w:rsidP="000C2144">
      <w:r w:rsidRPr="000C2144">
        <w:t xml:space="preserve">The incidence of patients who tested ADA positive during Study EFC10832 was higher in the SAR 150 mg group (18.3%; 33/180) compared to the SAR 200 mg arm (12.1%; 22/182) and </w:t>
      </w:r>
      <w:r w:rsidR="00A343A3">
        <w:t>placebo</w:t>
      </w:r>
      <w:r w:rsidR="00414D0A">
        <w:t xml:space="preserve"> group (1.7%; 3/180),</w:t>
      </w:r>
      <w:r w:rsidRPr="000C2144">
        <w:t xml:space="preserve"> </w:t>
      </w:r>
      <w:r w:rsidRPr="00414D0A">
        <w:t>refer to Table 3</w:t>
      </w:r>
      <w:r w:rsidR="00414D0A" w:rsidRPr="00414D0A">
        <w:t>8</w:t>
      </w:r>
      <w:r w:rsidRPr="00414D0A">
        <w:t>. The</w:t>
      </w:r>
      <w:r w:rsidRPr="000C2144">
        <w:t xml:space="preserve"> majority of ADA positive patients had a transient response. The median ADA titre was 30 in all 3 treatment groups for the subset of patients that became ADA positive during the study. Seven patients (5 in the SAR 150 mg group and 2 in the SAR 200 mg arm) developed neutralising ADA. One of those patients discontinued prematurely due to lack of efficacy (last SAR dose given on </w:t>
      </w:r>
      <w:r w:rsidR="00E0128B">
        <w:t>Day</w:t>
      </w:r>
      <w:r w:rsidRPr="000C2144">
        <w:t xml:space="preserve"> 72). This subject had neutralising ADA identified on </w:t>
      </w:r>
      <w:r w:rsidR="00E0128B">
        <w:t>Day</w:t>
      </w:r>
      <w:r w:rsidRPr="000C2144">
        <w:t xml:space="preserve"> 30 (titre 120) and </w:t>
      </w:r>
      <w:r w:rsidR="00E0128B">
        <w:t>Day</w:t>
      </w:r>
      <w:r w:rsidRPr="000C2144">
        <w:t xml:space="preserve"> 86 (titre of 240). This patient’s serum SAR concentrations were all below the LLOQ (312.5 ng/mL) from pre-dose to </w:t>
      </w:r>
      <w:r w:rsidR="00E0128B">
        <w:t>Day</w:t>
      </w:r>
      <w:r w:rsidRPr="000C2144">
        <w:t xml:space="preserve"> 86, indicating that the serum SAR concentration was not detectable before and after he had developed neutralising ADA. Testing positive for non-neutralising ADA was not associated with a lower likelihood of achieving satisfactory clinical response. None of the patients with neutralising ADA experienced a hypersensitivity reaction. However, 2 other ADA positive (non-neutralising) </w:t>
      </w:r>
      <w:r w:rsidRPr="000C2144">
        <w:lastRenderedPageBreak/>
        <w:t>subjects experienced skin hypersensitivity AEs (3.6% of 55), which is less frequent than the ADA negative cohort (6.2%; 19/307) an</w:t>
      </w:r>
      <w:r>
        <w:t xml:space="preserve">d similar to </w:t>
      </w:r>
      <w:r w:rsidR="00A343A3">
        <w:t>placebo</w:t>
      </w:r>
      <w:r>
        <w:t xml:space="preserve"> (3.9%; 7/181).</w:t>
      </w:r>
    </w:p>
    <w:p w14:paraId="5EE972B8" w14:textId="77777777" w:rsidR="00651BD3" w:rsidRPr="000C2144" w:rsidRDefault="000C2144" w:rsidP="000C2144">
      <w:pPr>
        <w:pStyle w:val="Tabletitle"/>
      </w:pPr>
      <w:r w:rsidRPr="00414D0A">
        <w:t>Table 3</w:t>
      </w:r>
      <w:r w:rsidR="00414D0A" w:rsidRPr="00414D0A">
        <w:t>8</w:t>
      </w:r>
      <w:r w:rsidRPr="00414D0A">
        <w:t>: Summary</w:t>
      </w:r>
      <w:r w:rsidRPr="000C2144">
        <w:t xml:space="preserve"> of Anti-Drug Antibody (ADA) Results in Study EFC10832</w:t>
      </w:r>
    </w:p>
    <w:p w14:paraId="3CE2F76D" w14:textId="77777777" w:rsidR="00651BD3" w:rsidRDefault="000C2144" w:rsidP="00C22678">
      <w:pPr>
        <w:rPr>
          <w:lang w:eastAsia="ja-JP"/>
        </w:rPr>
      </w:pPr>
      <w:r>
        <w:rPr>
          <w:noProof/>
          <w:lang w:eastAsia="en-AU"/>
        </w:rPr>
        <w:drawing>
          <wp:inline distT="0" distB="0" distL="0" distR="0" wp14:anchorId="15FABE5D" wp14:editId="35E33E83">
            <wp:extent cx="5310835" cy="5979796"/>
            <wp:effectExtent l="0" t="0" r="4445" b="1905"/>
            <wp:docPr id="47" name="Picture 47" descr="Summary of Anti-Drug Antibody (ADA) Results in Study EFC1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312031" cy="5981143"/>
                    </a:xfrm>
                    <a:prstGeom prst="rect">
                      <a:avLst/>
                    </a:prstGeom>
                  </pic:spPr>
                </pic:pic>
              </a:graphicData>
            </a:graphic>
          </wp:inline>
        </w:drawing>
      </w:r>
    </w:p>
    <w:p w14:paraId="6A3AF0BA" w14:textId="77777777" w:rsidR="000C2144" w:rsidRPr="000C2144" w:rsidRDefault="000C2144" w:rsidP="009813AE">
      <w:pPr>
        <w:pStyle w:val="Heading5"/>
      </w:pPr>
      <w:r w:rsidRPr="000C2144">
        <w:t>Other studies</w:t>
      </w:r>
    </w:p>
    <w:p w14:paraId="7232117E" w14:textId="77777777" w:rsidR="000C2144" w:rsidRPr="000C2144" w:rsidRDefault="000C2144" w:rsidP="009813AE">
      <w:pPr>
        <w:pStyle w:val="Heading6"/>
      </w:pPr>
      <w:r w:rsidRPr="000C2144">
        <w:t>Part A of Study EFC11072</w:t>
      </w:r>
    </w:p>
    <w:p w14:paraId="05D60DA2" w14:textId="2B4913F1" w:rsidR="004D78CD" w:rsidRDefault="000C2144" w:rsidP="000C2144">
      <w:r w:rsidRPr="000C2144">
        <w:t xml:space="preserve">Five patients (2 each in the SAR 100 mg qw and 150 mg q2w groups, and 1 in the SAR 200 mg q2w arm) had positive ADA responses </w:t>
      </w:r>
      <w:r w:rsidR="00F01361">
        <w:t>at Baseline</w:t>
      </w:r>
      <w:r w:rsidRPr="000C2144">
        <w:t xml:space="preserve"> in this trial, which may be due to pre-existing immunoreactivity (such as pre-existing or natural antibodies). Over the course of the study, the incidence of ADA positivity appeared to be inversely related to the dose of SAR, </w:t>
      </w:r>
      <w:r w:rsidR="004D78CD">
        <w:t>that is</w:t>
      </w:r>
      <w:r w:rsidRPr="000C2144">
        <w:t xml:space="preserve">, the higher the SAR dose, the lower the incidence of ADA. No subject in the </w:t>
      </w:r>
      <w:r w:rsidR="00A343A3">
        <w:t>placebo</w:t>
      </w:r>
      <w:r w:rsidRPr="000C2144">
        <w:t xml:space="preserve"> group developed ADA. The incidences of positive ADA for each SAR dose group at </w:t>
      </w:r>
      <w:r w:rsidR="002F4291">
        <w:t>Week</w:t>
      </w:r>
      <w:r w:rsidRPr="000C2144">
        <w:t xml:space="preserve"> 12 was 42.9% (18/42) in the SAR 100 mg qw group, 18.4% (9/49) in the SAR 150 mg q2w arm, 9.5% (4/42) in the SAR 100 mg qw group, 6.4% (3/47) in the SAR 200 mg q2w arm and 2.1% (1/47) in the SAR 150 mg qw group. Over 90% of subjects who tested ADA positive did so by </w:t>
      </w:r>
      <w:r w:rsidR="002F4291">
        <w:t>Week</w:t>
      </w:r>
      <w:r w:rsidRPr="000C2144">
        <w:t xml:space="preserve"> 4 and then maintained </w:t>
      </w:r>
      <w:r w:rsidRPr="000C2144">
        <w:lastRenderedPageBreak/>
        <w:t>the result. There was no correlation between ADA positivity and safety parameters, apart from a slightly higher incidence of local injection site reactions in ADA positive (7.0%; 4/57) versus ADA negative (5.7%; 11/194) subjects</w:t>
      </w:r>
      <w:r w:rsidR="004D78CD">
        <w:t>.</w:t>
      </w:r>
    </w:p>
    <w:p w14:paraId="7FD5A0E4" w14:textId="77777777" w:rsidR="000C2144" w:rsidRPr="000C2144" w:rsidRDefault="004D78CD" w:rsidP="009813AE">
      <w:pPr>
        <w:pStyle w:val="Heading6"/>
      </w:pPr>
      <w:r>
        <w:t xml:space="preserve">Long </w:t>
      </w:r>
      <w:r w:rsidR="006062AB">
        <w:t>term</w:t>
      </w:r>
      <w:r w:rsidR="006062AB" w:rsidRPr="000C2144">
        <w:t xml:space="preserve"> safety population</w:t>
      </w:r>
    </w:p>
    <w:p w14:paraId="418A4F00" w14:textId="77777777" w:rsidR="004D78CD" w:rsidRDefault="000C2144" w:rsidP="000C2144">
      <w:r w:rsidRPr="000C2144">
        <w:t xml:space="preserve">In the </w:t>
      </w:r>
      <w:r w:rsidR="004D78CD">
        <w:t>long term</w:t>
      </w:r>
      <w:r w:rsidRPr="000C2144">
        <w:t xml:space="preserve"> safety population, the overall rate of ADA positivity in any SAR dose group was 16.3% (417/25</w:t>
      </w:r>
      <w:r w:rsidR="00414D0A">
        <w:t xml:space="preserve">55) with a median titre of 30, </w:t>
      </w:r>
      <w:r w:rsidRPr="000C2144">
        <w:t xml:space="preserve">refer to </w:t>
      </w:r>
      <w:r w:rsidRPr="00414D0A">
        <w:t xml:space="preserve">Table </w:t>
      </w:r>
      <w:r w:rsidR="00414D0A" w:rsidRPr="00414D0A">
        <w:t>39</w:t>
      </w:r>
      <w:r w:rsidRPr="000C2144">
        <w:t xml:space="preserve">. Most patients had transient ADA responses (11.7%; 300/2555), but 4.5% of all subjects (114/2555) had persistent </w:t>
      </w:r>
      <w:r w:rsidR="006062AB">
        <w:t>treatment emergent</w:t>
      </w:r>
      <w:r w:rsidRPr="000C2144">
        <w:t xml:space="preserve"> positive ADA response. Among the persistent </w:t>
      </w:r>
      <w:r w:rsidR="006062AB">
        <w:t>treatment emergent</w:t>
      </w:r>
      <w:r w:rsidRPr="000C2144">
        <w:t xml:space="preserve"> positive ADA response subjects, 1.2% (31/2555) exhibited ADA with neutralising qualities</w:t>
      </w:r>
      <w:r w:rsidR="004D78CD">
        <w:t>.</w:t>
      </w:r>
    </w:p>
    <w:p w14:paraId="72059CB9" w14:textId="77777777" w:rsidR="000C2144" w:rsidRPr="000C2144" w:rsidRDefault="000C2144" w:rsidP="009813AE">
      <w:pPr>
        <w:pStyle w:val="Tabletitle"/>
      </w:pPr>
      <w:r w:rsidRPr="00414D0A">
        <w:t xml:space="preserve">Table </w:t>
      </w:r>
      <w:r w:rsidR="00414D0A" w:rsidRPr="00414D0A">
        <w:t>39</w:t>
      </w:r>
      <w:r w:rsidR="009813AE" w:rsidRPr="00414D0A">
        <w:t>:</w:t>
      </w:r>
      <w:r w:rsidRPr="00414D0A">
        <w:t xml:space="preserve"> Summary of Anti-Drug Antibody (ADA) Results in the </w:t>
      </w:r>
      <w:r w:rsidR="004D78CD" w:rsidRPr="00414D0A">
        <w:t>Long term</w:t>
      </w:r>
      <w:r w:rsidRPr="00414D0A">
        <w:t xml:space="preserve"> Safety</w:t>
      </w:r>
      <w:r w:rsidRPr="000C2144">
        <w:t xml:space="preserve"> Population</w:t>
      </w:r>
    </w:p>
    <w:p w14:paraId="5C5A4A5C" w14:textId="77777777" w:rsidR="00651BD3" w:rsidRDefault="009813AE" w:rsidP="009813AE">
      <w:r>
        <w:rPr>
          <w:noProof/>
          <w:lang w:eastAsia="en-AU"/>
        </w:rPr>
        <w:drawing>
          <wp:inline distT="0" distB="0" distL="0" distR="0" wp14:anchorId="09C504E5" wp14:editId="4AAC7A32">
            <wp:extent cx="5439650" cy="5457140"/>
            <wp:effectExtent l="0" t="0" r="8890" b="0"/>
            <wp:docPr id="48" name="Picture 48" descr="Summary of Anti-Drug Antibody (ADA) Results in the Long term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439831" cy="5457321"/>
                    </a:xfrm>
                    <a:prstGeom prst="rect">
                      <a:avLst/>
                    </a:prstGeom>
                  </pic:spPr>
                </pic:pic>
              </a:graphicData>
            </a:graphic>
          </wp:inline>
        </w:drawing>
      </w:r>
    </w:p>
    <w:p w14:paraId="0EE38DA8" w14:textId="77777777" w:rsidR="009813AE" w:rsidRPr="009813AE" w:rsidRDefault="009813AE" w:rsidP="009813AE">
      <w:pPr>
        <w:pStyle w:val="Heading4"/>
      </w:pPr>
      <w:bookmarkStart w:id="281" w:name="_Toc272414678"/>
      <w:bookmarkStart w:id="282" w:name="_Toc290888542"/>
      <w:bookmarkStart w:id="283" w:name="_Toc464131563"/>
      <w:r w:rsidRPr="009813AE">
        <w:t>Autoim</w:t>
      </w:r>
      <w:bookmarkEnd w:id="281"/>
      <w:bookmarkEnd w:id="282"/>
      <w:r w:rsidRPr="009813AE">
        <w:t xml:space="preserve">munity and </w:t>
      </w:r>
      <w:r w:rsidR="006062AB" w:rsidRPr="009813AE">
        <w:t>hypersensitivi</w:t>
      </w:r>
      <w:r w:rsidRPr="009813AE">
        <w:t>ty</w:t>
      </w:r>
      <w:bookmarkEnd w:id="283"/>
    </w:p>
    <w:p w14:paraId="4ABE1E87" w14:textId="77777777" w:rsidR="009813AE" w:rsidRPr="009813AE" w:rsidRDefault="009813AE" w:rsidP="009813AE">
      <w:pPr>
        <w:pStyle w:val="Heading5"/>
      </w:pPr>
      <w:r w:rsidRPr="009813AE">
        <w:t>Pivotal studies</w:t>
      </w:r>
    </w:p>
    <w:p w14:paraId="7AA5F93B" w14:textId="77777777" w:rsidR="009813AE" w:rsidRPr="009813AE" w:rsidRDefault="006062AB" w:rsidP="009813AE">
      <w:pPr>
        <w:pStyle w:val="Heading6"/>
      </w:pPr>
      <w:r>
        <w:t>Part B of Study EFC11072</w:t>
      </w:r>
    </w:p>
    <w:p w14:paraId="4C57449E" w14:textId="11911A05" w:rsidR="009813AE" w:rsidRPr="009813AE" w:rsidRDefault="009813AE" w:rsidP="009813AE">
      <w:r w:rsidRPr="009813AE">
        <w:t xml:space="preserve">Approximately half of all patients in each of the 3 treatment group were ANA negative </w:t>
      </w:r>
      <w:r w:rsidR="00F01361">
        <w:t>at Baseline</w:t>
      </w:r>
      <w:r w:rsidRPr="009813AE">
        <w:t>. The incidence of patients who became newly ANA positive during the study (</w:t>
      </w:r>
      <w:r w:rsidR="004D78CD">
        <w:t>that is</w:t>
      </w:r>
      <w:r w:rsidRPr="009813AE">
        <w:t xml:space="preserve"> </w:t>
      </w:r>
      <w:r w:rsidRPr="009813AE">
        <w:lastRenderedPageBreak/>
        <w:t xml:space="preserve">baseline negative ANA result) was similar in the 3 treatment groups: 50.0% (94/188) in the </w:t>
      </w:r>
      <w:r w:rsidR="00A343A3">
        <w:t>placebo</w:t>
      </w:r>
      <w:r w:rsidRPr="009813AE">
        <w:t xml:space="preserve"> group, 49.4% (88/178) in the SAR 150 mg arm and 47.7% (92/193) in the SAR 200 mg group. Two patients had a positive anti-ds-DNA antibody post-baseline, including 1 patient in the </w:t>
      </w:r>
      <w:r w:rsidR="00A343A3">
        <w:t>placebo</w:t>
      </w:r>
      <w:r w:rsidRPr="009813AE">
        <w:t xml:space="preserve"> group who discontinued due to leucocytoclastic vasculitis and another patient in the SAR 200 mg arm that recorded AEs of gastritis, increased serum transaminases, upper respiratory infection and cystitis, all of which were not suggestive of an autoimmune disorder. Skin biopsy proven cutaneous lupus was reported on study </w:t>
      </w:r>
      <w:r w:rsidR="00E0128B">
        <w:t>Day</w:t>
      </w:r>
      <w:r w:rsidRPr="009813AE">
        <w:t xml:space="preserve"> 300 in a patient treated with SAR 150 mg therapy, who had a new positive ANA result of low titre (1:40).</w:t>
      </w:r>
    </w:p>
    <w:p w14:paraId="4AF048B9" w14:textId="13D2D8F3" w:rsidR="009813AE" w:rsidRPr="009813AE" w:rsidRDefault="009813AE" w:rsidP="009813AE">
      <w:r w:rsidRPr="009813AE">
        <w:t xml:space="preserve">During the </w:t>
      </w:r>
      <w:r w:rsidR="00E0128B">
        <w:t>double blind</w:t>
      </w:r>
      <w:r w:rsidRPr="009813AE">
        <w:t xml:space="preserve"> treatment phase, a higher incidence of hypersensitivity reactions was observed in the SAR groups (6.7% </w:t>
      </w:r>
      <w:r w:rsidR="00BF33B8">
        <w:t>(</w:t>
      </w:r>
      <w:r w:rsidRPr="009813AE">
        <w:t>29/431</w:t>
      </w:r>
      <w:r w:rsidR="00BF33B8">
        <w:t>)</w:t>
      </w:r>
      <w:r w:rsidRPr="009813AE">
        <w:t xml:space="preserve"> in the SAR 150 mg group and 7.8% </w:t>
      </w:r>
      <w:r w:rsidR="00BF33B8">
        <w:t>(</w:t>
      </w:r>
      <w:r w:rsidRPr="009813AE">
        <w:t>33/424</w:t>
      </w:r>
      <w:r w:rsidR="00BF33B8">
        <w:t>)</w:t>
      </w:r>
      <w:r w:rsidRPr="009813AE">
        <w:t xml:space="preserve"> in the SAR 200 mg arm) compared to the </w:t>
      </w:r>
      <w:r w:rsidR="00A343A3">
        <w:t>placebo</w:t>
      </w:r>
      <w:r w:rsidRPr="009813AE">
        <w:t xml:space="preserve"> arm (4.7%; 20/427). One patient (46 year old female treated with SAR 200 mg injections) developed an immediate post-injection reaction on study </w:t>
      </w:r>
      <w:r w:rsidR="00E0128B">
        <w:t>Day</w:t>
      </w:r>
      <w:r w:rsidRPr="009813AE">
        <w:t xml:space="preserve"> 358 (</w:t>
      </w:r>
      <w:r w:rsidR="004D78CD">
        <w:t>that is</w:t>
      </w:r>
      <w:r w:rsidRPr="009813AE">
        <w:t xml:space="preserve"> last dose of SAR), which was recorded as an SAE. The post-injection reaction was characterised by pallor, a feeling of generalised weakness, increased blood pressure and tachycardia lasting 10 minutes before spontaneous resolution. Nearly all of the other hypersensitivity AEs were skin reactions (of mild or moderate severity) with no case of anaphylaxis during the study. Seven patients (1 in the </w:t>
      </w:r>
      <w:r w:rsidR="00A343A3">
        <w:t>placebo</w:t>
      </w:r>
      <w:r w:rsidRPr="009813AE">
        <w:t xml:space="preserve"> group, and 3 in each SAR arm) had hypersensitivity AEs that resulted in permanent treatment discontinuation. During the </w:t>
      </w:r>
      <w:r w:rsidR="004D78CD">
        <w:t>open label</w:t>
      </w:r>
      <w:r w:rsidRPr="009813AE">
        <w:t xml:space="preserve"> rescue period, another 9 patients (3.2%) experienced hypersensitivity AEs and 2 of those subjects (0.7%) ceased SAR treatment because of those events</w:t>
      </w:r>
      <w:r>
        <w:t>.</w:t>
      </w:r>
    </w:p>
    <w:p w14:paraId="7F22CD8D" w14:textId="77777777" w:rsidR="009813AE" w:rsidRPr="009813AE" w:rsidRDefault="009813AE" w:rsidP="009813AE">
      <w:pPr>
        <w:pStyle w:val="Heading6"/>
      </w:pPr>
      <w:r w:rsidRPr="009813AE">
        <w:t>Study EFC10832</w:t>
      </w:r>
    </w:p>
    <w:p w14:paraId="75348D16" w14:textId="07CB1E55" w:rsidR="009813AE" w:rsidRPr="009813AE" w:rsidRDefault="009813AE" w:rsidP="009813AE">
      <w:r w:rsidRPr="009813AE">
        <w:t xml:space="preserve">A higher percentage of subjects in the </w:t>
      </w:r>
      <w:r w:rsidR="00A343A3">
        <w:t>placebo</w:t>
      </w:r>
      <w:r w:rsidRPr="009813AE">
        <w:t xml:space="preserve"> group (35.3%; 18/181) developed a new positive ANA result post-baseline compared to patients in the SAR treatment groups (22.6% </w:t>
      </w:r>
      <w:r w:rsidR="00BF33B8">
        <w:t>(</w:t>
      </w:r>
      <w:r w:rsidRPr="009813AE">
        <w:t>14/181</w:t>
      </w:r>
      <w:r w:rsidR="00BF33B8">
        <w:t>)</w:t>
      </w:r>
      <w:r w:rsidRPr="009813AE">
        <w:t xml:space="preserve"> in the SAR 150 mg arm and 25.0% </w:t>
      </w:r>
      <w:r w:rsidR="00BF33B8">
        <w:t>(</w:t>
      </w:r>
      <w:r w:rsidRPr="009813AE">
        <w:t>14/184</w:t>
      </w:r>
      <w:r w:rsidR="00BF33B8">
        <w:t>)</w:t>
      </w:r>
      <w:r w:rsidRPr="009813AE">
        <w:t xml:space="preserve"> in the SAR 200 mg group). No patient tested positive for anti-ds-DNA antibodies during the study and no cases of lu</w:t>
      </w:r>
      <w:r>
        <w:t>pus-like disease were reported.</w:t>
      </w:r>
    </w:p>
    <w:p w14:paraId="7C15705C" w14:textId="379C68FD" w:rsidR="009813AE" w:rsidRPr="009813AE" w:rsidRDefault="009813AE" w:rsidP="009813AE">
      <w:r w:rsidRPr="009813AE">
        <w:t xml:space="preserve">A higher incidence of hypersensitivity reactions was observed in both SAR groups (5.5% </w:t>
      </w:r>
      <w:r w:rsidR="00BF33B8">
        <w:t>(</w:t>
      </w:r>
      <w:r w:rsidRPr="009813AE">
        <w:t>10/181</w:t>
      </w:r>
      <w:r w:rsidR="00BF33B8">
        <w:t>)</w:t>
      </w:r>
      <w:r w:rsidRPr="009813AE">
        <w:t xml:space="preserve"> in the SAR 150 mg group and 6.0% </w:t>
      </w:r>
      <w:r w:rsidR="00BF33B8">
        <w:t>(</w:t>
      </w:r>
      <w:r w:rsidRPr="009813AE">
        <w:t>11/184</w:t>
      </w:r>
      <w:r w:rsidR="00BF33B8">
        <w:t>)</w:t>
      </w:r>
      <w:r w:rsidRPr="009813AE">
        <w:t xml:space="preserve"> in the SAR 200 mg arm) compared to the </w:t>
      </w:r>
      <w:r w:rsidR="00A343A3">
        <w:t>placebo</w:t>
      </w:r>
      <w:r w:rsidRPr="009813AE">
        <w:t xml:space="preserve"> arm (3.9%; 7/181). None of the AEs were reported as SAEs. Nearly all of the reports were skin reactions with no case of anaphylaxis during the study. No hypersensitivity reaction was assessed by the investigator as being severe in intensity. A total of 8 patients (3 in the </w:t>
      </w:r>
      <w:r w:rsidR="00A343A3">
        <w:t>placebo</w:t>
      </w:r>
      <w:r w:rsidRPr="009813AE">
        <w:t xml:space="preserve"> and SAR 150 mg groups, and 2 in the SAR 200 mg arm) had a hypersensitivity AE assessed as moderate in intensity. The remaining hypersensitivity reactions were assessed by the investigator as being mild in intensity.</w:t>
      </w:r>
    </w:p>
    <w:p w14:paraId="5D8484DD" w14:textId="77777777" w:rsidR="00A343A3" w:rsidRDefault="009813AE" w:rsidP="009813AE">
      <w:r w:rsidRPr="009813AE">
        <w:t xml:space="preserve">One patient in the SAR 200 mg group had hypersensitivity AE that resulted in permanent treatment discontinuation. This patient experienced pruritus of the limb (arm) on </w:t>
      </w:r>
      <w:r w:rsidR="00E0128B">
        <w:t>Day</w:t>
      </w:r>
      <w:r w:rsidRPr="009813AE">
        <w:t xml:space="preserve"> 15, on the same day SAR was administered, and recovered the next day without any specific treatment. On study </w:t>
      </w:r>
      <w:r w:rsidR="00E0128B">
        <w:t>Day</w:t>
      </w:r>
      <w:r w:rsidRPr="009813AE">
        <w:t xml:space="preserve"> 45 (</w:t>
      </w:r>
      <w:r w:rsidR="004D78CD">
        <w:t>that is</w:t>
      </w:r>
      <w:r w:rsidRPr="009813AE">
        <w:t xml:space="preserve"> 2 days after the last dose of SAR), the patient experienced generalised rash, pruritus and trembling and was administered intravenous anti-histamine medication. The patient recovered on study </w:t>
      </w:r>
      <w:r w:rsidR="00E0128B">
        <w:t>Day</w:t>
      </w:r>
      <w:r w:rsidRPr="009813AE">
        <w:t xml:space="preserve"> 61. The patient was ADA positive on study </w:t>
      </w:r>
      <w:r w:rsidR="00E0128B">
        <w:t>Day</w:t>
      </w:r>
      <w:r w:rsidRPr="009813AE">
        <w:t xml:space="preserve">s 15 and 48, but ADA negative on study </w:t>
      </w:r>
      <w:r w:rsidR="00E0128B">
        <w:t>Day</w:t>
      </w:r>
      <w:r w:rsidRPr="009813AE">
        <w:t xml:space="preserve"> 29</w:t>
      </w:r>
      <w:r w:rsidR="00A343A3">
        <w:t>.</w:t>
      </w:r>
    </w:p>
    <w:p w14:paraId="3FE9ED79" w14:textId="77777777" w:rsidR="009813AE" w:rsidRPr="009813AE" w:rsidRDefault="009813AE" w:rsidP="009813AE">
      <w:pPr>
        <w:pStyle w:val="Heading5"/>
      </w:pPr>
      <w:r w:rsidRPr="009813AE">
        <w:t>Other studies</w:t>
      </w:r>
    </w:p>
    <w:p w14:paraId="0C4816F9" w14:textId="77777777" w:rsidR="009813AE" w:rsidRPr="009813AE" w:rsidRDefault="009813AE" w:rsidP="009813AE">
      <w:pPr>
        <w:pStyle w:val="Heading6"/>
      </w:pPr>
      <w:r w:rsidRPr="009813AE">
        <w:t>Part A of Study EFC11072</w:t>
      </w:r>
    </w:p>
    <w:p w14:paraId="44A60408" w14:textId="77777777" w:rsidR="009813AE" w:rsidRPr="009813AE" w:rsidRDefault="009813AE" w:rsidP="009813AE">
      <w:r w:rsidRPr="009813AE">
        <w:t xml:space="preserve">No cases of anaphylaxis were reported in this study. However, there were 2 cases of hypersensitivity, 1 in each of the SAR 100 mg qw and SAR 200 mg q2w treatment groups, which was recorded on </w:t>
      </w:r>
      <w:r w:rsidR="00E0128B">
        <w:t>Day</w:t>
      </w:r>
      <w:r w:rsidRPr="009813AE">
        <w:t xml:space="preserve"> 1 (</w:t>
      </w:r>
      <w:r w:rsidR="004D78CD">
        <w:t>that is</w:t>
      </w:r>
      <w:r w:rsidRPr="009813AE">
        <w:t xml:space="preserve"> 70 minutes after the first injection of SAR). No cases of lupus-like syndrome were reported during the course of the study and no subjects experienced seroconversion from a negative to a positive anti-ds-DNA result.</w:t>
      </w:r>
    </w:p>
    <w:p w14:paraId="2FF57BE0" w14:textId="77777777" w:rsidR="009813AE" w:rsidRPr="009813AE" w:rsidRDefault="004D78CD" w:rsidP="009813AE">
      <w:pPr>
        <w:pStyle w:val="Heading6"/>
      </w:pPr>
      <w:r>
        <w:lastRenderedPageBreak/>
        <w:t xml:space="preserve">Long </w:t>
      </w:r>
      <w:r w:rsidR="006062AB">
        <w:t>term</w:t>
      </w:r>
      <w:r w:rsidR="006062AB" w:rsidRPr="009813AE">
        <w:t xml:space="preserve"> safety population</w:t>
      </w:r>
    </w:p>
    <w:p w14:paraId="779E1976" w14:textId="77777777" w:rsidR="009813AE" w:rsidRPr="009813AE" w:rsidRDefault="009813AE" w:rsidP="009813AE">
      <w:r w:rsidRPr="009813AE">
        <w:t xml:space="preserve">There were 4 cases of serious hypersensitivity AEs in the </w:t>
      </w:r>
      <w:r w:rsidR="004D78CD">
        <w:t>long term</w:t>
      </w:r>
      <w:r w:rsidRPr="009813AE">
        <w:t xml:space="preserve"> population (0.1%), including 1 case in each of the proposed SAR doses in this submissi</w:t>
      </w:r>
      <w:r w:rsidR="006062AB">
        <w:t>on (150 mg q2w and 200 mg </w:t>
      </w:r>
      <w:r>
        <w:t>q2w).</w:t>
      </w:r>
    </w:p>
    <w:p w14:paraId="0743C2F3" w14:textId="77777777" w:rsidR="009813AE" w:rsidRPr="009813AE" w:rsidRDefault="009813AE" w:rsidP="009813AE">
      <w:pPr>
        <w:pStyle w:val="Heading3"/>
      </w:pPr>
      <w:bookmarkStart w:id="284" w:name="_Toc241374326"/>
      <w:bookmarkStart w:id="285" w:name="_Ref272333048"/>
      <w:bookmarkStart w:id="286" w:name="_Toc272414679"/>
      <w:bookmarkStart w:id="287" w:name="_Toc290888543"/>
      <w:bookmarkStart w:id="288" w:name="_Toc464131564"/>
      <w:bookmarkStart w:id="289" w:name="_Toc519848452"/>
      <w:r w:rsidRPr="009813AE">
        <w:t>Post-marketing experience</w:t>
      </w:r>
      <w:bookmarkEnd w:id="284"/>
      <w:bookmarkEnd w:id="285"/>
      <w:bookmarkEnd w:id="286"/>
      <w:bookmarkEnd w:id="287"/>
      <w:bookmarkEnd w:id="288"/>
      <w:bookmarkEnd w:id="289"/>
    </w:p>
    <w:p w14:paraId="4D9A9A26" w14:textId="77777777" w:rsidR="00A343A3" w:rsidRDefault="009813AE" w:rsidP="009813AE">
      <w:r w:rsidRPr="009813AE">
        <w:t>At the time of submission, SAR has not been registered anywhere in the world for use in RA. Hence, the sponsor has not provided any post-marketing dataset</w:t>
      </w:r>
      <w:r w:rsidR="00A343A3">
        <w:t>.</w:t>
      </w:r>
    </w:p>
    <w:p w14:paraId="3F1894A6" w14:textId="77777777" w:rsidR="009813AE" w:rsidRPr="009813AE" w:rsidRDefault="009813AE" w:rsidP="009813AE">
      <w:pPr>
        <w:pStyle w:val="Heading3"/>
      </w:pPr>
      <w:bookmarkStart w:id="290" w:name="_Ref272333005"/>
      <w:bookmarkStart w:id="291" w:name="_Toc272414680"/>
      <w:bookmarkStart w:id="292" w:name="_Toc290888544"/>
      <w:bookmarkStart w:id="293" w:name="_Toc464131565"/>
      <w:bookmarkStart w:id="294" w:name="_Toc519848453"/>
      <w:r w:rsidRPr="009813AE">
        <w:t>Safety issues with the potential for major regulatory imp</w:t>
      </w:r>
      <w:bookmarkEnd w:id="290"/>
      <w:bookmarkEnd w:id="291"/>
      <w:r w:rsidRPr="009813AE">
        <w:t>act</w:t>
      </w:r>
      <w:bookmarkEnd w:id="292"/>
      <w:bookmarkEnd w:id="293"/>
      <w:bookmarkEnd w:id="294"/>
    </w:p>
    <w:p w14:paraId="2D0B6CE9" w14:textId="77777777" w:rsidR="009813AE" w:rsidRPr="009813AE" w:rsidRDefault="009813AE" w:rsidP="009813AE">
      <w:pPr>
        <w:pStyle w:val="Heading4"/>
      </w:pPr>
      <w:bookmarkStart w:id="295" w:name="_Toc272414681"/>
      <w:bookmarkStart w:id="296" w:name="_Toc290888545"/>
      <w:bookmarkStart w:id="297" w:name="_Toc464131566"/>
      <w:r w:rsidRPr="009813AE">
        <w:t xml:space="preserve">Liver </w:t>
      </w:r>
      <w:r w:rsidR="006062AB">
        <w:t>t</w:t>
      </w:r>
      <w:r w:rsidRPr="009813AE">
        <w:t>oxicity</w:t>
      </w:r>
      <w:bookmarkEnd w:id="295"/>
      <w:bookmarkEnd w:id="296"/>
      <w:bookmarkEnd w:id="297"/>
    </w:p>
    <w:p w14:paraId="2A5E00DC" w14:textId="77777777" w:rsidR="009813AE" w:rsidRPr="009813AE" w:rsidRDefault="009813AE" w:rsidP="009813AE">
      <w:r w:rsidRPr="009813AE">
        <w:t xml:space="preserve">SAR therapy is associated with an increased frequency of elevated serum transaminases compared to </w:t>
      </w:r>
      <w:r w:rsidR="00A343A3">
        <w:t>placebo</w:t>
      </w:r>
      <w:r w:rsidRPr="009813AE">
        <w:t xml:space="preserve"> in the first 1</w:t>
      </w:r>
      <w:r w:rsidR="006062AB">
        <w:t>2 to 2</w:t>
      </w:r>
      <w:r w:rsidRPr="009813AE">
        <w:t>4 weeks of therapy</w:t>
      </w:r>
      <w:r w:rsidRPr="00380E31">
        <w:t>. There appears to be a consistent dose related relationship between raised serum ALT and/or AST values with SAR therapy.</w:t>
      </w:r>
      <w:r w:rsidRPr="009813AE">
        <w:t xml:space="preserve"> However, the abnormalities of liver function often resolved with continued SAR treatment and no cases meet the clinical criteria for Hy’s law. Further details regarding abnormal liver function tests are presented in section 8.5.1 of this report.</w:t>
      </w:r>
    </w:p>
    <w:p w14:paraId="7353C612" w14:textId="77777777" w:rsidR="009813AE" w:rsidRPr="009813AE" w:rsidRDefault="009813AE" w:rsidP="009813AE">
      <w:pPr>
        <w:pStyle w:val="Heading4"/>
      </w:pPr>
      <w:bookmarkStart w:id="298" w:name="_Toc272414682"/>
      <w:bookmarkStart w:id="299" w:name="_Toc290888546"/>
      <w:bookmarkStart w:id="300" w:name="_Toc464131567"/>
      <w:r w:rsidRPr="009813AE">
        <w:t>Haematological Toxicity</w:t>
      </w:r>
      <w:bookmarkEnd w:id="298"/>
      <w:bookmarkEnd w:id="299"/>
      <w:bookmarkEnd w:id="300"/>
    </w:p>
    <w:p w14:paraId="6FE28BAF" w14:textId="21726469" w:rsidR="009813AE" w:rsidRPr="009813AE" w:rsidRDefault="009813AE" w:rsidP="009813AE">
      <w:r w:rsidRPr="009813AE">
        <w:t>Drug related neutro</w:t>
      </w:r>
      <w:r w:rsidR="00BA3918">
        <w:t>paenia</w:t>
      </w:r>
      <w:r w:rsidRPr="009813AE">
        <w:t xml:space="preserve"> is an identified safety risk with anti-IL-6 therapy. Based on central laboratory analyses in the </w:t>
      </w:r>
      <w:r w:rsidR="004D78CD">
        <w:t>Phase III</w:t>
      </w:r>
      <w:r w:rsidRPr="009813AE">
        <w:t xml:space="preserve"> trials, the incidence of neutro</w:t>
      </w:r>
      <w:r w:rsidR="00BA3918">
        <w:t>paenia</w:t>
      </w:r>
      <w:r w:rsidRPr="009813AE">
        <w:t xml:space="preserve"> is up to 16% in the first 24 weeks of therapy and the frequency was higher with the hi</w:t>
      </w:r>
      <w:r w:rsidR="006062AB">
        <w:t>gher dose of SAR treatment (200 </w:t>
      </w:r>
      <w:r w:rsidRPr="009813AE">
        <w:t>mg q2w therapy). Over the extended treatment follow-up period, the annual incidence of grade 2 or higher neutro</w:t>
      </w:r>
      <w:r w:rsidR="00BA3918">
        <w:t>paenia</w:t>
      </w:r>
      <w:r w:rsidRPr="009813AE">
        <w:t xml:space="preserve"> appears to plateau and largely resolve with SAR dose reduction to 150 mg q2w therapy. Further details regarding neutro</w:t>
      </w:r>
      <w:r w:rsidR="00BA3918">
        <w:t>paenia</w:t>
      </w:r>
      <w:r w:rsidRPr="009813AE">
        <w:t xml:space="preserve"> are presented in section 8.5.4 of this report.</w:t>
      </w:r>
    </w:p>
    <w:p w14:paraId="6115AF2F" w14:textId="77777777" w:rsidR="009813AE" w:rsidRPr="009813AE" w:rsidRDefault="009813AE" w:rsidP="009813AE">
      <w:pPr>
        <w:pStyle w:val="Heading4"/>
      </w:pPr>
      <w:bookmarkStart w:id="301" w:name="_Toc272414683"/>
      <w:bookmarkStart w:id="302" w:name="_Toc290888547"/>
      <w:bookmarkStart w:id="303" w:name="_Toc464131568"/>
      <w:r w:rsidRPr="009813AE">
        <w:t>Risk of Serious and Opportunistic Infection</w:t>
      </w:r>
      <w:bookmarkEnd w:id="301"/>
      <w:bookmarkEnd w:id="302"/>
      <w:bookmarkEnd w:id="303"/>
    </w:p>
    <w:p w14:paraId="17EE8C99" w14:textId="77777777" w:rsidR="004D78CD" w:rsidRDefault="009813AE" w:rsidP="009813AE">
      <w:r w:rsidRPr="009813AE">
        <w:t xml:space="preserve">SAR therapy is associated with a potential increased risk of infection, including herpes zoster infection and latent tuberculosis. Meticulous screening for tuberculosis was an entry requirement of all the </w:t>
      </w:r>
      <w:r w:rsidR="004D78CD">
        <w:t>Phase II</w:t>
      </w:r>
      <w:r w:rsidRPr="009813AE">
        <w:t xml:space="preserve"> and </w:t>
      </w:r>
      <w:r w:rsidR="006062AB">
        <w:t>III</w:t>
      </w:r>
      <w:r w:rsidRPr="009813AE">
        <w:t xml:space="preserve"> studies in this submission. No patient in the </w:t>
      </w:r>
      <w:r w:rsidR="004D78CD">
        <w:t>Phase II</w:t>
      </w:r>
      <w:r w:rsidR="00A343A3">
        <w:t>-III</w:t>
      </w:r>
      <w:r w:rsidRPr="009813AE">
        <w:t xml:space="preserve"> trials developed reactivation of latent </w:t>
      </w:r>
      <w:r w:rsidRPr="00380E31">
        <w:t>tuberculosis. Herpetic infections were reported at a low but increased frequency in both pivotal studies with SAR treatment, and the observation was not dose dependent. F</w:t>
      </w:r>
      <w:r w:rsidRPr="009813AE">
        <w:t xml:space="preserve">urthermore, the overall rate of infection related SAEs was higher in SAR treated subjects versus </w:t>
      </w:r>
      <w:r w:rsidR="00A343A3">
        <w:t>placebo</w:t>
      </w:r>
      <w:r w:rsidRPr="009813AE">
        <w:t xml:space="preserve"> patients</w:t>
      </w:r>
      <w:r w:rsidR="004D78CD">
        <w:t>.</w:t>
      </w:r>
    </w:p>
    <w:p w14:paraId="359479FD" w14:textId="77777777" w:rsidR="009813AE" w:rsidRPr="009813AE" w:rsidRDefault="009813AE" w:rsidP="009813AE">
      <w:pPr>
        <w:pStyle w:val="Heading4"/>
      </w:pPr>
      <w:bookmarkStart w:id="304" w:name="_Toc272414684"/>
      <w:bookmarkStart w:id="305" w:name="_Toc290888548"/>
      <w:bookmarkStart w:id="306" w:name="_Toc464131569"/>
      <w:r w:rsidRPr="009813AE">
        <w:t>Cardiovascular Safety</w:t>
      </w:r>
      <w:bookmarkEnd w:id="304"/>
      <w:bookmarkEnd w:id="305"/>
      <w:r w:rsidRPr="009813AE">
        <w:t xml:space="preserve"> and Elevation of Lipid Profiles</w:t>
      </w:r>
      <w:bookmarkEnd w:id="306"/>
    </w:p>
    <w:p w14:paraId="1C189F6D" w14:textId="77777777" w:rsidR="009813AE" w:rsidRPr="009813AE" w:rsidRDefault="009813AE" w:rsidP="009813AE">
      <w:r w:rsidRPr="009813AE">
        <w:t xml:space="preserve">Patients with RA are known to be at an increased risk of MACE. </w:t>
      </w:r>
      <w:r w:rsidR="006062AB">
        <w:t>A total of 28 MACE events in 26 </w:t>
      </w:r>
      <w:r w:rsidRPr="009813AE">
        <w:t>patients have been recorded in the RA trials included in this submission. There were 10 cases were non-fatal myocardial infarction and 7 reports of non-fatal stroke (equally dispersed among the SAR dose groups). Seven MACE related deaths were adjudicated to have occurred. The overall rate of MACE is low at 0.6 per 100 PY, which is within expectati</w:t>
      </w:r>
      <w:r>
        <w:t>ons for the target population.</w:t>
      </w:r>
    </w:p>
    <w:p w14:paraId="77A8DB22" w14:textId="77777777" w:rsidR="009813AE" w:rsidRPr="009813AE" w:rsidRDefault="009813AE" w:rsidP="009813AE">
      <w:pPr>
        <w:pStyle w:val="Heading4"/>
      </w:pPr>
      <w:bookmarkStart w:id="307" w:name="_Toc241374323"/>
      <w:bookmarkStart w:id="308" w:name="_Toc272414685"/>
      <w:bookmarkStart w:id="309" w:name="_Toc290888549"/>
      <w:bookmarkStart w:id="310" w:name="_Toc464131570"/>
      <w:r w:rsidRPr="009813AE">
        <w:t xml:space="preserve">Unwanted </w:t>
      </w:r>
      <w:r w:rsidR="006062AB" w:rsidRPr="009813AE">
        <w:t>immunological e</w:t>
      </w:r>
      <w:r w:rsidRPr="009813AE">
        <w:t>vents</w:t>
      </w:r>
      <w:bookmarkEnd w:id="307"/>
      <w:bookmarkEnd w:id="308"/>
      <w:bookmarkEnd w:id="309"/>
      <w:bookmarkEnd w:id="310"/>
    </w:p>
    <w:p w14:paraId="23EB8C95" w14:textId="77777777" w:rsidR="009813AE" w:rsidRPr="009813AE" w:rsidRDefault="009813AE" w:rsidP="009813AE">
      <w:r w:rsidRPr="009813AE">
        <w:t>The rate and consequences of developing anti-SAR antibodies has already been discussed in sections 8.5.5 and 4.2.3 of this report. However, the development of ADA does not appear to be clearly associated with loss or lack of efficacy, nor the occurrence of AEs (any specific type or overall incidence). Nonetheless, there is increased plasma clearance of SAR in the presence of ADA, which requires ongoing pharmacovigilance, particularly for the loss of efficacy outcomes.</w:t>
      </w:r>
    </w:p>
    <w:p w14:paraId="1E7CF2E4" w14:textId="77777777" w:rsidR="009813AE" w:rsidRPr="009813AE" w:rsidRDefault="009813AE" w:rsidP="009813AE">
      <w:r w:rsidRPr="009813AE">
        <w:lastRenderedPageBreak/>
        <w:t>In this submission, no subjects developed clinical consequences consistent with systemic autoimmune disease (such as systemic lupus erythematosus) or major neurologic disorders.</w:t>
      </w:r>
    </w:p>
    <w:p w14:paraId="3A7EE899" w14:textId="77777777" w:rsidR="009813AE" w:rsidRPr="009813AE" w:rsidRDefault="009813AE" w:rsidP="009813AE">
      <w:pPr>
        <w:pStyle w:val="Heading3"/>
      </w:pPr>
      <w:bookmarkStart w:id="311" w:name="_Toc272414686"/>
      <w:bookmarkStart w:id="312" w:name="_Ref273005527"/>
      <w:bookmarkStart w:id="313" w:name="_Toc290888550"/>
      <w:bookmarkStart w:id="314" w:name="_Toc464131571"/>
      <w:bookmarkStart w:id="315" w:name="_Toc519848454"/>
      <w:r w:rsidRPr="009813AE">
        <w:t>Other safety issues</w:t>
      </w:r>
      <w:bookmarkEnd w:id="311"/>
      <w:bookmarkEnd w:id="312"/>
      <w:bookmarkEnd w:id="313"/>
      <w:bookmarkEnd w:id="314"/>
      <w:bookmarkEnd w:id="315"/>
    </w:p>
    <w:p w14:paraId="31AE1245" w14:textId="77777777" w:rsidR="009813AE" w:rsidRPr="009813AE" w:rsidRDefault="009813AE" w:rsidP="009813AE">
      <w:pPr>
        <w:pStyle w:val="Heading4"/>
      </w:pPr>
      <w:bookmarkStart w:id="316" w:name="_Toc241374322"/>
      <w:bookmarkStart w:id="317" w:name="_Ref272331212"/>
      <w:bookmarkStart w:id="318" w:name="_Toc272414687"/>
      <w:bookmarkStart w:id="319" w:name="_Toc290888551"/>
      <w:bookmarkStart w:id="320" w:name="_Toc464131572"/>
      <w:r w:rsidRPr="009813AE">
        <w:t>Safety in special populations</w:t>
      </w:r>
      <w:bookmarkEnd w:id="316"/>
      <w:bookmarkEnd w:id="317"/>
      <w:bookmarkEnd w:id="318"/>
      <w:bookmarkEnd w:id="319"/>
      <w:bookmarkEnd w:id="320"/>
    </w:p>
    <w:p w14:paraId="7DFFAEFD" w14:textId="7930571E" w:rsidR="009813AE" w:rsidRPr="009813AE" w:rsidRDefault="009813AE" w:rsidP="009813AE">
      <w:r w:rsidRPr="009813AE">
        <w:t xml:space="preserve">Subgroup analyses of the </w:t>
      </w:r>
      <w:r w:rsidR="004D78CD">
        <w:t>long term</w:t>
      </w:r>
      <w:r w:rsidRPr="009813AE">
        <w:t xml:space="preserve"> SAR safety population have revealed potential risk factors for some specific types of AEs. There is a higher incidence of neutrophil cell count </w:t>
      </w:r>
      <w:r w:rsidR="007312A2">
        <w:t xml:space="preserve">&lt; </w:t>
      </w:r>
      <w:r w:rsidRPr="009813AE">
        <w:t xml:space="preserve">1.0 x </w:t>
      </w:r>
      <w:r w:rsidR="007312A2" w:rsidRPr="00984208">
        <w:t>10</w:t>
      </w:r>
      <w:r w:rsidR="007312A2" w:rsidRPr="007312A2">
        <w:rPr>
          <w:vertAlign w:val="superscript"/>
        </w:rPr>
        <w:t>9</w:t>
      </w:r>
      <w:r w:rsidRPr="009813AE">
        <w:t>/L in subjects with a lower baseline neutrophil count (</w:t>
      </w:r>
      <w:r w:rsidR="007312A2">
        <w:t xml:space="preserve">&lt; </w:t>
      </w:r>
      <w:r w:rsidRPr="009813AE">
        <w:t xml:space="preserve">6.0 x </w:t>
      </w:r>
      <w:r w:rsidR="007312A2" w:rsidRPr="00984208">
        <w:t>10</w:t>
      </w:r>
      <w:r w:rsidR="007312A2" w:rsidRPr="007312A2">
        <w:rPr>
          <w:vertAlign w:val="superscript"/>
        </w:rPr>
        <w:t>9</w:t>
      </w:r>
      <w:r w:rsidRPr="009813AE">
        <w:t xml:space="preserve">/L) and in those weighing </w:t>
      </w:r>
      <w:r w:rsidR="007312A2">
        <w:t xml:space="preserve">&lt; </w:t>
      </w:r>
      <w:r w:rsidRPr="009813AE">
        <w:t>60 kg. The incidence of neutro</w:t>
      </w:r>
      <w:r w:rsidR="00BA3918">
        <w:t>paenia</w:t>
      </w:r>
      <w:r w:rsidRPr="009813AE">
        <w:t xml:space="preserve"> in those with a baseline count </w:t>
      </w:r>
      <w:r w:rsidR="007312A2">
        <w:t xml:space="preserve">&lt; </w:t>
      </w:r>
      <w:r w:rsidRPr="009813AE">
        <w:t xml:space="preserve">6.0 x </w:t>
      </w:r>
      <w:r w:rsidR="007312A2" w:rsidRPr="00984208">
        <w:t>10</w:t>
      </w:r>
      <w:r w:rsidR="007312A2" w:rsidRPr="007312A2">
        <w:rPr>
          <w:vertAlign w:val="superscript"/>
        </w:rPr>
        <w:t>9</w:t>
      </w:r>
      <w:r w:rsidRPr="009813AE">
        <w:t xml:space="preserve">/L is 8.6% (32/370) for SAR 150 mg q2w + DMARD therapy (versus 2.8% </w:t>
      </w:r>
      <w:r w:rsidR="00BF33B8">
        <w:t>(</w:t>
      </w:r>
      <w:r w:rsidRPr="009813AE">
        <w:t>8/289</w:t>
      </w:r>
      <w:r w:rsidR="00BF33B8">
        <w:t>)</w:t>
      </w:r>
      <w:r w:rsidRPr="009813AE">
        <w:t xml:space="preserve"> if baseline </w:t>
      </w:r>
      <w:r w:rsidR="007312A2">
        <w:t xml:space="preserve">&gt; </w:t>
      </w:r>
      <w:r w:rsidRPr="009813AE">
        <w:t xml:space="preserve">6.0 x </w:t>
      </w:r>
      <w:r w:rsidR="007312A2" w:rsidRPr="00984208">
        <w:t>10</w:t>
      </w:r>
      <w:r w:rsidR="007312A2" w:rsidRPr="007312A2">
        <w:rPr>
          <w:vertAlign w:val="superscript"/>
        </w:rPr>
        <w:t>9</w:t>
      </w:r>
      <w:r w:rsidR="006062AB">
        <w:t>/L) and 13.2% </w:t>
      </w:r>
      <w:r w:rsidRPr="009813AE">
        <w:t xml:space="preserve">(46/348) for SAR 200 mg q2w + DMARD (versus 4.8% </w:t>
      </w:r>
      <w:r w:rsidR="00BF33B8">
        <w:t>(</w:t>
      </w:r>
      <w:r w:rsidRPr="009813AE">
        <w:t>15/313</w:t>
      </w:r>
      <w:r w:rsidR="00BF33B8">
        <w:t>)</w:t>
      </w:r>
      <w:r w:rsidRPr="009813AE">
        <w:t xml:space="preserve"> if baseline </w:t>
      </w:r>
      <w:r w:rsidR="006062AB">
        <w:t>&gt; 6.0 x </w:t>
      </w:r>
      <w:r w:rsidR="007312A2" w:rsidRPr="00984208">
        <w:t>10</w:t>
      </w:r>
      <w:r w:rsidR="007312A2" w:rsidRPr="007312A2">
        <w:rPr>
          <w:vertAlign w:val="superscript"/>
        </w:rPr>
        <w:t>9</w:t>
      </w:r>
      <w:r w:rsidRPr="009813AE">
        <w:t>/L). The incidence of neutro</w:t>
      </w:r>
      <w:r w:rsidR="00BA3918">
        <w:t>paenia</w:t>
      </w:r>
      <w:r w:rsidRPr="009813AE">
        <w:t xml:space="preserve"> in those weighing </w:t>
      </w:r>
      <w:r w:rsidR="007312A2">
        <w:t xml:space="preserve">&lt; </w:t>
      </w:r>
      <w:r w:rsidRPr="009813AE">
        <w:t xml:space="preserve">60 kg is 14.4% (31/215) for SAR 150 mg q2w + DMARD therapy (versus 5.0% if weighing </w:t>
      </w:r>
      <w:r w:rsidR="007312A2">
        <w:t xml:space="preserve">&gt; </w:t>
      </w:r>
      <w:r w:rsidRPr="009813AE">
        <w:t xml:space="preserve">60 kg) and 16.7% (44/264) for SAR 200 mg q2w + DMARD (versus 7.5% if weighing </w:t>
      </w:r>
      <w:r w:rsidR="007312A2">
        <w:t xml:space="preserve">&gt; </w:t>
      </w:r>
      <w:r w:rsidRPr="009813AE">
        <w:t>60</w:t>
      </w:r>
      <w:r w:rsidR="006062AB">
        <w:t xml:space="preserve"> kg). A higher incidence of ALT &gt; 3 x </w:t>
      </w:r>
      <w:r w:rsidRPr="009813AE">
        <w:t xml:space="preserve">ULN was seen in patients whose baseline ALT was </w:t>
      </w:r>
      <w:r w:rsidR="007312A2">
        <w:t xml:space="preserve">&gt; </w:t>
      </w:r>
      <w:r w:rsidRPr="009813AE">
        <w:t>U</w:t>
      </w:r>
      <w:r w:rsidR="006062AB">
        <w:t>LN, those with a duration of RA </w:t>
      </w:r>
      <w:r w:rsidR="007312A2">
        <w:t xml:space="preserve">&lt; </w:t>
      </w:r>
      <w:r w:rsidRPr="009813AE">
        <w:t xml:space="preserve">3 years, patients enrolled in South America centres and in subjects with no prior biologic exposure. A higher frequency of serious infection was observed in patients on SAR whose weight was </w:t>
      </w:r>
      <w:r w:rsidR="007312A2">
        <w:t xml:space="preserve">&gt; </w:t>
      </w:r>
      <w:r w:rsidRPr="009813AE">
        <w:t xml:space="preserve">100 kg or receiving weekly MTX dose </w:t>
      </w:r>
      <w:r w:rsidR="007312A2">
        <w:t xml:space="preserve">&gt; </w:t>
      </w:r>
      <w:r w:rsidRPr="009813AE">
        <w:t xml:space="preserve">20 mg. CS use, which has been shown to be associated with an increase in infections in RA, was included in the analyses, and only a small difference was observed in any SAR dose group in the </w:t>
      </w:r>
      <w:r w:rsidR="004D78CD">
        <w:t>long term</w:t>
      </w:r>
      <w:r w:rsidRPr="009813AE">
        <w:t xml:space="preserve"> safety population between patients who were on baseline CS and those who were not (5.9% versus 4.8%). Elderly patients (age </w:t>
      </w:r>
      <w:r w:rsidR="007312A2">
        <w:t xml:space="preserve">&gt; </w:t>
      </w:r>
      <w:r w:rsidRPr="009813AE">
        <w:t>65 years) are at an increased risk of infection (overall and serious) regardless of therap</w:t>
      </w:r>
      <w:r>
        <w:t>y (</w:t>
      </w:r>
      <w:r w:rsidR="00A343A3">
        <w:t>placebo</w:t>
      </w:r>
      <w:r>
        <w:t xml:space="preserve"> or any SAR dose).</w:t>
      </w:r>
    </w:p>
    <w:p w14:paraId="54E91C84" w14:textId="77777777" w:rsidR="004D78CD" w:rsidRDefault="009813AE" w:rsidP="009813AE">
      <w:r w:rsidRPr="009813AE">
        <w:t xml:space="preserve">In the </w:t>
      </w:r>
      <w:r w:rsidR="004D78CD">
        <w:t>long term</w:t>
      </w:r>
      <w:r w:rsidRPr="009813AE">
        <w:t xml:space="preserve"> safety population, 9 patients became pregnant and 1 male patient’s partner became pregnant. Of the 9 patients who became pregnant 4 subjects experienced spontaneous miscarriage (all of which occurred during the first trimester; 2 of whom had a prior history of spontaneous or unspecified abortion), 3 patients delivered healthy children and the other 2 subjects had an estimated date of delivery after the data cut-off date of this submission. Similarly, the patient’s partner who became pregnant had an estimated date of delivery after the data cut-off date</w:t>
      </w:r>
      <w:r w:rsidR="004D78CD">
        <w:t>.</w:t>
      </w:r>
    </w:p>
    <w:p w14:paraId="0DF7D07E" w14:textId="3A0E1EB4" w:rsidR="009813AE" w:rsidRPr="009813AE" w:rsidRDefault="009813AE" w:rsidP="009813AE">
      <w:r w:rsidRPr="009813AE">
        <w:t xml:space="preserve">There is no available information on the safety of SAR in the setting of live vaccines, </w:t>
      </w:r>
      <w:r w:rsidRPr="007348AF">
        <w:t>and with self-administration of medication.</w:t>
      </w:r>
      <w:r w:rsidR="004F06AF" w:rsidRPr="00E92395">
        <w:rPr>
          <w:rStyle w:val="FootnoteReference"/>
        </w:rPr>
        <w:footnoteReference w:id="1"/>
      </w:r>
    </w:p>
    <w:p w14:paraId="770631C2" w14:textId="77777777" w:rsidR="009813AE" w:rsidRPr="009813AE" w:rsidRDefault="009813AE" w:rsidP="009813AE">
      <w:pPr>
        <w:pStyle w:val="Heading4"/>
      </w:pPr>
      <w:bookmarkStart w:id="321" w:name="_Toc241374324"/>
      <w:bookmarkStart w:id="322" w:name="_Ref272331214"/>
      <w:bookmarkStart w:id="323" w:name="_Toc272414688"/>
      <w:bookmarkStart w:id="324" w:name="_Toc290888552"/>
      <w:bookmarkStart w:id="325" w:name="_Toc464131573"/>
      <w:r w:rsidRPr="009813AE">
        <w:t>Safety related to drug-drug interactions and other interactions</w:t>
      </w:r>
      <w:bookmarkEnd w:id="321"/>
      <w:bookmarkEnd w:id="322"/>
      <w:bookmarkEnd w:id="323"/>
      <w:bookmarkEnd w:id="324"/>
      <w:bookmarkEnd w:id="325"/>
    </w:p>
    <w:p w14:paraId="43AFE453" w14:textId="77777777" w:rsidR="009813AE" w:rsidRPr="009813AE" w:rsidRDefault="009813AE" w:rsidP="009813AE">
      <w:r w:rsidRPr="009813AE">
        <w:t>Although SAR is not anticipated to interact directly with P450 CY</w:t>
      </w:r>
      <w:r w:rsidR="006062AB">
        <w:t xml:space="preserve">P enzymes, CYP enzymes are down </w:t>
      </w:r>
      <w:r w:rsidRPr="009813AE">
        <w:t xml:space="preserve">regulated by infection and inflammation, including IL-6. Hence, inhibitors of IL-6 may restore CYP expression and activity to a non-disease state, leading to the increased metabolism of CYP substrates. Several CYP450 enzymes including CYP1A2, CYP2B6, CYP2C9, CYP2C19, CYP2D6 and CYP3A4 have been shown to be affected by another anti IL-6 therapy (tocilizumab). Because of this, a specific clinical pharmacology study to assess the effect of SAR on simvastatin, a </w:t>
      </w:r>
      <w:r w:rsidR="006062AB">
        <w:t xml:space="preserve">sensitive CYP3A4 </w:t>
      </w:r>
      <w:r w:rsidRPr="009813AE">
        <w:t xml:space="preserve">substrate, was conducted in patients with RA (Study INT12684). Exposure of simvastatin decreased by 45% when administered to patients with RA as a single 40 mg oral dose, 1 week after a single 200 mg SC dose of SAR. These reductions in the exposure of simvastatin suggest that SAR may reverse IL-6 mediated suppression of CYP3A4 activity in patients with active RA, as is consistent with a similar study with tocilizumab administration (57% decrease in simvastatin exposure). The effect of SAR on CYP enzymes may be clinically relevant for a CYP substrate with narrow therapeutic index. Upon initiation or discontinuation </w:t>
      </w:r>
      <w:r w:rsidRPr="009813AE">
        <w:lastRenderedPageBreak/>
        <w:t>of SAR in patients being treated with these types of drugs, therapeutic monitoring of effects (</w:t>
      </w:r>
      <w:r w:rsidR="007312A2">
        <w:t>for example</w:t>
      </w:r>
      <w:r w:rsidRPr="009813AE">
        <w:t xml:space="preserve"> for warfarin) or drug concentration (</w:t>
      </w:r>
      <w:r w:rsidR="007312A2">
        <w:t>for example</w:t>
      </w:r>
      <w:r w:rsidRPr="009813AE">
        <w:t xml:space="preserve"> for theophylline) should be performed, and the individual dose may need to be adjusted. The draft PI contains specific information regarding the effect of SAR therapy on CYP enzymes and how this may potentially result in drug interactions. In addition, the sponsor recommends caution should be exercised when SAR is co-administered with CYP3A4 substrates such as the oral contraceptive pill or statin therapy as there may be a reduction in exposure which may reduce their effectiveness.</w:t>
      </w:r>
    </w:p>
    <w:p w14:paraId="4DD71FF0" w14:textId="77777777" w:rsidR="009813AE" w:rsidRPr="009813AE" w:rsidRDefault="009813AE" w:rsidP="009813AE">
      <w:pPr>
        <w:pStyle w:val="Heading3"/>
      </w:pPr>
      <w:bookmarkStart w:id="326" w:name="_Toc241374328"/>
      <w:bookmarkStart w:id="327" w:name="_Toc272414691"/>
      <w:bookmarkStart w:id="328" w:name="_Toc290888555"/>
      <w:bookmarkStart w:id="329" w:name="_Toc464131574"/>
      <w:bookmarkStart w:id="330" w:name="_Toc519848455"/>
      <w:r w:rsidRPr="009813AE">
        <w:t>Evaluator’s overall conclusions on clinical safety</w:t>
      </w:r>
      <w:bookmarkEnd w:id="326"/>
      <w:bookmarkEnd w:id="327"/>
      <w:bookmarkEnd w:id="328"/>
      <w:bookmarkEnd w:id="329"/>
      <w:bookmarkEnd w:id="330"/>
    </w:p>
    <w:p w14:paraId="50F12795" w14:textId="77777777" w:rsidR="009813AE" w:rsidRPr="009813AE" w:rsidRDefault="009813AE" w:rsidP="009813AE">
      <w:r w:rsidRPr="009813AE">
        <w:t>In this submission, the total clinical safety dataset for the use of SAR (any dose) in adult patients with active RA consists of 4</w:t>
      </w:r>
      <w:r w:rsidR="006062AB">
        <w:t>,</w:t>
      </w:r>
      <w:r w:rsidRPr="009813AE">
        <w:t>339 PY of drug exposure with 1</w:t>
      </w:r>
      <w:r w:rsidR="006062AB">
        <w:t>,</w:t>
      </w:r>
      <w:r w:rsidRPr="009813AE">
        <w:t xml:space="preserve">546 patients receiving treatment for </w:t>
      </w:r>
      <w:r w:rsidR="007312A2">
        <w:t xml:space="preserve">&gt; </w:t>
      </w:r>
      <w:r w:rsidRPr="009813AE">
        <w:t>48 weeks, 1</w:t>
      </w:r>
      <w:r w:rsidR="006062AB">
        <w:t>,</w:t>
      </w:r>
      <w:r w:rsidRPr="009813AE">
        <w:t xml:space="preserve">020 subjects receiving therapy for </w:t>
      </w:r>
      <w:r w:rsidR="007312A2">
        <w:t xml:space="preserve">&gt; </w:t>
      </w:r>
      <w:r w:rsidRPr="009813AE">
        <w:t xml:space="preserve">96 weeks and 624 patients exposed for </w:t>
      </w:r>
      <w:r w:rsidR="006062AB">
        <w:t>&gt; 144 </w:t>
      </w:r>
      <w:r w:rsidRPr="009813AE">
        <w:t xml:space="preserve">weeks. In terms of the SAR doses being requested for approval in this submission, 660 patients have received 150 mg q2w therapy (425.8 PY of exposure) and 661 patients have received 200 mg q2w treatment (425.5 PY of exposure) in the </w:t>
      </w:r>
      <w:r w:rsidR="00A343A3">
        <w:t>placebo</w:t>
      </w:r>
      <w:r w:rsidR="006062AB">
        <w:t xml:space="preserve"> </w:t>
      </w:r>
      <w:r w:rsidRPr="009813AE">
        <w:t>controlled population (versus 661</w:t>
      </w:r>
      <w:r w:rsidR="006062AB">
        <w:t xml:space="preserve"> patients in the control arms; </w:t>
      </w:r>
      <w:r w:rsidRPr="009813AE">
        <w:t xml:space="preserve">373.1 PY of exposure). In the pivotal </w:t>
      </w:r>
      <w:r w:rsidR="004D78CD">
        <w:t>Phase III</w:t>
      </w:r>
      <w:r w:rsidRPr="009813AE">
        <w:t xml:space="preserve"> study (Part B of Study EFC11072), the median duration of exposure to SAR was 364 days. In the </w:t>
      </w:r>
      <w:r w:rsidR="006062AB">
        <w:t>Phase </w:t>
      </w:r>
      <w:r w:rsidR="004D78CD">
        <w:t>III</w:t>
      </w:r>
      <w:r w:rsidRPr="009813AE">
        <w:t xml:space="preserve"> RA program, SAR therapy was given by SC injection ei</w:t>
      </w:r>
      <w:r w:rsidR="006062AB">
        <w:t>ther at a dose of 150 mg or 200 </w:t>
      </w:r>
      <w:r w:rsidRPr="009813AE">
        <w:t>mg every 2 weeks. Both of the proposed doses in RA (150 mg and 200 mg) had more than 600 subjects exposed to SAR for at least 6 months. More than 95% of patients in the RA dataset received concurrent MTX, more than 70% were taking concomitant NSAID, and approximately half were taking concurrent low dose oral CS. Overall, there is a sufficient volume of data to make a meaningful assessment of SAR safety for up to 100 weeks of treatment in the newly proposed treatment indication of active RA.</w:t>
      </w:r>
    </w:p>
    <w:p w14:paraId="4E886076" w14:textId="77777777" w:rsidR="009813AE" w:rsidRPr="009813AE" w:rsidRDefault="009813AE" w:rsidP="009813AE">
      <w:r w:rsidRPr="009813AE">
        <w:t xml:space="preserve">Compared to </w:t>
      </w:r>
      <w:r w:rsidR="00A343A3">
        <w:t>placebo</w:t>
      </w:r>
      <w:r w:rsidRPr="009813AE">
        <w:t xml:space="preserve">, a higher incidence of overall AEs, SAEs and AEs resulting in permanent treatment discontinuation were observed in SAR treatment groups, with some of the AE types occurring at a higher incidence in the higher dose SAR treatment cohort (200 mg q2w versus 150 mg q2w). Mortality rates were similar between SAR and </w:t>
      </w:r>
      <w:r w:rsidR="00A343A3">
        <w:t>placebo</w:t>
      </w:r>
      <w:r w:rsidRPr="009813AE">
        <w:t xml:space="preserve"> therapy in short term treatment follow-up.</w:t>
      </w:r>
    </w:p>
    <w:p w14:paraId="60E966D5" w14:textId="77777777" w:rsidR="009813AE" w:rsidRPr="009813AE" w:rsidRDefault="009813AE" w:rsidP="009813AE">
      <w:r w:rsidRPr="009813AE">
        <w:t xml:space="preserve">Infection was the most common AE recognised with SAR and these occurred at a higher frequency in the SAR treatment groups versus control during the true </w:t>
      </w:r>
      <w:r w:rsidR="00A343A3">
        <w:t>placebo</w:t>
      </w:r>
      <w:r w:rsidRPr="009813AE">
        <w:t>-controlled treatment periods (1</w:t>
      </w:r>
      <w:r w:rsidR="006062AB">
        <w:t>2 to 1</w:t>
      </w:r>
      <w:r w:rsidRPr="009813AE">
        <w:t xml:space="preserve">6 weeks for both pivotal trials). The majority of infections were mild in severity, self-limiting, and were predominately either URTI, urinary tract infection or nasopharyngitis. The use of concurrent MTX or prior exposure to anti-TNF therapies did not appear to increase the overall risk of AEs, including infection related AEs. However, subject weight </w:t>
      </w:r>
      <w:r w:rsidR="007312A2">
        <w:t xml:space="preserve">&gt; </w:t>
      </w:r>
      <w:r w:rsidRPr="009813AE">
        <w:t xml:space="preserve">100 kg was associated with a higher incidence of overall and infection related AEs. In the integrated </w:t>
      </w:r>
      <w:r w:rsidR="00A343A3">
        <w:t>placebo</w:t>
      </w:r>
      <w:r w:rsidR="006062AB">
        <w:t xml:space="preserve"> </w:t>
      </w:r>
      <w:r w:rsidRPr="009813AE">
        <w:t>controlled population, the exposure adjusted rate of serious infection is 5.5 events per 100 PY (95% CI 3.30, 7.82) in the SAR 200 mg q2w treated patients, 3.6 events per 100 PY (95% CI 2.08, 5.90) in the SAR 150 mg q2w subjects</w:t>
      </w:r>
      <w:r w:rsidR="006062AB">
        <w:t xml:space="preserve"> and 3.9 events per 100 PY (95% </w:t>
      </w:r>
      <w:r w:rsidRPr="009813AE">
        <w:t xml:space="preserve">CI 2.20, 6.47) in the control group. In the SAR + DMARD </w:t>
      </w:r>
      <w:r w:rsidR="004D78CD">
        <w:t>long term</w:t>
      </w:r>
      <w:r w:rsidRPr="009813AE">
        <w:t xml:space="preserve"> </w:t>
      </w:r>
      <w:r w:rsidR="006062AB">
        <w:t xml:space="preserve">safety population, the exposure </w:t>
      </w:r>
      <w:r w:rsidRPr="009813AE">
        <w:t xml:space="preserve">adjusted event rate is slightly lower than that observed in the </w:t>
      </w:r>
      <w:r w:rsidR="00A343A3">
        <w:t>placebo</w:t>
      </w:r>
      <w:r w:rsidR="006062AB">
        <w:t xml:space="preserve"> </w:t>
      </w:r>
      <w:r w:rsidRPr="009813AE">
        <w:t xml:space="preserve">controlled population at 4.3 events per 100 PY (95% CI 3.35, 5.35) in the SAR 200 mg q2w group, which remains higher than that in the SAR 150 mg q2w dose group (3.1 events per 100 PY; 95% CI 1.96, 4.75). No patients developed reactivation of latent tuberculosis in the SAR clinical study program. However, there was an increased risk of oral herpes virus infections with SAR versus </w:t>
      </w:r>
      <w:r w:rsidR="00A343A3">
        <w:t>placebo</w:t>
      </w:r>
      <w:r w:rsidRPr="009813AE">
        <w:t>. This finding may be expected given the role of IL-6 in protective immunity</w:t>
      </w:r>
      <w:r w:rsidRPr="00380E31">
        <w:t>. A SAR dose effect was also observed for the risk of herpes zoster infection. The</w:t>
      </w:r>
      <w:r w:rsidRPr="009813AE">
        <w:t xml:space="preserve"> majority of herpetic infections were rated as mild or moderate in severity, responded to standard treatment and did not result in permanent </w:t>
      </w:r>
      <w:r>
        <w:t>discontinuation from SAR.</w:t>
      </w:r>
    </w:p>
    <w:p w14:paraId="751ADCA8" w14:textId="77777777" w:rsidR="009813AE" w:rsidRPr="009813AE" w:rsidRDefault="009813AE" w:rsidP="009813AE">
      <w:r w:rsidRPr="009813AE">
        <w:t xml:space="preserve">Hypersensitivity reactions were an uncommon type of AE reported at a slightly higher incidence in patients receiving SAR (with no dose response relationship) compared to </w:t>
      </w:r>
      <w:r w:rsidR="00A343A3">
        <w:t>placebo</w:t>
      </w:r>
      <w:r w:rsidRPr="009813AE">
        <w:t xml:space="preserve"> therapy. </w:t>
      </w:r>
      <w:r w:rsidRPr="009813AE">
        <w:lastRenderedPageBreak/>
        <w:t>Most hypersensitivity AEs were non-specific reports of rash, which were rated as mild in severity, resolved without specific intervention and did not result in discontinuation from SAR. Only 4 potential systemic hypersensitivity reactions were reported with SAR in the total RA safety dataset. Discontinuations due to AEs occurred at a higher frequency in S</w:t>
      </w:r>
      <w:r>
        <w:t xml:space="preserve">AR versus </w:t>
      </w:r>
      <w:r w:rsidR="00A343A3">
        <w:t>placebo</w:t>
      </w:r>
      <w:r>
        <w:t xml:space="preserve"> treated subjects.</w:t>
      </w:r>
    </w:p>
    <w:p w14:paraId="22900CB9" w14:textId="77777777" w:rsidR="009813AE" w:rsidRPr="009813AE" w:rsidRDefault="009813AE" w:rsidP="009813AE">
      <w:r w:rsidRPr="009813AE">
        <w:t xml:space="preserve">A total of 25 deaths (22 in SAR treated subjects) have been reported in patients with RA in the </w:t>
      </w:r>
      <w:r w:rsidR="004D78CD">
        <w:t>long term</w:t>
      </w:r>
      <w:r w:rsidRPr="009813AE">
        <w:t xml:space="preserve"> safety population, including 7 MACE related deaths.</w:t>
      </w:r>
      <w:r w:rsidR="004D78CD">
        <w:t xml:space="preserve"> </w:t>
      </w:r>
      <w:r w:rsidRPr="009813AE">
        <w:t>The rate of malignancies in the RA dataset is within expectations of the treatment population and the types of cancer observed did not identify any specific safety signals with SAR. However, longer periods of treatment follow-up are required to inform about</w:t>
      </w:r>
      <w:r>
        <w:t xml:space="preserve"> this potential safety concern.</w:t>
      </w:r>
    </w:p>
    <w:p w14:paraId="0B44DA12" w14:textId="4DB703A0" w:rsidR="009813AE" w:rsidRPr="009813AE" w:rsidRDefault="009813AE" w:rsidP="009813AE">
      <w:r w:rsidRPr="009813AE">
        <w:t>Neutro</w:t>
      </w:r>
      <w:r w:rsidR="00BA3918">
        <w:t>paenia</w:t>
      </w:r>
      <w:r w:rsidRPr="009813AE">
        <w:t xml:space="preserve"> is a recognised safety concern with anti-IL-6 therapy and the issue was identified with SAR in the RA treatment studies. In the short term period (first 16 weeks) of both pivotal </w:t>
      </w:r>
      <w:r w:rsidR="004D78CD">
        <w:t>Phase III</w:t>
      </w:r>
      <w:r w:rsidRPr="009813AE">
        <w:t xml:space="preserve"> studies, the overall incidence of neutro</w:t>
      </w:r>
      <w:r w:rsidR="00BA3918">
        <w:t>paenia</w:t>
      </w:r>
      <w:r w:rsidRPr="009813AE">
        <w:t xml:space="preserve"> was higher in both SAR treatment groups compared with </w:t>
      </w:r>
      <w:r w:rsidR="00A343A3">
        <w:t>placebo</w:t>
      </w:r>
      <w:r w:rsidRPr="009813AE">
        <w:t>. The approximate overall inci</w:t>
      </w:r>
      <w:r w:rsidR="006062AB">
        <w:t>dences of neutro</w:t>
      </w:r>
      <w:r w:rsidR="00BA3918">
        <w:t>paenia</w:t>
      </w:r>
      <w:r w:rsidR="006062AB">
        <w:t xml:space="preserve"> were 10.0 to </w:t>
      </w:r>
      <w:r w:rsidRPr="009813AE">
        <w:t xml:space="preserve">16.0% for SAR (with a dose response relationship observed for 150 mg and 200 mg therapy) versus 1.0% for </w:t>
      </w:r>
      <w:r w:rsidR="00A343A3">
        <w:t>placebo</w:t>
      </w:r>
      <w:r w:rsidRPr="009813AE">
        <w:t>. There were several cases of grade 3 or 4 neutro</w:t>
      </w:r>
      <w:r w:rsidR="00BA3918">
        <w:t>paenia</w:t>
      </w:r>
      <w:r w:rsidRPr="009813AE">
        <w:t xml:space="preserve"> observed in both SAR treatment groups and over the </w:t>
      </w:r>
      <w:r w:rsidR="004D78CD">
        <w:t>long term</w:t>
      </w:r>
      <w:r w:rsidRPr="009813AE">
        <w:t xml:space="preserve"> follow-up period of the </w:t>
      </w:r>
      <w:r w:rsidR="004D78CD">
        <w:t>Phase III</w:t>
      </w:r>
      <w:r w:rsidRPr="009813AE">
        <w:t xml:space="preserve"> studies, the incidence of neutro</w:t>
      </w:r>
      <w:r w:rsidR="00BA3918">
        <w:t>paenia</w:t>
      </w:r>
      <w:r w:rsidRPr="009813AE">
        <w:t xml:space="preserve"> was up to 20% with SAR. The majority of neutropenic episodes were transient and not associated with infection related AEs. </w:t>
      </w:r>
      <w:r w:rsidRPr="00380E31">
        <w:t>There were also several cases of significant thrombocyto</w:t>
      </w:r>
      <w:r w:rsidR="00BA3918">
        <w:t>paenia</w:t>
      </w:r>
      <w:r w:rsidRPr="00380E31">
        <w:t xml:space="preserve"> observed in patients treated with SAR.</w:t>
      </w:r>
    </w:p>
    <w:p w14:paraId="6B6E953D" w14:textId="77777777" w:rsidR="009813AE" w:rsidRPr="009813AE" w:rsidRDefault="009813AE" w:rsidP="009813AE">
      <w:r w:rsidRPr="009813AE">
        <w:t xml:space="preserve">The total safety dataset also identified 2 other abnormalities of laboratory values which occurred at a numerically higher frequency in the SAR treatment cohorts compared with </w:t>
      </w:r>
      <w:r w:rsidR="00A343A3">
        <w:t>placebo</w:t>
      </w:r>
      <w:r w:rsidRPr="009813AE">
        <w:t xml:space="preserve">. Elevations in hepatic transaminases and dyslipidaemia have been associated with SAR versus </w:t>
      </w:r>
      <w:r w:rsidR="00A343A3">
        <w:t>placebo</w:t>
      </w:r>
      <w:r w:rsidRPr="009813AE">
        <w:t>. Again, both of these abnormalities appear to display a dose response relationship with SAR. In general, patients who developed increases in liver function tests had changes of mild-moderate severity which were transient in nature and withou</w:t>
      </w:r>
      <w:r>
        <w:t>t associated clinical sequelae.</w:t>
      </w:r>
    </w:p>
    <w:p w14:paraId="0C6047EA" w14:textId="77777777" w:rsidR="009813AE" w:rsidRPr="009813AE" w:rsidRDefault="009813AE" w:rsidP="009813AE">
      <w:r w:rsidRPr="009813AE">
        <w:t xml:space="preserve">The incidence of RA subjects developing new anti-drug antibodies to SAR is low at </w:t>
      </w:r>
      <w:r w:rsidR="007312A2">
        <w:t xml:space="preserve">&lt; </w:t>
      </w:r>
      <w:r w:rsidR="006062AB">
        <w:t>10% at 52 </w:t>
      </w:r>
      <w:r w:rsidRPr="009813AE">
        <w:t xml:space="preserve">weeks in the pivotal </w:t>
      </w:r>
      <w:r w:rsidR="004D78CD">
        <w:t>Phase III</w:t>
      </w:r>
      <w:r w:rsidRPr="009813AE">
        <w:t xml:space="preserve"> trial and their clinical relevance for safety outcomes is yet to be defined with no discernible link to the risk of infection, </w:t>
      </w:r>
      <w:r>
        <w:t>or injection related reactions.</w:t>
      </w:r>
    </w:p>
    <w:p w14:paraId="64B38E22" w14:textId="576C4B16" w:rsidR="004D78CD" w:rsidRDefault="009813AE" w:rsidP="009813AE">
      <w:r w:rsidRPr="009813AE">
        <w:t>In summary, the safety data indicates that SAR has an acceptable ove</w:t>
      </w:r>
      <w:r w:rsidR="006062AB">
        <w:t>rall safety profile up to 52 </w:t>
      </w:r>
      <w:r w:rsidRPr="009813AE">
        <w:t xml:space="preserve">weeks of therapy in the treatment of adult patients with moderately to severely active RA. There is limited </w:t>
      </w:r>
      <w:r w:rsidR="004D78CD">
        <w:t>long term</w:t>
      </w:r>
      <w:r w:rsidRPr="009813AE">
        <w:t xml:space="preserve"> safety data in the current submission to assess the risk of some types of AEs such as malignancy and MACE, which will require additional longitudinal safety follow-up. From </w:t>
      </w:r>
      <w:r w:rsidR="006420D3">
        <w:t>the clinical evaluator’s</w:t>
      </w:r>
      <w:r w:rsidRPr="009813AE">
        <w:t xml:space="preserve"> assessment of the safety dataset, there are some significant safety concerns with SAR therapy including the risk of infection, opportunistic infection (mainly oral herpes viral and zoster infection), hypersensitivity reactions, neutro</w:t>
      </w:r>
      <w:r w:rsidR="00BA3918">
        <w:t>paenia</w:t>
      </w:r>
      <w:r w:rsidRPr="009813AE">
        <w:t>, thrombocyto</w:t>
      </w:r>
      <w:r w:rsidR="00BA3918">
        <w:t>paenia</w:t>
      </w:r>
      <w:r w:rsidRPr="009813AE">
        <w:t>, abnormal liver function tests and dyslipidaemia. These safety concerns are consistent with the known profile of anti-IL-6 therapy in adult patients with RA. Significant pharmacovigilance will be required if approval is granted for registration of SAR for the treatment of RA. This would include vigilance for opportunistic infections, MACE and malignancy (particularly, non-melanoma skin cancers)</w:t>
      </w:r>
      <w:r w:rsidR="004D78CD">
        <w:t>.</w:t>
      </w:r>
    </w:p>
    <w:p w14:paraId="57609C0C" w14:textId="77777777" w:rsidR="00C22678" w:rsidRDefault="00C22678" w:rsidP="00C22678">
      <w:pPr>
        <w:pStyle w:val="Heading2"/>
      </w:pPr>
      <w:bookmarkStart w:id="331" w:name="_Toc519848456"/>
      <w:r>
        <w:lastRenderedPageBreak/>
        <w:t>First round benefit-risk assessment</w:t>
      </w:r>
      <w:bookmarkEnd w:id="331"/>
    </w:p>
    <w:p w14:paraId="304F4F34" w14:textId="77777777" w:rsidR="009813AE" w:rsidRPr="009813AE" w:rsidRDefault="009813AE" w:rsidP="009813AE">
      <w:pPr>
        <w:pStyle w:val="Heading3"/>
      </w:pPr>
      <w:bookmarkStart w:id="332" w:name="_Toc236802592"/>
      <w:bookmarkStart w:id="333" w:name="_Toc241374331"/>
      <w:bookmarkStart w:id="334" w:name="_Ref272160836"/>
      <w:bookmarkStart w:id="335" w:name="_Toc272414693"/>
      <w:bookmarkStart w:id="336" w:name="_Toc290888557"/>
      <w:bookmarkStart w:id="337" w:name="_Toc464131576"/>
      <w:bookmarkStart w:id="338" w:name="_Toc519848457"/>
      <w:r w:rsidRPr="009813AE">
        <w:t>First round assessment of benefits</w:t>
      </w:r>
      <w:bookmarkEnd w:id="332"/>
      <w:bookmarkEnd w:id="333"/>
      <w:bookmarkEnd w:id="334"/>
      <w:bookmarkEnd w:id="335"/>
      <w:bookmarkEnd w:id="336"/>
      <w:bookmarkEnd w:id="337"/>
      <w:bookmarkEnd w:id="338"/>
    </w:p>
    <w:p w14:paraId="6D9E455F" w14:textId="77777777" w:rsidR="009813AE" w:rsidRPr="009813AE" w:rsidRDefault="009813AE" w:rsidP="009813AE">
      <w:r w:rsidRPr="009813AE">
        <w:t>The benefits of SAR in adult patients with moderately to severely active RA in the proposed usage (200 mg, once every 2 weeks, given by SC injection; or 150 mg every 2 weeks if certain laboratory abnormalities) are:</w:t>
      </w:r>
    </w:p>
    <w:p w14:paraId="6BD8324A" w14:textId="77777777" w:rsidR="00A343A3" w:rsidRDefault="009813AE" w:rsidP="009813AE">
      <w:pPr>
        <w:pStyle w:val="ListBullet"/>
      </w:pPr>
      <w:r w:rsidRPr="009813AE">
        <w:t>Improvement in the signs and symptoms of RA (as per the ACR clinical response criteria), which appear to be maintained to at least 52 weeks of treatment</w:t>
      </w:r>
      <w:r w:rsidR="00A343A3">
        <w:t>.</w:t>
      </w:r>
    </w:p>
    <w:p w14:paraId="600E268F" w14:textId="77777777" w:rsidR="004D78CD" w:rsidRDefault="009813AE" w:rsidP="009813AE">
      <w:pPr>
        <w:pStyle w:val="ListBullet"/>
      </w:pPr>
      <w:r w:rsidRPr="009813AE">
        <w:t>Improvement in physical functioning (as evidenced by treatment related improvements in the HAQ-DI scale)</w:t>
      </w:r>
      <w:r w:rsidR="004D78CD">
        <w:t>.</w:t>
      </w:r>
    </w:p>
    <w:p w14:paraId="19EA2886" w14:textId="77777777" w:rsidR="00A343A3" w:rsidRDefault="009813AE" w:rsidP="009813AE">
      <w:pPr>
        <w:pStyle w:val="ListBullet"/>
      </w:pPr>
      <w:r w:rsidRPr="009813AE">
        <w:t xml:space="preserve">SAR therapy is associated with a statistically lower rate of structural disease progression at 52 and 100 weeks of treatment as measured by serial plain </w:t>
      </w:r>
      <w:r w:rsidR="00591F82">
        <w:t>X-ray</w:t>
      </w:r>
      <w:r w:rsidRPr="009813AE">
        <w:t>s of the peripheral joints affected by RA</w:t>
      </w:r>
      <w:r w:rsidR="00A343A3">
        <w:t>.</w:t>
      </w:r>
    </w:p>
    <w:p w14:paraId="472157B9" w14:textId="77777777" w:rsidR="009813AE" w:rsidRPr="009813AE" w:rsidRDefault="009813AE" w:rsidP="009813AE">
      <w:pPr>
        <w:pStyle w:val="ListBullet"/>
      </w:pPr>
      <w:r w:rsidRPr="009813AE">
        <w:t>Concurrent use of non-biologic DMARD drugs (mainly, weekly low dose oral MTX) with SAR was presented in the current submission and the efficacy outcomes with SAR monotherapy are not available at present.</w:t>
      </w:r>
    </w:p>
    <w:p w14:paraId="652F3324" w14:textId="77777777" w:rsidR="00A343A3" w:rsidRDefault="009813AE" w:rsidP="009813AE">
      <w:pPr>
        <w:pStyle w:val="ListBullet"/>
      </w:pPr>
      <w:r w:rsidRPr="009813AE">
        <w:t>In the population of subjects enrolled into Study EFC10832 (</w:t>
      </w:r>
      <w:r w:rsidR="004D78CD">
        <w:t>that is</w:t>
      </w:r>
      <w:r w:rsidRPr="009813AE">
        <w:t xml:space="preserve"> inadequate response or intolerance of previous anti-TNF therapy), a statistically higher rate of ACR20 response at 24 weeks and improvement in HAQ-DI score at 16 weeks was demonstrated with both doses of SAR versus </w:t>
      </w:r>
      <w:r w:rsidR="00A343A3">
        <w:t>placebo</w:t>
      </w:r>
      <w:r w:rsidRPr="009813AE">
        <w:t xml:space="preserve"> injection + oral DMARD therapy</w:t>
      </w:r>
      <w:r w:rsidR="00A343A3">
        <w:t>.</w:t>
      </w:r>
    </w:p>
    <w:p w14:paraId="5EC9CB3C" w14:textId="77777777" w:rsidR="00A343A3" w:rsidRDefault="009813AE" w:rsidP="009813AE">
      <w:pPr>
        <w:pStyle w:val="ListBullet"/>
      </w:pPr>
      <w:r w:rsidRPr="009813AE">
        <w:t xml:space="preserve">The benefits demonstrated with SAR versus </w:t>
      </w:r>
      <w:r w:rsidR="00A343A3">
        <w:t>placebo</w:t>
      </w:r>
      <w:r w:rsidRPr="009813AE">
        <w:t xml:space="preserve"> extend to various patient subgroups (age, gender, race, region and baseline disease severity) although being </w:t>
      </w:r>
      <w:r w:rsidRPr="00380E31">
        <w:t xml:space="preserve">seronegative </w:t>
      </w:r>
      <w:r w:rsidRPr="00E92395">
        <w:t>for RA</w:t>
      </w:r>
      <w:r w:rsidRPr="009813AE">
        <w:t xml:space="preserve"> was associated with lower ACR response rates</w:t>
      </w:r>
      <w:r w:rsidR="00A343A3">
        <w:t>.</w:t>
      </w:r>
    </w:p>
    <w:p w14:paraId="7E86B0DB" w14:textId="77777777" w:rsidR="004D78CD" w:rsidRDefault="009813AE" w:rsidP="009813AE">
      <w:pPr>
        <w:pStyle w:val="ListBullet"/>
      </w:pPr>
      <w:r w:rsidRPr="009813AE">
        <w:t>SAR therapy improves various health related quality of life outcomes</w:t>
      </w:r>
      <w:r w:rsidR="004D78CD">
        <w:t>.</w:t>
      </w:r>
    </w:p>
    <w:p w14:paraId="103BCFA0" w14:textId="77777777" w:rsidR="009813AE" w:rsidRPr="009813AE" w:rsidRDefault="009813AE" w:rsidP="009813AE">
      <w:pPr>
        <w:pStyle w:val="ListBullet"/>
      </w:pPr>
      <w:r w:rsidRPr="009813AE">
        <w:t>Convenient dosing schedule (once every 2 weeks) using a convenient mode of administration (SC injection via prefilled syringe).</w:t>
      </w:r>
    </w:p>
    <w:p w14:paraId="6198EF96" w14:textId="77777777" w:rsidR="009813AE" w:rsidRPr="009813AE" w:rsidRDefault="009813AE" w:rsidP="009813AE">
      <w:pPr>
        <w:pStyle w:val="Heading3"/>
      </w:pPr>
      <w:bookmarkStart w:id="339" w:name="_Toc236802596"/>
      <w:bookmarkStart w:id="340" w:name="_Toc241374334"/>
      <w:bookmarkStart w:id="341" w:name="_Ref272160964"/>
      <w:bookmarkStart w:id="342" w:name="_Toc272414694"/>
      <w:bookmarkStart w:id="343" w:name="_Toc290888558"/>
      <w:bookmarkStart w:id="344" w:name="_Toc464131577"/>
      <w:bookmarkStart w:id="345" w:name="_Toc519848458"/>
      <w:r w:rsidRPr="009813AE">
        <w:t>First round assessment of risks</w:t>
      </w:r>
      <w:bookmarkEnd w:id="339"/>
      <w:bookmarkEnd w:id="340"/>
      <w:bookmarkEnd w:id="341"/>
      <w:bookmarkEnd w:id="342"/>
      <w:bookmarkEnd w:id="343"/>
      <w:bookmarkEnd w:id="344"/>
      <w:bookmarkEnd w:id="345"/>
    </w:p>
    <w:p w14:paraId="432C2BC1" w14:textId="77777777" w:rsidR="009813AE" w:rsidRPr="009813AE" w:rsidRDefault="009813AE" w:rsidP="009813AE">
      <w:r w:rsidRPr="009813AE">
        <w:t>The risks of SAR in the proposed usage include:</w:t>
      </w:r>
    </w:p>
    <w:p w14:paraId="109751EC" w14:textId="77777777" w:rsidR="009813AE" w:rsidRPr="009813AE" w:rsidRDefault="009813AE" w:rsidP="009813AE">
      <w:pPr>
        <w:pStyle w:val="ListBullet"/>
      </w:pPr>
      <w:r w:rsidRPr="009813AE">
        <w:t xml:space="preserve">Increased incidence of overall infection compared to </w:t>
      </w:r>
      <w:r w:rsidR="00A343A3">
        <w:t>placebo</w:t>
      </w:r>
      <w:r w:rsidRPr="009813AE">
        <w:t>, which are usually minor in severity (in particular, urinary tract infection and URTI), but there is also an increased risk of serious infection with SAR.</w:t>
      </w:r>
    </w:p>
    <w:p w14:paraId="182E972A" w14:textId="77777777" w:rsidR="009813AE" w:rsidRPr="009813AE" w:rsidRDefault="009813AE" w:rsidP="009813AE">
      <w:pPr>
        <w:pStyle w:val="ListBullet"/>
      </w:pPr>
      <w:r w:rsidRPr="009813AE">
        <w:t>Increased risk of pneumonia and various types of herpes infection (oral and zoster) with SAR 200 mg q2w therapy.</w:t>
      </w:r>
    </w:p>
    <w:p w14:paraId="4E69E439" w14:textId="7F4D4E1B" w:rsidR="009813AE" w:rsidRPr="009813AE" w:rsidRDefault="009813AE" w:rsidP="009813AE">
      <w:pPr>
        <w:pStyle w:val="ListBullet"/>
      </w:pPr>
      <w:r w:rsidRPr="009813AE">
        <w:t>Increased risk of drug induced neutro</w:t>
      </w:r>
      <w:r w:rsidR="00BA3918">
        <w:t>paenia</w:t>
      </w:r>
      <w:r w:rsidRPr="009813AE">
        <w:t xml:space="preserve"> and thrombocyto</w:t>
      </w:r>
      <w:r w:rsidR="00BA3918">
        <w:t>paenia</w:t>
      </w:r>
      <w:r w:rsidRPr="009813AE">
        <w:t xml:space="preserve"> compared to </w:t>
      </w:r>
      <w:r w:rsidR="00A343A3">
        <w:t>placebo</w:t>
      </w:r>
      <w:r w:rsidRPr="009813AE">
        <w:t>.</w:t>
      </w:r>
    </w:p>
    <w:p w14:paraId="4F6540DD" w14:textId="77777777" w:rsidR="00A343A3" w:rsidRDefault="009813AE" w:rsidP="009813AE">
      <w:pPr>
        <w:pStyle w:val="ListBullet"/>
      </w:pPr>
      <w:r w:rsidRPr="009813AE">
        <w:t>Risk of precipitation of gastrointestinal perforation and aggravation of diverticulitis</w:t>
      </w:r>
      <w:r w:rsidR="00A343A3">
        <w:t>.</w:t>
      </w:r>
    </w:p>
    <w:p w14:paraId="7A76362C" w14:textId="77777777" w:rsidR="004D78CD" w:rsidRDefault="009813AE" w:rsidP="009813AE">
      <w:pPr>
        <w:pStyle w:val="ListBullet"/>
      </w:pPr>
      <w:r w:rsidRPr="009813AE">
        <w:t xml:space="preserve">Increased frequency of raised serum transaminases and atherogenic serum lipid profiles compared to </w:t>
      </w:r>
      <w:r w:rsidR="00A343A3">
        <w:t>placebo</w:t>
      </w:r>
      <w:r w:rsidR="004D78CD">
        <w:t>.</w:t>
      </w:r>
    </w:p>
    <w:p w14:paraId="240938A9" w14:textId="77777777" w:rsidR="009813AE" w:rsidRPr="009813AE" w:rsidRDefault="009813AE" w:rsidP="009813AE">
      <w:pPr>
        <w:pStyle w:val="ListBullet"/>
      </w:pPr>
      <w:r w:rsidRPr="009813AE">
        <w:t xml:space="preserve">Potential increased risk of malignancy and MACE requiring </w:t>
      </w:r>
      <w:r w:rsidR="004D78CD">
        <w:t>long term</w:t>
      </w:r>
      <w:r w:rsidR="0034618E">
        <w:t xml:space="preserve"> surveillance;</w:t>
      </w:r>
      <w:r w:rsidRPr="009813AE">
        <w:t xml:space="preserve"> not evident in the current short to medium term safety dataset.</w:t>
      </w:r>
    </w:p>
    <w:p w14:paraId="10CF7CD8" w14:textId="77777777" w:rsidR="009813AE" w:rsidRPr="009813AE" w:rsidRDefault="009813AE" w:rsidP="009813AE">
      <w:pPr>
        <w:pStyle w:val="ListBullet"/>
      </w:pPr>
      <w:r w:rsidRPr="009813AE">
        <w:t xml:space="preserve">Higher rates of injection site reactions with SAR versus </w:t>
      </w:r>
      <w:r w:rsidR="00A343A3">
        <w:t>placebo</w:t>
      </w:r>
      <w:r w:rsidRPr="009813AE">
        <w:t xml:space="preserve"> injections, which are usually non-severe in nature and rarely lead to permanent treatment discontinuation.</w:t>
      </w:r>
    </w:p>
    <w:p w14:paraId="02F52EF5" w14:textId="77777777" w:rsidR="00A343A3" w:rsidRDefault="009813AE" w:rsidP="009813AE">
      <w:pPr>
        <w:pStyle w:val="ListBullet"/>
      </w:pPr>
      <w:r w:rsidRPr="009813AE">
        <w:lastRenderedPageBreak/>
        <w:t>Increased rates of permanent treatment discontinuation with SAR versus control treatment (</w:t>
      </w:r>
      <w:r w:rsidR="00A343A3">
        <w:t>placebo</w:t>
      </w:r>
      <w:r w:rsidRPr="009813AE">
        <w:t xml:space="preserve"> injections + oral DMARD) due to a combination of infections and abnormal investigation results</w:t>
      </w:r>
      <w:r w:rsidR="00A343A3">
        <w:t>.</w:t>
      </w:r>
    </w:p>
    <w:p w14:paraId="1317213B" w14:textId="77777777" w:rsidR="004D78CD" w:rsidRDefault="009813AE" w:rsidP="009813AE">
      <w:pPr>
        <w:pStyle w:val="ListBullet"/>
      </w:pPr>
      <w:r w:rsidRPr="009813AE">
        <w:t>Live vaccines cannot be given concurrently with SAR</w:t>
      </w:r>
      <w:r w:rsidR="004D78CD">
        <w:t>.</w:t>
      </w:r>
    </w:p>
    <w:p w14:paraId="79629F10" w14:textId="14CD221F" w:rsidR="009813AE" w:rsidRPr="009813AE" w:rsidRDefault="009813AE" w:rsidP="009813AE">
      <w:pPr>
        <w:pStyle w:val="ListBullet"/>
      </w:pPr>
      <w:r w:rsidRPr="009813AE">
        <w:t xml:space="preserve">SAR has not been studied in patients </w:t>
      </w:r>
      <w:r w:rsidR="007312A2">
        <w:t xml:space="preserve">&lt; </w:t>
      </w:r>
      <w:r w:rsidRPr="009813AE">
        <w:t xml:space="preserve">18 years of age, in subjects with significant organ dysfunction (including renal, hepatic or cardiac failure), those at risk of reactivated latent tuberculosis (requiring meticulous screening </w:t>
      </w:r>
      <w:r w:rsidR="00F01361">
        <w:t>at Baseline</w:t>
      </w:r>
      <w:r w:rsidRPr="009813AE">
        <w:t>) and in pregnant or lact</w:t>
      </w:r>
      <w:r>
        <w:t>ating women.</w:t>
      </w:r>
    </w:p>
    <w:p w14:paraId="577D165B" w14:textId="77777777" w:rsidR="009813AE" w:rsidRPr="009813AE" w:rsidRDefault="009813AE" w:rsidP="009813AE">
      <w:pPr>
        <w:pStyle w:val="Heading3"/>
      </w:pPr>
      <w:bookmarkStart w:id="346" w:name="_Toc236802597"/>
      <w:bookmarkStart w:id="347" w:name="_Toc241374335"/>
      <w:bookmarkStart w:id="348" w:name="_Toc272414695"/>
      <w:bookmarkStart w:id="349" w:name="_Toc290888559"/>
      <w:bookmarkStart w:id="350" w:name="_Toc464131578"/>
      <w:bookmarkStart w:id="351" w:name="_Toc519848459"/>
      <w:r w:rsidRPr="009813AE">
        <w:t>First round assessment of benefit-risk balance</w:t>
      </w:r>
      <w:bookmarkEnd w:id="346"/>
      <w:bookmarkEnd w:id="347"/>
      <w:bookmarkEnd w:id="348"/>
      <w:bookmarkEnd w:id="349"/>
      <w:bookmarkEnd w:id="350"/>
      <w:bookmarkEnd w:id="351"/>
    </w:p>
    <w:p w14:paraId="74CF9079" w14:textId="4C1F605B" w:rsidR="009813AE" w:rsidRPr="009813AE" w:rsidRDefault="009813AE" w:rsidP="009813AE">
      <w:r w:rsidRPr="009813AE">
        <w:t>The overall benefit-risk balance of SAR in combination with non-biologic DMARD (mainly, weekly low dose oral MTX) in adult patients with moderately to severely active RA, who have had an inadequate response to 1 or more DMARDs, is favourable. Although there are several biologic therapies approved for the treatment of RA, including an alternative drug targeting IL-6 inhibition (tocilizumab), a significant proportion of patients still do not achieve optimal or adequate efficacy when one considers clinically meaningful measures of improvement, such as the rates of ACR20 and ACR50 response. Other limitations to currently available therapies in Australia include diminished efficacy over time and drug related safety concerns such as opportunistic infection (including TB), malignancy (</w:t>
      </w:r>
      <w:r w:rsidR="007312A2">
        <w:t>for example</w:t>
      </w:r>
      <w:r w:rsidRPr="009813AE">
        <w:t xml:space="preserve"> lymphoma) and various laboratory test abnormalities (</w:t>
      </w:r>
      <w:r w:rsidR="007312A2">
        <w:t>for example</w:t>
      </w:r>
      <w:r w:rsidRPr="009813AE">
        <w:t xml:space="preserve"> abnormal liver function tests and cyto</w:t>
      </w:r>
      <w:r w:rsidR="00BA3918">
        <w:t>paenia</w:t>
      </w:r>
      <w:r w:rsidRPr="009813AE">
        <w:t xml:space="preserve">). Thus, there remains a significant unmet need for new drugs with unique mechanisms that can provide a rapid onset of effect, as well as improved and sustained symptom improvement and a safety profile that allows for </w:t>
      </w:r>
      <w:r w:rsidR="004D78CD">
        <w:t>long term</w:t>
      </w:r>
      <w:r>
        <w:t xml:space="preserve"> use.</w:t>
      </w:r>
    </w:p>
    <w:p w14:paraId="59E675FB" w14:textId="77777777" w:rsidR="009813AE" w:rsidRPr="009813AE" w:rsidRDefault="009813AE" w:rsidP="009813AE">
      <w:r w:rsidRPr="009813AE">
        <w:t xml:space="preserve">SAR is a fully human IgG1 monoclonal antibody that selectively binds to both soluble and membrane bound IL-6 receptors, thereby neutralising the effects of the pro-inflammatory cytokine, IL-6. IL-6 is a naturally occurring cytokine that is involved in normal inflammatory and immune responses, but the cytokine also plays a key role in the pathogenesis of RA. In this submission, SAR has been evaluated in a large clinical program, which complied with CHMP guidelines for evaluation of treatment in RA. The clinical studies have evaluated an adequate number of subjects in the target patient population and demonstrated that SAR is an effective in the treatment of active RA. For most patients with RA, the minimum most effective dose of SAR therapy is 150 mg q2w by SC injection, however, the sponsor is proposing 200 mg q2w as the primary commercial dose because it shows numerically higher efficacy for ACR50 and ACR70 responses and questionably superior inhibition of X-ray progression, but none of this clinical data has been subject to pre-specified statistical testing. Nonetheless, the superior efficacy of SAR versus </w:t>
      </w:r>
      <w:r w:rsidR="00A343A3">
        <w:t>placebo</w:t>
      </w:r>
      <w:r w:rsidRPr="009813AE">
        <w:t xml:space="preserve"> (in conjunction with non-biologic DMARD, mainly MTX) was consistent in most patient subgroups. Subjects with a body weight </w:t>
      </w:r>
      <w:r w:rsidR="007312A2">
        <w:t xml:space="preserve">&gt; </w:t>
      </w:r>
      <w:r w:rsidRPr="009813AE">
        <w:t>100 kg appeared to have better clinical response to the higher dose of SAR (200 mg injections) but the sponsor has not requested a dose modification in this patient subgroup.</w:t>
      </w:r>
    </w:p>
    <w:p w14:paraId="7948FA1E" w14:textId="77777777" w:rsidR="009813AE" w:rsidRDefault="009813AE" w:rsidP="009813AE">
      <w:r w:rsidRPr="009813AE">
        <w:t xml:space="preserve">The safety profile of SAR observed in the clinical study program is consistent with that known for tocilizumab, based on the anticipated effects of IL-6 inhibition, including an increased risk of infection and changes in certain laboratory parameters, in particular, decreases in neutrophil count and increases in hepatic transaminases and serum lipids. SAR is a monoclonal antibody given by SC injection, thus the occurrence of ADA was also expected. The risk profile of SAR is based on a total of 1220 SAR-treated patients with RA involved in the 2 pivotal </w:t>
      </w:r>
      <w:r w:rsidR="004D78CD">
        <w:t>Phase III</w:t>
      </w:r>
      <w:r w:rsidRPr="009813AE">
        <w:t xml:space="preserve"> studies, as well as additional safety information collected from </w:t>
      </w:r>
      <w:r w:rsidR="000F37C5">
        <w:t xml:space="preserve">approximately </w:t>
      </w:r>
      <w:r w:rsidRPr="009813AE">
        <w:t>3000 patients</w:t>
      </w:r>
      <w:r>
        <w:t xml:space="preserve"> treated with any dose of SAR.</w:t>
      </w:r>
    </w:p>
    <w:p w14:paraId="7FB04C3A" w14:textId="77777777" w:rsidR="009813AE" w:rsidRPr="009813AE" w:rsidRDefault="009813AE" w:rsidP="009813AE">
      <w:r w:rsidRPr="009813AE">
        <w:t xml:space="preserve">In the RA trials, there was an increased incidence in overall infections in the 2 SAR dose groups compared to </w:t>
      </w:r>
      <w:r w:rsidR="00A343A3">
        <w:t>placebo</w:t>
      </w:r>
      <w:r w:rsidRPr="009813AE">
        <w:t xml:space="preserve">, with a slightly increased frequency of infection with the highest dose of SAR (200 mg therapy). The majority of reported infections were mild or moderate, upper </w:t>
      </w:r>
      <w:r w:rsidRPr="009813AE">
        <w:lastRenderedPageBreak/>
        <w:t xml:space="preserve">respiratory tract and urinary infections. Herpes related infections were also more frequent with SAR (in a possible dose dependent relationship) compared to </w:t>
      </w:r>
      <w:r w:rsidR="00A343A3">
        <w:t>placebo</w:t>
      </w:r>
      <w:r w:rsidRPr="009813AE">
        <w:t>. However, very few serious opportunistic inf</w:t>
      </w:r>
      <w:r>
        <w:t>ections were reported with SAR.</w:t>
      </w:r>
    </w:p>
    <w:p w14:paraId="29694CAD" w14:textId="1743EDA3" w:rsidR="009813AE" w:rsidRPr="009813AE" w:rsidRDefault="009813AE" w:rsidP="009813AE">
      <w:r w:rsidRPr="009813AE">
        <w:t>Neutro</w:t>
      </w:r>
      <w:r w:rsidR="00BA3918">
        <w:t>paenia</w:t>
      </w:r>
      <w:r w:rsidRPr="009813AE">
        <w:t xml:space="preserve"> was much more frequently observed with SAR than </w:t>
      </w:r>
      <w:r w:rsidR="00A343A3">
        <w:t>placebo</w:t>
      </w:r>
      <w:r w:rsidRPr="009813AE">
        <w:t>, but most cases were of mild severity (CTCAE Grade 1</w:t>
      </w:r>
      <w:r w:rsidR="00A2292D">
        <w:t xml:space="preserve"> or </w:t>
      </w:r>
      <w:r w:rsidRPr="009813AE">
        <w:t>2), transient and reversible. More severe neutro</w:t>
      </w:r>
      <w:r w:rsidR="00BA3918">
        <w:t>paenia</w:t>
      </w:r>
      <w:r w:rsidRPr="009813AE">
        <w:t xml:space="preserve"> (CTCAE Grade 3</w:t>
      </w:r>
      <w:r w:rsidR="00A2292D">
        <w:t xml:space="preserve"> or </w:t>
      </w:r>
      <w:r w:rsidRPr="009813AE">
        <w:t xml:space="preserve">4) was also more frequently observed with SAR, but were rarely associated with serious infection. There was also an increased incidence of mild-moderate hepatic transaminase elevations and dyslipidaemia with SAR versus </w:t>
      </w:r>
      <w:r w:rsidR="00A343A3">
        <w:t>placebo</w:t>
      </w:r>
      <w:r w:rsidRPr="009813AE">
        <w:t>, which was not clearly dose related.</w:t>
      </w:r>
    </w:p>
    <w:p w14:paraId="47AF4936" w14:textId="77777777" w:rsidR="009813AE" w:rsidRPr="009813AE" w:rsidRDefault="009813AE" w:rsidP="009813AE">
      <w:r w:rsidRPr="009813AE">
        <w:t xml:space="preserve">Malignancy represents a theoretical risk with any immunosuppressive therapy, but there is no evidence that SAR confers an increased risk for malignancy in the current dataset of medium term drug exposure. In the submitted trials, SAR treatment was associated with a higher incidence of injection site reactions compared to </w:t>
      </w:r>
      <w:r w:rsidR="00A343A3">
        <w:t>placebo</w:t>
      </w:r>
      <w:r w:rsidRPr="009813AE">
        <w:t>, but these were generally mild, localised and self-limiting. Importantly, there were only a handful of cases of serious hypersensitivity reactions and no cases of anaphylaxis were recorded.</w:t>
      </w:r>
    </w:p>
    <w:p w14:paraId="2A987795" w14:textId="77777777" w:rsidR="004D78CD" w:rsidRDefault="009813AE" w:rsidP="009813AE">
      <w:r w:rsidRPr="009813AE">
        <w:t xml:space="preserve">The laboratory changes associated with SAR are typical for IL-6 inhibition, including decreases in neutrophil and platelet count, and increases in serum transaminases and lipids. These were observed more frequently for SAR treatment groups compared to </w:t>
      </w:r>
      <w:r w:rsidR="00A343A3">
        <w:t>placebo</w:t>
      </w:r>
      <w:r w:rsidRPr="009813AE">
        <w:t>. Significant changes in laboratory parameters associated with SAR were managed b</w:t>
      </w:r>
      <w:r w:rsidR="0034618E">
        <w:t>y dose modification from 200 mg </w:t>
      </w:r>
      <w:r w:rsidRPr="009813AE">
        <w:t xml:space="preserve">q2w to 150 mg q2w. The submission contained a subset of patients who experienced dose modification for the above problems and no clinical consequences of SAR dose reduction were observed. Changes in abnormal laboratory results generally stabilised after 4 weeks. Furthermore, the sponsor is proposing routine laboratory monitoring to consist of neutrophil count, platelet count, liver function tests and lipid profile within </w:t>
      </w:r>
      <w:r w:rsidR="00913BB9">
        <w:t>4 to 8</w:t>
      </w:r>
      <w:r w:rsidRPr="009813AE">
        <w:t xml:space="preserve"> weeks of initiating SAR therapy, and then every 3 months thereafter (6 months for lipid profile)</w:t>
      </w:r>
      <w:r w:rsidR="004D78CD">
        <w:t>.</w:t>
      </w:r>
    </w:p>
    <w:p w14:paraId="3630563D" w14:textId="77777777" w:rsidR="00C22678" w:rsidRDefault="00C22678" w:rsidP="00627CC5">
      <w:pPr>
        <w:pStyle w:val="Heading2"/>
      </w:pPr>
      <w:bookmarkStart w:id="352" w:name="_Toc519848460"/>
      <w:r>
        <w:t xml:space="preserve">First round </w:t>
      </w:r>
      <w:r w:rsidRPr="00627CC5">
        <w:t>recommendation</w:t>
      </w:r>
      <w:r>
        <w:t xml:space="preserve"> regarding authorisation</w:t>
      </w:r>
      <w:bookmarkEnd w:id="352"/>
    </w:p>
    <w:p w14:paraId="77692418" w14:textId="77777777" w:rsidR="00D946CB" w:rsidRPr="00D946CB" w:rsidRDefault="0034618E" w:rsidP="00D946CB">
      <w:r>
        <w:t>The clinical evaluator</w:t>
      </w:r>
      <w:r w:rsidR="00D946CB" w:rsidRPr="00D946CB">
        <w:t xml:space="preserve"> recommend</w:t>
      </w:r>
      <w:r>
        <w:t>s</w:t>
      </w:r>
      <w:r w:rsidR="00D946CB" w:rsidRPr="00D946CB">
        <w:t xml:space="preserve"> acceptance of the sponsor’s request for the registration of SAR for the treatment of moderately to severely active RA in adult patients who have failed to respond to or are intolerant of 1 or more DMARD drugs (including prior anti-TNF therapy). The treatment indication reflects the populations studied in the submitted trials. The proposed wording also includes specification that SAR treatment should only be used in combination with non-biological DMARDs, which is consistent with the submitted dataset. The current submission provides robust evidence that SAR is effective in improving the symptoms and signs of active RA as well as physical functioning, and potentially slowing the progress</w:t>
      </w:r>
      <w:r w:rsidR="00D946CB">
        <w:t>ion of structural joint damage.</w:t>
      </w:r>
    </w:p>
    <w:p w14:paraId="179AA6EE" w14:textId="1C3C4BA3" w:rsidR="00D946CB" w:rsidRPr="00D946CB" w:rsidRDefault="00D946CB" w:rsidP="00D946CB">
      <w:r w:rsidRPr="00D946CB">
        <w:t xml:space="preserve">However, </w:t>
      </w:r>
      <w:r w:rsidR="0034618E">
        <w:t>the clinical evaluator</w:t>
      </w:r>
      <w:r w:rsidRPr="00D946CB">
        <w:t xml:space="preserve"> do</w:t>
      </w:r>
      <w:r w:rsidR="0034618E">
        <w:t>es</w:t>
      </w:r>
      <w:r w:rsidRPr="00D946CB">
        <w:t xml:space="preserve"> not agree with the sponsor proposed posology for SAR therapy, which recommends 200 mg q2w as the regimen for the majority of patients, and the dose of SAR can be reduced to 150 mg q2w for the management of neutro</w:t>
      </w:r>
      <w:r w:rsidR="00BA3918">
        <w:t>paenia</w:t>
      </w:r>
      <w:r w:rsidRPr="00D946CB">
        <w:t>, thrombocyto</w:t>
      </w:r>
      <w:r w:rsidR="00BA3918">
        <w:t>paenia</w:t>
      </w:r>
      <w:r w:rsidRPr="00D946CB">
        <w:t xml:space="preserve"> and elevated liver enzyme tests. </w:t>
      </w:r>
      <w:r w:rsidR="0034618E">
        <w:t>The clinical evaluator</w:t>
      </w:r>
      <w:r w:rsidRPr="00D946CB">
        <w:t xml:space="preserve"> recommend</w:t>
      </w:r>
      <w:r w:rsidR="0034618E">
        <w:t>s</w:t>
      </w:r>
      <w:r w:rsidRPr="00D946CB">
        <w:t xml:space="preserve"> the posology of SAR be 150 mg q2w for all patients as the totality of the clinical dataset indicates that this is the lowest, most cl</w:t>
      </w:r>
      <w:r>
        <w:t>inically effective regimen.</w:t>
      </w:r>
    </w:p>
    <w:p w14:paraId="2302B5D4" w14:textId="77777777" w:rsidR="004D78CD" w:rsidRDefault="00D946CB" w:rsidP="00D946CB">
      <w:r w:rsidRPr="00D946CB">
        <w:t xml:space="preserve">Regarding justification for the proposed SAR posology, 2 dose regimens (SAR 150 mg q2w and SAR 200 mg q2w by SC injection) were selected for investigation in the 2 </w:t>
      </w:r>
      <w:r w:rsidR="004D78CD">
        <w:t>Phase III</w:t>
      </w:r>
      <w:r w:rsidRPr="00D946CB">
        <w:t xml:space="preserve"> studies. Both doses achieved similar ACR20 response rates at 24 weeks of therapy. The sponsor states that the SAR 200 mg dose had numerically higher ACR50 and ACR70 response rates at 24 weeks, but these findings has not been subject to pre-specified statistical testing nor were the studies powered for such an analysis. The sponsor asserts that a higher percentage of patients receiving 200 mg versus 150 mg SAR therapy obtain serum SAR concentrations at the end of the dosing </w:t>
      </w:r>
      <w:r w:rsidRPr="00D946CB">
        <w:lastRenderedPageBreak/>
        <w:t>interval which equate with clinical response. Furthermore, analyses of the PD data (mainly CRP results) suggest that suppression of IL-6 signalling was more complete at the end of the dosing interval in patients treated with SAR 200 mg q2w versus 150 mg q2w. The sponsor proposes that while SAR 150 mg q2w therapy may be sufficient for managing the signs and symptoms of RA, pharmacology data indicates more effective suppression of IL-6 signalling throughout the dosing interval is obtained with SAR 200 mg q2w. The sponsor also hypothesises that more complete suppression of IL-6 may lead to greater inhibition of structural progression of the disease, as well as greater improvements in other clinical endpoints. However, the pharmacology data has not been supported by the appropriate supporting analysis of the clinical efficacy data showing superiority of SAR 200 mg q2w over 150 mg q2w</w:t>
      </w:r>
      <w:r w:rsidR="004D78CD">
        <w:t>.</w:t>
      </w:r>
    </w:p>
    <w:p w14:paraId="3A0656CA" w14:textId="77777777" w:rsidR="00D946CB" w:rsidRPr="00D946CB" w:rsidRDefault="00D946CB" w:rsidP="00D946CB">
      <w:r w:rsidRPr="00D946CB">
        <w:t xml:space="preserve">Should approval of the sponsor’s proposed registration of SAR for the treatment of active RA be granted, </w:t>
      </w:r>
      <w:r w:rsidR="0034618E">
        <w:t>the clinical evaluator</w:t>
      </w:r>
      <w:r w:rsidRPr="00D946CB">
        <w:t xml:space="preserve"> also recommend</w:t>
      </w:r>
      <w:r w:rsidR="0034618E">
        <w:t>ed</w:t>
      </w:r>
      <w:r w:rsidRPr="00D946CB">
        <w:t xml:space="preserve"> that approval be </w:t>
      </w:r>
      <w:r>
        <w:t>subject to:</w:t>
      </w:r>
    </w:p>
    <w:p w14:paraId="203C55E2" w14:textId="3E53954D" w:rsidR="00D946CB" w:rsidRPr="00D946CB" w:rsidRDefault="00D946CB" w:rsidP="00D946CB">
      <w:pPr>
        <w:pStyle w:val="ListBullet"/>
      </w:pPr>
      <w:r w:rsidRPr="00D946CB">
        <w:t>Satisfactory response to the</w:t>
      </w:r>
      <w:r w:rsidR="0034618E">
        <w:t xml:space="preserve"> clinical</w:t>
      </w:r>
      <w:r w:rsidRPr="00D946CB">
        <w:t xml:space="preserve"> question</w:t>
      </w:r>
      <w:r>
        <w:t xml:space="preserve">s </w:t>
      </w:r>
      <w:r w:rsidR="0034618E">
        <w:t>below</w:t>
      </w:r>
      <w:r w:rsidR="00046C7A">
        <w:t>;</w:t>
      </w:r>
    </w:p>
    <w:p w14:paraId="45B7720E" w14:textId="3A98315E" w:rsidR="00D946CB" w:rsidRPr="00D946CB" w:rsidRDefault="00D946CB" w:rsidP="00D946CB">
      <w:pPr>
        <w:pStyle w:val="ListBullet"/>
      </w:pPr>
      <w:r w:rsidRPr="00D946CB">
        <w:t>Regular perio</w:t>
      </w:r>
      <w:r>
        <w:t>dic safety update reports</w:t>
      </w:r>
      <w:r w:rsidR="00046C7A">
        <w:t xml:space="preserve">; </w:t>
      </w:r>
      <w:r>
        <w:t>and</w:t>
      </w:r>
    </w:p>
    <w:p w14:paraId="299F4A58" w14:textId="7F75E95D" w:rsidR="00D946CB" w:rsidRPr="00D946CB" w:rsidRDefault="00D946CB" w:rsidP="00D946CB">
      <w:pPr>
        <w:pStyle w:val="ListBullet"/>
      </w:pPr>
      <w:r w:rsidRPr="00D946CB">
        <w:t>When available, the sponsor provides the TGA with the final clinical study report for</w:t>
      </w:r>
      <w:r>
        <w:t xml:space="preserve"> the </w:t>
      </w:r>
      <w:r w:rsidR="004D78CD">
        <w:t>long term</w:t>
      </w:r>
      <w:r>
        <w:t xml:space="preserve"> </w:t>
      </w:r>
      <w:r w:rsidR="00046C7A">
        <w:t xml:space="preserve">Study </w:t>
      </w:r>
      <w:r>
        <w:t>LTS11210.</w:t>
      </w:r>
    </w:p>
    <w:p w14:paraId="5EF3E1D7" w14:textId="77777777" w:rsidR="00C22678" w:rsidRDefault="00C22678" w:rsidP="00C22678">
      <w:pPr>
        <w:pStyle w:val="Heading2"/>
      </w:pPr>
      <w:bookmarkStart w:id="353" w:name="_Toc519848461"/>
      <w:r>
        <w:t>Clinical questions</w:t>
      </w:r>
      <w:bookmarkEnd w:id="353"/>
    </w:p>
    <w:p w14:paraId="4D2BE712" w14:textId="77777777" w:rsidR="00C22678" w:rsidRDefault="00C618F7" w:rsidP="00C618F7">
      <w:pPr>
        <w:pStyle w:val="Heading3"/>
      </w:pPr>
      <w:bookmarkStart w:id="354" w:name="_Toc519848462"/>
      <w:r>
        <w:t>Pharmacokinetics</w:t>
      </w:r>
      <w:bookmarkEnd w:id="354"/>
    </w:p>
    <w:p w14:paraId="284C81F2" w14:textId="7EE715B9" w:rsidR="00C618F7" w:rsidRPr="00586F98" w:rsidRDefault="00447C20" w:rsidP="00C618F7">
      <w:r>
        <w:t>N</w:t>
      </w:r>
      <w:r w:rsidR="00046C7A">
        <w:t>o questions.</w:t>
      </w:r>
    </w:p>
    <w:p w14:paraId="1A21E3AE" w14:textId="77777777" w:rsidR="00C618F7" w:rsidRDefault="00C618F7" w:rsidP="00C618F7">
      <w:pPr>
        <w:pStyle w:val="Heading3"/>
      </w:pPr>
      <w:bookmarkStart w:id="355" w:name="_Toc519848463"/>
      <w:r>
        <w:t>Pharmacodynamics</w:t>
      </w:r>
      <w:bookmarkEnd w:id="355"/>
    </w:p>
    <w:p w14:paraId="2128379F" w14:textId="56DD5AA1" w:rsidR="00C618F7" w:rsidRPr="00586F98" w:rsidRDefault="00046C7A" w:rsidP="00C618F7">
      <w:r>
        <w:t>No questions.</w:t>
      </w:r>
    </w:p>
    <w:p w14:paraId="1EEA8516" w14:textId="77777777" w:rsidR="00C618F7" w:rsidRDefault="00C618F7" w:rsidP="00C618F7">
      <w:pPr>
        <w:pStyle w:val="Heading3"/>
      </w:pPr>
      <w:bookmarkStart w:id="356" w:name="_Toc519848464"/>
      <w:r>
        <w:t>Efficacy</w:t>
      </w:r>
      <w:bookmarkEnd w:id="356"/>
    </w:p>
    <w:p w14:paraId="26006AEB" w14:textId="77777777" w:rsidR="00447C20" w:rsidRDefault="00447C20" w:rsidP="00447C20">
      <w:pPr>
        <w:pStyle w:val="Heading4"/>
      </w:pPr>
      <w:r w:rsidRPr="00447C20">
        <w:t>Q</w:t>
      </w:r>
      <w:r>
        <w:t xml:space="preserve">uestion </w:t>
      </w:r>
      <w:r w:rsidR="00610066">
        <w:t>1</w:t>
      </w:r>
    </w:p>
    <w:p w14:paraId="79128F9C" w14:textId="3468B732" w:rsidR="00447C20" w:rsidRPr="00447C20" w:rsidRDefault="00447C20" w:rsidP="00447C20">
      <w:r w:rsidRPr="00447C20">
        <w:t xml:space="preserve">In both of the pivotal </w:t>
      </w:r>
      <w:r w:rsidR="004D78CD">
        <w:t>Phase III</w:t>
      </w:r>
      <w:r w:rsidRPr="00447C20">
        <w:t xml:space="preserve"> studies (Part B of </w:t>
      </w:r>
      <w:r w:rsidR="00F01361">
        <w:t xml:space="preserve">Studies </w:t>
      </w:r>
      <w:r w:rsidRPr="00447C20">
        <w:t>EFC11072 and EFC10832), the control treatment arm used concomitant methotrexate in 9</w:t>
      </w:r>
      <w:r w:rsidR="006062AB">
        <w:t>5 to 1</w:t>
      </w:r>
      <w:r w:rsidRPr="00447C20">
        <w:t>00% of participants at a median weekly dose of 15 mg (and usually administered per oral). Recent expert opinion has identified suboptimal methotrexate therapy (dose and route of administration) as a source of biasing findings in favour of biologic therapies in RA clinical trials.</w:t>
      </w:r>
      <w:bookmarkStart w:id="357" w:name="_Ref514791708"/>
      <w:r w:rsidR="00046C7A">
        <w:rPr>
          <w:rStyle w:val="FootnoteReference"/>
        </w:rPr>
        <w:footnoteReference w:id="2"/>
      </w:r>
      <w:bookmarkEnd w:id="357"/>
      <w:r w:rsidRPr="00447C20">
        <w:t xml:space="preserve"> Could the sponsor comment on the adequacy of therapy in the control arms of both pivotal studies as a potential source of efficacy bias?</w:t>
      </w:r>
    </w:p>
    <w:p w14:paraId="522F25AB" w14:textId="77777777" w:rsidR="00447C20" w:rsidRPr="00447C20" w:rsidRDefault="00447C20" w:rsidP="00447C20">
      <w:pPr>
        <w:pStyle w:val="Heading4"/>
      </w:pPr>
      <w:r>
        <w:t>Question 2</w:t>
      </w:r>
    </w:p>
    <w:p w14:paraId="75C501A9" w14:textId="1CDEF2F2" w:rsidR="00447C20" w:rsidRPr="00447C20" w:rsidRDefault="00447C20" w:rsidP="00447C20">
      <w:r w:rsidRPr="00447C20">
        <w:t xml:space="preserve">In Cohort 2/Part B of Study EFC11072, could the sponsor provide data for each of the treatment groups on the percentage of subjects who met the inclusion criteria of at least 1 radiographic erosion on X-ray at </w:t>
      </w:r>
      <w:r w:rsidR="00046C7A">
        <w:t>B</w:t>
      </w:r>
      <w:r w:rsidR="00046C7A" w:rsidRPr="00447C20">
        <w:t xml:space="preserve">aseline </w:t>
      </w:r>
      <w:r w:rsidRPr="00447C20">
        <w:t>(by local investigators at screening), and the rates of concordance with central reading?</w:t>
      </w:r>
    </w:p>
    <w:p w14:paraId="21DDA9DB" w14:textId="77777777" w:rsidR="00447C20" w:rsidRPr="00447C20" w:rsidRDefault="00447C20" w:rsidP="00447C20">
      <w:pPr>
        <w:pStyle w:val="Heading4"/>
      </w:pPr>
      <w:r>
        <w:lastRenderedPageBreak/>
        <w:t>Question 3</w:t>
      </w:r>
    </w:p>
    <w:p w14:paraId="4FC9FAF8" w14:textId="77777777" w:rsidR="00447C20" w:rsidRPr="00447C20" w:rsidRDefault="00447C20" w:rsidP="00447C20">
      <w:r w:rsidRPr="00447C20">
        <w:t>In the proposed posology, sarilumab 200 mg every 2 weeks (q2w) by subcutaneous in</w:t>
      </w:r>
      <w:r w:rsidR="00610066">
        <w:t xml:space="preserve">jection is requested and a down </w:t>
      </w:r>
      <w:r w:rsidRPr="00447C20">
        <w:t xml:space="preserve">titration to 150 mg q2w is recommended in the setting of certain blood test abnormalities. Using the clinical dataset, could the sponsor justify the proposed posology of 200 mg q2w as the lowest, most clinically effective regimen given the primary clinical endpoint of ACR20 response at 24 weeks in both pivotal studies was similar with both sarilumab doses (200 mg q2w and 150 mg q2w) and no statistical analysis for any clinical efficacy endpoints between the 2 sarilumab dose regimens have been provided to justify the clinical </w:t>
      </w:r>
      <w:r w:rsidR="00610066">
        <w:t>superiority of the higher dose?</w:t>
      </w:r>
    </w:p>
    <w:p w14:paraId="12ADCFB8" w14:textId="77777777" w:rsidR="00447C20" w:rsidRPr="00447C20" w:rsidRDefault="00447C20" w:rsidP="00447C20">
      <w:pPr>
        <w:pStyle w:val="Heading4"/>
      </w:pPr>
      <w:r>
        <w:t>Question 4</w:t>
      </w:r>
    </w:p>
    <w:p w14:paraId="31066E3B" w14:textId="75FBFE11" w:rsidR="004D78CD" w:rsidRDefault="00447C20" w:rsidP="00447C20">
      <w:r w:rsidRPr="00447C20">
        <w:t xml:space="preserve">In Part B of Study EFC11072, patients in the sarilumab 150 mg q2w dose group had slightly higher mean and median modified Total Sharp Scores (mTSS) than the other 2 treatment arms </w:t>
      </w:r>
      <w:r w:rsidR="00F01361">
        <w:t>at Baseline</w:t>
      </w:r>
      <w:r w:rsidRPr="00447C20">
        <w:t xml:space="preserve">. At </w:t>
      </w:r>
      <w:r w:rsidR="002F4291">
        <w:t>Week</w:t>
      </w:r>
      <w:r w:rsidRPr="00447C20">
        <w:t xml:space="preserve"> 52, both doses of sarilumab showed a statistically significant smaller mean increase </w:t>
      </w:r>
      <w:r w:rsidR="00F01361">
        <w:t>from Baseline</w:t>
      </w:r>
      <w:r w:rsidRPr="00447C20">
        <w:t xml:space="preserve"> in mTSS versus placebo</w:t>
      </w:r>
      <w:r w:rsidR="004D78CD">
        <w:t>.</w:t>
      </w:r>
    </w:p>
    <w:p w14:paraId="5EBFA399" w14:textId="77777777" w:rsidR="00447C20" w:rsidRPr="00447C20" w:rsidRDefault="00447C20" w:rsidP="00447C20">
      <w:pPr>
        <w:pStyle w:val="Numberbullet2"/>
      </w:pPr>
      <w:r w:rsidRPr="00447C20">
        <w:t>Could the sponsor comment on the clinical relevance of the magnitude of treatment related difference at 52 weeks between both doses of sarilumab and placebo?</w:t>
      </w:r>
    </w:p>
    <w:p w14:paraId="78F4206F" w14:textId="716E4706" w:rsidR="00447C20" w:rsidRPr="00447C20" w:rsidRDefault="00447C20" w:rsidP="00447C20">
      <w:pPr>
        <w:pStyle w:val="Numberbullet2"/>
      </w:pPr>
      <w:r w:rsidRPr="00447C20">
        <w:t xml:space="preserve">The mean change </w:t>
      </w:r>
      <w:r w:rsidR="00F01361">
        <w:t>from Baseline</w:t>
      </w:r>
      <w:r w:rsidRPr="00447C20">
        <w:t xml:space="preserve"> to </w:t>
      </w:r>
      <w:r w:rsidR="002F4291">
        <w:t>Week</w:t>
      </w:r>
      <w:r w:rsidRPr="00447C20">
        <w:t xml:space="preserve"> 52 in TSS was numerically l</w:t>
      </w:r>
      <w:r w:rsidR="00610066">
        <w:t>ower in the 200 </w:t>
      </w:r>
      <w:r w:rsidRPr="00447C20">
        <w:t>mg q2w dose group (0.25 sharp units) compa</w:t>
      </w:r>
      <w:r w:rsidR="00610066">
        <w:t>red to the 150 mg q2w arm (0.90 </w:t>
      </w:r>
      <w:r w:rsidRPr="00447C20">
        <w:t xml:space="preserve">sharp units), however, the interquartile median </w:t>
      </w:r>
      <w:r w:rsidR="00610066">
        <w:t>change was highly similar (0.00 </w:t>
      </w:r>
      <w:r w:rsidRPr="00447C20">
        <w:t>sharp units) between the 2 sarilumab dose groups. Does the totality of the radiographic data indicate that the higher doses of sarilumab (200 mg q2w) is more efficacious than the lower dose regimen (150 mg q2w) and if so, please provide suppo</w:t>
      </w:r>
      <w:r>
        <w:t>rting statistical analysis?</w:t>
      </w:r>
    </w:p>
    <w:p w14:paraId="488D4C31" w14:textId="77777777" w:rsidR="00C618F7" w:rsidRDefault="00C618F7" w:rsidP="00C618F7">
      <w:pPr>
        <w:pStyle w:val="Heading3"/>
      </w:pPr>
      <w:bookmarkStart w:id="358" w:name="_Toc519848465"/>
      <w:r>
        <w:t>Safety</w:t>
      </w:r>
      <w:bookmarkEnd w:id="358"/>
    </w:p>
    <w:p w14:paraId="6FB0D607" w14:textId="77777777" w:rsidR="00447C20" w:rsidRDefault="00447C20" w:rsidP="00447C20">
      <w:pPr>
        <w:pStyle w:val="Heading4"/>
      </w:pPr>
      <w:r>
        <w:t>Question 5</w:t>
      </w:r>
    </w:p>
    <w:p w14:paraId="6E0FCFC3" w14:textId="77777777" w:rsidR="004D78CD" w:rsidRDefault="00447C20" w:rsidP="00447C20">
      <w:r w:rsidRPr="00447C20">
        <w:t xml:space="preserve">In the 2 pivotal </w:t>
      </w:r>
      <w:r w:rsidR="004D78CD">
        <w:t>Phase III</w:t>
      </w:r>
      <w:r w:rsidRPr="00447C20">
        <w:t xml:space="preserve"> trials (Studies EFC11072 and EFC10832), subcutaneous administration of study treatment could occur at either the investigator centre or home, depending on the study visit schedule</w:t>
      </w:r>
      <w:r w:rsidR="004D78CD">
        <w:t>.</w:t>
      </w:r>
    </w:p>
    <w:p w14:paraId="6FA26A8A" w14:textId="77777777" w:rsidR="00447C20" w:rsidRPr="00447C20" w:rsidRDefault="00447C20" w:rsidP="00447C20">
      <w:pPr>
        <w:pStyle w:val="Numberbullet2"/>
        <w:numPr>
          <w:ilvl w:val="1"/>
          <w:numId w:val="20"/>
        </w:numPr>
      </w:pPr>
      <w:r w:rsidRPr="00447C20">
        <w:t xml:space="preserve">Could the sponsor clarify the proportion of subjects who self-administered study treatment and the number of occasions in which self-administration </w:t>
      </w:r>
      <w:r w:rsidR="00610066">
        <w:t>occurred in each pivotal study?</w:t>
      </w:r>
    </w:p>
    <w:p w14:paraId="44DE3654" w14:textId="77777777" w:rsidR="00447C20" w:rsidRPr="00447C20" w:rsidRDefault="00447C20" w:rsidP="00447C20">
      <w:pPr>
        <w:pStyle w:val="Numberbullet2"/>
        <w:numPr>
          <w:ilvl w:val="1"/>
          <w:numId w:val="20"/>
        </w:numPr>
      </w:pPr>
      <w:r w:rsidRPr="00447C20">
        <w:t>Could the sponsor clarify if there was any difference in the incidence and type of adverse events with home-based versus centre-based administration of study medication?</w:t>
      </w:r>
    </w:p>
    <w:p w14:paraId="1BD71AA5" w14:textId="77777777" w:rsidR="00C618F7" w:rsidRDefault="00C618F7" w:rsidP="00C618F7">
      <w:pPr>
        <w:pStyle w:val="Heading2"/>
      </w:pPr>
      <w:bookmarkStart w:id="359" w:name="_Toc519848466"/>
      <w:r>
        <w:t>Second round evaluation of clinical data submitted in response to questions</w:t>
      </w:r>
      <w:bookmarkEnd w:id="359"/>
    </w:p>
    <w:p w14:paraId="2625F586" w14:textId="77777777" w:rsidR="00447C20" w:rsidRDefault="00447C20" w:rsidP="00447C20">
      <w:pPr>
        <w:pStyle w:val="Heading3"/>
      </w:pPr>
      <w:bookmarkStart w:id="360" w:name="_Toc519848467"/>
      <w:r w:rsidRPr="00447C20">
        <w:t>Q</w:t>
      </w:r>
      <w:r>
        <w:t>uestion 1</w:t>
      </w:r>
      <w:bookmarkEnd w:id="360"/>
    </w:p>
    <w:p w14:paraId="1948D765" w14:textId="26C5C6B8" w:rsidR="00447C20" w:rsidRPr="00447C20" w:rsidRDefault="00447C20" w:rsidP="00447C20">
      <w:pPr>
        <w:rPr>
          <w:i/>
        </w:rPr>
      </w:pPr>
      <w:r w:rsidRPr="00447C20">
        <w:rPr>
          <w:i/>
        </w:rPr>
        <w:t xml:space="preserve">In both of the pivotal </w:t>
      </w:r>
      <w:r w:rsidR="004D78CD">
        <w:rPr>
          <w:i/>
        </w:rPr>
        <w:t>Phase III</w:t>
      </w:r>
      <w:r w:rsidRPr="00447C20">
        <w:rPr>
          <w:i/>
        </w:rPr>
        <w:t xml:space="preserve"> studies (Part B of </w:t>
      </w:r>
      <w:r w:rsidR="00F01361">
        <w:rPr>
          <w:i/>
        </w:rPr>
        <w:t xml:space="preserve">Studies </w:t>
      </w:r>
      <w:r w:rsidRPr="00447C20">
        <w:rPr>
          <w:i/>
        </w:rPr>
        <w:t>EFC11072 and EFC10832), the control treatment arm used concomitant methotrexate in 9</w:t>
      </w:r>
      <w:r w:rsidR="006062AB">
        <w:rPr>
          <w:i/>
        </w:rPr>
        <w:t>5 to 1</w:t>
      </w:r>
      <w:r w:rsidRPr="00447C20">
        <w:rPr>
          <w:i/>
        </w:rPr>
        <w:t xml:space="preserve">00% of participants at a median weekly dose of 15 mg (and usually administered per oral). Recent expert opinion has identified suboptimal methotrexate therapy (dose and route of administration) as a source of biasing findings in favour </w:t>
      </w:r>
      <w:r w:rsidRPr="00447C20">
        <w:rPr>
          <w:i/>
        </w:rPr>
        <w:lastRenderedPageBreak/>
        <w:t>of biologic therapies in RA clinical trials.</w:t>
      </w:r>
      <w:r w:rsidR="00F01361" w:rsidRPr="00E92395">
        <w:rPr>
          <w:i/>
          <w:vertAlign w:val="superscript"/>
        </w:rPr>
        <w:fldChar w:fldCharType="begin"/>
      </w:r>
      <w:r w:rsidR="00F01361" w:rsidRPr="00E92395">
        <w:rPr>
          <w:i/>
          <w:vertAlign w:val="superscript"/>
        </w:rPr>
        <w:instrText xml:space="preserve"> NOTEREF _Ref514791708 \h </w:instrText>
      </w:r>
      <w:r w:rsidR="00F01361">
        <w:rPr>
          <w:i/>
          <w:vertAlign w:val="superscript"/>
        </w:rPr>
        <w:instrText xml:space="preserve"> \* MERGEFORMAT </w:instrText>
      </w:r>
      <w:r w:rsidR="00F01361" w:rsidRPr="00E92395">
        <w:rPr>
          <w:i/>
          <w:vertAlign w:val="superscript"/>
        </w:rPr>
      </w:r>
      <w:r w:rsidR="00F01361" w:rsidRPr="00E92395">
        <w:rPr>
          <w:i/>
          <w:vertAlign w:val="superscript"/>
        </w:rPr>
        <w:fldChar w:fldCharType="separate"/>
      </w:r>
      <w:r w:rsidR="00F01361" w:rsidRPr="00E92395">
        <w:rPr>
          <w:i/>
          <w:vertAlign w:val="superscript"/>
        </w:rPr>
        <w:t>2</w:t>
      </w:r>
      <w:r w:rsidR="00F01361" w:rsidRPr="00E92395">
        <w:rPr>
          <w:i/>
          <w:vertAlign w:val="superscript"/>
        </w:rPr>
        <w:fldChar w:fldCharType="end"/>
      </w:r>
      <w:r w:rsidRPr="00447C20">
        <w:rPr>
          <w:i/>
        </w:rPr>
        <w:t xml:space="preserve"> Could the sponsor comment on the adequacy of therapy in the control arms of both pivotal studies as a potential source of efficacy bias?</w:t>
      </w:r>
    </w:p>
    <w:p w14:paraId="21979C82" w14:textId="762BE2E4" w:rsidR="00447C20" w:rsidRPr="00E92395" w:rsidRDefault="00447C20" w:rsidP="00E92395">
      <w:pPr>
        <w:rPr>
          <w:i/>
        </w:rPr>
      </w:pPr>
      <w:r w:rsidRPr="00E92395">
        <w:rPr>
          <w:i/>
        </w:rPr>
        <w:t xml:space="preserve">Sponsor </w:t>
      </w:r>
      <w:r w:rsidR="00591F82" w:rsidRPr="00E92395">
        <w:rPr>
          <w:i/>
        </w:rPr>
        <w:t>r</w:t>
      </w:r>
      <w:r w:rsidRPr="00E92395">
        <w:rPr>
          <w:i/>
        </w:rPr>
        <w:t>esponse</w:t>
      </w:r>
      <w:r w:rsidR="00E92395" w:rsidRPr="00E92395">
        <w:rPr>
          <w:i/>
        </w:rPr>
        <w:t>:</w:t>
      </w:r>
    </w:p>
    <w:p w14:paraId="505BEFE8" w14:textId="59E885F9" w:rsidR="004D78CD" w:rsidRDefault="00447C20" w:rsidP="00447C20">
      <w:r w:rsidRPr="00447C20">
        <w:t xml:space="preserve">In the response, the sponsor states that the primary treatment comparison examined in the </w:t>
      </w:r>
      <w:r w:rsidR="004D78CD">
        <w:t>Phase III</w:t>
      </w:r>
      <w:r w:rsidRPr="00447C20">
        <w:t xml:space="preserve"> SAR studies was between SAR and </w:t>
      </w:r>
      <w:r w:rsidR="00A343A3">
        <w:t>placebo</w:t>
      </w:r>
      <w:r w:rsidRPr="00447C20">
        <w:t xml:space="preserve"> injections with patients being maintained on background conventional DMARD therapy (usually MTX). In addition, Study EFC11072 enrolled patients who failed MTX (</w:t>
      </w:r>
      <w:r w:rsidR="004D78CD">
        <w:t>that is</w:t>
      </w:r>
      <w:r w:rsidRPr="00447C20">
        <w:t xml:space="preserve"> second line treatment population) and Study</w:t>
      </w:r>
      <w:r w:rsidR="00F01361">
        <w:t> </w:t>
      </w:r>
      <w:r w:rsidRPr="00447C20">
        <w:t>EFC10832 recruited subjects who had failed anti-TNF therapy and at least 1 non-biologic DMARD (</w:t>
      </w:r>
      <w:r w:rsidR="004D78CD">
        <w:t>that is</w:t>
      </w:r>
      <w:r w:rsidRPr="00447C20">
        <w:t xml:space="preserve"> third line treatment population). During both of the </w:t>
      </w:r>
      <w:r w:rsidR="004D78CD">
        <w:t>Phase III</w:t>
      </w:r>
      <w:r w:rsidRPr="00447C20">
        <w:t xml:space="preserve"> SAR studies, background MTX was continued at doses similarly balanced across the treatment arms, hence no bias favouring SAR over </w:t>
      </w:r>
      <w:r w:rsidR="00A343A3">
        <w:t>placebo</w:t>
      </w:r>
      <w:r w:rsidRPr="00447C20">
        <w:t xml:space="preserve"> should ensue</w:t>
      </w:r>
      <w:r w:rsidR="004D78CD">
        <w:t>.</w:t>
      </w:r>
    </w:p>
    <w:p w14:paraId="720F7876" w14:textId="6381DC31" w:rsidR="00A343A3" w:rsidRDefault="00447C20" w:rsidP="00447C20">
      <w:r w:rsidRPr="00447C20">
        <w:t xml:space="preserve">In the response, the sponsor has also included several post-hoc subgroup analyses of patients on MTX doses above or below the median dose of 15 mg/week (displayed in </w:t>
      </w:r>
      <w:r w:rsidRPr="00E92395">
        <w:t>Tables 9-16</w:t>
      </w:r>
      <w:r w:rsidR="00864FF5">
        <w:t xml:space="preserve"> </w:t>
      </w:r>
      <w:r w:rsidR="00BF33B8">
        <w:t>(</w:t>
      </w:r>
      <w:r w:rsidR="00864FF5">
        <w:t>Table 10 displayed below</w:t>
      </w:r>
      <w:r w:rsidR="00BF33B8">
        <w:t>)</w:t>
      </w:r>
      <w:r w:rsidRPr="00447C20">
        <w:t xml:space="preserve">) for various efficacy response outcomes such as rate of ACR20 response, and the mean changes </w:t>
      </w:r>
      <w:r w:rsidR="00F01361">
        <w:t>from Baseline</w:t>
      </w:r>
      <w:r w:rsidRPr="00447C20">
        <w:t xml:space="preserve"> in HAQ-DI, DAS28-CRP and mTSS. The sponsor asserts that for all efficacy outcomes, treatment differences observed between SAR and </w:t>
      </w:r>
      <w:r w:rsidR="00A343A3">
        <w:t>placebo</w:t>
      </w:r>
      <w:r w:rsidRPr="00447C20">
        <w:t xml:space="preserve"> are consistent regardless of MTX dose. Furthermore, the sponsor asserts that administering higher doses of MTX (</w:t>
      </w:r>
      <w:r w:rsidR="007312A2">
        <w:t xml:space="preserve">&gt; </w:t>
      </w:r>
      <w:r w:rsidRPr="00447C20">
        <w:t>15 mg/week) in conjunction with SAR did not appear to provide additional benefit</w:t>
      </w:r>
      <w:r w:rsidR="00A343A3">
        <w:t>.</w:t>
      </w:r>
    </w:p>
    <w:p w14:paraId="568D3742" w14:textId="77777777" w:rsidR="004D78CD" w:rsidRDefault="00447C20" w:rsidP="00447C20">
      <w:r w:rsidRPr="00447C20">
        <w:t>The sponsor also states that the SAR clinical trial program is different in design to the studies referenced in the systematic review article</w:t>
      </w:r>
      <w:r w:rsidR="004D78CD">
        <w:t>.</w:t>
      </w:r>
    </w:p>
    <w:p w14:paraId="028DCA81" w14:textId="77777777" w:rsidR="00EE31BF" w:rsidRDefault="00591F82" w:rsidP="00EE31BF">
      <w:pPr>
        <w:pStyle w:val="Tabletitle"/>
      </w:pPr>
      <w:r w:rsidRPr="00E92395">
        <w:t>Table 10</w:t>
      </w:r>
      <w:r w:rsidRPr="0069254A">
        <w:t>:</w:t>
      </w:r>
      <w:r w:rsidR="00EE31BF">
        <w:t xml:space="preserve"> Incidence of ACR20 response at Week 24 by MTX dose subgroup - pooled data of EFC11072 and EFC10832</w:t>
      </w:r>
    </w:p>
    <w:p w14:paraId="149E5D14" w14:textId="77777777" w:rsidR="00EE31BF" w:rsidRPr="00EE31BF" w:rsidRDefault="00EE31BF" w:rsidP="00EE31BF">
      <w:r>
        <w:rPr>
          <w:noProof/>
          <w:lang w:eastAsia="en-AU"/>
        </w:rPr>
        <w:drawing>
          <wp:inline distT="0" distB="0" distL="0" distR="0" wp14:anchorId="12AD7BD4" wp14:editId="2DBC8057">
            <wp:extent cx="5113239" cy="3650284"/>
            <wp:effectExtent l="0" t="0" r="0" b="7620"/>
            <wp:docPr id="53" name="Picture 53" descr="Incidence of ACR20 response at Week 24 by MTX dose subgroup - pooled data of EFC11072 and EFC1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116321" cy="3652484"/>
                    </a:xfrm>
                    <a:prstGeom prst="rect">
                      <a:avLst/>
                    </a:prstGeom>
                  </pic:spPr>
                </pic:pic>
              </a:graphicData>
            </a:graphic>
          </wp:inline>
        </w:drawing>
      </w:r>
    </w:p>
    <w:p w14:paraId="1A65942C" w14:textId="77777777" w:rsidR="00447C20" w:rsidRPr="00E92395" w:rsidRDefault="00447C20" w:rsidP="00E92395">
      <w:pPr>
        <w:rPr>
          <w:i/>
        </w:rPr>
      </w:pPr>
      <w:r w:rsidRPr="00E92395">
        <w:rPr>
          <w:i/>
        </w:rPr>
        <w:t xml:space="preserve">Evaluator </w:t>
      </w:r>
      <w:r w:rsidR="00591F82" w:rsidRPr="00E92395">
        <w:rPr>
          <w:i/>
        </w:rPr>
        <w:t>c</w:t>
      </w:r>
      <w:r w:rsidRPr="00E92395">
        <w:rPr>
          <w:i/>
        </w:rPr>
        <w:t>omment:</w:t>
      </w:r>
    </w:p>
    <w:p w14:paraId="45F2268A" w14:textId="60C5BB36" w:rsidR="004D78CD" w:rsidRDefault="00447C20" w:rsidP="00447C20">
      <w:r w:rsidRPr="00447C20">
        <w:t xml:space="preserve">The sponsor is incorrect in proposing that higher (versus lower) concurrent doses of MTX, given as monotherapy or in conjunction with SAR (either dose) do not result in better efficacy responses. As displayed </w:t>
      </w:r>
      <w:r w:rsidRPr="0069254A">
        <w:t xml:space="preserve">in </w:t>
      </w:r>
      <w:r w:rsidRPr="00E92395">
        <w:t xml:space="preserve">Table 10 </w:t>
      </w:r>
      <w:r w:rsidR="00864FF5" w:rsidRPr="0069254A">
        <w:t>above</w:t>
      </w:r>
      <w:r w:rsidRPr="00447C20">
        <w:t>, the rates of AC</w:t>
      </w:r>
      <w:r w:rsidR="00864FF5">
        <w:t xml:space="preserve">R20 response are consistently 4 to </w:t>
      </w:r>
      <w:r w:rsidRPr="00447C20">
        <w:t xml:space="preserve">5% </w:t>
      </w:r>
      <w:r w:rsidRPr="00447C20">
        <w:lastRenderedPageBreak/>
        <w:t>higher (</w:t>
      </w:r>
      <w:r w:rsidR="004D78CD">
        <w:t>that is</w:t>
      </w:r>
      <w:r w:rsidR="00864FF5">
        <w:t xml:space="preserve"> NNT of 20 to </w:t>
      </w:r>
      <w:r w:rsidRPr="00447C20">
        <w:t xml:space="preserve">25) in each of the treatment groups when considered by baseline (and presumably, concurrent background) MTX dose. For the primary clinical efficacy outcome of the rate of ACR20 response at 24 weeks using the combined </w:t>
      </w:r>
      <w:r w:rsidR="004D78CD">
        <w:t>Phase III</w:t>
      </w:r>
      <w:r w:rsidRPr="00447C20">
        <w:t xml:space="preserve"> dataset, the </w:t>
      </w:r>
      <w:r w:rsidR="00A343A3">
        <w:t>placebo</w:t>
      </w:r>
      <w:r w:rsidRPr="00447C20">
        <w:t xml:space="preserve"> group response was 31.3% (47/150) in the low dose MTX subgroup versus 35.1% (142/405) in high dose subgroup; 54.4% (81/149) in the SAR 150 mg with low dose MTX versus 59.8% (241/403) in the SAR 150 mg plus high dose MTX, and 61.0% (97/159) in the SAR 200 mg + low dose MTX versus 66.3% (262/395) in the SAR 200 mg plus high dose MTX subgroup. The ACR20 response data in the </w:t>
      </w:r>
      <w:r w:rsidR="004D78CD">
        <w:t>Phase III</w:t>
      </w:r>
      <w:r w:rsidRPr="00447C20">
        <w:t xml:space="preserve"> SAR studies confirms the established knowledge that there is a </w:t>
      </w:r>
      <w:r w:rsidR="008B50BF">
        <w:t>dose response</w:t>
      </w:r>
      <w:r w:rsidRPr="00447C20">
        <w:t xml:space="preserve"> effect for MTX in RA and therefore for it to be an appropriate compara</w:t>
      </w:r>
      <w:r w:rsidR="00864FF5">
        <w:t xml:space="preserve">tor, the maximum dose (up to 25 to </w:t>
      </w:r>
      <w:r w:rsidRPr="00447C20">
        <w:t xml:space="preserve">30 mg/week) should be used in subjects who require and tolerate it. Response to MTX in a proportion of subjects is only achieved when the maximum dose and route of administration are used. There are established drug exposure limitations of oral MTX at weekly doses exceeding 15 mg, which may be overcome by switching to SC administration. The control arms of both </w:t>
      </w:r>
      <w:r w:rsidR="004D78CD">
        <w:t>Phase III</w:t>
      </w:r>
      <w:r w:rsidRPr="00447C20">
        <w:t xml:space="preserve"> SAR studies did not receive maximal standard comparator treatment with MTX as their pre-existing regimens, for which they recorded inadequate response </w:t>
      </w:r>
      <w:r w:rsidR="00F01361">
        <w:t>at Baseline</w:t>
      </w:r>
      <w:r w:rsidRPr="00447C20">
        <w:t>, were continued during the trials</w:t>
      </w:r>
      <w:r w:rsidR="004D78CD">
        <w:t>.</w:t>
      </w:r>
    </w:p>
    <w:p w14:paraId="75BD4BB4" w14:textId="4B55A90D" w:rsidR="00A343A3" w:rsidRDefault="00447C20" w:rsidP="00447C20">
      <w:r w:rsidRPr="00447C20">
        <w:t xml:space="preserve">Both the </w:t>
      </w:r>
      <w:r w:rsidR="004D78CD">
        <w:t>Phase III</w:t>
      </w:r>
      <w:r w:rsidRPr="00447C20">
        <w:t xml:space="preserve"> SAR studies reported had screening failure rates exceeding 50% and from the limited data available in the submission it appears that at least half of all screen failures were due to insufficient RA disease activity </w:t>
      </w:r>
      <w:r w:rsidR="00F01361">
        <w:t>at Baseline</w:t>
      </w:r>
      <w:r w:rsidRPr="00447C20">
        <w:t xml:space="preserve">. In both of the </w:t>
      </w:r>
      <w:r w:rsidR="004D78CD">
        <w:t>Phase III</w:t>
      </w:r>
      <w:r w:rsidRPr="00447C20">
        <w:t xml:space="preserve"> SAR studies, the baseline median weekly dose of MTX was 15 mg (across all treatment groups). However, it is clear from the literature that a significant proportion of RA subjects being treated with MTX requir</w:t>
      </w:r>
      <w:r w:rsidR="00864FF5">
        <w:t xml:space="preserve">e higher doses of MTX (up to 25 to </w:t>
      </w:r>
      <w:r w:rsidRPr="00447C20">
        <w:t xml:space="preserve">30 mg/week) to achieve sufficient response. Although the sponsor has not specifically provided the data, it would appear that a proportion of recruited patients in both </w:t>
      </w:r>
      <w:r w:rsidR="004D78CD">
        <w:t>Phase III</w:t>
      </w:r>
      <w:r w:rsidRPr="00447C20">
        <w:t xml:space="preserve"> studies may have potentially received sub-optimal preceding therapy with MTX, and if so, this would have potentially reduced the eligible patient population or increased the screening failure rate due to insufficient disease activity. The observation of high screening failure rates in both </w:t>
      </w:r>
      <w:r w:rsidR="004D78CD">
        <w:t>Phase III</w:t>
      </w:r>
      <w:r w:rsidRPr="00447C20">
        <w:t xml:space="preserve"> SAR studies and potential sub-optimal preceding treatment reduces the generalisability (external validity) of the SAR trial results. This is a significant limitation of the current SAR dataset</w:t>
      </w:r>
      <w:r w:rsidR="00A343A3">
        <w:t>.</w:t>
      </w:r>
    </w:p>
    <w:p w14:paraId="7A0E34D8" w14:textId="3E322289" w:rsidR="00A343A3" w:rsidRDefault="00447C20" w:rsidP="00447C20">
      <w:r w:rsidRPr="00447C20">
        <w:t xml:space="preserve">The sponsor is also incorrect in stating that the SAR clinical trial program is different in design to the studies referenced in the systematic </w:t>
      </w:r>
      <w:r w:rsidRPr="00864FF5">
        <w:t>review by Duran et al.</w:t>
      </w:r>
      <w:r w:rsidR="00A2292D" w:rsidRPr="009E4A99">
        <w:rPr>
          <w:vertAlign w:val="superscript"/>
        </w:rPr>
        <w:fldChar w:fldCharType="begin"/>
      </w:r>
      <w:r w:rsidR="00A2292D" w:rsidRPr="009E4A99">
        <w:rPr>
          <w:vertAlign w:val="superscript"/>
        </w:rPr>
        <w:instrText xml:space="preserve"> NOTEREF _Ref514791708 \h </w:instrText>
      </w:r>
      <w:r w:rsidR="00A2292D">
        <w:rPr>
          <w:vertAlign w:val="superscript"/>
        </w:rPr>
        <w:instrText xml:space="preserve"> \* MERGEFORMAT </w:instrText>
      </w:r>
      <w:r w:rsidR="00A2292D" w:rsidRPr="009E4A99">
        <w:rPr>
          <w:vertAlign w:val="superscript"/>
        </w:rPr>
      </w:r>
      <w:r w:rsidR="00A2292D" w:rsidRPr="009E4A99">
        <w:rPr>
          <w:vertAlign w:val="superscript"/>
        </w:rPr>
        <w:fldChar w:fldCharType="separate"/>
      </w:r>
      <w:r w:rsidR="00A2292D" w:rsidRPr="009E4A99">
        <w:rPr>
          <w:vertAlign w:val="superscript"/>
        </w:rPr>
        <w:t>2</w:t>
      </w:r>
      <w:r w:rsidR="00A2292D" w:rsidRPr="009E4A99">
        <w:rPr>
          <w:vertAlign w:val="superscript"/>
        </w:rPr>
        <w:fldChar w:fldCharType="end"/>
      </w:r>
      <w:r w:rsidRPr="00864FF5">
        <w:t xml:space="preserve"> After</w:t>
      </w:r>
      <w:r w:rsidRPr="00447C20">
        <w:t xml:space="preserve"> implementing the search strategy, the systematic review identified 13 suitable articles to be included (all were referenced). Of these, 3 studied adalimumab; 2 each examined infliximab, etanercept and tocilizumab; and the other trials studied golimumab, abatacept, rituximab and tofacitinib. In 10 of the 13 included studies, there were treatment comparisons made between biologic </w:t>
      </w:r>
      <w:r w:rsidR="00F01361">
        <w:t>and</w:t>
      </w:r>
      <w:r w:rsidR="00F01361" w:rsidRPr="00447C20">
        <w:t xml:space="preserve"> </w:t>
      </w:r>
      <w:r w:rsidRPr="00447C20">
        <w:t xml:space="preserve">conventional DMARD therapy versus MTX. Furthermore, the majority of the included studies enrolled adult subjects with active established RA who had recorded inadequate response to prior DMARD (typically MTX). The characteristics of the majority of the studies included in the systematic review demonstrate similar features in terms of enrolment criteria and design to that observed in the pivotal </w:t>
      </w:r>
      <w:r w:rsidR="004D78CD">
        <w:t>Phase III</w:t>
      </w:r>
      <w:r w:rsidRPr="00447C20">
        <w:t xml:space="preserve"> SAR studies</w:t>
      </w:r>
      <w:r w:rsidR="00A343A3">
        <w:t>.</w:t>
      </w:r>
    </w:p>
    <w:p w14:paraId="0E0E376F" w14:textId="77777777" w:rsidR="00447C20" w:rsidRDefault="00447C20" w:rsidP="00447C20">
      <w:pPr>
        <w:pStyle w:val="Heading3"/>
      </w:pPr>
      <w:bookmarkStart w:id="361" w:name="_Toc519848468"/>
      <w:r w:rsidRPr="00447C20">
        <w:t>Q</w:t>
      </w:r>
      <w:r>
        <w:t>uestion 2</w:t>
      </w:r>
      <w:bookmarkEnd w:id="361"/>
    </w:p>
    <w:p w14:paraId="527165A1" w14:textId="551C9F92" w:rsidR="00447C20" w:rsidRPr="00864FF5" w:rsidRDefault="00447C20" w:rsidP="00447C20">
      <w:pPr>
        <w:rPr>
          <w:i/>
        </w:rPr>
      </w:pPr>
      <w:r w:rsidRPr="00864FF5">
        <w:rPr>
          <w:i/>
        </w:rPr>
        <w:t xml:space="preserve">In Cohort 2/Part B of Study EFC11072, could the sponsor provide data for each of the treatment groups on the percentage of subjects who met the inclusion criteria of at least 1 radiographic erosion on X-ray </w:t>
      </w:r>
      <w:r w:rsidR="00F01361">
        <w:rPr>
          <w:i/>
        </w:rPr>
        <w:t>at Baseline</w:t>
      </w:r>
      <w:r w:rsidRPr="00864FF5">
        <w:rPr>
          <w:i/>
        </w:rPr>
        <w:t xml:space="preserve"> (by local investigators at screening), and the rates of concordance with central reading</w:t>
      </w:r>
      <w:r w:rsidR="00F2302A" w:rsidRPr="00864FF5">
        <w:rPr>
          <w:i/>
        </w:rPr>
        <w:t>?</w:t>
      </w:r>
    </w:p>
    <w:p w14:paraId="6354B631" w14:textId="77777777" w:rsidR="00F2302A" w:rsidRPr="00F2302A" w:rsidRDefault="00F2302A" w:rsidP="00E92395">
      <w:pPr>
        <w:keepNext/>
      </w:pPr>
      <w:r w:rsidRPr="00E92395">
        <w:rPr>
          <w:i/>
        </w:rPr>
        <w:t xml:space="preserve">Sponsor </w:t>
      </w:r>
      <w:r w:rsidR="00591F82" w:rsidRPr="00E92395">
        <w:rPr>
          <w:i/>
        </w:rPr>
        <w:t>r</w:t>
      </w:r>
      <w:r w:rsidRPr="00E92395">
        <w:rPr>
          <w:i/>
        </w:rPr>
        <w:t>esponse</w:t>
      </w:r>
      <w:r w:rsidRPr="00F2302A">
        <w:t>:</w:t>
      </w:r>
    </w:p>
    <w:p w14:paraId="43DE546F" w14:textId="20F4E555" w:rsidR="004D78CD" w:rsidRDefault="00447C20" w:rsidP="00447C20">
      <w:r w:rsidRPr="00447C20">
        <w:t xml:space="preserve">In the response, the sponsor states that 98% of all enrolled subjects (no actual patient number given) in this trial had at least </w:t>
      </w:r>
      <w:r w:rsidR="00864FF5">
        <w:t>one</w:t>
      </w:r>
      <w:r w:rsidRPr="00447C20">
        <w:t xml:space="preserve"> radiographic joint erosion </w:t>
      </w:r>
      <w:r w:rsidR="00F01361">
        <w:t>at Baseline</w:t>
      </w:r>
      <w:r w:rsidRPr="00447C20">
        <w:t xml:space="preserve"> as documented by the central reader. The sponsor has not provided information by treatment group on rates of X-ray </w:t>
      </w:r>
      <w:r w:rsidRPr="00447C20">
        <w:lastRenderedPageBreak/>
        <w:t xml:space="preserve">damage (number affected </w:t>
      </w:r>
      <w:r w:rsidR="00864FF5">
        <w:t>and</w:t>
      </w:r>
      <w:r w:rsidRPr="00447C20">
        <w:t xml:space="preserve"> measures magnitude </w:t>
      </w:r>
      <w:r w:rsidR="007312A2">
        <w:t>for example</w:t>
      </w:r>
      <w:r w:rsidRPr="00447C20">
        <w:t xml:space="preserve"> the proportion of subjects with </w:t>
      </w:r>
      <w:r w:rsidR="007312A2">
        <w:t xml:space="preserve">&gt; </w:t>
      </w:r>
      <w:r w:rsidRPr="00447C20">
        <w:t xml:space="preserve">3 erosions </w:t>
      </w:r>
      <w:r w:rsidR="00F01361">
        <w:t>at Baseline</w:t>
      </w:r>
      <w:r w:rsidRPr="00447C20">
        <w:t>) other than mean and median mTSS for each treatment group in C</w:t>
      </w:r>
      <w:r w:rsidR="00591F82">
        <w:t>ohort </w:t>
      </w:r>
      <w:r w:rsidRPr="00447C20">
        <w:t>2/Part B of Study EFC11072. Furthermore, the sponsor states that the study did not collect information on the evaluation of X-rays at local sites, and therefore cannot comment on the rates of concordance between ce</w:t>
      </w:r>
      <w:r w:rsidR="00F2302A">
        <w:t>ntral and local X-ray reading</w:t>
      </w:r>
      <w:r w:rsidR="004D78CD">
        <w:t>.</w:t>
      </w:r>
    </w:p>
    <w:p w14:paraId="435A0FF9" w14:textId="77777777" w:rsidR="00F2302A" w:rsidRPr="00E92395" w:rsidRDefault="00F2302A" w:rsidP="00E92395">
      <w:pPr>
        <w:rPr>
          <w:i/>
        </w:rPr>
      </w:pPr>
      <w:r w:rsidRPr="00E92395">
        <w:rPr>
          <w:i/>
        </w:rPr>
        <w:t xml:space="preserve">Evaluator </w:t>
      </w:r>
      <w:r w:rsidR="00591F82" w:rsidRPr="00E92395">
        <w:rPr>
          <w:i/>
        </w:rPr>
        <w:t>c</w:t>
      </w:r>
      <w:r w:rsidRPr="00E92395">
        <w:rPr>
          <w:i/>
        </w:rPr>
        <w:t>omment:</w:t>
      </w:r>
    </w:p>
    <w:p w14:paraId="7123A1A4" w14:textId="35B6BCFC" w:rsidR="00447C20" w:rsidRPr="00447C20" w:rsidRDefault="00447C20" w:rsidP="00447C20">
      <w:r w:rsidRPr="00447C20">
        <w:t>Nearly all subjects enrolled into Cohort</w:t>
      </w:r>
      <w:r w:rsidR="00591F82">
        <w:t xml:space="preserve"> </w:t>
      </w:r>
      <w:r w:rsidRPr="00447C20">
        <w:t xml:space="preserve">2/Part B of Study EFC11072 had central reader determined evidence of X-ray damage </w:t>
      </w:r>
      <w:r w:rsidR="00F01361">
        <w:t>at Baseline</w:t>
      </w:r>
      <w:r w:rsidRPr="00447C20">
        <w:t xml:space="preserve"> (</w:t>
      </w:r>
      <w:r w:rsidR="004D78CD">
        <w:t>that is</w:t>
      </w:r>
      <w:r w:rsidR="00591F82">
        <w:t>,</w:t>
      </w:r>
      <w:r w:rsidRPr="00447C20">
        <w:t xml:space="preserve"> at least 1 joint erosion). In addition, the mean (and median) baseline mTSS in Cohort</w:t>
      </w:r>
      <w:r w:rsidR="00591F82">
        <w:t xml:space="preserve"> </w:t>
      </w:r>
      <w:r w:rsidRPr="00447C20">
        <w:t xml:space="preserve">2/Part B of Study EFC11072 were very high by peer published standards in all 3 treatment groups being 48.01 (24.08) sharp units in the </w:t>
      </w:r>
      <w:r w:rsidR="00A343A3">
        <w:t>placebo</w:t>
      </w:r>
      <w:r w:rsidRPr="00447C20">
        <w:t xml:space="preserve"> group, and 46.34 (23.50) sharp units in the SAR 200 mg treatment arm, and even higher (indicating more established X-ray damage </w:t>
      </w:r>
      <w:r w:rsidR="00F01361">
        <w:t>at Baseline</w:t>
      </w:r>
      <w:r w:rsidRPr="00447C20">
        <w:t>) in the SAR 150 mg arm at 54.67 (median of 29.75). In the pivotal registration trials of biological therapies (</w:t>
      </w:r>
      <w:r w:rsidR="007312A2">
        <w:t>for example</w:t>
      </w:r>
      <w:r w:rsidRPr="00447C20">
        <w:t xml:space="preserve"> tocilizumab) in the last 10 years, the mean baseline mTSS is usu</w:t>
      </w:r>
      <w:r w:rsidR="00591F82">
        <w:t xml:space="preserve">ally much lower ranging from 15 to </w:t>
      </w:r>
      <w:r w:rsidRPr="00447C20">
        <w:t>30 sharp units (Kremer et al, 2011). Some of the strongest predictors of future X-ray damage are established joint damage, positive serology for autoantibodies (RF and anti-CCP) and high baseline CRP values. The recruited population into Cohort2/Part B of Study EFC11072 were at high risk of further X-ray progression (</w:t>
      </w:r>
      <w:r w:rsidR="004D78CD">
        <w:t>that is</w:t>
      </w:r>
      <w:r w:rsidRPr="00447C20">
        <w:t xml:space="preserve"> many were autoantibody positive with joint erosions </w:t>
      </w:r>
      <w:r w:rsidR="00F01361">
        <w:t>at Baseline</w:t>
      </w:r>
      <w:r w:rsidRPr="00447C20">
        <w:t xml:space="preserve"> and established </w:t>
      </w:r>
      <w:r w:rsidR="00BF33B8">
        <w:t>(</w:t>
      </w:r>
      <w:r w:rsidRPr="00447C20">
        <w:t>long duration</w:t>
      </w:r>
      <w:r w:rsidR="00BF33B8">
        <w:t>)</w:t>
      </w:r>
      <w:r w:rsidRPr="00447C20">
        <w:t xml:space="preserve"> RA). These characteristics would be expected to enrich the treatment response dataset to show a beneficial effect with the addition of SAR to MTX as patients had already declared themselves as inadequate responders to MTX to gain entry into the study. In addition, the generalisability (or external validity) of the results of Cohort2/Part B of Study EFC11072 to the majority of patients with RA being treated in Australia (in particular, much lower rates and burden of established joint damage with definitive treatment commenced at a</w:t>
      </w:r>
      <w:r w:rsidR="00864FF5">
        <w:t>n</w:t>
      </w:r>
      <w:r w:rsidRPr="00447C20">
        <w:t xml:space="preserve"> earlier stage of</w:t>
      </w:r>
      <w:r w:rsidR="00F2302A">
        <w:t xml:space="preserve"> the condition) is limited.</w:t>
      </w:r>
    </w:p>
    <w:p w14:paraId="7EFCF6C7" w14:textId="77777777" w:rsidR="00F2302A" w:rsidRDefault="00447C20" w:rsidP="00F2302A">
      <w:pPr>
        <w:pStyle w:val="Heading3"/>
      </w:pPr>
      <w:bookmarkStart w:id="362" w:name="_Toc519848469"/>
      <w:r w:rsidRPr="00447C20">
        <w:t>Q</w:t>
      </w:r>
      <w:r w:rsidR="00F2302A">
        <w:t>uestion 3</w:t>
      </w:r>
      <w:bookmarkEnd w:id="362"/>
    </w:p>
    <w:p w14:paraId="49942734" w14:textId="77777777" w:rsidR="00447C20" w:rsidRPr="00F2302A" w:rsidRDefault="00447C20" w:rsidP="00447C20">
      <w:pPr>
        <w:rPr>
          <w:i/>
        </w:rPr>
      </w:pPr>
      <w:r w:rsidRPr="00F2302A">
        <w:rPr>
          <w:i/>
        </w:rPr>
        <w:t>In the proposed posology, sarilumab 200 mg every 2 weeks (q2w) by subcutaneous injection is requested and a down-titration to 150 mg q2w is recommended in the setting of certain blood test abnormalities. Using the clinical dataset, could the sponsor justi</w:t>
      </w:r>
      <w:r w:rsidR="00591F82">
        <w:rPr>
          <w:i/>
        </w:rPr>
        <w:t>fy the proposed posology of 200 </w:t>
      </w:r>
      <w:r w:rsidRPr="00F2302A">
        <w:rPr>
          <w:i/>
        </w:rPr>
        <w:t>mg q2w as the lowest, most clinically effective regimen given the primary clinical endpoint of ACR20 response at 24 weeks in both pivotal studies was similar wi</w:t>
      </w:r>
      <w:r w:rsidR="00591F82">
        <w:rPr>
          <w:i/>
        </w:rPr>
        <w:t>th both sarilumab doses (200 mg </w:t>
      </w:r>
      <w:r w:rsidRPr="00F2302A">
        <w:rPr>
          <w:i/>
        </w:rPr>
        <w:t xml:space="preserve">q2w and 150 mg q2w) and no statistical analysis for any clinical efficacy endpoints between the 2 sarilumab dose regimens have been provided to justify the clinical </w:t>
      </w:r>
      <w:r w:rsidR="00F2302A">
        <w:rPr>
          <w:i/>
        </w:rPr>
        <w:t>superiority of the higher dose?</w:t>
      </w:r>
    </w:p>
    <w:p w14:paraId="53B0D9EB" w14:textId="77777777" w:rsidR="00F2302A" w:rsidRPr="00E92395" w:rsidRDefault="00F2302A" w:rsidP="00E92395">
      <w:pPr>
        <w:rPr>
          <w:i/>
        </w:rPr>
      </w:pPr>
      <w:r w:rsidRPr="00E92395">
        <w:rPr>
          <w:i/>
        </w:rPr>
        <w:t xml:space="preserve">Sponsor </w:t>
      </w:r>
      <w:r w:rsidR="00591F82" w:rsidRPr="00E92395">
        <w:rPr>
          <w:i/>
        </w:rPr>
        <w:t>r</w:t>
      </w:r>
      <w:r w:rsidRPr="00E92395">
        <w:rPr>
          <w:i/>
        </w:rPr>
        <w:t>esponse:</w:t>
      </w:r>
    </w:p>
    <w:p w14:paraId="42A4F904" w14:textId="2DDB893C" w:rsidR="00447C20" w:rsidRPr="00447C20" w:rsidRDefault="00447C20" w:rsidP="00447C20">
      <w:r w:rsidRPr="00447C20">
        <w:t xml:space="preserve">In the response, the sponsor states that the recommendation for the 200 mg q2w dose is based on the totality of the clinical data, including the analyses for ACR20 response and radiographic outcome (median change </w:t>
      </w:r>
      <w:r w:rsidR="00F01361">
        <w:t>from Baseline</w:t>
      </w:r>
      <w:r w:rsidRPr="00447C20">
        <w:t xml:space="preserve"> in mTSS). The X-ray data will be considered in question 4 </w:t>
      </w:r>
      <w:r w:rsidR="00F2302A">
        <w:t>of the second round evaluation.</w:t>
      </w:r>
    </w:p>
    <w:p w14:paraId="4DF1F6D4" w14:textId="77777777" w:rsidR="00447C20" w:rsidRPr="00447C20" w:rsidRDefault="00447C20" w:rsidP="00400648">
      <w:r w:rsidRPr="00447C20">
        <w:t xml:space="preserve">In the </w:t>
      </w:r>
      <w:r w:rsidR="00591F82">
        <w:t>response to Q</w:t>
      </w:r>
      <w:r w:rsidRPr="00447C20">
        <w:t xml:space="preserve">uestion 3, the sponsor has provided post hoc statistical analyses to explore the potential differences between the 2 SAR doses (150 mg and 200 mg) in terms of clinical response. The sponsor reports that in Study EFC11072, the SAR 200 mg dose regimen was statistically superior to the 150 mg dose at </w:t>
      </w:r>
      <w:r w:rsidR="002F4291">
        <w:t>Week</w:t>
      </w:r>
      <w:r w:rsidRPr="00447C20">
        <w:t xml:space="preserve"> 24 for the rate of ACR20 response (66.4% versus 58.0% respectively, with a nominal p-value of 0.0138 without adjustment for multiplicity). However, a post hoc analysis of Study EFC10832 showed a slightly higher numerically rate of ACR20 response with SAR 200 mg versus SAR 150 mg, but this difference did not achieve statistical significance. A post hoc comparison of pooled data from both pivotal studies suggested a potential benefit from the SAR 200 mg dose (64.7%; 377/583) versus the SAR 150 mg dose (57.3%; 333/581). The nominal p-value from this analysis was 0.0087. The </w:t>
      </w:r>
      <w:r w:rsidRPr="00447C20">
        <w:lastRenderedPageBreak/>
        <w:t xml:space="preserve">difference in ACR20 response rates at </w:t>
      </w:r>
      <w:r w:rsidR="002F4291">
        <w:t>Week</w:t>
      </w:r>
      <w:r w:rsidRPr="00447C20">
        <w:t xml:space="preserve"> 24 between the 2 SAR doses was 7.4% (95% CI 1.9%, 12.9%). Using the pooled dataset, the sponsor calculates the Number Needed to Treat (NNT) for achieving ACR20 response wit SAR 200 mg q2w therapy versus SAR 150 mg q2w at 24 weeks of therapy as b</w:t>
      </w:r>
      <w:r w:rsidR="00F2302A">
        <w:t>eing 13.5 (95% CI 7.8, 52.6).</w:t>
      </w:r>
    </w:p>
    <w:p w14:paraId="5696FDD4" w14:textId="77777777" w:rsidR="00447C20" w:rsidRPr="00447C20" w:rsidRDefault="00447C20" w:rsidP="00447C20">
      <w:r w:rsidRPr="00447C20">
        <w:t xml:space="preserve">Furthermore, the sponsor states that the higher SAR dose of 200 mg q2w achieves a slightly higher rate of ACR20 response at </w:t>
      </w:r>
      <w:r w:rsidR="002F4291">
        <w:t>Week</w:t>
      </w:r>
      <w:r w:rsidRPr="00447C20">
        <w:t xml:space="preserve"> 12 versus the SAR 150 mg q2w regimen, which is supported by nominal p-values (derived from post hoc analyses) in favour of t</w:t>
      </w:r>
      <w:r w:rsidR="00F2302A">
        <w:t>he higher SAR dose regimen.</w:t>
      </w:r>
    </w:p>
    <w:p w14:paraId="79948D8C" w14:textId="77777777" w:rsidR="00F2302A" w:rsidRPr="00E92395" w:rsidRDefault="00447C20" w:rsidP="00E92395">
      <w:pPr>
        <w:rPr>
          <w:i/>
        </w:rPr>
      </w:pPr>
      <w:r w:rsidRPr="00E92395">
        <w:rPr>
          <w:i/>
        </w:rPr>
        <w:t xml:space="preserve">Evaluator </w:t>
      </w:r>
      <w:r w:rsidR="00591F82" w:rsidRPr="00E92395">
        <w:rPr>
          <w:i/>
        </w:rPr>
        <w:t>c</w:t>
      </w:r>
      <w:r w:rsidRPr="00E92395">
        <w:rPr>
          <w:i/>
        </w:rPr>
        <w:t>omment:</w:t>
      </w:r>
    </w:p>
    <w:p w14:paraId="53072467" w14:textId="0CA86E5E" w:rsidR="00447C20" w:rsidRPr="00447C20" w:rsidRDefault="00447C20" w:rsidP="00447C20">
      <w:r w:rsidRPr="00447C20">
        <w:t>In claiming clinical superiority with the higher SAR (200 mg q2w) versus the lower SAR dose regimen (150 mg q2w) on the basis of several post hoc analyses, the data does not meet the standard of scientific rigour of a robust claim of true observation. The FDA position on the use of the post hoc statistical analyses in clinical studies</w:t>
      </w:r>
      <w:r w:rsidR="00591F82">
        <w:t>,</w:t>
      </w:r>
      <w:r w:rsidRPr="00447C20">
        <w:t xml:space="preserve"> report that such analyses increase the risk of approving new drugs (and regimens) that have no net beneficial effect, and should only be used to justify a labelling recommendation that warns of a negative effect for specified patient subgroups. Post hoc analyses are known to have several limitations including not being consistent with the randomisation model of statistical inference, potentially inflating the Type I error level and not accounting for multiplicity. Therefore, the</w:t>
      </w:r>
      <w:r w:rsidR="00591F82">
        <w:t xml:space="preserve"> observations derived from post</w:t>
      </w:r>
      <w:r w:rsidR="00591F82">
        <w:noBreakHyphen/>
      </w:r>
      <w:r w:rsidRPr="00447C20">
        <w:t>hoc analyses should be considered as hypothesis generating for future apriori evaluation, but do not meet the standard for determining a scientifically robust conclusion. Hence, the sponsor response outlined above is not considered to be of sufficient scientific standard to justify the registration of the SAR 200 mg q2w dose regimen as the minimal, most clinically effective regimen based on the ACR20 response data observed in the 2 pivotal studies. In addition, although the sponsor calculates a NNT of 13.5 for the SAR 200 mg versus 150 mg dose for the rate of ACR20 response at 24 weeks, there is no estimate of the Number Needed to Harm (NNH) in this submission or response. The observed safety dataset shows a numerically higher rate of certain AEs with the SAR 200 mg dose regimen versus SAR 150 mg q2w therapy, particularly regarding the incidence of serious infection (including herpes zoster infection) and neutro</w:t>
      </w:r>
      <w:r w:rsidR="00BA3918">
        <w:t>paenia</w:t>
      </w:r>
      <w:r w:rsidRPr="00447C20">
        <w:t xml:space="preserve">. Although </w:t>
      </w:r>
      <w:r w:rsidR="00591F82">
        <w:t>the evaluator</w:t>
      </w:r>
      <w:r w:rsidRPr="00447C20">
        <w:t xml:space="preserve"> was unable to precisely estimate the NNH for SAR 200 mg versus 150 mg therapy, it would be a relevant calculation that would offset to some degree (if not completely) the sponsor reported difference in NNT between the 2 SAR dose regi</w:t>
      </w:r>
      <w:r w:rsidR="00F2302A">
        <w:t>mens proposed for registration.</w:t>
      </w:r>
    </w:p>
    <w:p w14:paraId="540C56AA" w14:textId="77777777" w:rsidR="00447C20" w:rsidRPr="00447C20" w:rsidRDefault="00447C20" w:rsidP="00447C20">
      <w:r w:rsidRPr="00447C20">
        <w:t xml:space="preserve">Hence, on the basis of the totality of the dataset, </w:t>
      </w:r>
      <w:r w:rsidR="00591F82">
        <w:t>the evaluator</w:t>
      </w:r>
      <w:r w:rsidRPr="00447C20">
        <w:t xml:space="preserve"> recommend</w:t>
      </w:r>
      <w:r w:rsidR="00591F82">
        <w:t>s</w:t>
      </w:r>
      <w:r w:rsidRPr="00447C20">
        <w:t xml:space="preserve"> that the SAR 150 mg q2w posology be registered for use in adult patients with active RA. Currently, there is insufficiently robust clinical efficacy differences offset by a potential increase in significant harm to support the registration of the SAR 200 mg q2w regimen as the minimal, most clinically effect</w:t>
      </w:r>
      <w:r w:rsidR="00F2302A">
        <w:t>ive and safe posology.</w:t>
      </w:r>
    </w:p>
    <w:p w14:paraId="78658A07" w14:textId="77777777" w:rsidR="00F2302A" w:rsidRDefault="00447C20" w:rsidP="00F2302A">
      <w:pPr>
        <w:pStyle w:val="Heading3"/>
      </w:pPr>
      <w:bookmarkStart w:id="363" w:name="_Toc519848470"/>
      <w:r w:rsidRPr="00447C20">
        <w:t>Q</w:t>
      </w:r>
      <w:r w:rsidR="00F2302A">
        <w:t>uestion 4</w:t>
      </w:r>
      <w:bookmarkEnd w:id="363"/>
    </w:p>
    <w:p w14:paraId="6A6D1950" w14:textId="376CD46B" w:rsidR="004D78CD" w:rsidRDefault="00447C20" w:rsidP="00447C20">
      <w:pPr>
        <w:rPr>
          <w:i/>
        </w:rPr>
      </w:pPr>
      <w:r w:rsidRPr="00F2302A">
        <w:rPr>
          <w:i/>
        </w:rPr>
        <w:t xml:space="preserve">In Part B of Study EFC11072, patients in the sarilumab 150 mg q2w dose group had slightly higher mean and median modified Total Sharp Scores (mTSS) than the other 2 treatment arms </w:t>
      </w:r>
      <w:r w:rsidR="00F01361">
        <w:rPr>
          <w:i/>
        </w:rPr>
        <w:t>at Baseline</w:t>
      </w:r>
      <w:r w:rsidRPr="00F2302A">
        <w:rPr>
          <w:i/>
        </w:rPr>
        <w:t xml:space="preserve">. At </w:t>
      </w:r>
      <w:r w:rsidR="002F4291">
        <w:rPr>
          <w:i/>
        </w:rPr>
        <w:t>Week</w:t>
      </w:r>
      <w:r w:rsidRPr="00F2302A">
        <w:rPr>
          <w:i/>
        </w:rPr>
        <w:t xml:space="preserve"> 52, both doses of sarilumab showed a statistically significant smaller mean increase </w:t>
      </w:r>
      <w:r w:rsidR="00F01361">
        <w:rPr>
          <w:i/>
        </w:rPr>
        <w:t>from Baseline</w:t>
      </w:r>
      <w:r w:rsidRPr="00F2302A">
        <w:rPr>
          <w:i/>
        </w:rPr>
        <w:t xml:space="preserve"> in mTSS versus placebo</w:t>
      </w:r>
      <w:r w:rsidR="004D78CD">
        <w:rPr>
          <w:i/>
        </w:rPr>
        <w:t>.</w:t>
      </w:r>
    </w:p>
    <w:p w14:paraId="76710C1E" w14:textId="77777777" w:rsidR="00447C20" w:rsidRPr="00F2302A" w:rsidRDefault="00447C20" w:rsidP="00F2302A">
      <w:pPr>
        <w:pStyle w:val="Numberbullet2"/>
        <w:numPr>
          <w:ilvl w:val="1"/>
          <w:numId w:val="23"/>
        </w:numPr>
        <w:rPr>
          <w:i/>
        </w:rPr>
      </w:pPr>
      <w:r w:rsidRPr="00F2302A">
        <w:rPr>
          <w:i/>
        </w:rPr>
        <w:t>Could the sponsor comment on the clinical relevance of the magnitude of treatment related difference at 52 weeks between both doses of sarilumab and placebo?</w:t>
      </w:r>
    </w:p>
    <w:p w14:paraId="69EAD6FA" w14:textId="2B779367" w:rsidR="00447C20" w:rsidRPr="00F2302A" w:rsidRDefault="00447C20" w:rsidP="00447C20">
      <w:pPr>
        <w:pStyle w:val="Numberbullet2"/>
        <w:numPr>
          <w:ilvl w:val="1"/>
          <w:numId w:val="23"/>
        </w:numPr>
        <w:rPr>
          <w:i/>
        </w:rPr>
      </w:pPr>
      <w:r w:rsidRPr="00F2302A">
        <w:rPr>
          <w:i/>
        </w:rPr>
        <w:t xml:space="preserve">The mean change </w:t>
      </w:r>
      <w:r w:rsidR="00F01361">
        <w:rPr>
          <w:i/>
        </w:rPr>
        <w:t>from Baseline</w:t>
      </w:r>
      <w:r w:rsidRPr="00F2302A">
        <w:rPr>
          <w:i/>
        </w:rPr>
        <w:t xml:space="preserve"> to </w:t>
      </w:r>
      <w:r w:rsidR="002F4291">
        <w:rPr>
          <w:i/>
        </w:rPr>
        <w:t>Week</w:t>
      </w:r>
      <w:r w:rsidRPr="00F2302A">
        <w:rPr>
          <w:i/>
        </w:rPr>
        <w:t xml:space="preserve"> 52 in TSS was numerically lower in the 200 mg q2w dose group (0.25 sharp units) compared to the 150 mg q2w arm (0.90 sharp units), however, the interquartile median change was highly similar (0.00 sharp units) between the 2 sarilumab dose groups. Does the totality of the radiographic data indicate that the </w:t>
      </w:r>
      <w:r w:rsidRPr="00F2302A">
        <w:rPr>
          <w:i/>
        </w:rPr>
        <w:lastRenderedPageBreak/>
        <w:t>higher doses of sarilumab (200 mg q2w) is more efficacious than the lower dose regimen (150 mg q2w) and if so, please provide suppo</w:t>
      </w:r>
      <w:r w:rsidR="00F2302A">
        <w:rPr>
          <w:i/>
        </w:rPr>
        <w:t>rting statistical analysis?</w:t>
      </w:r>
    </w:p>
    <w:p w14:paraId="71462D3A" w14:textId="77777777" w:rsidR="00F2302A" w:rsidRPr="009E4A99" w:rsidRDefault="00591F82" w:rsidP="009E4A99">
      <w:pPr>
        <w:rPr>
          <w:i/>
        </w:rPr>
      </w:pPr>
      <w:r w:rsidRPr="009E4A99">
        <w:rPr>
          <w:i/>
        </w:rPr>
        <w:t>Sponsor r</w:t>
      </w:r>
      <w:r w:rsidR="00F2302A" w:rsidRPr="009E4A99">
        <w:rPr>
          <w:i/>
        </w:rPr>
        <w:t>esponse:</w:t>
      </w:r>
    </w:p>
    <w:p w14:paraId="2C42064E" w14:textId="77777777" w:rsidR="004D78CD" w:rsidRDefault="00447C20" w:rsidP="00447C20">
      <w:r w:rsidRPr="00447C20">
        <w:t xml:space="preserve">In response to (a), the sponsor reports that epidemiologic data has associated lower rates of joint replacement surgery and disability to the availability and implementation of aggressive DMARD therapy, particularly in those with early disease. Furthermore, radiographic progression has been associated with disability in the longer term. The sponsor also acknowledges that there is no convincing relationship between radiographic progression and clinical outcomes, and that no minimally important clinical difference in X-ray scores has been defined. Nonetheless, the sponsor considers that the assessment of the percentage of patients with no X-ray progression provides the most clinically </w:t>
      </w:r>
      <w:r w:rsidR="00F2302A">
        <w:t>relevant outcome</w:t>
      </w:r>
      <w:r w:rsidR="004D78CD">
        <w:t>.</w:t>
      </w:r>
    </w:p>
    <w:p w14:paraId="7BF8981A" w14:textId="5177B832" w:rsidR="00447C20" w:rsidRPr="00447C20" w:rsidRDefault="00447C20" w:rsidP="00447C20">
      <w:r w:rsidRPr="00447C20">
        <w:t xml:space="preserve">In response to (b), the sponsor has provided several post hoc evaluations of the X-ray data to explore the potential for a dose response with SAR (150 mg q2w versus 200 mg q2w). Analyses were performed for the mean change </w:t>
      </w:r>
      <w:r w:rsidR="00F01361">
        <w:t>from Baseline</w:t>
      </w:r>
      <w:r w:rsidRPr="00447C20">
        <w:t xml:space="preserve"> in mTSS, percentage of patients with no progression defined as change of </w:t>
      </w:r>
      <w:r w:rsidR="00041F97">
        <w:t xml:space="preserve">≤ </w:t>
      </w:r>
      <w:r w:rsidRPr="00447C20">
        <w:t xml:space="preserve">0 </w:t>
      </w:r>
      <w:r w:rsidR="00F01361">
        <w:t>from Baseline</w:t>
      </w:r>
      <w:r w:rsidRPr="00447C20">
        <w:t xml:space="preserve"> where both readers agreed on the result, and the percentage of patients with no progression defined as change of </w:t>
      </w:r>
      <w:r w:rsidR="00041F97">
        <w:t xml:space="preserve">≤ </w:t>
      </w:r>
      <w:r w:rsidRPr="00447C20">
        <w:t xml:space="preserve">0.5 </w:t>
      </w:r>
      <w:r w:rsidR="00F01361">
        <w:t>from Baseline</w:t>
      </w:r>
      <w:r w:rsidRPr="00447C20">
        <w:t xml:space="preserve"> (where only 1 reader considered that there was no progression). The SAR 200 mg dose was statistically superior to the 150 mg dose for the no progression endpoints, but not for the mean change </w:t>
      </w:r>
      <w:r w:rsidR="00F01361">
        <w:t>from Baseline</w:t>
      </w:r>
      <w:r w:rsidRPr="00447C20">
        <w:t xml:space="preserve"> to </w:t>
      </w:r>
      <w:r w:rsidR="002F4291">
        <w:t>Week</w:t>
      </w:r>
      <w:r w:rsidRPr="00447C20">
        <w:t xml:space="preserve"> 52 in mTSS. At </w:t>
      </w:r>
      <w:r w:rsidR="002F4291">
        <w:t>Week</w:t>
      </w:r>
      <w:r w:rsidRPr="00447C20">
        <w:t xml:space="preserve"> 52 in Study EFC11072, 55.6% (222/399) of patients treated with SAR 200 mg showed no X-ray progression (change </w:t>
      </w:r>
      <w:r w:rsidR="00F01361">
        <w:t>from Baseline</w:t>
      </w:r>
      <w:r w:rsidRPr="00447C20">
        <w:t xml:space="preserve"> in mTSS of </w:t>
      </w:r>
      <w:r w:rsidR="007312A2">
        <w:t xml:space="preserve">&lt; </w:t>
      </w:r>
      <w:r w:rsidRPr="00447C20">
        <w:t>0), which was statistically superior by post hoc analysis t</w:t>
      </w:r>
      <w:r w:rsidR="00591F82">
        <w:t>o patients treated with SAR 150 </w:t>
      </w:r>
      <w:r w:rsidRPr="00447C20">
        <w:t xml:space="preserve">mg (47.8% </w:t>
      </w:r>
      <w:r w:rsidR="00BF33B8">
        <w:t>(</w:t>
      </w:r>
      <w:r w:rsidRPr="00447C20">
        <w:t>191/400</w:t>
      </w:r>
      <w:r w:rsidR="00BF33B8">
        <w:t>)</w:t>
      </w:r>
      <w:r w:rsidRPr="00447C20">
        <w:t xml:space="preserve">; nominal p-value of 0.0255. The treatment related difference for this outcome was 7.8% (95% CI 1.0%, 14.7%). The sponsor provided a calculation of the NNT to prevent structural progression and estimated that the difference in the rates of structural progression at </w:t>
      </w:r>
      <w:r w:rsidR="002F4291">
        <w:t>Week</w:t>
      </w:r>
      <w:r w:rsidRPr="00447C20">
        <w:t xml:space="preserve"> 52 in patients treated with SAR 200 mg q2w versus SAR 150 mg q2w was 12.8 (95% CI 6.8, 100). In addition, the sponsor asserts that the X-ray differences between the </w:t>
      </w:r>
      <w:r w:rsidR="00591F82">
        <w:t>two</w:t>
      </w:r>
      <w:r w:rsidRPr="00447C20">
        <w:t xml:space="preserve"> SAR doses remained evident in the extension phase. At </w:t>
      </w:r>
      <w:r w:rsidR="002F4291">
        <w:t>Week</w:t>
      </w:r>
      <w:r w:rsidRPr="00447C20">
        <w:t xml:space="preserve"> 100, the rate of no X-ray progression (change </w:t>
      </w:r>
      <w:r w:rsidR="00F01361">
        <w:t>from Baseline</w:t>
      </w:r>
      <w:r w:rsidRPr="00447C20">
        <w:t xml:space="preserve"> of </w:t>
      </w:r>
      <w:r w:rsidR="007312A2">
        <w:t xml:space="preserve">&lt; </w:t>
      </w:r>
      <w:r w:rsidRPr="00447C20">
        <w:t>0.5) was 80.5% in patients treated continuously with SAR 200 mg q2w versus 68.7% for subjects initially treated with SAR 150 mg q2w therapy. In conclusion, the sponsor states that the SAR 200 mg q2w regimen is superior to SAR 150 mg q2w treatment in the prevention of structural damage.</w:t>
      </w:r>
    </w:p>
    <w:p w14:paraId="0AF01F60" w14:textId="77777777" w:rsidR="00F2302A" w:rsidRPr="009E4A99" w:rsidRDefault="00591F82" w:rsidP="009E4A99">
      <w:pPr>
        <w:rPr>
          <w:i/>
        </w:rPr>
      </w:pPr>
      <w:r w:rsidRPr="009E4A99">
        <w:rPr>
          <w:i/>
        </w:rPr>
        <w:t>Evaluator c</w:t>
      </w:r>
      <w:r w:rsidR="00F2302A" w:rsidRPr="009E4A99">
        <w:rPr>
          <w:i/>
        </w:rPr>
        <w:t>omment:</w:t>
      </w:r>
    </w:p>
    <w:p w14:paraId="38F05827" w14:textId="5273CCBC" w:rsidR="00447C20" w:rsidRPr="00447C20" w:rsidRDefault="00447C20" w:rsidP="00447C20">
      <w:r w:rsidRPr="00447C20">
        <w:t xml:space="preserve">Regarding (a), </w:t>
      </w:r>
      <w:r w:rsidR="00591F82">
        <w:t>the evaluator</w:t>
      </w:r>
      <w:r w:rsidRPr="00447C20">
        <w:t xml:space="preserve"> </w:t>
      </w:r>
      <w:r w:rsidR="00591F82" w:rsidRPr="00447C20">
        <w:t>concur</w:t>
      </w:r>
      <w:r w:rsidR="00591F82">
        <w:t>red</w:t>
      </w:r>
      <w:r w:rsidRPr="00447C20">
        <w:t xml:space="preserve"> with the sponsor that there is no clear relationship between structural X-ray progression and clinical outcomes, and the minimally clinically important difference in X-ray scores has not been defined. In general, there is a paucity of published evidence on this topic, but the most relevant and recent publication by Welsing et al (2006) estimated the threshold for minimal clinically important X-ray progression of joint damage using its longitudinal relation with functional disability. The analysis concluded that for a </w:t>
      </w:r>
      <w:r w:rsidR="00F2302A">
        <w:t xml:space="preserve">typical patient in their cohort </w:t>
      </w:r>
      <w:r w:rsidRPr="00447C20">
        <w:t xml:space="preserve">(age at diagnosis of 55 years, some baseline X-ray damage and an expected disease duration of 30 years), a constant progression of 6 sharp points per year led to an increase of about 0.2 on the HAQ-DI score, solely related to damage, over the disease course. At </w:t>
      </w:r>
      <w:r w:rsidR="002F4291">
        <w:t>Week</w:t>
      </w:r>
      <w:r w:rsidRPr="00447C20">
        <w:t xml:space="preserve"> 52 in Study EFC11072, smaller mean and median increases </w:t>
      </w:r>
      <w:r w:rsidR="00F01361">
        <w:t>from Baseline</w:t>
      </w:r>
      <w:r w:rsidRPr="00447C20">
        <w:t xml:space="preserve"> in the mTSS were observed in subjects treated with SAR (mean increase of 0.90 for the 150 mg group and mean increase of 0.25 for the 200 mg arm) than in patients treated with </w:t>
      </w:r>
      <w:r w:rsidR="00A343A3">
        <w:t>placebo</w:t>
      </w:r>
      <w:r w:rsidRPr="00447C20">
        <w:t xml:space="preserve"> (mean increase </w:t>
      </w:r>
      <w:r w:rsidR="00F01361">
        <w:t>from Baseline</w:t>
      </w:r>
      <w:r w:rsidRPr="00447C20">
        <w:t xml:space="preserve"> of 2.78). The observed differences between SAR (either dose) and </w:t>
      </w:r>
      <w:r w:rsidR="00A343A3">
        <w:t>placebo</w:t>
      </w:r>
      <w:r w:rsidRPr="00447C20">
        <w:t xml:space="preserve"> were statistically significant (p-value </w:t>
      </w:r>
      <w:r w:rsidR="007312A2">
        <w:t xml:space="preserve">&lt; </w:t>
      </w:r>
      <w:r w:rsidRPr="00447C20">
        <w:t xml:space="preserve">0.0001). No apriori </w:t>
      </w:r>
      <w:r w:rsidR="00041F97">
        <w:t>pair wise</w:t>
      </w:r>
      <w:r w:rsidRPr="00447C20">
        <w:t xml:space="preserve"> statistical testing between the </w:t>
      </w:r>
      <w:r w:rsidR="00591F82">
        <w:t>two</w:t>
      </w:r>
      <w:r w:rsidRPr="00447C20">
        <w:t xml:space="preserve"> SAR dose groups was performed. Although the mean mTSS change </w:t>
      </w:r>
      <w:r w:rsidR="00F01361">
        <w:t>from Baseline</w:t>
      </w:r>
      <w:r w:rsidRPr="00447C20">
        <w:t xml:space="preserve"> to </w:t>
      </w:r>
      <w:r w:rsidR="002F4291">
        <w:t>Week</w:t>
      </w:r>
      <w:r w:rsidRPr="00447C20">
        <w:t xml:space="preserve"> 52 in Study EFC11072 was numerically lower and statistically significant with both doses of SAR versus </w:t>
      </w:r>
      <w:r w:rsidR="00A343A3">
        <w:t>placebo</w:t>
      </w:r>
      <w:r w:rsidRPr="00447C20">
        <w:t xml:space="preserve">, the clinical relevance of those mean and median changes in mTSS are unknown but </w:t>
      </w:r>
      <w:r w:rsidR="00F2302A">
        <w:t>appear to be of insignificant.</w:t>
      </w:r>
    </w:p>
    <w:p w14:paraId="7772A56F" w14:textId="77777777" w:rsidR="00447C20" w:rsidRPr="00447C20" w:rsidRDefault="00447C20" w:rsidP="00447C20">
      <w:r w:rsidRPr="00447C20">
        <w:lastRenderedPageBreak/>
        <w:t>There is no evidence to support the sponsor proposal that the p</w:t>
      </w:r>
      <w:r w:rsidR="00591F82">
        <w:t>roportion of subjects with no X</w:t>
      </w:r>
      <w:r w:rsidR="00591F82">
        <w:noBreakHyphen/>
      </w:r>
      <w:r w:rsidRPr="00447C20">
        <w:t>ray progression is the most clinically relevant outcome in assessing a claim of X-ray benefit in RA. The quoted references supporting this proposal are clinical guideline recommendations from the RACGP (2009)</w:t>
      </w:r>
      <w:r w:rsidR="00591F82">
        <w:rPr>
          <w:rStyle w:val="FootnoteReference"/>
        </w:rPr>
        <w:footnoteReference w:id="3"/>
      </w:r>
      <w:r w:rsidRPr="00447C20">
        <w:t xml:space="preserve"> and Australian Rheumatology Association (2011)</w:t>
      </w:r>
      <w:r w:rsidR="00591F82">
        <w:rPr>
          <w:rStyle w:val="FootnoteReference"/>
        </w:rPr>
        <w:footnoteReference w:id="4"/>
      </w:r>
      <w:r w:rsidRPr="00447C20">
        <w:t xml:space="preserve"> regarding the principles of management of RA in Australia. They do not make a statement regarding the appropriate X-ray outcome in patients with RA and have been inappropriately quoted by the spo</w:t>
      </w:r>
      <w:r w:rsidR="00F2302A">
        <w:t>nsor in the response.</w:t>
      </w:r>
    </w:p>
    <w:p w14:paraId="0441884B" w14:textId="0CCAD04B" w:rsidR="00447C20" w:rsidRPr="00447C20" w:rsidRDefault="00447C20" w:rsidP="00447C20">
      <w:r w:rsidRPr="00447C20">
        <w:t>Regarding (b), the sponsor has provided several post hoc analyses of the X-ray data to claim the superiority of the higher SAR dose regimen (200 mg q2w) versus SAR 150 mg q2w therapy. As per ev</w:t>
      </w:r>
      <w:r w:rsidR="00591F82">
        <w:t>aluator comments in Q</w:t>
      </w:r>
      <w:r w:rsidRPr="00447C20">
        <w:t>uestion 3, post hoc analyses of the X-ray dataset does not meet the scientific standards of making such a claim, particularly in view of the significant potential limitations of post hoc analyses. In addition, although the sponsor calculates a NNT of 12.8 for the SAR 200 mg versus 150 mg dose for the rate of no structural progression at 52 weeks, there is no NNH estimate in this submission or response. The observed safety dataset shows a numerically higher rate of certain AEs with the SAR 200 mg</w:t>
      </w:r>
      <w:r w:rsidR="00591F82">
        <w:t xml:space="preserve"> dose regimen versus SAR 150 mg </w:t>
      </w:r>
      <w:r w:rsidRPr="00447C20">
        <w:t>q2w therapy, particularly regarding the incidence of serious infection (including herpes zoster infection) and neutro</w:t>
      </w:r>
      <w:r w:rsidR="00BA3918">
        <w:t>paenia</w:t>
      </w:r>
      <w:r w:rsidRPr="00447C20">
        <w:t xml:space="preserve">. Although </w:t>
      </w:r>
      <w:r w:rsidR="00591F82">
        <w:t xml:space="preserve">the </w:t>
      </w:r>
      <w:r w:rsidR="00380E31">
        <w:t>evaluator</w:t>
      </w:r>
      <w:r w:rsidRPr="00447C20">
        <w:t xml:space="preserve"> was unable to precisely estimate the NNH for SAR 200 mg versus 150 mg therapy, it would be a relevant calculation that would offset to same degree the sponsor reported difference in NNT between the 2 SAR dose regimens proposed for regis</w:t>
      </w:r>
      <w:r w:rsidR="00F2302A">
        <w:t>tration.</w:t>
      </w:r>
    </w:p>
    <w:p w14:paraId="61164730" w14:textId="77777777" w:rsidR="00447C20" w:rsidRPr="00447C20" w:rsidRDefault="00447C20" w:rsidP="00447C20">
      <w:r w:rsidRPr="00447C20">
        <w:t xml:space="preserve">Hence, on the basis of the totality of the dataset, </w:t>
      </w:r>
      <w:r w:rsidR="00591F82">
        <w:t>the evaluator</w:t>
      </w:r>
      <w:r w:rsidRPr="00447C20">
        <w:t xml:space="preserve"> recommend</w:t>
      </w:r>
      <w:r w:rsidR="00591F82">
        <w:t>s</w:t>
      </w:r>
      <w:r w:rsidRPr="00447C20">
        <w:t xml:space="preserve"> that the SAR 150 mg q2w posology be registered for use in adult patients with active RA. Currently, there is insufficiently robust clinical efficacy differences offset by a potential increase in significant harm to support the registration of the SAR 200 mg q2w regimen as the minimal, most clinically ef</w:t>
      </w:r>
      <w:r w:rsidR="00F2302A">
        <w:t>fective and safe posology.</w:t>
      </w:r>
    </w:p>
    <w:p w14:paraId="2EB5E124" w14:textId="77777777" w:rsidR="00F2302A" w:rsidRDefault="00447C20" w:rsidP="00F2302A">
      <w:pPr>
        <w:pStyle w:val="Heading3"/>
      </w:pPr>
      <w:bookmarkStart w:id="364" w:name="_Toc519848471"/>
      <w:r w:rsidRPr="00447C20">
        <w:t>Q</w:t>
      </w:r>
      <w:r w:rsidR="00F2302A">
        <w:t>uestion 5</w:t>
      </w:r>
      <w:bookmarkEnd w:id="364"/>
    </w:p>
    <w:p w14:paraId="128B00B7" w14:textId="77777777" w:rsidR="00447C20" w:rsidRPr="00F2302A" w:rsidRDefault="00447C20" w:rsidP="00447C20">
      <w:pPr>
        <w:rPr>
          <w:i/>
        </w:rPr>
      </w:pPr>
      <w:r w:rsidRPr="00F2302A">
        <w:rPr>
          <w:i/>
        </w:rPr>
        <w:t xml:space="preserve">In the 2 pivotal </w:t>
      </w:r>
      <w:r w:rsidR="004D78CD">
        <w:rPr>
          <w:i/>
        </w:rPr>
        <w:t>Phase III</w:t>
      </w:r>
      <w:r w:rsidRPr="00F2302A">
        <w:rPr>
          <w:i/>
        </w:rPr>
        <w:t xml:space="preserve"> trials (Studies EFC11072 and EFC10832), subcutaneous administration of study treatment could occur at either the investigator centre or home, dependi</w:t>
      </w:r>
      <w:r w:rsidR="00F2302A">
        <w:rPr>
          <w:i/>
        </w:rPr>
        <w:t>ng on the study visit schedule.</w:t>
      </w:r>
    </w:p>
    <w:p w14:paraId="79A72FC3" w14:textId="77777777" w:rsidR="00447C20" w:rsidRPr="00F2302A" w:rsidRDefault="00447C20" w:rsidP="00F2302A">
      <w:pPr>
        <w:pStyle w:val="Numberbullet2"/>
        <w:numPr>
          <w:ilvl w:val="1"/>
          <w:numId w:val="24"/>
        </w:numPr>
        <w:rPr>
          <w:i/>
        </w:rPr>
      </w:pPr>
      <w:r w:rsidRPr="00F2302A">
        <w:rPr>
          <w:i/>
        </w:rPr>
        <w:t xml:space="preserve">Could the sponsor clarify the proportion of subjects who self-administered study treatment and the number of occasions in which self-administration </w:t>
      </w:r>
      <w:r w:rsidR="00F2302A">
        <w:rPr>
          <w:i/>
        </w:rPr>
        <w:t>occurred in each pivotal study?</w:t>
      </w:r>
    </w:p>
    <w:p w14:paraId="1DE05064" w14:textId="77777777" w:rsidR="00447C20" w:rsidRPr="00F2302A" w:rsidRDefault="00447C20" w:rsidP="00447C20">
      <w:pPr>
        <w:pStyle w:val="Numberbullet2"/>
        <w:numPr>
          <w:ilvl w:val="1"/>
          <w:numId w:val="24"/>
        </w:numPr>
        <w:rPr>
          <w:i/>
        </w:rPr>
      </w:pPr>
      <w:r w:rsidRPr="00F2302A">
        <w:rPr>
          <w:i/>
        </w:rPr>
        <w:t>Could the sponsor clarify if there was any difference in the incidence and type of adverse events with home-based versus centre-based admin</w:t>
      </w:r>
      <w:r w:rsidR="00F2302A">
        <w:rPr>
          <w:i/>
        </w:rPr>
        <w:t>istration of study medication?</w:t>
      </w:r>
    </w:p>
    <w:p w14:paraId="4178CC3E" w14:textId="77777777" w:rsidR="00F2302A" w:rsidRPr="009E4A99" w:rsidRDefault="00591F82" w:rsidP="009E4A99">
      <w:pPr>
        <w:rPr>
          <w:i/>
        </w:rPr>
      </w:pPr>
      <w:r w:rsidRPr="009E4A99">
        <w:rPr>
          <w:i/>
        </w:rPr>
        <w:t>Sponsor r</w:t>
      </w:r>
      <w:r w:rsidR="00F2302A" w:rsidRPr="009E4A99">
        <w:rPr>
          <w:i/>
        </w:rPr>
        <w:t>esponse:</w:t>
      </w:r>
    </w:p>
    <w:p w14:paraId="52403E0A" w14:textId="77777777" w:rsidR="00447C20" w:rsidRPr="00447C20" w:rsidRDefault="00447C20" w:rsidP="00447C20">
      <w:r w:rsidRPr="00447C20">
        <w:t xml:space="preserve">In response to (a), the sponsor has provided a pooled analysis of subjects in the </w:t>
      </w:r>
      <w:r w:rsidR="00591F82">
        <w:t>two</w:t>
      </w:r>
      <w:r w:rsidRPr="00447C20">
        <w:t xml:space="preserve"> pivotal studies showing that just more than half (51.7%) of all injections were performed by either the patient or a non-professional caregiver at home, 43.4% of all injections were administered by study site staff and 4.9% of all injections were performed by a professional caregiver at home. Study drug administration practices were similar across the 3 treatmen</w:t>
      </w:r>
      <w:r w:rsidR="00F2302A">
        <w:t>t groups in the pooled cohort.</w:t>
      </w:r>
    </w:p>
    <w:p w14:paraId="0598E578" w14:textId="631FE9A9" w:rsidR="00447C20" w:rsidRPr="00447C20" w:rsidRDefault="00447C20" w:rsidP="00447C20">
      <w:r w:rsidRPr="00447C20">
        <w:t xml:space="preserve">In response to (b), the sponsor has provided an analysis of the incidence and type of AEs based on whether the subjects had </w:t>
      </w:r>
      <w:r w:rsidR="007312A2">
        <w:t xml:space="preserve">&gt; </w:t>
      </w:r>
      <w:r w:rsidRPr="00447C20">
        <w:t xml:space="preserve">50% of their injections administered by a health care </w:t>
      </w:r>
      <w:r w:rsidRPr="00447C20">
        <w:lastRenderedPageBreak/>
        <w:t>professional (n</w:t>
      </w:r>
      <w:r w:rsidR="004D78CD">
        <w:t xml:space="preserve"> = </w:t>
      </w:r>
      <w:r w:rsidRPr="00447C20">
        <w:t xml:space="preserve">827 subjects) versus those who received </w:t>
      </w:r>
      <w:r w:rsidR="007312A2">
        <w:t xml:space="preserve">&gt; </w:t>
      </w:r>
      <w:r w:rsidRPr="00447C20">
        <w:t>50% of their injections by a non-professional (n</w:t>
      </w:r>
      <w:r w:rsidR="004D78CD">
        <w:t xml:space="preserve"> = </w:t>
      </w:r>
      <w:r w:rsidRPr="00447C20">
        <w:t xml:space="preserve">913 subjects). The overall incidence of treatment emergent AEs was comparable in the professional and non-professional drug administration groups, as were the most common types of AEs (such as infections and abnormal investigation results). However, 2 types of injections site reactions were reported at a higher incidence in the non-professional administration versus professional injection group. Across the treatment groups, injection site erythema (5.5% </w:t>
      </w:r>
      <w:r w:rsidR="00BF33B8">
        <w:t>(</w:t>
      </w:r>
      <w:r w:rsidRPr="00447C20">
        <w:t>50/913</w:t>
      </w:r>
      <w:r w:rsidR="00BF33B8">
        <w:t>)</w:t>
      </w:r>
      <w:r w:rsidRPr="00447C20">
        <w:t xml:space="preserve"> versus 2.7% </w:t>
      </w:r>
      <w:r w:rsidR="00BF33B8">
        <w:t>(</w:t>
      </w:r>
      <w:r w:rsidRPr="00447C20">
        <w:t>22/827</w:t>
      </w:r>
      <w:r w:rsidR="00BF33B8">
        <w:t>)</w:t>
      </w:r>
      <w:r w:rsidRPr="00447C20">
        <w:t xml:space="preserve">) and injection site pruritus (2.7% </w:t>
      </w:r>
      <w:r w:rsidR="00BF33B8">
        <w:t>(</w:t>
      </w:r>
      <w:r w:rsidRPr="00447C20">
        <w:t>25/913</w:t>
      </w:r>
      <w:r w:rsidR="00BF33B8">
        <w:t>)</w:t>
      </w:r>
      <w:r w:rsidRPr="00447C20">
        <w:t xml:space="preserve"> versus 1.0% </w:t>
      </w:r>
      <w:r w:rsidR="00BF33B8">
        <w:t>(</w:t>
      </w:r>
      <w:r w:rsidRPr="00447C20">
        <w:t>8/827</w:t>
      </w:r>
      <w:r w:rsidR="00BF33B8">
        <w:t>)</w:t>
      </w:r>
      <w:r w:rsidRPr="00447C20">
        <w:t>) were recorded at a slightly higher frequency in the non-professional administration subgroup versus the professi</w:t>
      </w:r>
      <w:r w:rsidR="00F2302A">
        <w:t>onal injection cohort.</w:t>
      </w:r>
    </w:p>
    <w:p w14:paraId="55A7EC48" w14:textId="77777777" w:rsidR="00F2302A" w:rsidRPr="009E4A99" w:rsidRDefault="00591F82" w:rsidP="009E4A99">
      <w:pPr>
        <w:rPr>
          <w:i/>
        </w:rPr>
      </w:pPr>
      <w:r w:rsidRPr="009E4A99">
        <w:rPr>
          <w:i/>
        </w:rPr>
        <w:t>Evaluator c</w:t>
      </w:r>
      <w:r w:rsidR="00F2302A" w:rsidRPr="009E4A99">
        <w:rPr>
          <w:i/>
        </w:rPr>
        <w:t>omment:</w:t>
      </w:r>
    </w:p>
    <w:p w14:paraId="26206F22" w14:textId="77777777" w:rsidR="00A343A3" w:rsidRDefault="00447C20" w:rsidP="00447C20">
      <w:r w:rsidRPr="00447C20">
        <w:t xml:space="preserve">The observed pattern of study drug injections by performer (study site staff, professional caregiver and patient or non-professional person at home) is within expectations for </w:t>
      </w:r>
      <w:r w:rsidR="004D78CD">
        <w:t>Phase III</w:t>
      </w:r>
      <w:r w:rsidRPr="00447C20">
        <w:t xml:space="preserve"> clinical trials of RA treatment. In addition, the total volume of</w:t>
      </w:r>
      <w:r w:rsidR="00591F82">
        <w:t xml:space="preserve"> the at home and patient or non</w:t>
      </w:r>
      <w:r w:rsidR="00591F82">
        <w:noBreakHyphen/>
      </w:r>
      <w:r w:rsidRPr="00447C20">
        <w:t>professional drug administration dataset is of sufficient volume to assess what is likely to occur in the Australian clinical setting if registration of SAR is approved. The incidence and type of</w:t>
      </w:r>
      <w:r w:rsidR="00591F82">
        <w:t xml:space="preserve"> AEs is comparable between the two</w:t>
      </w:r>
      <w:r w:rsidRPr="00447C20">
        <w:t xml:space="preserve"> drug administration </w:t>
      </w:r>
      <w:r w:rsidR="00591F82">
        <w:t>groups (professional versus non</w:t>
      </w:r>
      <w:r w:rsidR="00591F82">
        <w:noBreakHyphen/>
      </w:r>
      <w:r w:rsidRPr="00447C20">
        <w:t>professional injectors) for maintenance therapy apart from a slightly higher frequency of minor injection site reactions (erythema and pruritus) which is unlikely to be of clinical significance (</w:t>
      </w:r>
      <w:r w:rsidR="007312A2">
        <w:t>for example</w:t>
      </w:r>
      <w:r w:rsidRPr="00447C20">
        <w:t xml:space="preserve"> resulting in permanent discontinuation from drug, or requiring additional medical input</w:t>
      </w:r>
      <w:r w:rsidR="00F2302A">
        <w:t xml:space="preserve"> or care)</w:t>
      </w:r>
      <w:r w:rsidR="00A343A3">
        <w:t>.</w:t>
      </w:r>
    </w:p>
    <w:p w14:paraId="4554312F" w14:textId="77777777" w:rsidR="00447C20" w:rsidRPr="00447C20" w:rsidRDefault="00447C20" w:rsidP="00447C20">
      <w:r w:rsidRPr="00447C20">
        <w:t xml:space="preserve">The approved PI (Dosage and Administration section) for subcutaneous administration of tocilizumab (an alternative anti-IL-6 therapy) specifies that the first injection must be performed under the supervision of a healthcare professional in a healthcare setting able to manage serious immediate hypersensitivity reactions. There is no such comment in the proposed PI for SAR. The pivotal studies in this submission initiated SAR in healthcare settings and the first injection was usually performed by a healthcare professional. In addition, cases of potential systemic hypersensitivity reactions have been reported with SAR in the total RA dataset. </w:t>
      </w:r>
      <w:r w:rsidR="00591F82">
        <w:t>the evaluator</w:t>
      </w:r>
      <w:r w:rsidRPr="00447C20">
        <w:t xml:space="preserve"> recommend</w:t>
      </w:r>
      <w:r w:rsidR="00591F82">
        <w:t>s</w:t>
      </w:r>
      <w:r w:rsidRPr="00447C20">
        <w:t xml:space="preserve"> the sponsor amend the PI to specify the setting in which initiation and maintenance therapy can be conducted, and given the submitted dataset, SAR therapy should only be initiated in a supervised healthcare setting (similar to that specified with subcutaneous administration of tocilizumab).</w:t>
      </w:r>
      <w:r w:rsidR="004D78CD">
        <w:t xml:space="preserve"> </w:t>
      </w:r>
      <w:r w:rsidRPr="00447C20">
        <w:t>The proposed PI for SAR otherwise contains appropriate information about home based therapy apart from not specifying the anatomical sites of SC administration (</w:t>
      </w:r>
      <w:r w:rsidR="007312A2">
        <w:t>for example</w:t>
      </w:r>
      <w:r w:rsidRPr="00447C20">
        <w:t xml:space="preserve"> abdomen,</w:t>
      </w:r>
      <w:r w:rsidR="00F2302A">
        <w:t xml:space="preserve"> thigh and upper arm).</w:t>
      </w:r>
    </w:p>
    <w:p w14:paraId="49EFBD01" w14:textId="77777777" w:rsidR="00C618F7" w:rsidRDefault="00C618F7" w:rsidP="00C618F7">
      <w:pPr>
        <w:pStyle w:val="Heading2"/>
      </w:pPr>
      <w:bookmarkStart w:id="365" w:name="_Toc519848472"/>
      <w:r>
        <w:t>Second round benefit-risk assessment</w:t>
      </w:r>
      <w:bookmarkEnd w:id="365"/>
    </w:p>
    <w:p w14:paraId="0D329C8B" w14:textId="77777777" w:rsidR="00F2302A" w:rsidRPr="00F2302A" w:rsidRDefault="00F2302A" w:rsidP="00F2302A">
      <w:pPr>
        <w:pStyle w:val="Heading3"/>
      </w:pPr>
      <w:bookmarkStart w:id="366" w:name="_Toc272414709"/>
      <w:bookmarkStart w:id="367" w:name="_Toc290888575"/>
      <w:bookmarkStart w:id="368" w:name="_Toc464131596"/>
      <w:bookmarkStart w:id="369" w:name="_Toc519848473"/>
      <w:r w:rsidRPr="00F2302A">
        <w:t>Second round assessment of benefits</w:t>
      </w:r>
      <w:bookmarkEnd w:id="366"/>
      <w:bookmarkEnd w:id="367"/>
      <w:bookmarkEnd w:id="368"/>
      <w:bookmarkEnd w:id="369"/>
    </w:p>
    <w:p w14:paraId="69AC376B" w14:textId="77777777" w:rsidR="00F2302A" w:rsidRPr="00F2302A" w:rsidRDefault="00F2302A" w:rsidP="00F2302A">
      <w:r w:rsidRPr="00F2302A">
        <w:t xml:space="preserve">After consideration of the responses to the clinical questions, the benefits of SAR for the treatment of adult patients with active RA in the proposed usage are similar to those identified in </w:t>
      </w:r>
      <w:r w:rsidR="00591F82">
        <w:t>the first round assessment of benefits</w:t>
      </w:r>
      <w:r w:rsidRPr="00F2302A">
        <w:t xml:space="preserve">. The </w:t>
      </w:r>
      <w:r w:rsidR="004D78CD">
        <w:t>Phase III</w:t>
      </w:r>
      <w:r w:rsidRPr="00F2302A">
        <w:t xml:space="preserve"> studies are well conducted trials, which demonstrate a robust and clinically meaningful efficacy benefit with SAR versus </w:t>
      </w:r>
      <w:r w:rsidR="00A343A3">
        <w:t>placebo</w:t>
      </w:r>
      <w:r w:rsidRPr="00F2302A">
        <w:t xml:space="preserve"> for improving the symptoms and signs of active RA as well as improving physical function in a second or third line treatment population (</w:t>
      </w:r>
      <w:r w:rsidR="004D78CD">
        <w:t>that is</w:t>
      </w:r>
      <w:r w:rsidRPr="00F2302A">
        <w:t xml:space="preserve"> after failure to adequately respond to 1 or more DMARDs, including biologic therapy) when combined with MTX. Study EFC11072 was able to demonstrate a statistically significant benefit with both doses of SAR versus </w:t>
      </w:r>
      <w:r w:rsidR="00A343A3">
        <w:t>placebo</w:t>
      </w:r>
      <w:r w:rsidRPr="00F2302A">
        <w:t xml:space="preserve"> for the inhibition of joint structural progression as determined by sequential plain X-rays of peripheral joints, but the clinical relevance of this observation is unclear. Regarding the proposed dosing regimen, the clinical efficacy data (in particular, the rate of ACR20 response and X-ray outcomes) does not support the higher posology of 200 mg q2w (versus 150 mg q2w) </w:t>
      </w:r>
      <w:r w:rsidRPr="00F2302A">
        <w:lastRenderedPageBreak/>
        <w:t xml:space="preserve">as the minimal, clinically effective regimen. Because of the limitations of post hoc analyses, the efficacy response data provided in the response </w:t>
      </w:r>
      <w:r w:rsidR="00591F82">
        <w:t xml:space="preserve">to questions </w:t>
      </w:r>
      <w:r w:rsidRPr="00F2302A">
        <w:t>does not support a robust scientific claim of additional benefit with the higher dose versus lower dose regimen.</w:t>
      </w:r>
      <w:r w:rsidR="004D78CD">
        <w:t xml:space="preserve"> </w:t>
      </w:r>
      <w:r w:rsidRPr="00F2302A">
        <w:t>On the current dataset,</w:t>
      </w:r>
      <w:r w:rsidR="00591F82">
        <w:t xml:space="preserve"> the evaluator </w:t>
      </w:r>
      <w:r w:rsidRPr="00F2302A">
        <w:t>recommend</w:t>
      </w:r>
      <w:r w:rsidR="00591F82">
        <w:t>s</w:t>
      </w:r>
      <w:r w:rsidRPr="00F2302A">
        <w:t xml:space="preserve"> that the lower dose SAR regimen (150 mg q2w) be solely considered for registration.</w:t>
      </w:r>
    </w:p>
    <w:p w14:paraId="0ED6E32F" w14:textId="77777777" w:rsidR="00F2302A" w:rsidRPr="00F2302A" w:rsidRDefault="00F2302A" w:rsidP="00F2302A">
      <w:pPr>
        <w:pStyle w:val="Heading3"/>
      </w:pPr>
      <w:bookmarkStart w:id="370" w:name="_Toc272414710"/>
      <w:bookmarkStart w:id="371" w:name="_Toc290888576"/>
      <w:bookmarkStart w:id="372" w:name="_Toc464131597"/>
      <w:bookmarkStart w:id="373" w:name="_Toc519848474"/>
      <w:r w:rsidRPr="00F2302A">
        <w:t>Second round assessment of risks</w:t>
      </w:r>
      <w:bookmarkEnd w:id="370"/>
      <w:bookmarkEnd w:id="371"/>
      <w:bookmarkEnd w:id="372"/>
      <w:bookmarkEnd w:id="373"/>
    </w:p>
    <w:p w14:paraId="64D63759" w14:textId="70DF6897" w:rsidR="00F2302A" w:rsidRPr="00F2302A" w:rsidRDefault="00F2302A" w:rsidP="00F2302A">
      <w:r w:rsidRPr="00F2302A">
        <w:t xml:space="preserve">After consideration of the responses to the clinical questions (principally, question 5), the risks of SAR are unchanged from those identified in </w:t>
      </w:r>
      <w:r w:rsidR="00591F82">
        <w:t>the first round</w:t>
      </w:r>
      <w:r w:rsidRPr="00F2302A">
        <w:t>. The observed pattern of study drug injections by performer (study site staff, profession</w:t>
      </w:r>
      <w:r w:rsidR="00591F82">
        <w:t>al caregiver and patient or non</w:t>
      </w:r>
      <w:r w:rsidR="00591F82">
        <w:noBreakHyphen/>
      </w:r>
      <w:r w:rsidRPr="00F2302A">
        <w:t>professional person at home) shows a comparable incidence and type of AEs between the 2</w:t>
      </w:r>
      <w:r w:rsidR="00A2292D">
        <w:t> </w:t>
      </w:r>
      <w:r w:rsidRPr="00F2302A">
        <w:t>drug administration groups (professional versus non-professional injectors) apart from a slightly higher frequency of minor injection site reactions (erythema and pruritus), which is unlikely to be of clinical significance and impact upon the overall benefit: risk assessment.</w:t>
      </w:r>
    </w:p>
    <w:p w14:paraId="091630CB" w14:textId="77777777" w:rsidR="00F2302A" w:rsidRPr="00F2302A" w:rsidRDefault="00F2302A" w:rsidP="00F2302A">
      <w:pPr>
        <w:pStyle w:val="Heading3"/>
      </w:pPr>
      <w:bookmarkStart w:id="374" w:name="_Toc272414711"/>
      <w:bookmarkStart w:id="375" w:name="_Toc290888577"/>
      <w:bookmarkStart w:id="376" w:name="_Toc464131598"/>
      <w:bookmarkStart w:id="377" w:name="_Toc519848475"/>
      <w:r w:rsidRPr="00F2302A">
        <w:t>Second round assessment of benefit-risk balance</w:t>
      </w:r>
      <w:bookmarkEnd w:id="374"/>
      <w:bookmarkEnd w:id="375"/>
      <w:bookmarkEnd w:id="376"/>
      <w:bookmarkEnd w:id="377"/>
    </w:p>
    <w:p w14:paraId="335A9EF5" w14:textId="6BEFC95A" w:rsidR="004D78CD" w:rsidRDefault="00F2302A" w:rsidP="00F2302A">
      <w:r w:rsidRPr="00F2302A">
        <w:t xml:space="preserve">After consideration of the responses to the clinical questions, there is no change to the opinion expressed </w:t>
      </w:r>
      <w:r w:rsidR="00591F82">
        <w:t>in the first round</w:t>
      </w:r>
      <w:r w:rsidRPr="00F2302A">
        <w:t xml:space="preserve">. The overall benefit-risk balance of SAR injections in the proposed treatment indication of active RA in adult patients is favourable. Clinically relevant, robust efficacy (with respect to improving the symptoms and signs of RA, as well as physical function) has been observed with SAR in combination with MTX. Patients recruited into the </w:t>
      </w:r>
      <w:r w:rsidR="004D78CD">
        <w:t>Phase III</w:t>
      </w:r>
      <w:r w:rsidRPr="00F2302A">
        <w:t xml:space="preserve"> studies were inadequate responders to conventional and/or biologic DMARD therapy. Unfavourable effects consistent with the expected profile of an anti-IL-6 therapy have been observed with SAR, including serious infections and cases of neutro</w:t>
      </w:r>
      <w:r w:rsidR="00BA3918">
        <w:t>paenia</w:t>
      </w:r>
      <w:r w:rsidR="004D78CD">
        <w:t>.</w:t>
      </w:r>
    </w:p>
    <w:p w14:paraId="3690F439" w14:textId="77777777" w:rsidR="00C618F7" w:rsidRDefault="00C618F7" w:rsidP="00C618F7">
      <w:pPr>
        <w:pStyle w:val="Heading2"/>
      </w:pPr>
      <w:bookmarkStart w:id="378" w:name="_Toc519848476"/>
      <w:r>
        <w:t>Second round recommendation regarding authorisation</w:t>
      </w:r>
      <w:bookmarkEnd w:id="378"/>
    </w:p>
    <w:p w14:paraId="71F5F2AA" w14:textId="69333946" w:rsidR="00F2302A" w:rsidRPr="00F2302A" w:rsidRDefault="00591F82" w:rsidP="00F2302A">
      <w:r>
        <w:t>The evaluator</w:t>
      </w:r>
      <w:r w:rsidR="00F2302A" w:rsidRPr="00F2302A">
        <w:t xml:space="preserve"> recommend</w:t>
      </w:r>
      <w:r>
        <w:t>s</w:t>
      </w:r>
      <w:r w:rsidR="00F2302A" w:rsidRPr="00F2302A">
        <w:t xml:space="preserve"> acceptance of the sponsor’s request for the registration of SAR for the treatment of moderately to severely active RA in adult patients who have failed to respond to or are intolerant of 1 or more DMARD drugs (including prior anti-TNF therapy). The treatment indication reflects the populations studied in the submitted trials. The proposed wording also includes specification that SAR treatment should only be used in combination with non-biological DMARDs, which is consistent with the submitted dataset. Based on the data available, SAR in combination with MTX is effective and demonstrates a comparable and an acceptable safety profile to other biologic therapies (including an alternative anti-IL-6 therapy, tocilizumab) in the management of active RA in adult patients. However, on the balance of scientific evidence, the sponsor proposed posology for SAR is insufficiently acceptable. The sponsor proposed posology for SAR therapy recommends 200 mg q2w as the regimen for the majority of patients, and the dose of SAR can be reduced to 150 mg q2w for the management of neutro</w:t>
      </w:r>
      <w:r w:rsidR="00BA3918">
        <w:t>paenia</w:t>
      </w:r>
      <w:r w:rsidR="00F2302A" w:rsidRPr="00F2302A">
        <w:t>, thrombocyto</w:t>
      </w:r>
      <w:r w:rsidR="00BA3918">
        <w:t>paenia</w:t>
      </w:r>
      <w:r w:rsidR="00F2302A" w:rsidRPr="00F2302A">
        <w:t xml:space="preserve"> and elevated liver enzyme tests.</w:t>
      </w:r>
      <w:r>
        <w:t xml:space="preserve"> The evaluator </w:t>
      </w:r>
      <w:r w:rsidR="00F2302A" w:rsidRPr="00F2302A">
        <w:t>recommend</w:t>
      </w:r>
      <w:r>
        <w:t>s</w:t>
      </w:r>
      <w:r w:rsidR="00F2302A" w:rsidRPr="00F2302A">
        <w:t xml:space="preserve"> the posology of SAR be 150 mg q2w for all patients as the totality of the clinical dataset indicates that this is the lowest, most clinically effective regimen with an acceptable safety profile.</w:t>
      </w:r>
    </w:p>
    <w:p w14:paraId="036B5A4C" w14:textId="0EF186F0" w:rsidR="00F2302A" w:rsidRPr="00F2302A" w:rsidRDefault="00F2302A" w:rsidP="00F2302A">
      <w:r w:rsidRPr="00F2302A">
        <w:t>Should approval of the sponsor’s proposed registration of SAR for the treatment of active RA be granted,</w:t>
      </w:r>
      <w:r w:rsidR="00591F82">
        <w:t xml:space="preserve"> the evaluator </w:t>
      </w:r>
      <w:r w:rsidRPr="00F2302A">
        <w:t>also recommend</w:t>
      </w:r>
      <w:r w:rsidR="00591F82">
        <w:t>s</w:t>
      </w:r>
      <w:r w:rsidRPr="00F2302A">
        <w:t xml:space="preserve"> that approval be subject to regular periodic safety update reports and when available, the sponsor provides the TGA with the final clinical study report for</w:t>
      </w:r>
      <w:r>
        <w:t xml:space="preserve"> the </w:t>
      </w:r>
      <w:r w:rsidR="004D78CD">
        <w:t>long term</w:t>
      </w:r>
      <w:r>
        <w:t xml:space="preserve"> </w:t>
      </w:r>
      <w:r w:rsidR="00A2292D">
        <w:t xml:space="preserve">Study </w:t>
      </w:r>
      <w:r>
        <w:t>LTS11210.</w:t>
      </w:r>
    </w:p>
    <w:p w14:paraId="4873D6DF" w14:textId="77777777" w:rsidR="00C618F7" w:rsidRDefault="00C618F7" w:rsidP="00C618F7">
      <w:pPr>
        <w:pStyle w:val="Heading2"/>
      </w:pPr>
      <w:bookmarkStart w:id="379" w:name="_Toc519848477"/>
      <w:r>
        <w:lastRenderedPageBreak/>
        <w:t>References</w:t>
      </w:r>
      <w:bookmarkEnd w:id="379"/>
    </w:p>
    <w:p w14:paraId="1F070ADF" w14:textId="77777777" w:rsidR="00F2302A" w:rsidRPr="00F2302A" w:rsidRDefault="00F2302A" w:rsidP="00F2302A">
      <w:r w:rsidRPr="00F2302A">
        <w:t xml:space="preserve">Aletaha D, et al. 2010 rheumatoid arthritis classification criteria: an American College of Rheumatology/European League Against Rheumatism collaborative initiative. </w:t>
      </w:r>
      <w:r w:rsidRPr="00395EDF">
        <w:rPr>
          <w:i/>
        </w:rPr>
        <w:t>Ann Rheum Dis</w:t>
      </w:r>
      <w:r w:rsidRPr="00F2302A">
        <w:t xml:space="preserve"> 2010; 69:1580–1588.</w:t>
      </w:r>
    </w:p>
    <w:p w14:paraId="6C38C907" w14:textId="77777777" w:rsidR="00F2302A" w:rsidRPr="00F2302A" w:rsidRDefault="00591F82" w:rsidP="00F2302A">
      <w:r>
        <w:t>Aletaha D</w:t>
      </w:r>
      <w:r w:rsidR="00F2302A" w:rsidRPr="00F2302A">
        <w:t xml:space="preserve">, et al. Acute phase reactants add little to composite disease activity indices for rheumatoid arthritis: validation of a clinical activity score. </w:t>
      </w:r>
      <w:r w:rsidR="00F2302A" w:rsidRPr="00395EDF">
        <w:rPr>
          <w:i/>
        </w:rPr>
        <w:t>Arthritis Res Ther</w:t>
      </w:r>
      <w:r w:rsidR="00F2302A" w:rsidRPr="00F2302A">
        <w:t xml:space="preserve"> 2005; 7: R796-806.</w:t>
      </w:r>
    </w:p>
    <w:p w14:paraId="5984FE56" w14:textId="77777777" w:rsidR="00F2302A" w:rsidRPr="00F2302A" w:rsidRDefault="00F2302A" w:rsidP="00F2302A">
      <w:r w:rsidRPr="00F2302A">
        <w:t xml:space="preserve">Arnett FC, et al. The American Rheumatism Association 1987 revised criteria for the classification of rheumatoid arthritis. </w:t>
      </w:r>
      <w:r w:rsidRPr="00395EDF">
        <w:rPr>
          <w:i/>
        </w:rPr>
        <w:t>Arthritis Rheum</w:t>
      </w:r>
      <w:r w:rsidRPr="00F2302A">
        <w:t xml:space="preserve"> 1988; 31: 315-324.</w:t>
      </w:r>
    </w:p>
    <w:p w14:paraId="5E1E1F8D" w14:textId="77777777" w:rsidR="00F2302A" w:rsidRPr="00F2302A" w:rsidRDefault="00F2302A" w:rsidP="00F2302A">
      <w:r w:rsidRPr="00F2302A">
        <w:t xml:space="preserve">Bombardier C, et al. The relationship between joint damage and functional disability in rheumatoid arthritis: a systematic review. </w:t>
      </w:r>
      <w:r w:rsidRPr="00395EDF">
        <w:rPr>
          <w:i/>
        </w:rPr>
        <w:t>Ann Rheum Dis</w:t>
      </w:r>
      <w:r w:rsidRPr="00F2302A">
        <w:t xml:space="preserve"> 2012; 71: 836-44.</w:t>
      </w:r>
    </w:p>
    <w:p w14:paraId="44AD5D28" w14:textId="77777777" w:rsidR="00F2302A" w:rsidRPr="00F2302A" w:rsidRDefault="00F2302A" w:rsidP="00F2302A">
      <w:r w:rsidRPr="00F2302A">
        <w:t xml:space="preserve">Dadoun S, et al. Mortality in rheumatoid arthritis over the last fifty years: systematic review and meta-analysis. </w:t>
      </w:r>
      <w:r w:rsidRPr="00395EDF">
        <w:rPr>
          <w:i/>
        </w:rPr>
        <w:t>Joint Bone Spine</w:t>
      </w:r>
      <w:r w:rsidRPr="00F2302A">
        <w:t xml:space="preserve"> 2013; 80: 29-33.</w:t>
      </w:r>
    </w:p>
    <w:p w14:paraId="49DBA7D0" w14:textId="77777777" w:rsidR="00F2302A" w:rsidRPr="00F2302A" w:rsidRDefault="00F2302A" w:rsidP="00F2302A">
      <w:r w:rsidRPr="00F2302A">
        <w:t xml:space="preserve">Dickmann LJ, et al. Effects of interleukin-6 (IL-6) and an anti-IL-6 monoclonal antibody on drug-metabolising enzymes in human hepatocyte culture. </w:t>
      </w:r>
      <w:r w:rsidRPr="00395EDF">
        <w:rPr>
          <w:i/>
        </w:rPr>
        <w:t>Drug Metab Dispos</w:t>
      </w:r>
      <w:r w:rsidRPr="00F2302A">
        <w:t xml:space="preserve"> 2011; 39: 1415-22.</w:t>
      </w:r>
    </w:p>
    <w:p w14:paraId="0AC1C011" w14:textId="77777777" w:rsidR="004D78CD" w:rsidRDefault="00F2302A" w:rsidP="00F2302A">
      <w:r w:rsidRPr="00F2302A">
        <w:t xml:space="preserve">Duran J, et al. Methotrexate dosage as a source of bias in biological trials in rheumatoid arthritis: a systematic review. </w:t>
      </w:r>
      <w:r w:rsidRPr="00395EDF">
        <w:rPr>
          <w:i/>
        </w:rPr>
        <w:t>Ann Rheum Dis</w:t>
      </w:r>
      <w:r w:rsidRPr="00F2302A">
        <w:t xml:space="preserve"> 2016; doi: 10.1136/annrheumdis-2016-209383</w:t>
      </w:r>
      <w:r w:rsidR="004D78CD">
        <w:t>.</w:t>
      </w:r>
    </w:p>
    <w:p w14:paraId="45F1F610" w14:textId="77777777" w:rsidR="00F2302A" w:rsidRPr="00F2302A" w:rsidRDefault="00F2302A" w:rsidP="00F2302A">
      <w:r w:rsidRPr="00F2302A">
        <w:t xml:space="preserve">Emery P, et al. IL-6 receptor inhibition with tocilizumab improves treatment outcomes in patients with rheumatoid arthritis refractory to anti-tumour necrosis factor biologicals: results from a </w:t>
      </w:r>
      <w:r w:rsidR="00041F97">
        <w:t>24 week</w:t>
      </w:r>
      <w:r w:rsidRPr="00F2302A">
        <w:t xml:space="preserve"> multicentre randomised placebo-controlled trial. </w:t>
      </w:r>
      <w:r w:rsidRPr="00395EDF">
        <w:rPr>
          <w:i/>
        </w:rPr>
        <w:t>Ann Rheum Dis</w:t>
      </w:r>
      <w:r w:rsidRPr="00F2302A">
        <w:t xml:space="preserve"> 2008; 67: 1516-1523.</w:t>
      </w:r>
    </w:p>
    <w:p w14:paraId="6E798BE4" w14:textId="77777777" w:rsidR="00F2302A" w:rsidRPr="00F2302A" w:rsidRDefault="00F2302A" w:rsidP="00F2302A">
      <w:r w:rsidRPr="00F2302A">
        <w:t xml:space="preserve">Felson DT, et al. American College of Rheumatology/European League against Rheumatism provisional definition of remission in rheumatoid arthritis for clinical trials. </w:t>
      </w:r>
      <w:r w:rsidRPr="00395EDF">
        <w:rPr>
          <w:i/>
        </w:rPr>
        <w:t>Ann Rheum Dis</w:t>
      </w:r>
      <w:r w:rsidRPr="00F2302A">
        <w:t xml:space="preserve"> 2011; 70: 404-13.</w:t>
      </w:r>
    </w:p>
    <w:p w14:paraId="47F89FFD" w14:textId="77777777" w:rsidR="004D78CD" w:rsidRDefault="00F2302A" w:rsidP="00F2302A">
      <w:r w:rsidRPr="00F2302A">
        <w:t>Fleischmann RM, et al. Tocilizumab inhibits structural damage and improves physical function in patients with rheumatoid arthritis and inadequate responses to methotrexate: LITHE study 2</w:t>
      </w:r>
      <w:r w:rsidR="004D78CD">
        <w:t xml:space="preserve"> year</w:t>
      </w:r>
      <w:r w:rsidRPr="00F2302A">
        <w:t xml:space="preserve"> results. </w:t>
      </w:r>
      <w:r w:rsidRPr="00F2302A">
        <w:rPr>
          <w:i/>
        </w:rPr>
        <w:t>J Rheumatol</w:t>
      </w:r>
      <w:r w:rsidRPr="00F2302A">
        <w:t xml:space="preserve"> 2013; 40: 113-126</w:t>
      </w:r>
      <w:r w:rsidR="004D78CD">
        <w:t>.</w:t>
      </w:r>
    </w:p>
    <w:p w14:paraId="281E97FC" w14:textId="7FD7C258" w:rsidR="00F2302A" w:rsidRPr="00F2302A" w:rsidRDefault="00F2302A" w:rsidP="00F2302A">
      <w:r w:rsidRPr="00F2302A">
        <w:t xml:space="preserve">Kremer JM, et al. Tocilizumab inhibits structural joint damage in rheumatoid arthritis patients with inadequate responses to methotrexate: Results from the </w:t>
      </w:r>
      <w:r w:rsidR="00E0128B">
        <w:t>double blind</w:t>
      </w:r>
      <w:r w:rsidRPr="00F2302A">
        <w:t xml:space="preserve"> treatment phase of a randomized placebo-controlled trial of tocilizumab safety and prevention of structural joint damage at one year. </w:t>
      </w:r>
      <w:r w:rsidRPr="00F2302A">
        <w:rPr>
          <w:i/>
        </w:rPr>
        <w:t>Arthritis Rheum</w:t>
      </w:r>
      <w:r w:rsidRPr="00F2302A">
        <w:t xml:space="preserve"> 2011; 63:</w:t>
      </w:r>
      <w:r>
        <w:t xml:space="preserve"> </w:t>
      </w:r>
      <w:r w:rsidRPr="00F2302A">
        <w:t>609-21.</w:t>
      </w:r>
    </w:p>
    <w:p w14:paraId="38B967AD" w14:textId="77777777" w:rsidR="00F2302A" w:rsidRPr="00F2302A" w:rsidRDefault="00F2302A" w:rsidP="00F2302A">
      <w:r w:rsidRPr="00F2302A">
        <w:t xml:space="preserve">Smolen JS, , et al. Clinical trials of new drugs for the treatment of rheumatoid arthritis: focus on early disease. </w:t>
      </w:r>
      <w:r w:rsidRPr="00F2302A">
        <w:rPr>
          <w:i/>
        </w:rPr>
        <w:t>Ann Rheum Dis</w:t>
      </w:r>
      <w:r w:rsidRPr="00F2302A">
        <w:t xml:space="preserve"> 2016; doi: 10</w:t>
      </w:r>
      <w:r>
        <w:t>.1136/annrheumdis-2016-209429.</w:t>
      </w:r>
    </w:p>
    <w:p w14:paraId="3BCB3C7A" w14:textId="77777777" w:rsidR="00F2302A" w:rsidRPr="00F2302A" w:rsidRDefault="00F2302A" w:rsidP="00F2302A">
      <w:r w:rsidRPr="00F2302A">
        <w:t xml:space="preserve">Smolen JS, et al. EULAR recommendations for the management of rheumatoid arthritis with synthetic and biological disease-modifying antirheumatic drugs: 2013 update. </w:t>
      </w:r>
      <w:r w:rsidRPr="00F2302A">
        <w:rPr>
          <w:i/>
        </w:rPr>
        <w:t>Ann Rheum Dis</w:t>
      </w:r>
      <w:r w:rsidRPr="00F2302A">
        <w:t xml:space="preserve"> 2014; 73: 492-509.</w:t>
      </w:r>
    </w:p>
    <w:p w14:paraId="55F91051" w14:textId="35FE7ECE" w:rsidR="008D770F" w:rsidRPr="00AE01C2" w:rsidRDefault="00F2302A" w:rsidP="008B5A3E">
      <w:pPr>
        <w:rPr>
          <w:lang w:eastAsia="ja-JP"/>
        </w:rPr>
      </w:pPr>
      <w:r w:rsidRPr="00F2302A">
        <w:t xml:space="preserve">Welsing </w:t>
      </w:r>
      <w:r w:rsidR="00A2292D">
        <w:t>P, et al</w:t>
      </w:r>
      <w:r w:rsidRPr="00F2302A">
        <w:t xml:space="preserve">. Minimal Clinically Important Difference in Radiological Progression of Joint Damage. A Definition Based on Patient Perspective. </w:t>
      </w:r>
      <w:r w:rsidRPr="00F2302A">
        <w:rPr>
          <w:i/>
        </w:rPr>
        <w:t>J Rheumatol</w:t>
      </w:r>
      <w:r w:rsidRPr="00F2302A">
        <w:t xml:space="preserve"> 2006; 33: 501-507.</w:t>
      </w:r>
      <w:bookmarkEnd w:id="3"/>
      <w:bookmarkEnd w:id="1"/>
      <w:bookmarkEnd w:id="0"/>
    </w:p>
    <w:p w14:paraId="4EF3D14F" w14:textId="77777777" w:rsidR="003D1E62" w:rsidRPr="001D043B" w:rsidRDefault="008E7846" w:rsidP="002666AC">
      <w:pPr>
        <w:sectPr w:rsidR="003D1E62" w:rsidRPr="001D043B" w:rsidSect="008D770F">
          <w:headerReference w:type="even" r:id="rId62"/>
          <w:headerReference w:type="default" r:id="rId63"/>
          <w:headerReference w:type="first" r:id="rId64"/>
          <w:footerReference w:type="first" r:id="rId65"/>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0E62415D" w14:textId="77777777" w:rsidTr="00160CBE">
        <w:trPr>
          <w:trHeight w:hRule="exact" w:val="564"/>
        </w:trPr>
        <w:tc>
          <w:tcPr>
            <w:tcW w:w="9175" w:type="dxa"/>
          </w:tcPr>
          <w:p w14:paraId="7AB1B463" w14:textId="77777777" w:rsidR="00B3567E" w:rsidRPr="00487162" w:rsidRDefault="00B3567E" w:rsidP="00160CBE">
            <w:pPr>
              <w:pStyle w:val="TGASignoff"/>
            </w:pPr>
            <w:r w:rsidRPr="00487162">
              <w:lastRenderedPageBreak/>
              <w:t>Therapeutic Goods Administration</w:t>
            </w:r>
          </w:p>
        </w:tc>
      </w:tr>
      <w:tr w:rsidR="00B3567E" w:rsidRPr="00487162" w14:paraId="466A2C6E" w14:textId="77777777" w:rsidTr="00160CBE">
        <w:trPr>
          <w:trHeight w:val="1221"/>
        </w:trPr>
        <w:tc>
          <w:tcPr>
            <w:tcW w:w="9175" w:type="dxa"/>
            <w:tcMar>
              <w:top w:w="28" w:type="dxa"/>
            </w:tcMar>
          </w:tcPr>
          <w:p w14:paraId="6A7248F3" w14:textId="77777777" w:rsidR="00B3567E" w:rsidRPr="00487162" w:rsidRDefault="00B3567E" w:rsidP="00160CBE">
            <w:pPr>
              <w:pStyle w:val="Address"/>
            </w:pPr>
            <w:r w:rsidRPr="00487162">
              <w:t>PO Box 100 Woden ACT 2606 Australia</w:t>
            </w:r>
          </w:p>
          <w:p w14:paraId="3D658D03" w14:textId="77777777" w:rsidR="00B3567E" w:rsidRPr="00487162" w:rsidRDefault="00B3567E" w:rsidP="00160CBE">
            <w:pPr>
              <w:pStyle w:val="Address"/>
            </w:pPr>
            <w:r w:rsidRPr="00487162">
              <w:t xml:space="preserve">Email: </w:t>
            </w:r>
            <w:hyperlink r:id="rId66" w:history="1">
              <w:r w:rsidRPr="008D770F">
                <w:rPr>
                  <w:rStyle w:val="Hyperlink"/>
                </w:rPr>
                <w:t>info@tga.gov.au</w:t>
              </w:r>
            </w:hyperlink>
            <w:r w:rsidR="004D78CD">
              <w:t xml:space="preserve"> </w:t>
            </w:r>
            <w:r w:rsidRPr="00487162">
              <w:t>Phone: 1800 020 653</w:t>
            </w:r>
            <w:r w:rsidR="004D78CD">
              <w:t xml:space="preserve"> </w:t>
            </w:r>
            <w:r w:rsidRPr="00487162">
              <w:t>Fax: 02 6232 8605</w:t>
            </w:r>
          </w:p>
          <w:p w14:paraId="7BDF73CB" w14:textId="77777777" w:rsidR="00B3567E" w:rsidRPr="008D770F" w:rsidRDefault="00655A51" w:rsidP="00160CBE">
            <w:pPr>
              <w:pStyle w:val="Address"/>
              <w:spacing w:line="260" w:lineRule="atLeast"/>
              <w:rPr>
                <w:b/>
                <w:color w:val="0000FF"/>
                <w:u w:val="single"/>
              </w:rPr>
            </w:pPr>
            <w:hyperlink r:id="rId67" w:history="1">
              <w:r w:rsidR="00E979F4" w:rsidRPr="00FE02B1">
                <w:rPr>
                  <w:rStyle w:val="Hyperlink"/>
                  <w:b/>
                </w:rPr>
                <w:t>https://www.tga.gov.au</w:t>
              </w:r>
            </w:hyperlink>
          </w:p>
        </w:tc>
      </w:tr>
    </w:tbl>
    <w:p w14:paraId="72375133" w14:textId="77777777" w:rsidR="00774E1D" w:rsidRPr="008A5E0B" w:rsidRDefault="00774E1D" w:rsidP="008A5E0B"/>
    <w:sectPr w:rsidR="00774E1D" w:rsidRPr="008A5E0B" w:rsidSect="00B3567E">
      <w:headerReference w:type="even" r:id="rId68"/>
      <w:headerReference w:type="default" r:id="rId69"/>
      <w:footerReference w:type="default" r:id="rId70"/>
      <w:headerReference w:type="first" r:id="rId71"/>
      <w:footerReference w:type="first" r:id="rId72"/>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5FABEC" w15:done="0"/>
  <w15:commentEx w15:paraId="1DFF1925" w15:done="0"/>
  <w15:commentEx w15:paraId="33D4C13A" w15:done="0"/>
  <w15:commentEx w15:paraId="6560EA21" w15:done="0"/>
  <w15:commentEx w15:paraId="5202D5B2" w15:done="0"/>
  <w15:commentEx w15:paraId="6678C630" w15:done="0"/>
  <w15:commentEx w15:paraId="51CCE21C" w15:done="0"/>
  <w15:commentEx w15:paraId="1111C609" w15:done="0"/>
  <w15:commentEx w15:paraId="4FFC323E" w15:done="0"/>
  <w15:commentEx w15:paraId="19204898" w15:done="0"/>
  <w15:commentEx w15:paraId="59504707" w15:done="0"/>
  <w15:commentEx w15:paraId="5101A138" w15:done="0"/>
  <w15:commentEx w15:paraId="639A5C74" w15:done="0"/>
  <w15:commentEx w15:paraId="068DC16B" w15:done="0"/>
  <w15:commentEx w15:paraId="0741E351" w15:done="0"/>
  <w15:commentEx w15:paraId="05BA4BCF" w15:done="0"/>
  <w15:commentEx w15:paraId="56FAEC36" w15:done="0"/>
  <w15:commentEx w15:paraId="7344AD4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90AD34" w14:textId="77777777" w:rsidR="00D356CE" w:rsidRDefault="00D356CE" w:rsidP="00C40A36">
      <w:pPr>
        <w:spacing w:after="0"/>
      </w:pPr>
      <w:r>
        <w:separator/>
      </w:r>
    </w:p>
  </w:endnote>
  <w:endnote w:type="continuationSeparator" w:id="0">
    <w:p w14:paraId="4D2DBD19" w14:textId="77777777" w:rsidR="00D356CE" w:rsidRDefault="00D356C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D356CE" w:rsidRPr="00487162" w14:paraId="5C5E2B17" w14:textId="77777777" w:rsidTr="00766D0E">
      <w:trPr>
        <w:trHeight w:val="269"/>
      </w:trPr>
      <w:tc>
        <w:tcPr>
          <w:tcW w:w="7513" w:type="dxa"/>
          <w:tcMar>
            <w:top w:w="142" w:type="dxa"/>
            <w:bottom w:w="0" w:type="dxa"/>
          </w:tcMar>
        </w:tcPr>
        <w:p w14:paraId="3D89DDB4" w14:textId="47CCC4CF" w:rsidR="00D356CE" w:rsidRPr="00487162" w:rsidRDefault="004D0D48" w:rsidP="00D356CE">
          <w:pPr>
            <w:pStyle w:val="Footer"/>
          </w:pPr>
          <w:r>
            <w:t xml:space="preserve">AusPAR Attachment 1 - </w:t>
          </w:r>
          <w:r w:rsidR="00D356CE" w:rsidRPr="00B3199B">
            <w:t xml:space="preserve">KEVZARA / ILSIDEX - Sarilumab - Sanofi-Aventis Australia Pty Ltd - PM-2015-04024-1-3 </w:t>
          </w:r>
          <w:r w:rsidR="00D356CE">
            <w:t>Extract from the Clinical Evaluation Report FINAL 30 May 2018</w:t>
          </w:r>
        </w:p>
      </w:tc>
      <w:tc>
        <w:tcPr>
          <w:tcW w:w="1348" w:type="dxa"/>
          <w:tcMar>
            <w:top w:w="142" w:type="dxa"/>
            <w:bottom w:w="0" w:type="dxa"/>
          </w:tcMar>
        </w:tcPr>
        <w:p w14:paraId="6D0B0F7D" w14:textId="77777777" w:rsidR="00D356CE" w:rsidRPr="00981D66" w:rsidRDefault="00D356CE"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655A51">
            <w:rPr>
              <w:noProof/>
            </w:rPr>
            <w:t>3</w:t>
          </w:r>
          <w:r w:rsidRPr="00981D66">
            <w:fldChar w:fldCharType="end"/>
          </w:r>
          <w:r w:rsidRPr="00981D66">
            <w:t xml:space="preserve"> of </w:t>
          </w:r>
          <w:fldSimple w:instr=" NUMPAGES  \* Arabic  \* MERGEFORMAT ">
            <w:r w:rsidR="00655A51">
              <w:rPr>
                <w:noProof/>
              </w:rPr>
              <w:t>128</w:t>
            </w:r>
          </w:fldSimple>
        </w:p>
      </w:tc>
    </w:tr>
  </w:tbl>
  <w:p w14:paraId="23A7F4CA" w14:textId="77777777" w:rsidR="00D356CE" w:rsidRDefault="00D356CE"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D356CE" w:rsidRPr="00487162" w14:paraId="70CEAA9F" w14:textId="77777777" w:rsidTr="00E45619">
      <w:trPr>
        <w:trHeight w:val="269"/>
      </w:trPr>
      <w:tc>
        <w:tcPr>
          <w:tcW w:w="4519" w:type="dxa"/>
          <w:tcBorders>
            <w:top w:val="single" w:sz="4" w:space="0" w:color="auto"/>
          </w:tcBorders>
          <w:tcMar>
            <w:top w:w="142" w:type="dxa"/>
            <w:bottom w:w="0" w:type="dxa"/>
          </w:tcMar>
        </w:tcPr>
        <w:p w14:paraId="1A6AF5FD" w14:textId="77777777" w:rsidR="00D356CE" w:rsidRPr="00487162" w:rsidRDefault="00D356CE" w:rsidP="00FE1DEE">
          <w:pPr>
            <w:pStyle w:val="Footer"/>
          </w:pPr>
          <w:r w:rsidRPr="00487162">
            <w:t>Document title, Part #, Section # - Section title</w:t>
          </w:r>
        </w:p>
        <w:p w14:paraId="146BA8A7" w14:textId="77777777" w:rsidR="00D356CE" w:rsidRPr="00487162" w:rsidRDefault="00D356CE" w:rsidP="00FE1DEE">
          <w:pPr>
            <w:pStyle w:val="Footer"/>
          </w:pPr>
          <w:r w:rsidRPr="00487162">
            <w:t>V1.0 October 2010</w:t>
          </w:r>
        </w:p>
      </w:tc>
      <w:tc>
        <w:tcPr>
          <w:tcW w:w="4342" w:type="dxa"/>
          <w:tcBorders>
            <w:top w:val="single" w:sz="4" w:space="0" w:color="auto"/>
          </w:tcBorders>
          <w:tcMar>
            <w:top w:w="142" w:type="dxa"/>
            <w:bottom w:w="0" w:type="dxa"/>
          </w:tcMar>
        </w:tcPr>
        <w:p w14:paraId="0131DBEC" w14:textId="77777777" w:rsidR="00D356CE" w:rsidRPr="00487162" w:rsidRDefault="00D356C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14:paraId="43749750" w14:textId="77777777" w:rsidR="00D356CE" w:rsidRDefault="00D356C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FC2DE" w14:textId="77777777" w:rsidR="00D356CE" w:rsidRDefault="00D356CE"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D356CE" w14:paraId="54EA9A3D" w14:textId="77777777" w:rsidTr="0010601F">
      <w:trPr>
        <w:trHeight w:val="108"/>
      </w:trPr>
      <w:tc>
        <w:tcPr>
          <w:tcW w:w="8875" w:type="dxa"/>
          <w:gridSpan w:val="2"/>
          <w:tcBorders>
            <w:bottom w:val="single" w:sz="4" w:space="0" w:color="auto"/>
          </w:tcBorders>
          <w:tcMar>
            <w:right w:w="284" w:type="dxa"/>
          </w:tcMar>
        </w:tcPr>
        <w:p w14:paraId="7FC90F85" w14:textId="77777777" w:rsidR="00D356CE" w:rsidRDefault="00D356CE" w:rsidP="006E08B3">
          <w:pPr>
            <w:pStyle w:val="Heading3"/>
          </w:pPr>
          <w:r>
            <w:t>Copyright</w:t>
          </w:r>
        </w:p>
        <w:p w14:paraId="5F656437" w14:textId="21E6E780" w:rsidR="00D356CE" w:rsidRDefault="00D356CE" w:rsidP="006E08B3">
          <w:r>
            <w:rPr>
              <w:rFonts w:cs="Arial"/>
            </w:rPr>
            <w:t>©</w:t>
          </w:r>
          <w:r>
            <w:t xml:space="preserve"> Commonwealth of Australia (add year)</w:t>
          </w:r>
        </w:p>
        <w:p w14:paraId="4FC27868" w14:textId="77777777" w:rsidR="00D356CE" w:rsidRDefault="00D356CE" w:rsidP="006E08B3"/>
        <w:p w14:paraId="7292133B" w14:textId="77777777" w:rsidR="00D356CE" w:rsidRDefault="00D356C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68F8BC63" w14:textId="77777777" w:rsidR="00D356CE" w:rsidRDefault="00D356CE" w:rsidP="006E08B3"/>
        <w:p w14:paraId="296008D8" w14:textId="77777777" w:rsidR="00D356CE" w:rsidRDefault="00D356CE" w:rsidP="006E08B3">
          <w:pPr>
            <w:pStyle w:val="Heading3"/>
          </w:pPr>
          <w:r>
            <w:t>Confidentiality</w:t>
          </w:r>
        </w:p>
        <w:p w14:paraId="64400901" w14:textId="25EB8BFB" w:rsidR="00D356CE" w:rsidRDefault="00D356C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7A65098" w14:textId="77777777" w:rsidR="00D356CE" w:rsidRDefault="00D356CE" w:rsidP="006E08B3"/>
        <w:p w14:paraId="126E99E8" w14:textId="77777777" w:rsidR="00D356CE" w:rsidRDefault="00D356CE" w:rsidP="006E08B3">
          <w:r>
            <w:t>For submission made by individuals, all personal details, other than your name, will be removed from your submission before it is published on the TGA’s Internet site.</w:t>
          </w:r>
        </w:p>
        <w:p w14:paraId="38132615" w14:textId="77777777" w:rsidR="00D356CE" w:rsidRDefault="00D356CE" w:rsidP="006E08B3"/>
        <w:p w14:paraId="51A8D46F" w14:textId="77777777" w:rsidR="00D356CE" w:rsidRDefault="00D356CE" w:rsidP="006E08B3">
          <w:r>
            <w:t>In addition, a list of parties making submissions will be published. If you do not wish to be identified with your submission you must specifically request this in the space provided ib the submission coversheet.</w:t>
          </w:r>
        </w:p>
      </w:tc>
    </w:tr>
    <w:tr w:rsidR="00D356CE" w14:paraId="5A3C9B65" w14:textId="77777777" w:rsidTr="0010601F">
      <w:trPr>
        <w:trHeight w:val="417"/>
      </w:trPr>
      <w:tc>
        <w:tcPr>
          <w:tcW w:w="4519" w:type="dxa"/>
          <w:tcBorders>
            <w:top w:val="single" w:sz="4" w:space="0" w:color="auto"/>
          </w:tcBorders>
          <w:tcMar>
            <w:top w:w="142" w:type="dxa"/>
            <w:bottom w:w="0" w:type="dxa"/>
          </w:tcMar>
        </w:tcPr>
        <w:p w14:paraId="472BEFED" w14:textId="77777777" w:rsidR="00D356CE" w:rsidRDefault="00D356CE" w:rsidP="006E08B3">
          <w:r>
            <w:t>Document title, Part #, Section # - Section title</w:t>
          </w:r>
        </w:p>
        <w:p w14:paraId="7BA021CC" w14:textId="77777777" w:rsidR="00D356CE" w:rsidRDefault="00D356CE" w:rsidP="006E08B3">
          <w:r>
            <w:t>V1.0 October 2010</w:t>
          </w:r>
        </w:p>
      </w:tc>
      <w:tc>
        <w:tcPr>
          <w:tcW w:w="4356" w:type="dxa"/>
          <w:tcBorders>
            <w:top w:val="single" w:sz="4" w:space="0" w:color="auto"/>
          </w:tcBorders>
          <w:tcMar>
            <w:top w:w="142" w:type="dxa"/>
            <w:bottom w:w="0" w:type="dxa"/>
          </w:tcMar>
        </w:tcPr>
        <w:p w14:paraId="493D92FC" w14:textId="77777777" w:rsidR="00D356CE" w:rsidRDefault="00D356C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14:paraId="62226754" w14:textId="77777777" w:rsidR="00D356CE" w:rsidRDefault="00D356C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7A6ED8" w14:textId="77777777" w:rsidR="00D356CE" w:rsidRDefault="00D356CE" w:rsidP="00C40A36">
      <w:pPr>
        <w:spacing w:after="0"/>
      </w:pPr>
      <w:r>
        <w:separator/>
      </w:r>
    </w:p>
  </w:footnote>
  <w:footnote w:type="continuationSeparator" w:id="0">
    <w:p w14:paraId="5585D162" w14:textId="77777777" w:rsidR="00D356CE" w:rsidRDefault="00D356CE" w:rsidP="00C40A36">
      <w:pPr>
        <w:spacing w:after="0"/>
      </w:pPr>
      <w:r>
        <w:continuationSeparator/>
      </w:r>
    </w:p>
  </w:footnote>
  <w:footnote w:id="1">
    <w:p w14:paraId="2C53C5D1" w14:textId="1FF0E576" w:rsidR="00D356CE" w:rsidRPr="009E4A99" w:rsidRDefault="00D356CE">
      <w:pPr>
        <w:pStyle w:val="FootnoteText"/>
        <w:rPr>
          <w:lang w:val="en-US"/>
        </w:rPr>
      </w:pPr>
      <w:r>
        <w:rPr>
          <w:rStyle w:val="FootnoteReference"/>
        </w:rPr>
        <w:footnoteRef/>
      </w:r>
      <w:r>
        <w:t xml:space="preserve"> </w:t>
      </w:r>
      <w:r>
        <w:rPr>
          <w:lang w:val="en-US"/>
        </w:rPr>
        <w:t>The sponsor subsequently provided information on the safety of sarilumab with self-administration of medication Please see Section 12; Question 5.</w:t>
      </w:r>
    </w:p>
  </w:footnote>
  <w:footnote w:id="2">
    <w:p w14:paraId="68569AAD" w14:textId="6AEBE4C7" w:rsidR="00D356CE" w:rsidRPr="009E4A99" w:rsidRDefault="00D356CE">
      <w:pPr>
        <w:pStyle w:val="FootnoteText"/>
        <w:rPr>
          <w:lang w:val="en-GB"/>
        </w:rPr>
      </w:pPr>
      <w:r>
        <w:rPr>
          <w:rStyle w:val="FootnoteReference"/>
        </w:rPr>
        <w:footnoteRef/>
      </w:r>
      <w:r>
        <w:t xml:space="preserve"> </w:t>
      </w:r>
      <w:r w:rsidRPr="00046C7A">
        <w:t>Duran J, et al. Methotrexate dosage as a source of bias in biological trials in rheumatoid arthritis: a systematic review. Ann Rhe</w:t>
      </w:r>
      <w:r>
        <w:t>um Dis 2016.</w:t>
      </w:r>
    </w:p>
  </w:footnote>
  <w:footnote w:id="3">
    <w:p w14:paraId="2758F933" w14:textId="77777777" w:rsidR="00D356CE" w:rsidRPr="00591F82" w:rsidRDefault="00D356CE">
      <w:pPr>
        <w:pStyle w:val="FootnoteText"/>
        <w:rPr>
          <w:lang w:val="en-US"/>
        </w:rPr>
      </w:pPr>
      <w:r>
        <w:rPr>
          <w:rStyle w:val="FootnoteReference"/>
        </w:rPr>
        <w:footnoteRef/>
      </w:r>
      <w:r>
        <w:t xml:space="preserve"> </w:t>
      </w:r>
      <w:r>
        <w:rPr>
          <w:lang w:val="en-US"/>
        </w:rPr>
        <w:t>The Royal Australian College of General Practitioners. Clinical guideline for the diagnosis and management of early rheumatoid arthritis. August 2009.</w:t>
      </w:r>
    </w:p>
  </w:footnote>
  <w:footnote w:id="4">
    <w:p w14:paraId="1B5CE0B6" w14:textId="77777777" w:rsidR="00D356CE" w:rsidRPr="00591F82" w:rsidRDefault="00D356CE">
      <w:pPr>
        <w:pStyle w:val="FootnoteText"/>
        <w:rPr>
          <w:lang w:val="en-US"/>
        </w:rPr>
      </w:pPr>
      <w:r>
        <w:rPr>
          <w:rStyle w:val="FootnoteReference"/>
        </w:rPr>
        <w:footnoteRef/>
      </w:r>
      <w:r>
        <w:t xml:space="preserve"> Australian Rheumatology Association. Recommendations for the use of biologic agents for the treatment of rhematic diseases: Revised 6 January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5CCD0" w14:textId="77777777" w:rsidR="00D356CE" w:rsidRDefault="00D356CE"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31322" w14:textId="77777777" w:rsidR="00D356CE" w:rsidRDefault="00D356CE">
    <w:pPr>
      <w:rPr>
        <w:noProof/>
        <w:lang w:eastAsia="en-AU"/>
      </w:rPr>
    </w:pPr>
    <w:r w:rsidRPr="002D545C">
      <w:rPr>
        <w:noProof/>
        <w:lang w:eastAsia="en-AU"/>
      </w:rPr>
      <w:drawing>
        <wp:anchor distT="0" distB="0" distL="114300" distR="114300" simplePos="0" relativeHeight="251659264" behindDoc="1" locked="0" layoutInCell="1" allowOverlap="1" wp14:anchorId="748B307B" wp14:editId="1ACFCEA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1091FD9C" w14:textId="77777777" w:rsidR="00D356CE" w:rsidRDefault="00D356CE" w:rsidP="00593AD1">
    <w:pPr>
      <w:pStyle w:val="HeaderNoLine"/>
    </w:pPr>
    <w:r>
      <w:rPr>
        <w:noProof/>
        <w:lang w:eastAsia="en-AU"/>
      </w:rPr>
      <w:drawing>
        <wp:inline distT="0" distB="0" distL="0" distR="0" wp14:anchorId="3136B85A" wp14:editId="1B4B2193">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D4835" w14:textId="77777777" w:rsidR="00D356CE" w:rsidRDefault="00D356C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23409" w14:textId="77777777" w:rsidR="00D356CE" w:rsidRDefault="00D356CE">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2D919" w14:textId="77777777" w:rsidR="00D356CE" w:rsidRDefault="00D356C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FA4CB" w14:textId="77777777" w:rsidR="00D356CE" w:rsidRDefault="00D356C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29229" w14:textId="77777777" w:rsidR="00D356CE" w:rsidRDefault="00D356CE"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5E850" w14:textId="77777777" w:rsidR="00D356CE" w:rsidRDefault="00D356CE" w:rsidP="006E08B3">
    <w:r>
      <w:t>Therapeutic Goods Administration</w:t>
    </w:r>
  </w:p>
  <w:p w14:paraId="0D5E38C1" w14:textId="77777777" w:rsidR="00D356CE" w:rsidRDefault="00D356C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5A47C18"/>
    <w:multiLevelType w:val="hybridMultilevel"/>
    <w:tmpl w:val="7CA418EE"/>
    <w:lvl w:ilvl="0" w:tplc="0409000F">
      <w:start w:val="1"/>
      <w:numFmt w:val="decimal"/>
      <w:lvlText w:val="%1."/>
      <w:lvlJc w:val="left"/>
      <w:pPr>
        <w:ind w:left="720" w:hanging="360"/>
      </w:pPr>
      <w:rPr>
        <w:rFonts w:cs="Times New Roman"/>
      </w:rPr>
    </w:lvl>
    <w:lvl w:ilvl="1" w:tplc="DEDC53A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1FE6664C"/>
    <w:multiLevelType w:val="hybridMultilevel"/>
    <w:tmpl w:val="26B66E88"/>
    <w:lvl w:ilvl="0" w:tplc="1DEA0F88">
      <w:start w:val="1"/>
      <w:numFmt w:val="lowerLetter"/>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
    <w:nsid w:val="2BDC4C91"/>
    <w:multiLevelType w:val="hybridMultilevel"/>
    <w:tmpl w:val="9AA64642"/>
    <w:lvl w:ilvl="0" w:tplc="C6100D4C">
      <w:start w:val="1"/>
      <w:numFmt w:val="lowerLetter"/>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5">
    <w:nsid w:val="3066740A"/>
    <w:multiLevelType w:val="hybridMultilevel"/>
    <w:tmpl w:val="F7203386"/>
    <w:lvl w:ilvl="0" w:tplc="AAAE3F22">
      <w:start w:val="1"/>
      <w:numFmt w:val="bullet"/>
      <w:pStyle w:val="Bullet1"/>
      <w:lvlText w:val="•"/>
      <w:lvlJc w:val="left"/>
      <w:pPr>
        <w:tabs>
          <w:tab w:val="num" w:pos="284"/>
        </w:tabs>
        <w:ind w:left="284" w:hanging="284"/>
      </w:pPr>
      <w:rPr>
        <w:rFonts w:ascii="Times New Roman" w:hAnsi="Times New Roman" w:hint="default"/>
      </w:rPr>
    </w:lvl>
    <w:lvl w:ilvl="1" w:tplc="0C090001">
      <w:start w:val="1"/>
      <w:numFmt w:val="bullet"/>
      <w:lvlText w:val=""/>
      <w:lvlJc w:val="left"/>
      <w:pPr>
        <w:tabs>
          <w:tab w:val="num" w:pos="1724"/>
        </w:tabs>
        <w:ind w:left="1724" w:hanging="360"/>
      </w:pPr>
      <w:rPr>
        <w:rFonts w:ascii="Symbol" w:hAnsi="Symbol"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6">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7">
    <w:nsid w:val="3AEE6C24"/>
    <w:multiLevelType w:val="hybridMultilevel"/>
    <w:tmpl w:val="DA5EE1F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67E62D51"/>
    <w:multiLevelType w:val="hybridMultilevel"/>
    <w:tmpl w:val="687CF764"/>
    <w:lvl w:ilvl="0" w:tplc="8162300A">
      <w:start w:val="1"/>
      <w:numFmt w:val="lowerLetter"/>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9">
    <w:nsid w:val="6D0B1B75"/>
    <w:multiLevelType w:val="multilevel"/>
    <w:tmpl w:val="704EE510"/>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0">
    <w:nsid w:val="774B5520"/>
    <w:multiLevelType w:val="hybridMultilevel"/>
    <w:tmpl w:val="0E1C9E0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2"/>
  </w:num>
  <w:num w:numId="4">
    <w:abstractNumId w:val="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9"/>
  </w:num>
  <w:num w:numId="6">
    <w:abstractNumId w:val="5"/>
  </w:num>
  <w:num w:numId="7">
    <w:abstractNumId w:val="6"/>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4"/>
  </w:num>
  <w:num w:numId="19">
    <w:abstractNumId w:val="8"/>
  </w:num>
  <w:num w:numId="20">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1">
    <w:abstractNumId w:val="1"/>
  </w:num>
  <w:num w:numId="22">
    <w:abstractNumId w:val="3"/>
  </w:num>
  <w:num w:numId="23">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4">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7"/>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rson w15:author="Opitz, Claudia /AU">
    <w15:presenceInfo w15:providerId="AD" w15:userId="S-1-5-21-299502267-1645522239-682003330-12343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3A4"/>
    <w:rsid w:val="00002031"/>
    <w:rsid w:val="00004734"/>
    <w:rsid w:val="00006B22"/>
    <w:rsid w:val="0001247F"/>
    <w:rsid w:val="0001276A"/>
    <w:rsid w:val="000246AE"/>
    <w:rsid w:val="00025C67"/>
    <w:rsid w:val="00040ACB"/>
    <w:rsid w:val="000413B6"/>
    <w:rsid w:val="00041F97"/>
    <w:rsid w:val="00046C7A"/>
    <w:rsid w:val="0005559E"/>
    <w:rsid w:val="00077775"/>
    <w:rsid w:val="00090471"/>
    <w:rsid w:val="00097B5E"/>
    <w:rsid w:val="000A3AED"/>
    <w:rsid w:val="000A63AF"/>
    <w:rsid w:val="000B3532"/>
    <w:rsid w:val="000B3A75"/>
    <w:rsid w:val="000C2144"/>
    <w:rsid w:val="000C5A4F"/>
    <w:rsid w:val="000C690F"/>
    <w:rsid w:val="000D1295"/>
    <w:rsid w:val="000D391B"/>
    <w:rsid w:val="000D3D6D"/>
    <w:rsid w:val="000D4FC7"/>
    <w:rsid w:val="000F02F9"/>
    <w:rsid w:val="000F37C5"/>
    <w:rsid w:val="000F4869"/>
    <w:rsid w:val="000F5B42"/>
    <w:rsid w:val="000F6E6F"/>
    <w:rsid w:val="0010193C"/>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0CBE"/>
    <w:rsid w:val="00165389"/>
    <w:rsid w:val="0017078F"/>
    <w:rsid w:val="0017693F"/>
    <w:rsid w:val="0018110E"/>
    <w:rsid w:val="00181684"/>
    <w:rsid w:val="001843C6"/>
    <w:rsid w:val="001850E0"/>
    <w:rsid w:val="00193A5C"/>
    <w:rsid w:val="00194D27"/>
    <w:rsid w:val="001A2158"/>
    <w:rsid w:val="001A3F05"/>
    <w:rsid w:val="001A525F"/>
    <w:rsid w:val="001B09F9"/>
    <w:rsid w:val="001B5D98"/>
    <w:rsid w:val="001B6448"/>
    <w:rsid w:val="001C657B"/>
    <w:rsid w:val="001E07CF"/>
    <w:rsid w:val="001E59F1"/>
    <w:rsid w:val="001F23CB"/>
    <w:rsid w:val="001F497A"/>
    <w:rsid w:val="001F49EB"/>
    <w:rsid w:val="001F6CBA"/>
    <w:rsid w:val="00201D4E"/>
    <w:rsid w:val="00206922"/>
    <w:rsid w:val="002076C9"/>
    <w:rsid w:val="00220B8A"/>
    <w:rsid w:val="002257F3"/>
    <w:rsid w:val="00230655"/>
    <w:rsid w:val="00233456"/>
    <w:rsid w:val="002339A5"/>
    <w:rsid w:val="00257848"/>
    <w:rsid w:val="00264371"/>
    <w:rsid w:val="002666AC"/>
    <w:rsid w:val="0027084A"/>
    <w:rsid w:val="00286434"/>
    <w:rsid w:val="00286C59"/>
    <w:rsid w:val="00292113"/>
    <w:rsid w:val="002942D1"/>
    <w:rsid w:val="0029501A"/>
    <w:rsid w:val="002B1638"/>
    <w:rsid w:val="002B2206"/>
    <w:rsid w:val="002B2E36"/>
    <w:rsid w:val="002B7D9B"/>
    <w:rsid w:val="002C63ED"/>
    <w:rsid w:val="002D545C"/>
    <w:rsid w:val="002D6161"/>
    <w:rsid w:val="002E4C9A"/>
    <w:rsid w:val="002E7BE4"/>
    <w:rsid w:val="002F11F8"/>
    <w:rsid w:val="002F3F56"/>
    <w:rsid w:val="002F4291"/>
    <w:rsid w:val="002F44B5"/>
    <w:rsid w:val="00311AC0"/>
    <w:rsid w:val="0032583B"/>
    <w:rsid w:val="00327883"/>
    <w:rsid w:val="003316B0"/>
    <w:rsid w:val="00335504"/>
    <w:rsid w:val="003403F3"/>
    <w:rsid w:val="0034618E"/>
    <w:rsid w:val="00347016"/>
    <w:rsid w:val="003521E8"/>
    <w:rsid w:val="003527D6"/>
    <w:rsid w:val="003728F3"/>
    <w:rsid w:val="00373D16"/>
    <w:rsid w:val="0037496E"/>
    <w:rsid w:val="0037623D"/>
    <w:rsid w:val="00380E31"/>
    <w:rsid w:val="00386150"/>
    <w:rsid w:val="003874CE"/>
    <w:rsid w:val="00390900"/>
    <w:rsid w:val="00395EDF"/>
    <w:rsid w:val="00396C92"/>
    <w:rsid w:val="003A7F6C"/>
    <w:rsid w:val="003B1113"/>
    <w:rsid w:val="003B4D60"/>
    <w:rsid w:val="003B634F"/>
    <w:rsid w:val="003B7E39"/>
    <w:rsid w:val="003C319E"/>
    <w:rsid w:val="003C58DC"/>
    <w:rsid w:val="003D0A3B"/>
    <w:rsid w:val="003D1E62"/>
    <w:rsid w:val="003D4A99"/>
    <w:rsid w:val="003E2486"/>
    <w:rsid w:val="003E3208"/>
    <w:rsid w:val="003F0B04"/>
    <w:rsid w:val="00400648"/>
    <w:rsid w:val="0040134E"/>
    <w:rsid w:val="00414D0A"/>
    <w:rsid w:val="00415D59"/>
    <w:rsid w:val="00424445"/>
    <w:rsid w:val="0043797D"/>
    <w:rsid w:val="00440A2D"/>
    <w:rsid w:val="00447C20"/>
    <w:rsid w:val="004564A7"/>
    <w:rsid w:val="004617BF"/>
    <w:rsid w:val="00463658"/>
    <w:rsid w:val="0046661A"/>
    <w:rsid w:val="004722CC"/>
    <w:rsid w:val="004936E4"/>
    <w:rsid w:val="00494E60"/>
    <w:rsid w:val="00497487"/>
    <w:rsid w:val="004A7E13"/>
    <w:rsid w:val="004B7B76"/>
    <w:rsid w:val="004C2DCA"/>
    <w:rsid w:val="004C35B6"/>
    <w:rsid w:val="004D0056"/>
    <w:rsid w:val="004D0D48"/>
    <w:rsid w:val="004D78CD"/>
    <w:rsid w:val="004F06AF"/>
    <w:rsid w:val="004F0F38"/>
    <w:rsid w:val="004F4AF5"/>
    <w:rsid w:val="00501921"/>
    <w:rsid w:val="0051341B"/>
    <w:rsid w:val="00530354"/>
    <w:rsid w:val="0053625B"/>
    <w:rsid w:val="005434C6"/>
    <w:rsid w:val="00543B39"/>
    <w:rsid w:val="00550096"/>
    <w:rsid w:val="00557FF9"/>
    <w:rsid w:val="00576378"/>
    <w:rsid w:val="00577945"/>
    <w:rsid w:val="00577E38"/>
    <w:rsid w:val="00585322"/>
    <w:rsid w:val="005857C6"/>
    <w:rsid w:val="00586F98"/>
    <w:rsid w:val="00591F82"/>
    <w:rsid w:val="00592F6E"/>
    <w:rsid w:val="00593AD1"/>
    <w:rsid w:val="005A68B6"/>
    <w:rsid w:val="005C5570"/>
    <w:rsid w:val="005C79A4"/>
    <w:rsid w:val="005D5442"/>
    <w:rsid w:val="00603F32"/>
    <w:rsid w:val="006062AB"/>
    <w:rsid w:val="00610066"/>
    <w:rsid w:val="006170F0"/>
    <w:rsid w:val="00620406"/>
    <w:rsid w:val="00627CC5"/>
    <w:rsid w:val="00632398"/>
    <w:rsid w:val="00640FC3"/>
    <w:rsid w:val="00642020"/>
    <w:rsid w:val="006420D3"/>
    <w:rsid w:val="00646206"/>
    <w:rsid w:val="00651BD3"/>
    <w:rsid w:val="0065337B"/>
    <w:rsid w:val="0065419D"/>
    <w:rsid w:val="00655A51"/>
    <w:rsid w:val="006604D8"/>
    <w:rsid w:val="00664A5B"/>
    <w:rsid w:val="00666FD5"/>
    <w:rsid w:val="006734F9"/>
    <w:rsid w:val="006763D2"/>
    <w:rsid w:val="00680C08"/>
    <w:rsid w:val="0069254A"/>
    <w:rsid w:val="006931B1"/>
    <w:rsid w:val="006A15C0"/>
    <w:rsid w:val="006A5C28"/>
    <w:rsid w:val="006B4C50"/>
    <w:rsid w:val="006C130C"/>
    <w:rsid w:val="006C3E2A"/>
    <w:rsid w:val="006C642F"/>
    <w:rsid w:val="006D03E5"/>
    <w:rsid w:val="006D5D3E"/>
    <w:rsid w:val="006E08B3"/>
    <w:rsid w:val="006F17AC"/>
    <w:rsid w:val="006F1D37"/>
    <w:rsid w:val="006F26D0"/>
    <w:rsid w:val="006F2796"/>
    <w:rsid w:val="006F572E"/>
    <w:rsid w:val="007046D6"/>
    <w:rsid w:val="00705DB0"/>
    <w:rsid w:val="00710188"/>
    <w:rsid w:val="007107E5"/>
    <w:rsid w:val="00722B57"/>
    <w:rsid w:val="007312A2"/>
    <w:rsid w:val="007348AF"/>
    <w:rsid w:val="00736606"/>
    <w:rsid w:val="0074253D"/>
    <w:rsid w:val="0074429B"/>
    <w:rsid w:val="007513B4"/>
    <w:rsid w:val="007615BC"/>
    <w:rsid w:val="00762F05"/>
    <w:rsid w:val="007652FF"/>
    <w:rsid w:val="00766D0E"/>
    <w:rsid w:val="00770EF1"/>
    <w:rsid w:val="00773EF7"/>
    <w:rsid w:val="00774E1D"/>
    <w:rsid w:val="0077675A"/>
    <w:rsid w:val="00780355"/>
    <w:rsid w:val="00785721"/>
    <w:rsid w:val="00793A59"/>
    <w:rsid w:val="007B6E9F"/>
    <w:rsid w:val="007C1216"/>
    <w:rsid w:val="007C1AF7"/>
    <w:rsid w:val="007E6E27"/>
    <w:rsid w:val="007F3E00"/>
    <w:rsid w:val="00805D27"/>
    <w:rsid w:val="00821776"/>
    <w:rsid w:val="008321F5"/>
    <w:rsid w:val="00832369"/>
    <w:rsid w:val="00834660"/>
    <w:rsid w:val="008351CC"/>
    <w:rsid w:val="00836BC2"/>
    <w:rsid w:val="008414A0"/>
    <w:rsid w:val="00842FC4"/>
    <w:rsid w:val="0085641B"/>
    <w:rsid w:val="00857136"/>
    <w:rsid w:val="00864FF5"/>
    <w:rsid w:val="00871574"/>
    <w:rsid w:val="00881E68"/>
    <w:rsid w:val="00886D15"/>
    <w:rsid w:val="00887DD8"/>
    <w:rsid w:val="00896018"/>
    <w:rsid w:val="008960DD"/>
    <w:rsid w:val="0089635C"/>
    <w:rsid w:val="008A2B9D"/>
    <w:rsid w:val="008A5E0B"/>
    <w:rsid w:val="008A6D59"/>
    <w:rsid w:val="008B4B03"/>
    <w:rsid w:val="008B50BF"/>
    <w:rsid w:val="008B596F"/>
    <w:rsid w:val="008B5A3E"/>
    <w:rsid w:val="008C159F"/>
    <w:rsid w:val="008C1623"/>
    <w:rsid w:val="008C1850"/>
    <w:rsid w:val="008C51A9"/>
    <w:rsid w:val="008D770F"/>
    <w:rsid w:val="008E7846"/>
    <w:rsid w:val="008F134F"/>
    <w:rsid w:val="008F1CCC"/>
    <w:rsid w:val="008F2967"/>
    <w:rsid w:val="008F6943"/>
    <w:rsid w:val="008F69AF"/>
    <w:rsid w:val="008F786E"/>
    <w:rsid w:val="00902A21"/>
    <w:rsid w:val="00906445"/>
    <w:rsid w:val="00913BB9"/>
    <w:rsid w:val="00920330"/>
    <w:rsid w:val="009219D7"/>
    <w:rsid w:val="00922D53"/>
    <w:rsid w:val="00923B70"/>
    <w:rsid w:val="00924482"/>
    <w:rsid w:val="00930237"/>
    <w:rsid w:val="009438E8"/>
    <w:rsid w:val="0094614A"/>
    <w:rsid w:val="00946EA5"/>
    <w:rsid w:val="0095160F"/>
    <w:rsid w:val="00963C08"/>
    <w:rsid w:val="009813AE"/>
    <w:rsid w:val="00981D66"/>
    <w:rsid w:val="00984208"/>
    <w:rsid w:val="0098585A"/>
    <w:rsid w:val="0098669D"/>
    <w:rsid w:val="00994C95"/>
    <w:rsid w:val="009A4CED"/>
    <w:rsid w:val="009A690D"/>
    <w:rsid w:val="009A73F3"/>
    <w:rsid w:val="009B1D12"/>
    <w:rsid w:val="009B416B"/>
    <w:rsid w:val="009C4BD5"/>
    <w:rsid w:val="009C5B58"/>
    <w:rsid w:val="009D7B77"/>
    <w:rsid w:val="009E0BB0"/>
    <w:rsid w:val="009E3FBB"/>
    <w:rsid w:val="009E4A99"/>
    <w:rsid w:val="00A102E4"/>
    <w:rsid w:val="00A12C42"/>
    <w:rsid w:val="00A14DF7"/>
    <w:rsid w:val="00A2292D"/>
    <w:rsid w:val="00A235D9"/>
    <w:rsid w:val="00A3246D"/>
    <w:rsid w:val="00A343A3"/>
    <w:rsid w:val="00A36FA7"/>
    <w:rsid w:val="00A475B7"/>
    <w:rsid w:val="00A47AF7"/>
    <w:rsid w:val="00A47C3E"/>
    <w:rsid w:val="00A50226"/>
    <w:rsid w:val="00A60BAD"/>
    <w:rsid w:val="00A646D5"/>
    <w:rsid w:val="00A964D1"/>
    <w:rsid w:val="00AA0ED0"/>
    <w:rsid w:val="00AA3499"/>
    <w:rsid w:val="00AB7E74"/>
    <w:rsid w:val="00AC2B40"/>
    <w:rsid w:val="00AC2BB2"/>
    <w:rsid w:val="00AC2C3C"/>
    <w:rsid w:val="00AC512D"/>
    <w:rsid w:val="00AE01C2"/>
    <w:rsid w:val="00AE65EB"/>
    <w:rsid w:val="00AE67A7"/>
    <w:rsid w:val="00AF1D94"/>
    <w:rsid w:val="00AF60C5"/>
    <w:rsid w:val="00B009C6"/>
    <w:rsid w:val="00B01548"/>
    <w:rsid w:val="00B02208"/>
    <w:rsid w:val="00B1425E"/>
    <w:rsid w:val="00B14FC6"/>
    <w:rsid w:val="00B21D29"/>
    <w:rsid w:val="00B25034"/>
    <w:rsid w:val="00B275F4"/>
    <w:rsid w:val="00B3199B"/>
    <w:rsid w:val="00B33588"/>
    <w:rsid w:val="00B33863"/>
    <w:rsid w:val="00B3567E"/>
    <w:rsid w:val="00B37D17"/>
    <w:rsid w:val="00B4175E"/>
    <w:rsid w:val="00B452CE"/>
    <w:rsid w:val="00B54C25"/>
    <w:rsid w:val="00B76B91"/>
    <w:rsid w:val="00B77556"/>
    <w:rsid w:val="00B77EB1"/>
    <w:rsid w:val="00B805CA"/>
    <w:rsid w:val="00B811C6"/>
    <w:rsid w:val="00B81B10"/>
    <w:rsid w:val="00B85A87"/>
    <w:rsid w:val="00B92E08"/>
    <w:rsid w:val="00B96EBE"/>
    <w:rsid w:val="00BA3918"/>
    <w:rsid w:val="00BC622A"/>
    <w:rsid w:val="00BD45E3"/>
    <w:rsid w:val="00BE0A78"/>
    <w:rsid w:val="00BE32A6"/>
    <w:rsid w:val="00BE6252"/>
    <w:rsid w:val="00BE79F0"/>
    <w:rsid w:val="00BE7DE9"/>
    <w:rsid w:val="00BF046D"/>
    <w:rsid w:val="00BF1190"/>
    <w:rsid w:val="00BF33B8"/>
    <w:rsid w:val="00BF5D04"/>
    <w:rsid w:val="00C01454"/>
    <w:rsid w:val="00C1164D"/>
    <w:rsid w:val="00C137CE"/>
    <w:rsid w:val="00C16861"/>
    <w:rsid w:val="00C22678"/>
    <w:rsid w:val="00C34D77"/>
    <w:rsid w:val="00C404A6"/>
    <w:rsid w:val="00C40A36"/>
    <w:rsid w:val="00C44419"/>
    <w:rsid w:val="00C45E7B"/>
    <w:rsid w:val="00C4625F"/>
    <w:rsid w:val="00C471B1"/>
    <w:rsid w:val="00C618F7"/>
    <w:rsid w:val="00C6316B"/>
    <w:rsid w:val="00C634A9"/>
    <w:rsid w:val="00C64586"/>
    <w:rsid w:val="00C70D53"/>
    <w:rsid w:val="00C73D0B"/>
    <w:rsid w:val="00C772FF"/>
    <w:rsid w:val="00C801AF"/>
    <w:rsid w:val="00C80256"/>
    <w:rsid w:val="00C811C0"/>
    <w:rsid w:val="00CB6BC0"/>
    <w:rsid w:val="00CC1B7C"/>
    <w:rsid w:val="00CC727F"/>
    <w:rsid w:val="00CF15C3"/>
    <w:rsid w:val="00CF2B6F"/>
    <w:rsid w:val="00CF58B6"/>
    <w:rsid w:val="00D017ED"/>
    <w:rsid w:val="00D0181D"/>
    <w:rsid w:val="00D040D3"/>
    <w:rsid w:val="00D04C65"/>
    <w:rsid w:val="00D16242"/>
    <w:rsid w:val="00D224FE"/>
    <w:rsid w:val="00D356CE"/>
    <w:rsid w:val="00D401A2"/>
    <w:rsid w:val="00D53A31"/>
    <w:rsid w:val="00D53BB2"/>
    <w:rsid w:val="00D6493E"/>
    <w:rsid w:val="00D7301E"/>
    <w:rsid w:val="00D83AE1"/>
    <w:rsid w:val="00D83CE2"/>
    <w:rsid w:val="00D855D4"/>
    <w:rsid w:val="00D87961"/>
    <w:rsid w:val="00D93466"/>
    <w:rsid w:val="00D946CB"/>
    <w:rsid w:val="00DA1124"/>
    <w:rsid w:val="00DA1928"/>
    <w:rsid w:val="00DB75B7"/>
    <w:rsid w:val="00DC156B"/>
    <w:rsid w:val="00DC6E02"/>
    <w:rsid w:val="00DE02AE"/>
    <w:rsid w:val="00DF122F"/>
    <w:rsid w:val="00DF1D7F"/>
    <w:rsid w:val="00DF4BE4"/>
    <w:rsid w:val="00E0128B"/>
    <w:rsid w:val="00E02FB4"/>
    <w:rsid w:val="00E07F15"/>
    <w:rsid w:val="00E20571"/>
    <w:rsid w:val="00E235F7"/>
    <w:rsid w:val="00E23659"/>
    <w:rsid w:val="00E239D4"/>
    <w:rsid w:val="00E26130"/>
    <w:rsid w:val="00E2741C"/>
    <w:rsid w:val="00E27F6E"/>
    <w:rsid w:val="00E40B22"/>
    <w:rsid w:val="00E45619"/>
    <w:rsid w:val="00E4588F"/>
    <w:rsid w:val="00E46DA3"/>
    <w:rsid w:val="00E51BB1"/>
    <w:rsid w:val="00E61A0E"/>
    <w:rsid w:val="00E624A5"/>
    <w:rsid w:val="00E63FF8"/>
    <w:rsid w:val="00E7344E"/>
    <w:rsid w:val="00E77B22"/>
    <w:rsid w:val="00E92395"/>
    <w:rsid w:val="00E936E3"/>
    <w:rsid w:val="00E979F4"/>
    <w:rsid w:val="00EB0798"/>
    <w:rsid w:val="00EB40AD"/>
    <w:rsid w:val="00EB586E"/>
    <w:rsid w:val="00EB5FC8"/>
    <w:rsid w:val="00ED3CAD"/>
    <w:rsid w:val="00ED5A41"/>
    <w:rsid w:val="00EE1DE8"/>
    <w:rsid w:val="00EE31BF"/>
    <w:rsid w:val="00F01361"/>
    <w:rsid w:val="00F033EC"/>
    <w:rsid w:val="00F04F68"/>
    <w:rsid w:val="00F12670"/>
    <w:rsid w:val="00F14B27"/>
    <w:rsid w:val="00F2302A"/>
    <w:rsid w:val="00F3148D"/>
    <w:rsid w:val="00F325C5"/>
    <w:rsid w:val="00F32FE0"/>
    <w:rsid w:val="00F35298"/>
    <w:rsid w:val="00F47333"/>
    <w:rsid w:val="00F47E37"/>
    <w:rsid w:val="00F53C07"/>
    <w:rsid w:val="00F54B65"/>
    <w:rsid w:val="00F640B6"/>
    <w:rsid w:val="00F80E40"/>
    <w:rsid w:val="00F848D9"/>
    <w:rsid w:val="00F85AFD"/>
    <w:rsid w:val="00FA5B82"/>
    <w:rsid w:val="00FA639E"/>
    <w:rsid w:val="00FC13A4"/>
    <w:rsid w:val="00FC25E4"/>
    <w:rsid w:val="00FC4EF7"/>
    <w:rsid w:val="00FE1DEE"/>
    <w:rsid w:val="00FF1565"/>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65F6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651BD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6734F9"/>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6734F9"/>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3403F3"/>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6734F9"/>
    <w:pPr>
      <w:framePr w:hSpace="180" w:wrap="around" w:vAnchor="page" w:hAnchor="text" w:y="3316"/>
      <w:numPr>
        <w:ilvl w:val="1"/>
      </w:numPr>
      <w:spacing w:after="36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6734F9"/>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6734F9"/>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6734F9"/>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uiPriority w:val="99"/>
    <w:rsid w:val="00842FC4"/>
    <w:pPr>
      <w:numPr>
        <w:numId w:val="6"/>
      </w:numPr>
      <w:spacing w:after="0" w:line="240" w:lineRule="auto"/>
    </w:pPr>
    <w:rPr>
      <w:rFonts w:eastAsia="Times New Roman"/>
      <w:kern w:val="24"/>
      <w:szCs w:val="24"/>
      <w:lang w:eastAsia="en-AU"/>
    </w:rPr>
  </w:style>
  <w:style w:type="paragraph" w:customStyle="1" w:styleId="Bullet2">
    <w:name w:val="Bullet 2"/>
    <w:basedOn w:val="Bullet1"/>
    <w:uiPriority w:val="99"/>
    <w:rsid w:val="00842FC4"/>
    <w:pPr>
      <w:numPr>
        <w:numId w:val="7"/>
      </w:numPr>
    </w:pPr>
  </w:style>
  <w:style w:type="paragraph" w:styleId="ListParagraph">
    <w:name w:val="List Paragraph"/>
    <w:basedOn w:val="Normal"/>
    <w:uiPriority w:val="99"/>
    <w:qFormat/>
    <w:rsid w:val="0098420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eading8Char">
    <w:name w:val="Heading 8 Char"/>
    <w:basedOn w:val="DefaultParagraphFont"/>
    <w:link w:val="Heading8"/>
    <w:uiPriority w:val="9"/>
    <w:semiHidden/>
    <w:rsid w:val="00651BD3"/>
    <w:rPr>
      <w:rFonts w:asciiTheme="majorHAnsi" w:eastAsiaTheme="majorEastAsia" w:hAnsiTheme="majorHAnsi" w:cstheme="majorBidi"/>
      <w:color w:val="404040" w:themeColor="text1" w:themeTint="BF"/>
      <w:sz w:val="20"/>
      <w:szCs w:val="20"/>
    </w:rPr>
  </w:style>
  <w:style w:type="paragraph" w:styleId="FootnoteText">
    <w:name w:val="footnote text"/>
    <w:basedOn w:val="Normal"/>
    <w:link w:val="FootnoteTextChar"/>
    <w:unhideWhenUsed/>
    <w:rsid w:val="00864FF5"/>
    <w:pPr>
      <w:spacing w:before="0" w:after="0" w:line="240" w:lineRule="auto"/>
    </w:pPr>
    <w:rPr>
      <w:sz w:val="20"/>
      <w:szCs w:val="20"/>
    </w:rPr>
  </w:style>
  <w:style w:type="character" w:customStyle="1" w:styleId="FootnoteTextChar">
    <w:name w:val="Footnote Text Char"/>
    <w:basedOn w:val="DefaultParagraphFont"/>
    <w:link w:val="FootnoteText"/>
    <w:rsid w:val="00864FF5"/>
    <w:rPr>
      <w:rFonts w:ascii="Cambria" w:eastAsia="Cambria" w:hAnsi="Cambria" w:cs="Times New Roman"/>
      <w:sz w:val="20"/>
      <w:szCs w:val="20"/>
    </w:rPr>
  </w:style>
  <w:style w:type="character" w:styleId="FootnoteReference">
    <w:name w:val="footnote reference"/>
    <w:basedOn w:val="DefaultParagraphFont"/>
    <w:unhideWhenUsed/>
    <w:rsid w:val="00864FF5"/>
    <w:rPr>
      <w:vertAlign w:val="superscript"/>
    </w:rPr>
  </w:style>
  <w:style w:type="paragraph" w:styleId="DocumentMap">
    <w:name w:val="Document Map"/>
    <w:basedOn w:val="Normal"/>
    <w:link w:val="DocumentMapChar"/>
    <w:uiPriority w:val="99"/>
    <w:semiHidden/>
    <w:unhideWhenUsed/>
    <w:rsid w:val="00194D27"/>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194D27"/>
    <w:rPr>
      <w:rFonts w:ascii="Times New Roman" w:eastAsia="Cambr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651BD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6734F9"/>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6734F9"/>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3403F3"/>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6734F9"/>
    <w:pPr>
      <w:framePr w:hSpace="180" w:wrap="around" w:vAnchor="page" w:hAnchor="text" w:y="3316"/>
      <w:numPr>
        <w:ilvl w:val="1"/>
      </w:numPr>
      <w:spacing w:after="36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6734F9"/>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6734F9"/>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6734F9"/>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uiPriority w:val="99"/>
    <w:rsid w:val="00842FC4"/>
    <w:pPr>
      <w:numPr>
        <w:numId w:val="6"/>
      </w:numPr>
      <w:spacing w:after="0" w:line="240" w:lineRule="auto"/>
    </w:pPr>
    <w:rPr>
      <w:rFonts w:eastAsia="Times New Roman"/>
      <w:kern w:val="24"/>
      <w:szCs w:val="24"/>
      <w:lang w:eastAsia="en-AU"/>
    </w:rPr>
  </w:style>
  <w:style w:type="paragraph" w:customStyle="1" w:styleId="Bullet2">
    <w:name w:val="Bullet 2"/>
    <w:basedOn w:val="Bullet1"/>
    <w:uiPriority w:val="99"/>
    <w:rsid w:val="00842FC4"/>
    <w:pPr>
      <w:numPr>
        <w:numId w:val="7"/>
      </w:numPr>
    </w:pPr>
  </w:style>
  <w:style w:type="paragraph" w:styleId="ListParagraph">
    <w:name w:val="List Paragraph"/>
    <w:basedOn w:val="Normal"/>
    <w:uiPriority w:val="99"/>
    <w:qFormat/>
    <w:rsid w:val="0098420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eading8Char">
    <w:name w:val="Heading 8 Char"/>
    <w:basedOn w:val="DefaultParagraphFont"/>
    <w:link w:val="Heading8"/>
    <w:uiPriority w:val="9"/>
    <w:semiHidden/>
    <w:rsid w:val="00651BD3"/>
    <w:rPr>
      <w:rFonts w:asciiTheme="majorHAnsi" w:eastAsiaTheme="majorEastAsia" w:hAnsiTheme="majorHAnsi" w:cstheme="majorBidi"/>
      <w:color w:val="404040" w:themeColor="text1" w:themeTint="BF"/>
      <w:sz w:val="20"/>
      <w:szCs w:val="20"/>
    </w:rPr>
  </w:style>
  <w:style w:type="paragraph" w:styleId="FootnoteText">
    <w:name w:val="footnote text"/>
    <w:basedOn w:val="Normal"/>
    <w:link w:val="FootnoteTextChar"/>
    <w:unhideWhenUsed/>
    <w:rsid w:val="00864FF5"/>
    <w:pPr>
      <w:spacing w:before="0" w:after="0" w:line="240" w:lineRule="auto"/>
    </w:pPr>
    <w:rPr>
      <w:sz w:val="20"/>
      <w:szCs w:val="20"/>
    </w:rPr>
  </w:style>
  <w:style w:type="character" w:customStyle="1" w:styleId="FootnoteTextChar">
    <w:name w:val="Footnote Text Char"/>
    <w:basedOn w:val="DefaultParagraphFont"/>
    <w:link w:val="FootnoteText"/>
    <w:rsid w:val="00864FF5"/>
    <w:rPr>
      <w:rFonts w:ascii="Cambria" w:eastAsia="Cambria" w:hAnsi="Cambria" w:cs="Times New Roman"/>
      <w:sz w:val="20"/>
      <w:szCs w:val="20"/>
    </w:rPr>
  </w:style>
  <w:style w:type="character" w:styleId="FootnoteReference">
    <w:name w:val="footnote reference"/>
    <w:basedOn w:val="DefaultParagraphFont"/>
    <w:unhideWhenUsed/>
    <w:rsid w:val="00864FF5"/>
    <w:rPr>
      <w:vertAlign w:val="superscript"/>
    </w:rPr>
  </w:style>
  <w:style w:type="paragraph" w:styleId="DocumentMap">
    <w:name w:val="Document Map"/>
    <w:basedOn w:val="Normal"/>
    <w:link w:val="DocumentMapChar"/>
    <w:uiPriority w:val="99"/>
    <w:semiHidden/>
    <w:unhideWhenUsed/>
    <w:rsid w:val="00194D27"/>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194D27"/>
    <w:rPr>
      <w:rFonts w:ascii="Times New Roman" w:eastAsia="Cambr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header" Target="header4.xml"/><Relationship Id="rId68" Type="http://schemas.openxmlformats.org/officeDocument/2006/relationships/header" Target="header6.xml"/><Relationship Id="rId76" Type="http://schemas.microsoft.com/office/2011/relationships/people" Target="people.xml"/><Relationship Id="rId7" Type="http://schemas.openxmlformats.org/officeDocument/2006/relationships/footnotes" Target="footnotes.xml"/><Relationship Id="rId71"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yperlink" Target="mailto:info@tga.gov.au"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footer" Target="footer2.xm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eader" Target="header5.xml"/><Relationship Id="rId69"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hyperlink" Target="https://www.tga.gov.au"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eader" Target="header3.xml"/><Relationship Id="rId70" Type="http://schemas.openxmlformats.org/officeDocument/2006/relationships/footer" Target="footer3.xml"/><Relationship Id="rId75"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468\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772F7-3E92-48E0-B28E-81795373A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62</TotalTime>
  <Pages>128</Pages>
  <Words>54762</Words>
  <Characters>312147</Characters>
  <Application>Microsoft Office Word</Application>
  <DocSecurity>0</DocSecurity>
  <Lines>2601</Lines>
  <Paragraphs>732</Paragraphs>
  <ScaleCrop>false</ScaleCrop>
  <HeadingPairs>
    <vt:vector size="2" baseType="variant">
      <vt:variant>
        <vt:lpstr>Title</vt:lpstr>
      </vt:variant>
      <vt:variant>
        <vt:i4>1</vt:i4>
      </vt:variant>
    </vt:vector>
  </HeadingPairs>
  <TitlesOfParts>
    <vt:vector size="1" baseType="lpstr">
      <vt:lpstr>AusPAR Attachment 1</vt:lpstr>
    </vt:vector>
  </TitlesOfParts>
  <Company>TGA</Company>
  <LinksUpToDate>false</LinksUpToDate>
  <CharactersWithSpaces>366177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1: Extract from the Clinical Evaluation Report for Sarilumab (rch)</dc:title>
  <dc:subject>prescription medicines</dc:subject>
  <dc:creator>Therapeutic Goods Administration</dc:creator>
  <cp:keywords>AusPARs</cp:keywords>
  <cp:lastModifiedBy>SHEPPARD, Fran</cp:lastModifiedBy>
  <cp:revision>25</cp:revision>
  <cp:lastPrinted>2015-09-22T23:53:00Z</cp:lastPrinted>
  <dcterms:created xsi:type="dcterms:W3CDTF">2018-05-30T06:44:00Z</dcterms:created>
  <dcterms:modified xsi:type="dcterms:W3CDTF">2018-07-20T01:11:00Z</dcterms:modified>
</cp:coreProperties>
</file>