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May 2018&#10;"/>
      </w:tblPr>
      <w:tblGrid>
        <w:gridCol w:w="3652"/>
      </w:tblGrid>
      <w:tr w:rsidR="008E7846" w:rsidRPr="00113BDB" w14:paraId="7849B28B" w14:textId="77777777" w:rsidTr="00BF1190">
        <w:trPr>
          <w:trHeight w:val="1863"/>
        </w:trPr>
        <w:tc>
          <w:tcPr>
            <w:tcW w:w="3652" w:type="dxa"/>
            <w:tcBorders>
              <w:top w:val="nil"/>
              <w:left w:val="nil"/>
              <w:bottom w:val="nil"/>
              <w:right w:val="nil"/>
            </w:tcBorders>
          </w:tcPr>
          <w:p w14:paraId="1AEC5A1C" w14:textId="69889ECA" w:rsidR="008E7846" w:rsidRPr="00113BDB" w:rsidRDefault="00186073" w:rsidP="00096AA7">
            <w:pPr>
              <w:rPr>
                <w:rFonts w:ascii="Arial" w:hAnsi="Arial" w:cs="Arial"/>
                <w:b/>
                <w:color w:val="002C47"/>
                <w:sz w:val="36"/>
                <w:szCs w:val="36"/>
              </w:rPr>
            </w:pPr>
            <w:r>
              <w:rPr>
                <w:rFonts w:ascii="Arial" w:hAnsi="Arial" w:cs="Arial"/>
                <w:b/>
                <w:color w:val="002C47"/>
                <w:sz w:val="36"/>
                <w:szCs w:val="36"/>
              </w:rPr>
              <w:t>May</w:t>
            </w:r>
            <w:r w:rsidRPr="00113BDB">
              <w:rPr>
                <w:rFonts w:ascii="Arial" w:hAnsi="Arial" w:cs="Arial"/>
                <w:b/>
                <w:color w:val="002C47"/>
                <w:sz w:val="36"/>
                <w:szCs w:val="36"/>
              </w:rPr>
              <w:t xml:space="preserve"> </w:t>
            </w:r>
            <w:r w:rsidR="00F112FC" w:rsidRPr="00113BDB">
              <w:rPr>
                <w:rFonts w:ascii="Arial" w:hAnsi="Arial" w:cs="Arial"/>
                <w:b/>
                <w:color w:val="002C47"/>
                <w:sz w:val="36"/>
                <w:szCs w:val="36"/>
              </w:rPr>
              <w:t>2018</w:t>
            </w:r>
          </w:p>
        </w:tc>
      </w:tr>
    </w:tbl>
    <w:tbl>
      <w:tblPr>
        <w:tblpPr w:leftFromText="180" w:rightFromText="180" w:vertAnchor="page" w:horzAnchor="page" w:tblpX="1260" w:tblpY="3425"/>
        <w:tblW w:w="10004" w:type="dxa"/>
        <w:tblLayout w:type="fixed"/>
        <w:tblLook w:val="04A0" w:firstRow="1" w:lastRow="0" w:firstColumn="1" w:lastColumn="0" w:noHBand="0" w:noVBand="1"/>
        <w:tblDescription w:val="May 2018&#10;"/>
      </w:tblPr>
      <w:tblGrid>
        <w:gridCol w:w="10004"/>
      </w:tblGrid>
      <w:tr w:rsidR="00396F5E" w:rsidRPr="00113BDB" w14:paraId="347CA102" w14:textId="77777777" w:rsidTr="00396F5E">
        <w:trPr>
          <w:trHeight w:val="834"/>
        </w:trPr>
        <w:tc>
          <w:tcPr>
            <w:tcW w:w="10004" w:type="dxa"/>
          </w:tcPr>
          <w:p w14:paraId="4996AD21" w14:textId="77777777" w:rsidR="00396F5E" w:rsidRPr="00113BDB" w:rsidRDefault="00396F5E" w:rsidP="00396F5E">
            <w:pPr>
              <w:pStyle w:val="Title"/>
              <w:rPr>
                <w:color w:val="FFFFFF" w:themeColor="background1"/>
              </w:rPr>
            </w:pPr>
            <w:r w:rsidRPr="00113BDB">
              <w:rPr>
                <w:color w:val="FFFFFF" w:themeColor="background1"/>
              </w:rPr>
              <w:t>Australian Public Assessment Report for insulin degludec</w:t>
            </w:r>
            <w:r>
              <w:rPr>
                <w:color w:val="FFFFFF" w:themeColor="background1"/>
              </w:rPr>
              <w:t xml:space="preserve"> (rys)</w:t>
            </w:r>
            <w:r w:rsidRPr="00113BDB">
              <w:rPr>
                <w:color w:val="FFFFFF" w:themeColor="background1"/>
              </w:rPr>
              <w:t>/insulin aspart</w:t>
            </w:r>
            <w:r>
              <w:rPr>
                <w:color w:val="FFFFFF" w:themeColor="background1"/>
              </w:rPr>
              <w:t xml:space="preserve"> (rys)</w:t>
            </w:r>
          </w:p>
        </w:tc>
      </w:tr>
      <w:tr w:rsidR="00396F5E" w:rsidRPr="00113BDB" w14:paraId="378762E7" w14:textId="77777777" w:rsidTr="00396F5E">
        <w:trPr>
          <w:trHeight w:val="1356"/>
        </w:trPr>
        <w:tc>
          <w:tcPr>
            <w:tcW w:w="10004" w:type="dxa"/>
          </w:tcPr>
          <w:p w14:paraId="2C399149" w14:textId="77777777" w:rsidR="00396F5E" w:rsidRPr="00113BDB" w:rsidRDefault="00396F5E" w:rsidP="00396F5E">
            <w:pPr>
              <w:pStyle w:val="Subtitle"/>
              <w:ind w:left="4838" w:hanging="4838"/>
              <w:rPr>
                <w:color w:val="FFFFFF" w:themeColor="background1"/>
              </w:rPr>
            </w:pPr>
            <w:r w:rsidRPr="00113BDB">
              <w:rPr>
                <w:color w:val="FFFFFF" w:themeColor="background1"/>
              </w:rPr>
              <w:t>Proprietary Product Name: Ryzodeg 70/30 FlexTouch, Ryzodeg 70/30 Penfill</w:t>
            </w:r>
          </w:p>
        </w:tc>
      </w:tr>
      <w:tr w:rsidR="00396F5E" w:rsidRPr="00113BDB" w14:paraId="32DD43F5" w14:textId="77777777" w:rsidTr="00396F5E">
        <w:trPr>
          <w:trHeight w:val="466"/>
        </w:trPr>
        <w:tc>
          <w:tcPr>
            <w:tcW w:w="10004" w:type="dxa"/>
          </w:tcPr>
          <w:p w14:paraId="5FEA1966" w14:textId="77777777" w:rsidR="00396F5E" w:rsidRPr="00113BDB" w:rsidRDefault="00396F5E" w:rsidP="00396F5E">
            <w:pPr>
              <w:pStyle w:val="Subtitle"/>
              <w:ind w:left="0"/>
              <w:rPr>
                <w:color w:val="FFFFFF" w:themeColor="background1"/>
              </w:rPr>
            </w:pPr>
            <w:r w:rsidRPr="00113BDB">
              <w:rPr>
                <w:color w:val="FFFFFF" w:themeColor="background1"/>
              </w:rPr>
              <w:t>Sponsor: Novo Nordisk Pharmaceuticals Pty Ltd</w:t>
            </w:r>
          </w:p>
        </w:tc>
      </w:tr>
    </w:tbl>
    <w:p w14:paraId="6227B151" w14:textId="77777777" w:rsidR="008E7846" w:rsidRPr="00113BDB" w:rsidRDefault="008E7846" w:rsidP="0085156D">
      <w:r w:rsidRPr="00113BDB">
        <w:br w:type="page"/>
      </w:r>
    </w:p>
    <w:p w14:paraId="27CA51AF" w14:textId="77777777" w:rsidR="008E7846" w:rsidRPr="00113BDB" w:rsidRDefault="008E7846" w:rsidP="008E7846">
      <w:pPr>
        <w:pStyle w:val="NonTOCHeading2"/>
      </w:pPr>
      <w:r w:rsidRPr="00113BDB">
        <w:lastRenderedPageBreak/>
        <w:t>About the Therapeutic Goods Administration (TGA)</w:t>
      </w:r>
    </w:p>
    <w:p w14:paraId="17AC7793" w14:textId="77777777" w:rsidR="008E7846" w:rsidRPr="00113BDB" w:rsidRDefault="008E7846" w:rsidP="008E7846">
      <w:pPr>
        <w:pStyle w:val="ListBullet"/>
        <w:numPr>
          <w:ilvl w:val="0"/>
          <w:numId w:val="3"/>
        </w:numPr>
        <w:ind w:left="357" w:hanging="357"/>
      </w:pPr>
      <w:r w:rsidRPr="00113BDB">
        <w:t xml:space="preserve">The Therapeutic Goods Administration (TGA) is </w:t>
      </w:r>
      <w:r w:rsidR="00E624A5" w:rsidRPr="00113BDB">
        <w:t xml:space="preserve">part </w:t>
      </w:r>
      <w:r w:rsidRPr="00113BDB">
        <w:t>of the Australian Government Department of Health and is responsible for regulating medicines and medical devices.</w:t>
      </w:r>
    </w:p>
    <w:p w14:paraId="4E740371" w14:textId="77777777" w:rsidR="008E7846" w:rsidRPr="00113BDB" w:rsidRDefault="00C80137" w:rsidP="008E7846">
      <w:pPr>
        <w:pStyle w:val="ListBullet"/>
        <w:numPr>
          <w:ilvl w:val="0"/>
          <w:numId w:val="3"/>
        </w:numPr>
        <w:ind w:left="357" w:hanging="357"/>
      </w:pPr>
      <w:r w:rsidRPr="00113BDB">
        <w:t xml:space="preserve">The </w:t>
      </w:r>
      <w:r w:rsidR="008E7846" w:rsidRPr="00113BDB">
        <w:t xml:space="preserve">TGA administers the </w:t>
      </w:r>
      <w:r w:rsidR="008E7846" w:rsidRPr="00113BDB">
        <w:rPr>
          <w:i/>
        </w:rPr>
        <w:t>Therapeutic Goods Act 1989</w:t>
      </w:r>
      <w:r w:rsidR="00785717" w:rsidRPr="00113BDB">
        <w:rPr>
          <w:i/>
        </w:rPr>
        <w:t xml:space="preserve"> </w:t>
      </w:r>
      <w:r w:rsidR="00785717" w:rsidRPr="00113BDB">
        <w:t>(the Act)</w:t>
      </w:r>
      <w:r w:rsidR="008E7846" w:rsidRPr="00113BDB">
        <w:t>, applying a risk management approach designed to ensure therapeutic goods supplied in Australia meet acceptable standards of quality, safety and efficacy (performance) when necessary.</w:t>
      </w:r>
    </w:p>
    <w:p w14:paraId="53B4D300" w14:textId="77777777" w:rsidR="008E7846" w:rsidRPr="00113BDB" w:rsidRDefault="008E7846" w:rsidP="008E7846">
      <w:pPr>
        <w:pStyle w:val="ListBullet"/>
        <w:numPr>
          <w:ilvl w:val="0"/>
          <w:numId w:val="3"/>
        </w:numPr>
        <w:ind w:left="357" w:hanging="357"/>
      </w:pPr>
      <w:r w:rsidRPr="00113BDB">
        <w:t>The work of the TGA is based on applying scientific and clinical expertise to decision-making, to ensure that the benefits to consumers outweigh any risks associated with the use of medicines and medical devices.</w:t>
      </w:r>
    </w:p>
    <w:p w14:paraId="5B0F95BE" w14:textId="77777777" w:rsidR="008E7846" w:rsidRPr="00113BDB" w:rsidRDefault="008E7846" w:rsidP="008E7846">
      <w:pPr>
        <w:pStyle w:val="ListBullet"/>
        <w:numPr>
          <w:ilvl w:val="0"/>
          <w:numId w:val="3"/>
        </w:numPr>
        <w:ind w:left="357" w:hanging="357"/>
      </w:pPr>
      <w:r w:rsidRPr="00113BDB">
        <w:t>The TGA relies on the public, healthcare professionals and industry to report problems with medicines or medical devices. TGA investigates reports received by it to determine any necessary regulatory action.</w:t>
      </w:r>
    </w:p>
    <w:p w14:paraId="7FF085B1" w14:textId="77777777" w:rsidR="00441C3F" w:rsidRPr="00113BDB" w:rsidRDefault="008E7846" w:rsidP="00441C3F">
      <w:pPr>
        <w:pStyle w:val="ListBullet"/>
        <w:numPr>
          <w:ilvl w:val="0"/>
          <w:numId w:val="3"/>
        </w:numPr>
        <w:ind w:left="357" w:hanging="357"/>
      </w:pPr>
      <w:r w:rsidRPr="00113BDB">
        <w:t xml:space="preserve">To report a problem with a medicine or medical device, please see the information on </w:t>
      </w:r>
      <w:r w:rsidR="00441C3F" w:rsidRPr="00113BDB">
        <w:t>the TGA website &lt;</w:t>
      </w:r>
      <w:hyperlink r:id="rId9" w:history="1">
        <w:r w:rsidR="00441C3F" w:rsidRPr="00113BDB">
          <w:rPr>
            <w:rStyle w:val="Hyperlink"/>
          </w:rPr>
          <w:t>https://www.tga.gov.au</w:t>
        </w:r>
      </w:hyperlink>
      <w:r w:rsidR="00441C3F" w:rsidRPr="00113BDB">
        <w:t>&gt;.</w:t>
      </w:r>
    </w:p>
    <w:p w14:paraId="4945D82D" w14:textId="77777777" w:rsidR="008E7846" w:rsidRPr="00113BDB" w:rsidRDefault="008E7846" w:rsidP="00875A6B">
      <w:pPr>
        <w:pStyle w:val="NonTOCHeading2"/>
      </w:pPr>
      <w:r w:rsidRPr="00113BDB">
        <w:t>About AusPARs</w:t>
      </w:r>
    </w:p>
    <w:p w14:paraId="17832060" w14:textId="77777777" w:rsidR="008E7846" w:rsidRPr="00113BDB" w:rsidRDefault="008E7846" w:rsidP="008E7846">
      <w:pPr>
        <w:pStyle w:val="ListBullet"/>
        <w:numPr>
          <w:ilvl w:val="0"/>
          <w:numId w:val="3"/>
        </w:numPr>
        <w:ind w:left="357" w:hanging="357"/>
      </w:pPr>
      <w:r w:rsidRPr="00113BDB">
        <w:t>An Australian Public Assessment Re</w:t>
      </w:r>
      <w:r w:rsidR="00133A1B" w:rsidRPr="00113BDB">
        <w:t>port</w:t>
      </w:r>
      <w:r w:rsidRPr="00113BDB">
        <w:t xml:space="preserve"> (AusPAR) provides information about the evaluation of a prescription medicine and the considerations that led the TGA to approve or not approve a pr</w:t>
      </w:r>
      <w:r w:rsidR="00441C3F" w:rsidRPr="00113BDB">
        <w:t>escription medicine submission.</w:t>
      </w:r>
    </w:p>
    <w:p w14:paraId="1C7DB72D" w14:textId="77777777" w:rsidR="008E7846" w:rsidRPr="00113BDB" w:rsidRDefault="008E7846" w:rsidP="008E7846">
      <w:pPr>
        <w:pStyle w:val="ListBullet"/>
        <w:numPr>
          <w:ilvl w:val="0"/>
          <w:numId w:val="3"/>
        </w:numPr>
        <w:ind w:left="357" w:hanging="357"/>
      </w:pPr>
      <w:r w:rsidRPr="00113BDB">
        <w:t>AusPARs are prepared and published by the TGA.</w:t>
      </w:r>
    </w:p>
    <w:p w14:paraId="1DE90AF2" w14:textId="77777777" w:rsidR="008E7846" w:rsidRPr="00113BDB" w:rsidRDefault="008E7846" w:rsidP="008E7846">
      <w:pPr>
        <w:pStyle w:val="ListBullet"/>
        <w:numPr>
          <w:ilvl w:val="0"/>
          <w:numId w:val="3"/>
        </w:numPr>
        <w:ind w:left="357" w:hanging="357"/>
      </w:pPr>
      <w:r w:rsidRPr="00113BDB">
        <w:t>An AusPAR is prepared for submissions that relate to new chemical entities, generic medicines, major variations and extensions of indications.</w:t>
      </w:r>
    </w:p>
    <w:p w14:paraId="1055B857" w14:textId="77777777" w:rsidR="008E7846" w:rsidRPr="00113BDB" w:rsidRDefault="008E7846" w:rsidP="008E7846">
      <w:pPr>
        <w:pStyle w:val="ListBullet"/>
        <w:numPr>
          <w:ilvl w:val="0"/>
          <w:numId w:val="3"/>
        </w:numPr>
        <w:ind w:left="357" w:hanging="357"/>
      </w:pPr>
      <w:r w:rsidRPr="00113BDB">
        <w:t>An AusPAR is a static document</w:t>
      </w:r>
      <w:r w:rsidR="00133A1B" w:rsidRPr="00113BDB">
        <w:t>;</w:t>
      </w:r>
      <w:r w:rsidRPr="00113BDB">
        <w:t xml:space="preserve"> it provide</w:t>
      </w:r>
      <w:r w:rsidR="00133A1B" w:rsidRPr="00113BDB">
        <w:t>s</w:t>
      </w:r>
      <w:r w:rsidRPr="00113BDB">
        <w:t xml:space="preserve"> information that relates to a submission at a particular point in time.</w:t>
      </w:r>
    </w:p>
    <w:p w14:paraId="438D8D97" w14:textId="77777777" w:rsidR="00B452CE" w:rsidRPr="00113BDB" w:rsidRDefault="008E7846" w:rsidP="00FF5755">
      <w:pPr>
        <w:pStyle w:val="ListBullet"/>
        <w:numPr>
          <w:ilvl w:val="0"/>
          <w:numId w:val="3"/>
        </w:numPr>
        <w:ind w:left="357" w:hanging="357"/>
      </w:pPr>
      <w:r w:rsidRPr="00113BDB">
        <w:t>A new AusPAR will be developed to reflect changes to indications and/or major variations to a prescription medicine subject to evaluation by the TGA.</w:t>
      </w:r>
    </w:p>
    <w:p w14:paraId="287DA53C" w14:textId="77777777" w:rsidR="00924482" w:rsidRPr="00113BDB" w:rsidRDefault="00924482" w:rsidP="00F54B65">
      <w:pPr>
        <w:pStyle w:val="LegalSubheading"/>
        <w:spacing w:before="3120"/>
      </w:pPr>
      <w:r w:rsidRPr="00113BDB">
        <w:t>Copyright</w:t>
      </w:r>
    </w:p>
    <w:p w14:paraId="7738BE4B" w14:textId="5BA28703" w:rsidR="00924482" w:rsidRPr="00113BDB" w:rsidRDefault="00924482" w:rsidP="00924482">
      <w:pPr>
        <w:pStyle w:val="LegalCopy"/>
      </w:pPr>
      <w:r w:rsidRPr="00113BDB">
        <w:rPr>
          <w:rFonts w:cs="Arial"/>
        </w:rPr>
        <w:t>© Commonwealth of Australia 201</w:t>
      </w:r>
      <w:r w:rsidR="00087CE9">
        <w:rPr>
          <w:rFonts w:cs="Arial"/>
        </w:rPr>
        <w:t>8</w:t>
      </w:r>
      <w:r w:rsidRPr="00113BDB">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13BDB">
        <w:rPr>
          <w:rFonts w:cs="Arial"/>
          <w:i/>
        </w:rPr>
        <w:t>Copyright Act 1968</w:t>
      </w:r>
      <w:r w:rsidRPr="00113BDB">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13BDB">
          <w:rPr>
            <w:rStyle w:val="Hyperlink"/>
            <w:rFonts w:cs="Arial"/>
          </w:rPr>
          <w:t>tga.copyright@tga.gov.au</w:t>
        </w:r>
      </w:hyperlink>
      <w:r w:rsidRPr="00113BDB">
        <w:rPr>
          <w:rFonts w:cs="Arial"/>
        </w:rPr>
        <w:t>&gt;.</w:t>
      </w:r>
    </w:p>
    <w:p w14:paraId="56E938BC" w14:textId="77777777" w:rsidR="00924482" w:rsidRPr="00113BDB" w:rsidRDefault="00924482" w:rsidP="00924482">
      <w:pPr>
        <w:pStyle w:val="LegalCopy"/>
        <w:sectPr w:rsidR="00924482" w:rsidRPr="00113BDB"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C3256F1" w14:textId="77777777" w:rsidR="0089635C" w:rsidRPr="00113BDB" w:rsidRDefault="0089635C" w:rsidP="0010788A">
          <w:pPr>
            <w:pStyle w:val="Contents"/>
          </w:pPr>
          <w:r w:rsidRPr="00113BDB">
            <w:t>Contents</w:t>
          </w:r>
        </w:p>
        <w:p w14:paraId="23418D6D" w14:textId="77777777" w:rsidR="004F5B62" w:rsidRDefault="00DB6124">
          <w:pPr>
            <w:pStyle w:val="TOC2"/>
            <w:rPr>
              <w:rFonts w:asciiTheme="minorHAnsi" w:eastAsiaTheme="minorEastAsia" w:hAnsiTheme="minorHAnsi" w:cstheme="minorBidi"/>
              <w:b w:val="0"/>
              <w:noProof/>
              <w:sz w:val="22"/>
              <w:lang w:eastAsia="en-AU"/>
            </w:rPr>
          </w:pPr>
          <w:r w:rsidRPr="00113BDB">
            <w:fldChar w:fldCharType="begin"/>
          </w:r>
          <w:r w:rsidR="0089635C" w:rsidRPr="00113BDB">
            <w:instrText xml:space="preserve"> TOC \o "1-3" \h \z \u </w:instrText>
          </w:r>
          <w:r w:rsidRPr="00113BDB">
            <w:fldChar w:fldCharType="separate"/>
          </w:r>
          <w:hyperlink w:anchor="_Toc517697964" w:history="1">
            <w:r w:rsidR="004F5B62" w:rsidRPr="00174EBB">
              <w:rPr>
                <w:rStyle w:val="Hyperlink"/>
                <w:noProof/>
              </w:rPr>
              <w:t>Common abbreviations</w:t>
            </w:r>
            <w:r w:rsidR="004F5B62">
              <w:rPr>
                <w:noProof/>
                <w:webHidden/>
              </w:rPr>
              <w:tab/>
            </w:r>
            <w:r w:rsidR="004F5B62">
              <w:rPr>
                <w:noProof/>
                <w:webHidden/>
              </w:rPr>
              <w:fldChar w:fldCharType="begin"/>
            </w:r>
            <w:r w:rsidR="004F5B62">
              <w:rPr>
                <w:noProof/>
                <w:webHidden/>
              </w:rPr>
              <w:instrText xml:space="preserve"> PAGEREF _Toc517697964 \h </w:instrText>
            </w:r>
            <w:r w:rsidR="004F5B62">
              <w:rPr>
                <w:noProof/>
                <w:webHidden/>
              </w:rPr>
            </w:r>
            <w:r w:rsidR="004F5B62">
              <w:rPr>
                <w:noProof/>
                <w:webHidden/>
              </w:rPr>
              <w:fldChar w:fldCharType="separate"/>
            </w:r>
            <w:r w:rsidR="004F5B62">
              <w:rPr>
                <w:noProof/>
                <w:webHidden/>
              </w:rPr>
              <w:t>5</w:t>
            </w:r>
            <w:r w:rsidR="004F5B62">
              <w:rPr>
                <w:noProof/>
                <w:webHidden/>
              </w:rPr>
              <w:fldChar w:fldCharType="end"/>
            </w:r>
          </w:hyperlink>
        </w:p>
        <w:p w14:paraId="24DB6332" w14:textId="77777777" w:rsidR="004F5B62" w:rsidRDefault="00C02D19">
          <w:pPr>
            <w:pStyle w:val="TOC2"/>
            <w:rPr>
              <w:rFonts w:asciiTheme="minorHAnsi" w:eastAsiaTheme="minorEastAsia" w:hAnsiTheme="minorHAnsi" w:cstheme="minorBidi"/>
              <w:b w:val="0"/>
              <w:noProof/>
              <w:sz w:val="22"/>
              <w:lang w:eastAsia="en-AU"/>
            </w:rPr>
          </w:pPr>
          <w:hyperlink w:anchor="_Toc517697965" w:history="1">
            <w:r w:rsidR="004F5B62" w:rsidRPr="00174EBB">
              <w:rPr>
                <w:rStyle w:val="Hyperlink"/>
                <w:noProof/>
              </w:rPr>
              <w:t>I. Introduction to product submission</w:t>
            </w:r>
            <w:r w:rsidR="004F5B62">
              <w:rPr>
                <w:noProof/>
                <w:webHidden/>
              </w:rPr>
              <w:tab/>
            </w:r>
            <w:r w:rsidR="004F5B62">
              <w:rPr>
                <w:noProof/>
                <w:webHidden/>
              </w:rPr>
              <w:fldChar w:fldCharType="begin"/>
            </w:r>
            <w:r w:rsidR="004F5B62">
              <w:rPr>
                <w:noProof/>
                <w:webHidden/>
              </w:rPr>
              <w:instrText xml:space="preserve"> PAGEREF _Toc517697965 \h </w:instrText>
            </w:r>
            <w:r w:rsidR="004F5B62">
              <w:rPr>
                <w:noProof/>
                <w:webHidden/>
              </w:rPr>
            </w:r>
            <w:r w:rsidR="004F5B62">
              <w:rPr>
                <w:noProof/>
                <w:webHidden/>
              </w:rPr>
              <w:fldChar w:fldCharType="separate"/>
            </w:r>
            <w:r w:rsidR="004F5B62">
              <w:rPr>
                <w:noProof/>
                <w:webHidden/>
              </w:rPr>
              <w:t>8</w:t>
            </w:r>
            <w:r w:rsidR="004F5B62">
              <w:rPr>
                <w:noProof/>
                <w:webHidden/>
              </w:rPr>
              <w:fldChar w:fldCharType="end"/>
            </w:r>
          </w:hyperlink>
        </w:p>
        <w:p w14:paraId="0F792B6A" w14:textId="77777777" w:rsidR="004F5B62" w:rsidRDefault="00C02D19">
          <w:pPr>
            <w:pStyle w:val="TOC3"/>
            <w:rPr>
              <w:rFonts w:asciiTheme="minorHAnsi" w:eastAsiaTheme="minorEastAsia" w:hAnsiTheme="minorHAnsi" w:cstheme="minorBidi"/>
              <w:noProof/>
              <w:lang w:eastAsia="en-AU"/>
            </w:rPr>
          </w:pPr>
          <w:hyperlink w:anchor="_Toc517697966" w:history="1">
            <w:r w:rsidR="004F5B62" w:rsidRPr="00174EBB">
              <w:rPr>
                <w:rStyle w:val="Hyperlink"/>
                <w:noProof/>
                <w:lang w:eastAsia="en-AU"/>
              </w:rPr>
              <w:t>Submission details</w:t>
            </w:r>
            <w:r w:rsidR="004F5B62">
              <w:rPr>
                <w:noProof/>
                <w:webHidden/>
              </w:rPr>
              <w:tab/>
            </w:r>
            <w:r w:rsidR="004F5B62">
              <w:rPr>
                <w:noProof/>
                <w:webHidden/>
              </w:rPr>
              <w:fldChar w:fldCharType="begin"/>
            </w:r>
            <w:r w:rsidR="004F5B62">
              <w:rPr>
                <w:noProof/>
                <w:webHidden/>
              </w:rPr>
              <w:instrText xml:space="preserve"> PAGEREF _Toc517697966 \h </w:instrText>
            </w:r>
            <w:r w:rsidR="004F5B62">
              <w:rPr>
                <w:noProof/>
                <w:webHidden/>
              </w:rPr>
            </w:r>
            <w:r w:rsidR="004F5B62">
              <w:rPr>
                <w:noProof/>
                <w:webHidden/>
              </w:rPr>
              <w:fldChar w:fldCharType="separate"/>
            </w:r>
            <w:r w:rsidR="004F5B62">
              <w:rPr>
                <w:noProof/>
                <w:webHidden/>
              </w:rPr>
              <w:t>8</w:t>
            </w:r>
            <w:r w:rsidR="004F5B62">
              <w:rPr>
                <w:noProof/>
                <w:webHidden/>
              </w:rPr>
              <w:fldChar w:fldCharType="end"/>
            </w:r>
          </w:hyperlink>
        </w:p>
        <w:p w14:paraId="36834877" w14:textId="77777777" w:rsidR="004F5B62" w:rsidRDefault="00C02D19">
          <w:pPr>
            <w:pStyle w:val="TOC3"/>
            <w:rPr>
              <w:rFonts w:asciiTheme="minorHAnsi" w:eastAsiaTheme="minorEastAsia" w:hAnsiTheme="minorHAnsi" w:cstheme="minorBidi"/>
              <w:noProof/>
              <w:lang w:eastAsia="en-AU"/>
            </w:rPr>
          </w:pPr>
          <w:hyperlink w:anchor="_Toc517697967" w:history="1">
            <w:r w:rsidR="004F5B62" w:rsidRPr="00174EBB">
              <w:rPr>
                <w:rStyle w:val="Hyperlink"/>
                <w:noProof/>
              </w:rPr>
              <w:t>Product background</w:t>
            </w:r>
            <w:r w:rsidR="004F5B62">
              <w:rPr>
                <w:noProof/>
                <w:webHidden/>
              </w:rPr>
              <w:tab/>
            </w:r>
            <w:r w:rsidR="004F5B62">
              <w:rPr>
                <w:noProof/>
                <w:webHidden/>
              </w:rPr>
              <w:fldChar w:fldCharType="begin"/>
            </w:r>
            <w:r w:rsidR="004F5B62">
              <w:rPr>
                <w:noProof/>
                <w:webHidden/>
              </w:rPr>
              <w:instrText xml:space="preserve"> PAGEREF _Toc517697967 \h </w:instrText>
            </w:r>
            <w:r w:rsidR="004F5B62">
              <w:rPr>
                <w:noProof/>
                <w:webHidden/>
              </w:rPr>
            </w:r>
            <w:r w:rsidR="004F5B62">
              <w:rPr>
                <w:noProof/>
                <w:webHidden/>
              </w:rPr>
              <w:fldChar w:fldCharType="separate"/>
            </w:r>
            <w:r w:rsidR="004F5B62">
              <w:rPr>
                <w:noProof/>
                <w:webHidden/>
              </w:rPr>
              <w:t>8</w:t>
            </w:r>
            <w:r w:rsidR="004F5B62">
              <w:rPr>
                <w:noProof/>
                <w:webHidden/>
              </w:rPr>
              <w:fldChar w:fldCharType="end"/>
            </w:r>
          </w:hyperlink>
        </w:p>
        <w:p w14:paraId="657FD798" w14:textId="77777777" w:rsidR="004F5B62" w:rsidRDefault="00C02D19">
          <w:pPr>
            <w:pStyle w:val="TOC3"/>
            <w:rPr>
              <w:rFonts w:asciiTheme="minorHAnsi" w:eastAsiaTheme="minorEastAsia" w:hAnsiTheme="minorHAnsi" w:cstheme="minorBidi"/>
              <w:noProof/>
              <w:lang w:eastAsia="en-AU"/>
            </w:rPr>
          </w:pPr>
          <w:hyperlink w:anchor="_Toc517697968" w:history="1">
            <w:r w:rsidR="004F5B62" w:rsidRPr="00174EBB">
              <w:rPr>
                <w:rStyle w:val="Hyperlink"/>
                <w:noProof/>
              </w:rPr>
              <w:t>Regulatory status</w:t>
            </w:r>
            <w:r w:rsidR="004F5B62">
              <w:rPr>
                <w:noProof/>
                <w:webHidden/>
              </w:rPr>
              <w:tab/>
            </w:r>
            <w:r w:rsidR="004F5B62">
              <w:rPr>
                <w:noProof/>
                <w:webHidden/>
              </w:rPr>
              <w:fldChar w:fldCharType="begin"/>
            </w:r>
            <w:r w:rsidR="004F5B62">
              <w:rPr>
                <w:noProof/>
                <w:webHidden/>
              </w:rPr>
              <w:instrText xml:space="preserve"> PAGEREF _Toc517697968 \h </w:instrText>
            </w:r>
            <w:r w:rsidR="004F5B62">
              <w:rPr>
                <w:noProof/>
                <w:webHidden/>
              </w:rPr>
            </w:r>
            <w:r w:rsidR="004F5B62">
              <w:rPr>
                <w:noProof/>
                <w:webHidden/>
              </w:rPr>
              <w:fldChar w:fldCharType="separate"/>
            </w:r>
            <w:r w:rsidR="004F5B62">
              <w:rPr>
                <w:noProof/>
                <w:webHidden/>
              </w:rPr>
              <w:t>11</w:t>
            </w:r>
            <w:r w:rsidR="004F5B62">
              <w:rPr>
                <w:noProof/>
                <w:webHidden/>
              </w:rPr>
              <w:fldChar w:fldCharType="end"/>
            </w:r>
          </w:hyperlink>
        </w:p>
        <w:p w14:paraId="747EBE4E" w14:textId="77777777" w:rsidR="004F5B62" w:rsidRDefault="00C02D19">
          <w:pPr>
            <w:pStyle w:val="TOC3"/>
            <w:rPr>
              <w:rFonts w:asciiTheme="minorHAnsi" w:eastAsiaTheme="minorEastAsia" w:hAnsiTheme="minorHAnsi" w:cstheme="minorBidi"/>
              <w:noProof/>
              <w:lang w:eastAsia="en-AU"/>
            </w:rPr>
          </w:pPr>
          <w:hyperlink w:anchor="_Toc517697969" w:history="1">
            <w:r w:rsidR="004F5B62" w:rsidRPr="00174EBB">
              <w:rPr>
                <w:rStyle w:val="Hyperlink"/>
                <w:noProof/>
              </w:rPr>
              <w:t>Product Information</w:t>
            </w:r>
            <w:r w:rsidR="004F5B62">
              <w:rPr>
                <w:noProof/>
                <w:webHidden/>
              </w:rPr>
              <w:tab/>
            </w:r>
            <w:r w:rsidR="004F5B62">
              <w:rPr>
                <w:noProof/>
                <w:webHidden/>
              </w:rPr>
              <w:fldChar w:fldCharType="begin"/>
            </w:r>
            <w:r w:rsidR="004F5B62">
              <w:rPr>
                <w:noProof/>
                <w:webHidden/>
              </w:rPr>
              <w:instrText xml:space="preserve"> PAGEREF _Toc517697969 \h </w:instrText>
            </w:r>
            <w:r w:rsidR="004F5B62">
              <w:rPr>
                <w:noProof/>
                <w:webHidden/>
              </w:rPr>
            </w:r>
            <w:r w:rsidR="004F5B62">
              <w:rPr>
                <w:noProof/>
                <w:webHidden/>
              </w:rPr>
              <w:fldChar w:fldCharType="separate"/>
            </w:r>
            <w:r w:rsidR="004F5B62">
              <w:rPr>
                <w:noProof/>
                <w:webHidden/>
              </w:rPr>
              <w:t>12</w:t>
            </w:r>
            <w:r w:rsidR="004F5B62">
              <w:rPr>
                <w:noProof/>
                <w:webHidden/>
              </w:rPr>
              <w:fldChar w:fldCharType="end"/>
            </w:r>
          </w:hyperlink>
        </w:p>
        <w:p w14:paraId="3D57993E" w14:textId="77777777" w:rsidR="004F5B62" w:rsidRDefault="00C02D19">
          <w:pPr>
            <w:pStyle w:val="TOC2"/>
            <w:rPr>
              <w:rFonts w:asciiTheme="minorHAnsi" w:eastAsiaTheme="minorEastAsia" w:hAnsiTheme="minorHAnsi" w:cstheme="minorBidi"/>
              <w:b w:val="0"/>
              <w:noProof/>
              <w:sz w:val="22"/>
              <w:lang w:eastAsia="en-AU"/>
            </w:rPr>
          </w:pPr>
          <w:hyperlink w:anchor="_Toc517697970" w:history="1">
            <w:r w:rsidR="004F5B62" w:rsidRPr="00174EBB">
              <w:rPr>
                <w:rStyle w:val="Hyperlink"/>
                <w:noProof/>
              </w:rPr>
              <w:t>II. Registration timeline</w:t>
            </w:r>
            <w:r w:rsidR="004F5B62">
              <w:rPr>
                <w:noProof/>
                <w:webHidden/>
              </w:rPr>
              <w:tab/>
            </w:r>
            <w:r w:rsidR="004F5B62">
              <w:rPr>
                <w:noProof/>
                <w:webHidden/>
              </w:rPr>
              <w:fldChar w:fldCharType="begin"/>
            </w:r>
            <w:r w:rsidR="004F5B62">
              <w:rPr>
                <w:noProof/>
                <w:webHidden/>
              </w:rPr>
              <w:instrText xml:space="preserve"> PAGEREF _Toc517697970 \h </w:instrText>
            </w:r>
            <w:r w:rsidR="004F5B62">
              <w:rPr>
                <w:noProof/>
                <w:webHidden/>
              </w:rPr>
            </w:r>
            <w:r w:rsidR="004F5B62">
              <w:rPr>
                <w:noProof/>
                <w:webHidden/>
              </w:rPr>
              <w:fldChar w:fldCharType="separate"/>
            </w:r>
            <w:r w:rsidR="004F5B62">
              <w:rPr>
                <w:noProof/>
                <w:webHidden/>
              </w:rPr>
              <w:t>12</w:t>
            </w:r>
            <w:r w:rsidR="004F5B62">
              <w:rPr>
                <w:noProof/>
                <w:webHidden/>
              </w:rPr>
              <w:fldChar w:fldCharType="end"/>
            </w:r>
          </w:hyperlink>
        </w:p>
        <w:p w14:paraId="649EB05F" w14:textId="77777777" w:rsidR="004F5B62" w:rsidRDefault="00C02D19">
          <w:pPr>
            <w:pStyle w:val="TOC2"/>
            <w:rPr>
              <w:rFonts w:asciiTheme="minorHAnsi" w:eastAsiaTheme="minorEastAsia" w:hAnsiTheme="minorHAnsi" w:cstheme="minorBidi"/>
              <w:b w:val="0"/>
              <w:noProof/>
              <w:sz w:val="22"/>
              <w:lang w:eastAsia="en-AU"/>
            </w:rPr>
          </w:pPr>
          <w:hyperlink w:anchor="_Toc517697971" w:history="1">
            <w:r w:rsidR="004F5B62" w:rsidRPr="00174EBB">
              <w:rPr>
                <w:rStyle w:val="Hyperlink"/>
                <w:noProof/>
              </w:rPr>
              <w:t>III. Quality findings</w:t>
            </w:r>
            <w:r w:rsidR="004F5B62">
              <w:rPr>
                <w:noProof/>
                <w:webHidden/>
              </w:rPr>
              <w:tab/>
            </w:r>
            <w:r w:rsidR="004F5B62">
              <w:rPr>
                <w:noProof/>
                <w:webHidden/>
              </w:rPr>
              <w:fldChar w:fldCharType="begin"/>
            </w:r>
            <w:r w:rsidR="004F5B62">
              <w:rPr>
                <w:noProof/>
                <w:webHidden/>
              </w:rPr>
              <w:instrText xml:space="preserve"> PAGEREF _Toc517697971 \h </w:instrText>
            </w:r>
            <w:r w:rsidR="004F5B62">
              <w:rPr>
                <w:noProof/>
                <w:webHidden/>
              </w:rPr>
            </w:r>
            <w:r w:rsidR="004F5B62">
              <w:rPr>
                <w:noProof/>
                <w:webHidden/>
              </w:rPr>
              <w:fldChar w:fldCharType="separate"/>
            </w:r>
            <w:r w:rsidR="004F5B62">
              <w:rPr>
                <w:noProof/>
                <w:webHidden/>
              </w:rPr>
              <w:t>13</w:t>
            </w:r>
            <w:r w:rsidR="004F5B62">
              <w:rPr>
                <w:noProof/>
                <w:webHidden/>
              </w:rPr>
              <w:fldChar w:fldCharType="end"/>
            </w:r>
          </w:hyperlink>
        </w:p>
        <w:p w14:paraId="36E105FA" w14:textId="77777777" w:rsidR="004F5B62" w:rsidRDefault="00C02D19">
          <w:pPr>
            <w:pStyle w:val="TOC3"/>
            <w:rPr>
              <w:rFonts w:asciiTheme="minorHAnsi" w:eastAsiaTheme="minorEastAsia" w:hAnsiTheme="minorHAnsi" w:cstheme="minorBidi"/>
              <w:noProof/>
              <w:lang w:eastAsia="en-AU"/>
            </w:rPr>
          </w:pPr>
          <w:hyperlink w:anchor="_Toc517697972" w:history="1">
            <w:r w:rsidR="004F5B62" w:rsidRPr="00174EBB">
              <w:rPr>
                <w:rStyle w:val="Hyperlink"/>
                <w:noProof/>
              </w:rPr>
              <w:t>Drug substance (active ingredient)</w:t>
            </w:r>
            <w:r w:rsidR="004F5B62">
              <w:rPr>
                <w:noProof/>
                <w:webHidden/>
              </w:rPr>
              <w:tab/>
            </w:r>
            <w:r w:rsidR="004F5B62">
              <w:rPr>
                <w:noProof/>
                <w:webHidden/>
              </w:rPr>
              <w:fldChar w:fldCharType="begin"/>
            </w:r>
            <w:r w:rsidR="004F5B62">
              <w:rPr>
                <w:noProof/>
                <w:webHidden/>
              </w:rPr>
              <w:instrText xml:space="preserve"> PAGEREF _Toc517697972 \h </w:instrText>
            </w:r>
            <w:r w:rsidR="004F5B62">
              <w:rPr>
                <w:noProof/>
                <w:webHidden/>
              </w:rPr>
            </w:r>
            <w:r w:rsidR="004F5B62">
              <w:rPr>
                <w:noProof/>
                <w:webHidden/>
              </w:rPr>
              <w:fldChar w:fldCharType="separate"/>
            </w:r>
            <w:r w:rsidR="004F5B62">
              <w:rPr>
                <w:noProof/>
                <w:webHidden/>
              </w:rPr>
              <w:t>13</w:t>
            </w:r>
            <w:r w:rsidR="004F5B62">
              <w:rPr>
                <w:noProof/>
                <w:webHidden/>
              </w:rPr>
              <w:fldChar w:fldCharType="end"/>
            </w:r>
          </w:hyperlink>
        </w:p>
        <w:p w14:paraId="71AF1D03" w14:textId="77777777" w:rsidR="004F5B62" w:rsidRDefault="00C02D19">
          <w:pPr>
            <w:pStyle w:val="TOC3"/>
            <w:rPr>
              <w:rFonts w:asciiTheme="minorHAnsi" w:eastAsiaTheme="minorEastAsia" w:hAnsiTheme="minorHAnsi" w:cstheme="minorBidi"/>
              <w:noProof/>
              <w:lang w:eastAsia="en-AU"/>
            </w:rPr>
          </w:pPr>
          <w:hyperlink w:anchor="_Toc517697973" w:history="1">
            <w:r w:rsidR="004F5B62" w:rsidRPr="00174EBB">
              <w:rPr>
                <w:rStyle w:val="Hyperlink"/>
                <w:noProof/>
              </w:rPr>
              <w:t>Drug product</w:t>
            </w:r>
            <w:r w:rsidR="004F5B62">
              <w:rPr>
                <w:noProof/>
                <w:webHidden/>
              </w:rPr>
              <w:tab/>
            </w:r>
            <w:r w:rsidR="004F5B62">
              <w:rPr>
                <w:noProof/>
                <w:webHidden/>
              </w:rPr>
              <w:fldChar w:fldCharType="begin"/>
            </w:r>
            <w:r w:rsidR="004F5B62">
              <w:rPr>
                <w:noProof/>
                <w:webHidden/>
              </w:rPr>
              <w:instrText xml:space="preserve"> PAGEREF _Toc517697973 \h </w:instrText>
            </w:r>
            <w:r w:rsidR="004F5B62">
              <w:rPr>
                <w:noProof/>
                <w:webHidden/>
              </w:rPr>
            </w:r>
            <w:r w:rsidR="004F5B62">
              <w:rPr>
                <w:noProof/>
                <w:webHidden/>
              </w:rPr>
              <w:fldChar w:fldCharType="separate"/>
            </w:r>
            <w:r w:rsidR="004F5B62">
              <w:rPr>
                <w:noProof/>
                <w:webHidden/>
              </w:rPr>
              <w:t>14</w:t>
            </w:r>
            <w:r w:rsidR="004F5B62">
              <w:rPr>
                <w:noProof/>
                <w:webHidden/>
              </w:rPr>
              <w:fldChar w:fldCharType="end"/>
            </w:r>
          </w:hyperlink>
        </w:p>
        <w:p w14:paraId="65F8EA15" w14:textId="77777777" w:rsidR="004F5B62" w:rsidRDefault="00C02D19">
          <w:pPr>
            <w:pStyle w:val="TOC3"/>
            <w:rPr>
              <w:rFonts w:asciiTheme="minorHAnsi" w:eastAsiaTheme="minorEastAsia" w:hAnsiTheme="minorHAnsi" w:cstheme="minorBidi"/>
              <w:noProof/>
              <w:lang w:eastAsia="en-AU"/>
            </w:rPr>
          </w:pPr>
          <w:hyperlink w:anchor="_Toc517697974" w:history="1">
            <w:r w:rsidR="004F5B62" w:rsidRPr="00174EBB">
              <w:rPr>
                <w:rStyle w:val="Hyperlink"/>
                <w:noProof/>
              </w:rPr>
              <w:t>Biopharmaceutics</w:t>
            </w:r>
            <w:r w:rsidR="004F5B62">
              <w:rPr>
                <w:noProof/>
                <w:webHidden/>
              </w:rPr>
              <w:tab/>
            </w:r>
            <w:r w:rsidR="004F5B62">
              <w:rPr>
                <w:noProof/>
                <w:webHidden/>
              </w:rPr>
              <w:fldChar w:fldCharType="begin"/>
            </w:r>
            <w:r w:rsidR="004F5B62">
              <w:rPr>
                <w:noProof/>
                <w:webHidden/>
              </w:rPr>
              <w:instrText xml:space="preserve"> PAGEREF _Toc517697974 \h </w:instrText>
            </w:r>
            <w:r w:rsidR="004F5B62">
              <w:rPr>
                <w:noProof/>
                <w:webHidden/>
              </w:rPr>
            </w:r>
            <w:r w:rsidR="004F5B62">
              <w:rPr>
                <w:noProof/>
                <w:webHidden/>
              </w:rPr>
              <w:fldChar w:fldCharType="separate"/>
            </w:r>
            <w:r w:rsidR="004F5B62">
              <w:rPr>
                <w:noProof/>
                <w:webHidden/>
              </w:rPr>
              <w:t>14</w:t>
            </w:r>
            <w:r w:rsidR="004F5B62">
              <w:rPr>
                <w:noProof/>
                <w:webHidden/>
              </w:rPr>
              <w:fldChar w:fldCharType="end"/>
            </w:r>
          </w:hyperlink>
        </w:p>
        <w:p w14:paraId="19391A59" w14:textId="77777777" w:rsidR="004F5B62" w:rsidRDefault="00C02D19">
          <w:pPr>
            <w:pStyle w:val="TOC3"/>
            <w:rPr>
              <w:rFonts w:asciiTheme="minorHAnsi" w:eastAsiaTheme="minorEastAsia" w:hAnsiTheme="minorHAnsi" w:cstheme="minorBidi"/>
              <w:noProof/>
              <w:lang w:eastAsia="en-AU"/>
            </w:rPr>
          </w:pPr>
          <w:hyperlink w:anchor="_Toc517697975" w:history="1">
            <w:r w:rsidR="004F5B62" w:rsidRPr="00174EBB">
              <w:rPr>
                <w:rStyle w:val="Hyperlink"/>
                <w:noProof/>
              </w:rPr>
              <w:t>Quality summary and conclusions</w:t>
            </w:r>
            <w:r w:rsidR="004F5B62">
              <w:rPr>
                <w:noProof/>
                <w:webHidden/>
              </w:rPr>
              <w:tab/>
            </w:r>
            <w:r w:rsidR="004F5B62">
              <w:rPr>
                <w:noProof/>
                <w:webHidden/>
              </w:rPr>
              <w:fldChar w:fldCharType="begin"/>
            </w:r>
            <w:r w:rsidR="004F5B62">
              <w:rPr>
                <w:noProof/>
                <w:webHidden/>
              </w:rPr>
              <w:instrText xml:space="preserve"> PAGEREF _Toc517697975 \h </w:instrText>
            </w:r>
            <w:r w:rsidR="004F5B62">
              <w:rPr>
                <w:noProof/>
                <w:webHidden/>
              </w:rPr>
            </w:r>
            <w:r w:rsidR="004F5B62">
              <w:rPr>
                <w:noProof/>
                <w:webHidden/>
              </w:rPr>
              <w:fldChar w:fldCharType="separate"/>
            </w:r>
            <w:r w:rsidR="004F5B62">
              <w:rPr>
                <w:noProof/>
                <w:webHidden/>
              </w:rPr>
              <w:t>15</w:t>
            </w:r>
            <w:r w:rsidR="004F5B62">
              <w:rPr>
                <w:noProof/>
                <w:webHidden/>
              </w:rPr>
              <w:fldChar w:fldCharType="end"/>
            </w:r>
          </w:hyperlink>
        </w:p>
        <w:p w14:paraId="3EB47F54" w14:textId="77777777" w:rsidR="004F5B62" w:rsidRDefault="00C02D19">
          <w:pPr>
            <w:pStyle w:val="TOC2"/>
            <w:rPr>
              <w:rFonts w:asciiTheme="minorHAnsi" w:eastAsiaTheme="minorEastAsia" w:hAnsiTheme="minorHAnsi" w:cstheme="minorBidi"/>
              <w:b w:val="0"/>
              <w:noProof/>
              <w:sz w:val="22"/>
              <w:lang w:eastAsia="en-AU"/>
            </w:rPr>
          </w:pPr>
          <w:hyperlink w:anchor="_Toc517697976" w:history="1">
            <w:r w:rsidR="004F5B62" w:rsidRPr="00174EBB">
              <w:rPr>
                <w:rStyle w:val="Hyperlink"/>
                <w:noProof/>
              </w:rPr>
              <w:t>IV. Nonclinical findings</w:t>
            </w:r>
            <w:r w:rsidR="004F5B62">
              <w:rPr>
                <w:noProof/>
                <w:webHidden/>
              </w:rPr>
              <w:tab/>
            </w:r>
            <w:r w:rsidR="004F5B62">
              <w:rPr>
                <w:noProof/>
                <w:webHidden/>
              </w:rPr>
              <w:fldChar w:fldCharType="begin"/>
            </w:r>
            <w:r w:rsidR="004F5B62">
              <w:rPr>
                <w:noProof/>
                <w:webHidden/>
              </w:rPr>
              <w:instrText xml:space="preserve"> PAGEREF _Toc517697976 \h </w:instrText>
            </w:r>
            <w:r w:rsidR="004F5B62">
              <w:rPr>
                <w:noProof/>
                <w:webHidden/>
              </w:rPr>
            </w:r>
            <w:r w:rsidR="004F5B62">
              <w:rPr>
                <w:noProof/>
                <w:webHidden/>
              </w:rPr>
              <w:fldChar w:fldCharType="separate"/>
            </w:r>
            <w:r w:rsidR="004F5B62">
              <w:rPr>
                <w:noProof/>
                <w:webHidden/>
              </w:rPr>
              <w:t>16</w:t>
            </w:r>
            <w:r w:rsidR="004F5B62">
              <w:rPr>
                <w:noProof/>
                <w:webHidden/>
              </w:rPr>
              <w:fldChar w:fldCharType="end"/>
            </w:r>
          </w:hyperlink>
        </w:p>
        <w:p w14:paraId="2D859FCB" w14:textId="77777777" w:rsidR="004F5B62" w:rsidRDefault="00C02D19">
          <w:pPr>
            <w:pStyle w:val="TOC3"/>
            <w:rPr>
              <w:rFonts w:asciiTheme="minorHAnsi" w:eastAsiaTheme="minorEastAsia" w:hAnsiTheme="minorHAnsi" w:cstheme="minorBidi"/>
              <w:noProof/>
              <w:lang w:eastAsia="en-AU"/>
            </w:rPr>
          </w:pPr>
          <w:hyperlink w:anchor="_Toc517697977" w:history="1">
            <w:r w:rsidR="004F5B62" w:rsidRPr="00174EBB">
              <w:rPr>
                <w:rStyle w:val="Hyperlink"/>
                <w:noProof/>
              </w:rPr>
              <w:t>Introduction</w:t>
            </w:r>
            <w:r w:rsidR="004F5B62">
              <w:rPr>
                <w:noProof/>
                <w:webHidden/>
              </w:rPr>
              <w:tab/>
            </w:r>
            <w:r w:rsidR="004F5B62">
              <w:rPr>
                <w:noProof/>
                <w:webHidden/>
              </w:rPr>
              <w:fldChar w:fldCharType="begin"/>
            </w:r>
            <w:r w:rsidR="004F5B62">
              <w:rPr>
                <w:noProof/>
                <w:webHidden/>
              </w:rPr>
              <w:instrText xml:space="preserve"> PAGEREF _Toc517697977 \h </w:instrText>
            </w:r>
            <w:r w:rsidR="004F5B62">
              <w:rPr>
                <w:noProof/>
                <w:webHidden/>
              </w:rPr>
            </w:r>
            <w:r w:rsidR="004F5B62">
              <w:rPr>
                <w:noProof/>
                <w:webHidden/>
              </w:rPr>
              <w:fldChar w:fldCharType="separate"/>
            </w:r>
            <w:r w:rsidR="004F5B62">
              <w:rPr>
                <w:noProof/>
                <w:webHidden/>
              </w:rPr>
              <w:t>16</w:t>
            </w:r>
            <w:r w:rsidR="004F5B62">
              <w:rPr>
                <w:noProof/>
                <w:webHidden/>
              </w:rPr>
              <w:fldChar w:fldCharType="end"/>
            </w:r>
          </w:hyperlink>
        </w:p>
        <w:p w14:paraId="7A500642" w14:textId="77777777" w:rsidR="004F5B62" w:rsidRDefault="00C02D19">
          <w:pPr>
            <w:pStyle w:val="TOC3"/>
            <w:rPr>
              <w:rFonts w:asciiTheme="minorHAnsi" w:eastAsiaTheme="minorEastAsia" w:hAnsiTheme="minorHAnsi" w:cstheme="minorBidi"/>
              <w:noProof/>
              <w:lang w:eastAsia="en-AU"/>
            </w:rPr>
          </w:pPr>
          <w:hyperlink w:anchor="_Toc517697978" w:history="1">
            <w:r w:rsidR="004F5B62" w:rsidRPr="00174EBB">
              <w:rPr>
                <w:rStyle w:val="Hyperlink"/>
                <w:noProof/>
              </w:rPr>
              <w:t>Pharmacology</w:t>
            </w:r>
            <w:r w:rsidR="004F5B62">
              <w:rPr>
                <w:noProof/>
                <w:webHidden/>
              </w:rPr>
              <w:tab/>
            </w:r>
            <w:r w:rsidR="004F5B62">
              <w:rPr>
                <w:noProof/>
                <w:webHidden/>
              </w:rPr>
              <w:fldChar w:fldCharType="begin"/>
            </w:r>
            <w:r w:rsidR="004F5B62">
              <w:rPr>
                <w:noProof/>
                <w:webHidden/>
              </w:rPr>
              <w:instrText xml:space="preserve"> PAGEREF _Toc517697978 \h </w:instrText>
            </w:r>
            <w:r w:rsidR="004F5B62">
              <w:rPr>
                <w:noProof/>
                <w:webHidden/>
              </w:rPr>
            </w:r>
            <w:r w:rsidR="004F5B62">
              <w:rPr>
                <w:noProof/>
                <w:webHidden/>
              </w:rPr>
              <w:fldChar w:fldCharType="separate"/>
            </w:r>
            <w:r w:rsidR="004F5B62">
              <w:rPr>
                <w:noProof/>
                <w:webHidden/>
              </w:rPr>
              <w:t>16</w:t>
            </w:r>
            <w:r w:rsidR="004F5B62">
              <w:rPr>
                <w:noProof/>
                <w:webHidden/>
              </w:rPr>
              <w:fldChar w:fldCharType="end"/>
            </w:r>
          </w:hyperlink>
        </w:p>
        <w:p w14:paraId="6B0D182C" w14:textId="77777777" w:rsidR="004F5B62" w:rsidRDefault="00C02D19">
          <w:pPr>
            <w:pStyle w:val="TOC3"/>
            <w:rPr>
              <w:rFonts w:asciiTheme="minorHAnsi" w:eastAsiaTheme="minorEastAsia" w:hAnsiTheme="minorHAnsi" w:cstheme="minorBidi"/>
              <w:noProof/>
              <w:lang w:eastAsia="en-AU"/>
            </w:rPr>
          </w:pPr>
          <w:hyperlink w:anchor="_Toc517697979" w:history="1">
            <w:r w:rsidR="004F5B62" w:rsidRPr="00174EBB">
              <w:rPr>
                <w:rStyle w:val="Hyperlink"/>
                <w:noProof/>
              </w:rPr>
              <w:t>Pharmacokinetics</w:t>
            </w:r>
            <w:r w:rsidR="004F5B62">
              <w:rPr>
                <w:noProof/>
                <w:webHidden/>
              </w:rPr>
              <w:tab/>
            </w:r>
            <w:r w:rsidR="004F5B62">
              <w:rPr>
                <w:noProof/>
                <w:webHidden/>
              </w:rPr>
              <w:fldChar w:fldCharType="begin"/>
            </w:r>
            <w:r w:rsidR="004F5B62">
              <w:rPr>
                <w:noProof/>
                <w:webHidden/>
              </w:rPr>
              <w:instrText xml:space="preserve"> PAGEREF _Toc517697979 \h </w:instrText>
            </w:r>
            <w:r w:rsidR="004F5B62">
              <w:rPr>
                <w:noProof/>
                <w:webHidden/>
              </w:rPr>
            </w:r>
            <w:r w:rsidR="004F5B62">
              <w:rPr>
                <w:noProof/>
                <w:webHidden/>
              </w:rPr>
              <w:fldChar w:fldCharType="separate"/>
            </w:r>
            <w:r w:rsidR="004F5B62">
              <w:rPr>
                <w:noProof/>
                <w:webHidden/>
              </w:rPr>
              <w:t>16</w:t>
            </w:r>
            <w:r w:rsidR="004F5B62">
              <w:rPr>
                <w:noProof/>
                <w:webHidden/>
              </w:rPr>
              <w:fldChar w:fldCharType="end"/>
            </w:r>
          </w:hyperlink>
        </w:p>
        <w:p w14:paraId="7065361C" w14:textId="77777777" w:rsidR="004F5B62" w:rsidRDefault="00C02D19">
          <w:pPr>
            <w:pStyle w:val="TOC3"/>
            <w:rPr>
              <w:rFonts w:asciiTheme="minorHAnsi" w:eastAsiaTheme="minorEastAsia" w:hAnsiTheme="minorHAnsi" w:cstheme="minorBidi"/>
              <w:noProof/>
              <w:lang w:eastAsia="en-AU"/>
            </w:rPr>
          </w:pPr>
          <w:hyperlink w:anchor="_Toc517697980" w:history="1">
            <w:r w:rsidR="004F5B62" w:rsidRPr="00174EBB">
              <w:rPr>
                <w:rStyle w:val="Hyperlink"/>
                <w:noProof/>
              </w:rPr>
              <w:t>Toxicology</w:t>
            </w:r>
            <w:r w:rsidR="004F5B62">
              <w:rPr>
                <w:noProof/>
                <w:webHidden/>
              </w:rPr>
              <w:tab/>
            </w:r>
            <w:r w:rsidR="004F5B62">
              <w:rPr>
                <w:noProof/>
                <w:webHidden/>
              </w:rPr>
              <w:fldChar w:fldCharType="begin"/>
            </w:r>
            <w:r w:rsidR="004F5B62">
              <w:rPr>
                <w:noProof/>
                <w:webHidden/>
              </w:rPr>
              <w:instrText xml:space="preserve"> PAGEREF _Toc517697980 \h </w:instrText>
            </w:r>
            <w:r w:rsidR="004F5B62">
              <w:rPr>
                <w:noProof/>
                <w:webHidden/>
              </w:rPr>
            </w:r>
            <w:r w:rsidR="004F5B62">
              <w:rPr>
                <w:noProof/>
                <w:webHidden/>
              </w:rPr>
              <w:fldChar w:fldCharType="separate"/>
            </w:r>
            <w:r w:rsidR="004F5B62">
              <w:rPr>
                <w:noProof/>
                <w:webHidden/>
              </w:rPr>
              <w:t>17</w:t>
            </w:r>
            <w:r w:rsidR="004F5B62">
              <w:rPr>
                <w:noProof/>
                <w:webHidden/>
              </w:rPr>
              <w:fldChar w:fldCharType="end"/>
            </w:r>
          </w:hyperlink>
        </w:p>
        <w:p w14:paraId="75D9C030" w14:textId="77777777" w:rsidR="004F5B62" w:rsidRDefault="00C02D19">
          <w:pPr>
            <w:pStyle w:val="TOC3"/>
            <w:rPr>
              <w:rFonts w:asciiTheme="minorHAnsi" w:eastAsiaTheme="minorEastAsia" w:hAnsiTheme="minorHAnsi" w:cstheme="minorBidi"/>
              <w:noProof/>
              <w:lang w:eastAsia="en-AU"/>
            </w:rPr>
          </w:pPr>
          <w:hyperlink w:anchor="_Toc517697981" w:history="1">
            <w:r w:rsidR="004F5B62" w:rsidRPr="00174EBB">
              <w:rPr>
                <w:rStyle w:val="Hyperlink"/>
                <w:noProof/>
              </w:rPr>
              <w:t>Nonclinical summary and conclusions</w:t>
            </w:r>
            <w:r w:rsidR="004F5B62">
              <w:rPr>
                <w:noProof/>
                <w:webHidden/>
              </w:rPr>
              <w:tab/>
            </w:r>
            <w:r w:rsidR="004F5B62">
              <w:rPr>
                <w:noProof/>
                <w:webHidden/>
              </w:rPr>
              <w:fldChar w:fldCharType="begin"/>
            </w:r>
            <w:r w:rsidR="004F5B62">
              <w:rPr>
                <w:noProof/>
                <w:webHidden/>
              </w:rPr>
              <w:instrText xml:space="preserve"> PAGEREF _Toc517697981 \h </w:instrText>
            </w:r>
            <w:r w:rsidR="004F5B62">
              <w:rPr>
                <w:noProof/>
                <w:webHidden/>
              </w:rPr>
            </w:r>
            <w:r w:rsidR="004F5B62">
              <w:rPr>
                <w:noProof/>
                <w:webHidden/>
              </w:rPr>
              <w:fldChar w:fldCharType="separate"/>
            </w:r>
            <w:r w:rsidR="004F5B62">
              <w:rPr>
                <w:noProof/>
                <w:webHidden/>
              </w:rPr>
              <w:t>19</w:t>
            </w:r>
            <w:r w:rsidR="004F5B62">
              <w:rPr>
                <w:noProof/>
                <w:webHidden/>
              </w:rPr>
              <w:fldChar w:fldCharType="end"/>
            </w:r>
          </w:hyperlink>
        </w:p>
        <w:p w14:paraId="3DAEE08E" w14:textId="77777777" w:rsidR="004F5B62" w:rsidRDefault="00C02D19">
          <w:pPr>
            <w:pStyle w:val="TOC2"/>
            <w:rPr>
              <w:rFonts w:asciiTheme="minorHAnsi" w:eastAsiaTheme="minorEastAsia" w:hAnsiTheme="minorHAnsi" w:cstheme="minorBidi"/>
              <w:b w:val="0"/>
              <w:noProof/>
              <w:sz w:val="22"/>
              <w:lang w:eastAsia="en-AU"/>
            </w:rPr>
          </w:pPr>
          <w:hyperlink w:anchor="_Toc517697982" w:history="1">
            <w:r w:rsidR="004F5B62" w:rsidRPr="00174EBB">
              <w:rPr>
                <w:rStyle w:val="Hyperlink"/>
                <w:noProof/>
              </w:rPr>
              <w:t>V. Clinical findings</w:t>
            </w:r>
            <w:r w:rsidR="004F5B62">
              <w:rPr>
                <w:noProof/>
                <w:webHidden/>
              </w:rPr>
              <w:tab/>
            </w:r>
            <w:r w:rsidR="004F5B62">
              <w:rPr>
                <w:noProof/>
                <w:webHidden/>
              </w:rPr>
              <w:fldChar w:fldCharType="begin"/>
            </w:r>
            <w:r w:rsidR="004F5B62">
              <w:rPr>
                <w:noProof/>
                <w:webHidden/>
              </w:rPr>
              <w:instrText xml:space="preserve"> PAGEREF _Toc517697982 \h </w:instrText>
            </w:r>
            <w:r w:rsidR="004F5B62">
              <w:rPr>
                <w:noProof/>
                <w:webHidden/>
              </w:rPr>
            </w:r>
            <w:r w:rsidR="004F5B62">
              <w:rPr>
                <w:noProof/>
                <w:webHidden/>
              </w:rPr>
              <w:fldChar w:fldCharType="separate"/>
            </w:r>
            <w:r w:rsidR="004F5B62">
              <w:rPr>
                <w:noProof/>
                <w:webHidden/>
              </w:rPr>
              <w:t>19</w:t>
            </w:r>
            <w:r w:rsidR="004F5B62">
              <w:rPr>
                <w:noProof/>
                <w:webHidden/>
              </w:rPr>
              <w:fldChar w:fldCharType="end"/>
            </w:r>
          </w:hyperlink>
        </w:p>
        <w:p w14:paraId="78E98FCF" w14:textId="77777777" w:rsidR="004F5B62" w:rsidRDefault="00C02D19">
          <w:pPr>
            <w:pStyle w:val="TOC3"/>
            <w:rPr>
              <w:rFonts w:asciiTheme="minorHAnsi" w:eastAsiaTheme="minorEastAsia" w:hAnsiTheme="minorHAnsi" w:cstheme="minorBidi"/>
              <w:noProof/>
              <w:lang w:eastAsia="en-AU"/>
            </w:rPr>
          </w:pPr>
          <w:hyperlink w:anchor="_Toc517697983" w:history="1">
            <w:r w:rsidR="004F5B62" w:rsidRPr="00174EBB">
              <w:rPr>
                <w:rStyle w:val="Hyperlink"/>
                <w:noProof/>
              </w:rPr>
              <w:t>Introduction</w:t>
            </w:r>
            <w:r w:rsidR="004F5B62">
              <w:rPr>
                <w:noProof/>
                <w:webHidden/>
              </w:rPr>
              <w:tab/>
            </w:r>
            <w:r w:rsidR="004F5B62">
              <w:rPr>
                <w:noProof/>
                <w:webHidden/>
              </w:rPr>
              <w:fldChar w:fldCharType="begin"/>
            </w:r>
            <w:r w:rsidR="004F5B62">
              <w:rPr>
                <w:noProof/>
                <w:webHidden/>
              </w:rPr>
              <w:instrText xml:space="preserve"> PAGEREF _Toc517697983 \h </w:instrText>
            </w:r>
            <w:r w:rsidR="004F5B62">
              <w:rPr>
                <w:noProof/>
                <w:webHidden/>
              </w:rPr>
            </w:r>
            <w:r w:rsidR="004F5B62">
              <w:rPr>
                <w:noProof/>
                <w:webHidden/>
              </w:rPr>
              <w:fldChar w:fldCharType="separate"/>
            </w:r>
            <w:r w:rsidR="004F5B62">
              <w:rPr>
                <w:noProof/>
                <w:webHidden/>
              </w:rPr>
              <w:t>19</w:t>
            </w:r>
            <w:r w:rsidR="004F5B62">
              <w:rPr>
                <w:noProof/>
                <w:webHidden/>
              </w:rPr>
              <w:fldChar w:fldCharType="end"/>
            </w:r>
          </w:hyperlink>
        </w:p>
        <w:p w14:paraId="333EEB71" w14:textId="77777777" w:rsidR="004F5B62" w:rsidRDefault="00C02D19">
          <w:pPr>
            <w:pStyle w:val="TOC3"/>
            <w:rPr>
              <w:rFonts w:asciiTheme="minorHAnsi" w:eastAsiaTheme="minorEastAsia" w:hAnsiTheme="minorHAnsi" w:cstheme="minorBidi"/>
              <w:noProof/>
              <w:lang w:eastAsia="en-AU"/>
            </w:rPr>
          </w:pPr>
          <w:hyperlink w:anchor="_Toc517697984" w:history="1">
            <w:r w:rsidR="004F5B62" w:rsidRPr="00174EBB">
              <w:rPr>
                <w:rStyle w:val="Hyperlink"/>
                <w:noProof/>
              </w:rPr>
              <w:t>Pharmacokinetics</w:t>
            </w:r>
            <w:r w:rsidR="004F5B62">
              <w:rPr>
                <w:noProof/>
                <w:webHidden/>
              </w:rPr>
              <w:tab/>
            </w:r>
            <w:r w:rsidR="004F5B62">
              <w:rPr>
                <w:noProof/>
                <w:webHidden/>
              </w:rPr>
              <w:fldChar w:fldCharType="begin"/>
            </w:r>
            <w:r w:rsidR="004F5B62">
              <w:rPr>
                <w:noProof/>
                <w:webHidden/>
              </w:rPr>
              <w:instrText xml:space="preserve"> PAGEREF _Toc517697984 \h </w:instrText>
            </w:r>
            <w:r w:rsidR="004F5B62">
              <w:rPr>
                <w:noProof/>
                <w:webHidden/>
              </w:rPr>
            </w:r>
            <w:r w:rsidR="004F5B62">
              <w:rPr>
                <w:noProof/>
                <w:webHidden/>
              </w:rPr>
              <w:fldChar w:fldCharType="separate"/>
            </w:r>
            <w:r w:rsidR="004F5B62">
              <w:rPr>
                <w:noProof/>
                <w:webHidden/>
              </w:rPr>
              <w:t>20</w:t>
            </w:r>
            <w:r w:rsidR="004F5B62">
              <w:rPr>
                <w:noProof/>
                <w:webHidden/>
              </w:rPr>
              <w:fldChar w:fldCharType="end"/>
            </w:r>
          </w:hyperlink>
        </w:p>
        <w:p w14:paraId="0FDB0F77" w14:textId="77777777" w:rsidR="004F5B62" w:rsidRDefault="00C02D19">
          <w:pPr>
            <w:pStyle w:val="TOC3"/>
            <w:rPr>
              <w:rFonts w:asciiTheme="minorHAnsi" w:eastAsiaTheme="minorEastAsia" w:hAnsiTheme="minorHAnsi" w:cstheme="minorBidi"/>
              <w:noProof/>
              <w:lang w:eastAsia="en-AU"/>
            </w:rPr>
          </w:pPr>
          <w:hyperlink w:anchor="_Toc517697985" w:history="1">
            <w:r w:rsidR="004F5B62" w:rsidRPr="00174EBB">
              <w:rPr>
                <w:rStyle w:val="Hyperlink"/>
                <w:noProof/>
              </w:rPr>
              <w:t>Pharmacodynamics</w:t>
            </w:r>
            <w:r w:rsidR="004F5B62">
              <w:rPr>
                <w:noProof/>
                <w:webHidden/>
              </w:rPr>
              <w:tab/>
            </w:r>
            <w:r w:rsidR="004F5B62">
              <w:rPr>
                <w:noProof/>
                <w:webHidden/>
              </w:rPr>
              <w:fldChar w:fldCharType="begin"/>
            </w:r>
            <w:r w:rsidR="004F5B62">
              <w:rPr>
                <w:noProof/>
                <w:webHidden/>
              </w:rPr>
              <w:instrText xml:space="preserve"> PAGEREF _Toc517697985 \h </w:instrText>
            </w:r>
            <w:r w:rsidR="004F5B62">
              <w:rPr>
                <w:noProof/>
                <w:webHidden/>
              </w:rPr>
            </w:r>
            <w:r w:rsidR="004F5B62">
              <w:rPr>
                <w:noProof/>
                <w:webHidden/>
              </w:rPr>
              <w:fldChar w:fldCharType="separate"/>
            </w:r>
            <w:r w:rsidR="004F5B62">
              <w:rPr>
                <w:noProof/>
                <w:webHidden/>
              </w:rPr>
              <w:t>21</w:t>
            </w:r>
            <w:r w:rsidR="004F5B62">
              <w:rPr>
                <w:noProof/>
                <w:webHidden/>
              </w:rPr>
              <w:fldChar w:fldCharType="end"/>
            </w:r>
          </w:hyperlink>
        </w:p>
        <w:p w14:paraId="61ED11A9" w14:textId="77777777" w:rsidR="004F5B62" w:rsidRDefault="00C02D19">
          <w:pPr>
            <w:pStyle w:val="TOC3"/>
            <w:rPr>
              <w:rFonts w:asciiTheme="minorHAnsi" w:eastAsiaTheme="minorEastAsia" w:hAnsiTheme="minorHAnsi" w:cstheme="minorBidi"/>
              <w:noProof/>
              <w:lang w:eastAsia="en-AU"/>
            </w:rPr>
          </w:pPr>
          <w:hyperlink w:anchor="_Toc517697986" w:history="1">
            <w:r w:rsidR="004F5B62" w:rsidRPr="00174EBB">
              <w:rPr>
                <w:rStyle w:val="Hyperlink"/>
                <w:noProof/>
              </w:rPr>
              <w:t>Efficacy</w:t>
            </w:r>
            <w:r w:rsidR="004F5B62">
              <w:rPr>
                <w:noProof/>
                <w:webHidden/>
              </w:rPr>
              <w:tab/>
            </w:r>
            <w:r w:rsidR="004F5B62">
              <w:rPr>
                <w:noProof/>
                <w:webHidden/>
              </w:rPr>
              <w:fldChar w:fldCharType="begin"/>
            </w:r>
            <w:r w:rsidR="004F5B62">
              <w:rPr>
                <w:noProof/>
                <w:webHidden/>
              </w:rPr>
              <w:instrText xml:space="preserve"> PAGEREF _Toc517697986 \h </w:instrText>
            </w:r>
            <w:r w:rsidR="004F5B62">
              <w:rPr>
                <w:noProof/>
                <w:webHidden/>
              </w:rPr>
            </w:r>
            <w:r w:rsidR="004F5B62">
              <w:rPr>
                <w:noProof/>
                <w:webHidden/>
              </w:rPr>
              <w:fldChar w:fldCharType="separate"/>
            </w:r>
            <w:r w:rsidR="004F5B62">
              <w:rPr>
                <w:noProof/>
                <w:webHidden/>
              </w:rPr>
              <w:t>21</w:t>
            </w:r>
            <w:r w:rsidR="004F5B62">
              <w:rPr>
                <w:noProof/>
                <w:webHidden/>
              </w:rPr>
              <w:fldChar w:fldCharType="end"/>
            </w:r>
          </w:hyperlink>
        </w:p>
        <w:p w14:paraId="5ECB5A88" w14:textId="77777777" w:rsidR="004F5B62" w:rsidRDefault="00C02D19">
          <w:pPr>
            <w:pStyle w:val="TOC3"/>
            <w:rPr>
              <w:rFonts w:asciiTheme="minorHAnsi" w:eastAsiaTheme="minorEastAsia" w:hAnsiTheme="minorHAnsi" w:cstheme="minorBidi"/>
              <w:noProof/>
              <w:lang w:eastAsia="en-AU"/>
            </w:rPr>
          </w:pPr>
          <w:hyperlink w:anchor="_Toc517697987" w:history="1">
            <w:r w:rsidR="004F5B62" w:rsidRPr="00174EBB">
              <w:rPr>
                <w:rStyle w:val="Hyperlink"/>
                <w:noProof/>
              </w:rPr>
              <w:t>Safety</w:t>
            </w:r>
            <w:r w:rsidR="004F5B62">
              <w:rPr>
                <w:noProof/>
                <w:webHidden/>
              </w:rPr>
              <w:tab/>
            </w:r>
            <w:r w:rsidR="004F5B62">
              <w:rPr>
                <w:noProof/>
                <w:webHidden/>
              </w:rPr>
              <w:fldChar w:fldCharType="begin"/>
            </w:r>
            <w:r w:rsidR="004F5B62">
              <w:rPr>
                <w:noProof/>
                <w:webHidden/>
              </w:rPr>
              <w:instrText xml:space="preserve"> PAGEREF _Toc517697987 \h </w:instrText>
            </w:r>
            <w:r w:rsidR="004F5B62">
              <w:rPr>
                <w:noProof/>
                <w:webHidden/>
              </w:rPr>
            </w:r>
            <w:r w:rsidR="004F5B62">
              <w:rPr>
                <w:noProof/>
                <w:webHidden/>
              </w:rPr>
              <w:fldChar w:fldCharType="separate"/>
            </w:r>
            <w:r w:rsidR="004F5B62">
              <w:rPr>
                <w:noProof/>
                <w:webHidden/>
              </w:rPr>
              <w:t>22</w:t>
            </w:r>
            <w:r w:rsidR="004F5B62">
              <w:rPr>
                <w:noProof/>
                <w:webHidden/>
              </w:rPr>
              <w:fldChar w:fldCharType="end"/>
            </w:r>
          </w:hyperlink>
        </w:p>
        <w:p w14:paraId="3A5D00F4" w14:textId="77777777" w:rsidR="004F5B62" w:rsidRDefault="00C02D19">
          <w:pPr>
            <w:pStyle w:val="TOC3"/>
            <w:rPr>
              <w:rFonts w:asciiTheme="minorHAnsi" w:eastAsiaTheme="minorEastAsia" w:hAnsiTheme="minorHAnsi" w:cstheme="minorBidi"/>
              <w:noProof/>
              <w:lang w:eastAsia="en-AU"/>
            </w:rPr>
          </w:pPr>
          <w:hyperlink w:anchor="_Toc517697988" w:history="1">
            <w:r w:rsidR="004F5B62" w:rsidRPr="00174EBB">
              <w:rPr>
                <w:rStyle w:val="Hyperlink"/>
                <w:noProof/>
              </w:rPr>
              <w:t>First Round Benefit-Risk Assessment</w:t>
            </w:r>
            <w:r w:rsidR="004F5B62">
              <w:rPr>
                <w:noProof/>
                <w:webHidden/>
              </w:rPr>
              <w:tab/>
            </w:r>
            <w:r w:rsidR="004F5B62">
              <w:rPr>
                <w:noProof/>
                <w:webHidden/>
              </w:rPr>
              <w:fldChar w:fldCharType="begin"/>
            </w:r>
            <w:r w:rsidR="004F5B62">
              <w:rPr>
                <w:noProof/>
                <w:webHidden/>
              </w:rPr>
              <w:instrText xml:space="preserve"> PAGEREF _Toc517697988 \h </w:instrText>
            </w:r>
            <w:r w:rsidR="004F5B62">
              <w:rPr>
                <w:noProof/>
                <w:webHidden/>
              </w:rPr>
            </w:r>
            <w:r w:rsidR="004F5B62">
              <w:rPr>
                <w:noProof/>
                <w:webHidden/>
              </w:rPr>
              <w:fldChar w:fldCharType="separate"/>
            </w:r>
            <w:r w:rsidR="004F5B62">
              <w:rPr>
                <w:noProof/>
                <w:webHidden/>
              </w:rPr>
              <w:t>30</w:t>
            </w:r>
            <w:r w:rsidR="004F5B62">
              <w:rPr>
                <w:noProof/>
                <w:webHidden/>
              </w:rPr>
              <w:fldChar w:fldCharType="end"/>
            </w:r>
          </w:hyperlink>
        </w:p>
        <w:p w14:paraId="1CFA598C" w14:textId="77777777" w:rsidR="004F5B62" w:rsidRDefault="00C02D19">
          <w:pPr>
            <w:pStyle w:val="TOC3"/>
            <w:rPr>
              <w:rFonts w:asciiTheme="minorHAnsi" w:eastAsiaTheme="minorEastAsia" w:hAnsiTheme="minorHAnsi" w:cstheme="minorBidi"/>
              <w:noProof/>
              <w:lang w:eastAsia="en-AU"/>
            </w:rPr>
          </w:pPr>
          <w:hyperlink w:anchor="_Toc517697989" w:history="1">
            <w:r w:rsidR="004F5B62" w:rsidRPr="00174EBB">
              <w:rPr>
                <w:rStyle w:val="Hyperlink"/>
                <w:noProof/>
              </w:rPr>
              <w:t>First Round Recommendation Regarding Authorisation</w:t>
            </w:r>
            <w:r w:rsidR="004F5B62">
              <w:rPr>
                <w:noProof/>
                <w:webHidden/>
              </w:rPr>
              <w:tab/>
            </w:r>
            <w:r w:rsidR="004F5B62">
              <w:rPr>
                <w:noProof/>
                <w:webHidden/>
              </w:rPr>
              <w:fldChar w:fldCharType="begin"/>
            </w:r>
            <w:r w:rsidR="004F5B62">
              <w:rPr>
                <w:noProof/>
                <w:webHidden/>
              </w:rPr>
              <w:instrText xml:space="preserve"> PAGEREF _Toc517697989 \h </w:instrText>
            </w:r>
            <w:r w:rsidR="004F5B62">
              <w:rPr>
                <w:noProof/>
                <w:webHidden/>
              </w:rPr>
            </w:r>
            <w:r w:rsidR="004F5B62">
              <w:rPr>
                <w:noProof/>
                <w:webHidden/>
              </w:rPr>
              <w:fldChar w:fldCharType="separate"/>
            </w:r>
            <w:r w:rsidR="004F5B62">
              <w:rPr>
                <w:noProof/>
                <w:webHidden/>
              </w:rPr>
              <w:t>32</w:t>
            </w:r>
            <w:r w:rsidR="004F5B62">
              <w:rPr>
                <w:noProof/>
                <w:webHidden/>
              </w:rPr>
              <w:fldChar w:fldCharType="end"/>
            </w:r>
          </w:hyperlink>
        </w:p>
        <w:p w14:paraId="4B4A1F95" w14:textId="77777777" w:rsidR="004F5B62" w:rsidRDefault="00C02D19">
          <w:pPr>
            <w:pStyle w:val="TOC3"/>
            <w:rPr>
              <w:rFonts w:asciiTheme="minorHAnsi" w:eastAsiaTheme="minorEastAsia" w:hAnsiTheme="minorHAnsi" w:cstheme="minorBidi"/>
              <w:noProof/>
              <w:lang w:eastAsia="en-AU"/>
            </w:rPr>
          </w:pPr>
          <w:hyperlink w:anchor="_Toc517697990" w:history="1">
            <w:r w:rsidR="004F5B62" w:rsidRPr="00174EBB">
              <w:rPr>
                <w:rStyle w:val="Hyperlink"/>
                <w:noProof/>
              </w:rPr>
              <w:t>Clinical Questions and Second Round Evaluation of clinical data submitted in response to questions</w:t>
            </w:r>
            <w:r w:rsidR="004F5B62">
              <w:rPr>
                <w:noProof/>
                <w:webHidden/>
              </w:rPr>
              <w:tab/>
            </w:r>
            <w:r w:rsidR="004F5B62">
              <w:rPr>
                <w:noProof/>
                <w:webHidden/>
              </w:rPr>
              <w:fldChar w:fldCharType="begin"/>
            </w:r>
            <w:r w:rsidR="004F5B62">
              <w:rPr>
                <w:noProof/>
                <w:webHidden/>
              </w:rPr>
              <w:instrText xml:space="preserve"> PAGEREF _Toc517697990 \h </w:instrText>
            </w:r>
            <w:r w:rsidR="004F5B62">
              <w:rPr>
                <w:noProof/>
                <w:webHidden/>
              </w:rPr>
            </w:r>
            <w:r w:rsidR="004F5B62">
              <w:rPr>
                <w:noProof/>
                <w:webHidden/>
              </w:rPr>
              <w:fldChar w:fldCharType="separate"/>
            </w:r>
            <w:r w:rsidR="004F5B62">
              <w:rPr>
                <w:noProof/>
                <w:webHidden/>
              </w:rPr>
              <w:t>32</w:t>
            </w:r>
            <w:r w:rsidR="004F5B62">
              <w:rPr>
                <w:noProof/>
                <w:webHidden/>
              </w:rPr>
              <w:fldChar w:fldCharType="end"/>
            </w:r>
          </w:hyperlink>
        </w:p>
        <w:p w14:paraId="75AA7B28" w14:textId="77777777" w:rsidR="004F5B62" w:rsidRDefault="00C02D19">
          <w:pPr>
            <w:pStyle w:val="TOC3"/>
            <w:rPr>
              <w:rFonts w:asciiTheme="minorHAnsi" w:eastAsiaTheme="minorEastAsia" w:hAnsiTheme="minorHAnsi" w:cstheme="minorBidi"/>
              <w:noProof/>
              <w:lang w:eastAsia="en-AU"/>
            </w:rPr>
          </w:pPr>
          <w:hyperlink w:anchor="_Toc517697991" w:history="1">
            <w:r w:rsidR="004F5B62" w:rsidRPr="00174EBB">
              <w:rPr>
                <w:rStyle w:val="Hyperlink"/>
                <w:noProof/>
              </w:rPr>
              <w:t>Second Round Benefit-Risk Assessment</w:t>
            </w:r>
            <w:r w:rsidR="004F5B62">
              <w:rPr>
                <w:noProof/>
                <w:webHidden/>
              </w:rPr>
              <w:tab/>
            </w:r>
            <w:r w:rsidR="004F5B62">
              <w:rPr>
                <w:noProof/>
                <w:webHidden/>
              </w:rPr>
              <w:fldChar w:fldCharType="begin"/>
            </w:r>
            <w:r w:rsidR="004F5B62">
              <w:rPr>
                <w:noProof/>
                <w:webHidden/>
              </w:rPr>
              <w:instrText xml:space="preserve"> PAGEREF _Toc517697991 \h </w:instrText>
            </w:r>
            <w:r w:rsidR="004F5B62">
              <w:rPr>
                <w:noProof/>
                <w:webHidden/>
              </w:rPr>
            </w:r>
            <w:r w:rsidR="004F5B62">
              <w:rPr>
                <w:noProof/>
                <w:webHidden/>
              </w:rPr>
              <w:fldChar w:fldCharType="separate"/>
            </w:r>
            <w:r w:rsidR="004F5B62">
              <w:rPr>
                <w:noProof/>
                <w:webHidden/>
              </w:rPr>
              <w:t>32</w:t>
            </w:r>
            <w:r w:rsidR="004F5B62">
              <w:rPr>
                <w:noProof/>
                <w:webHidden/>
              </w:rPr>
              <w:fldChar w:fldCharType="end"/>
            </w:r>
          </w:hyperlink>
        </w:p>
        <w:p w14:paraId="28439A2E" w14:textId="77777777" w:rsidR="004F5B62" w:rsidRDefault="00C02D19">
          <w:pPr>
            <w:pStyle w:val="TOC3"/>
            <w:rPr>
              <w:rFonts w:asciiTheme="minorHAnsi" w:eastAsiaTheme="minorEastAsia" w:hAnsiTheme="minorHAnsi" w:cstheme="minorBidi"/>
              <w:noProof/>
              <w:lang w:eastAsia="en-AU"/>
            </w:rPr>
          </w:pPr>
          <w:hyperlink w:anchor="_Toc517697992" w:history="1">
            <w:r w:rsidR="004F5B62" w:rsidRPr="00174EBB">
              <w:rPr>
                <w:rStyle w:val="Hyperlink"/>
                <w:noProof/>
              </w:rPr>
              <w:t>Second round assessment of benefits</w:t>
            </w:r>
            <w:r w:rsidR="004F5B62">
              <w:rPr>
                <w:noProof/>
                <w:webHidden/>
              </w:rPr>
              <w:tab/>
            </w:r>
            <w:r w:rsidR="004F5B62">
              <w:rPr>
                <w:noProof/>
                <w:webHidden/>
              </w:rPr>
              <w:fldChar w:fldCharType="begin"/>
            </w:r>
            <w:r w:rsidR="004F5B62">
              <w:rPr>
                <w:noProof/>
                <w:webHidden/>
              </w:rPr>
              <w:instrText xml:space="preserve"> PAGEREF _Toc517697992 \h </w:instrText>
            </w:r>
            <w:r w:rsidR="004F5B62">
              <w:rPr>
                <w:noProof/>
                <w:webHidden/>
              </w:rPr>
            </w:r>
            <w:r w:rsidR="004F5B62">
              <w:rPr>
                <w:noProof/>
                <w:webHidden/>
              </w:rPr>
              <w:fldChar w:fldCharType="separate"/>
            </w:r>
            <w:r w:rsidR="004F5B62">
              <w:rPr>
                <w:noProof/>
                <w:webHidden/>
              </w:rPr>
              <w:t>32</w:t>
            </w:r>
            <w:r w:rsidR="004F5B62">
              <w:rPr>
                <w:noProof/>
                <w:webHidden/>
              </w:rPr>
              <w:fldChar w:fldCharType="end"/>
            </w:r>
          </w:hyperlink>
        </w:p>
        <w:p w14:paraId="447E98B9" w14:textId="77777777" w:rsidR="004F5B62" w:rsidRDefault="00C02D19">
          <w:pPr>
            <w:pStyle w:val="TOC3"/>
            <w:rPr>
              <w:rFonts w:asciiTheme="minorHAnsi" w:eastAsiaTheme="minorEastAsia" w:hAnsiTheme="minorHAnsi" w:cstheme="minorBidi"/>
              <w:noProof/>
              <w:lang w:eastAsia="en-AU"/>
            </w:rPr>
          </w:pPr>
          <w:hyperlink w:anchor="_Toc517697993" w:history="1">
            <w:r w:rsidR="004F5B62" w:rsidRPr="00174EBB">
              <w:rPr>
                <w:rStyle w:val="Hyperlink"/>
                <w:noProof/>
              </w:rPr>
              <w:t>Second round assessment of risks</w:t>
            </w:r>
            <w:r w:rsidR="004F5B62">
              <w:rPr>
                <w:noProof/>
                <w:webHidden/>
              </w:rPr>
              <w:tab/>
            </w:r>
            <w:r w:rsidR="004F5B62">
              <w:rPr>
                <w:noProof/>
                <w:webHidden/>
              </w:rPr>
              <w:fldChar w:fldCharType="begin"/>
            </w:r>
            <w:r w:rsidR="004F5B62">
              <w:rPr>
                <w:noProof/>
                <w:webHidden/>
              </w:rPr>
              <w:instrText xml:space="preserve"> PAGEREF _Toc517697993 \h </w:instrText>
            </w:r>
            <w:r w:rsidR="004F5B62">
              <w:rPr>
                <w:noProof/>
                <w:webHidden/>
              </w:rPr>
            </w:r>
            <w:r w:rsidR="004F5B62">
              <w:rPr>
                <w:noProof/>
                <w:webHidden/>
              </w:rPr>
              <w:fldChar w:fldCharType="separate"/>
            </w:r>
            <w:r w:rsidR="004F5B62">
              <w:rPr>
                <w:noProof/>
                <w:webHidden/>
              </w:rPr>
              <w:t>33</w:t>
            </w:r>
            <w:r w:rsidR="004F5B62">
              <w:rPr>
                <w:noProof/>
                <w:webHidden/>
              </w:rPr>
              <w:fldChar w:fldCharType="end"/>
            </w:r>
          </w:hyperlink>
        </w:p>
        <w:p w14:paraId="47B5CC05" w14:textId="77777777" w:rsidR="004F5B62" w:rsidRDefault="00C02D19">
          <w:pPr>
            <w:pStyle w:val="TOC3"/>
            <w:rPr>
              <w:rFonts w:asciiTheme="minorHAnsi" w:eastAsiaTheme="minorEastAsia" w:hAnsiTheme="minorHAnsi" w:cstheme="minorBidi"/>
              <w:noProof/>
              <w:lang w:eastAsia="en-AU"/>
            </w:rPr>
          </w:pPr>
          <w:hyperlink w:anchor="_Toc517697994" w:history="1">
            <w:r w:rsidR="004F5B62" w:rsidRPr="00174EBB">
              <w:rPr>
                <w:rStyle w:val="Hyperlink"/>
                <w:noProof/>
              </w:rPr>
              <w:t>Second round assessment of benefit-risk balance</w:t>
            </w:r>
            <w:r w:rsidR="004F5B62">
              <w:rPr>
                <w:noProof/>
                <w:webHidden/>
              </w:rPr>
              <w:tab/>
            </w:r>
            <w:r w:rsidR="004F5B62">
              <w:rPr>
                <w:noProof/>
                <w:webHidden/>
              </w:rPr>
              <w:fldChar w:fldCharType="begin"/>
            </w:r>
            <w:r w:rsidR="004F5B62">
              <w:rPr>
                <w:noProof/>
                <w:webHidden/>
              </w:rPr>
              <w:instrText xml:space="preserve"> PAGEREF _Toc517697994 \h </w:instrText>
            </w:r>
            <w:r w:rsidR="004F5B62">
              <w:rPr>
                <w:noProof/>
                <w:webHidden/>
              </w:rPr>
            </w:r>
            <w:r w:rsidR="004F5B62">
              <w:rPr>
                <w:noProof/>
                <w:webHidden/>
              </w:rPr>
              <w:fldChar w:fldCharType="separate"/>
            </w:r>
            <w:r w:rsidR="004F5B62">
              <w:rPr>
                <w:noProof/>
                <w:webHidden/>
              </w:rPr>
              <w:t>33</w:t>
            </w:r>
            <w:r w:rsidR="004F5B62">
              <w:rPr>
                <w:noProof/>
                <w:webHidden/>
              </w:rPr>
              <w:fldChar w:fldCharType="end"/>
            </w:r>
          </w:hyperlink>
        </w:p>
        <w:p w14:paraId="2460BB5A" w14:textId="77777777" w:rsidR="004F5B62" w:rsidRDefault="00C02D19">
          <w:pPr>
            <w:pStyle w:val="TOC2"/>
            <w:rPr>
              <w:rFonts w:asciiTheme="minorHAnsi" w:eastAsiaTheme="minorEastAsia" w:hAnsiTheme="minorHAnsi" w:cstheme="minorBidi"/>
              <w:b w:val="0"/>
              <w:noProof/>
              <w:sz w:val="22"/>
              <w:lang w:eastAsia="en-AU"/>
            </w:rPr>
          </w:pPr>
          <w:hyperlink w:anchor="_Toc517697995" w:history="1">
            <w:r w:rsidR="004F5B62" w:rsidRPr="00174EBB">
              <w:rPr>
                <w:rStyle w:val="Hyperlink"/>
                <w:noProof/>
              </w:rPr>
              <w:t>Second round recommendation regarding authorisation</w:t>
            </w:r>
            <w:r w:rsidR="004F5B62">
              <w:rPr>
                <w:noProof/>
                <w:webHidden/>
              </w:rPr>
              <w:tab/>
            </w:r>
            <w:r w:rsidR="004F5B62">
              <w:rPr>
                <w:noProof/>
                <w:webHidden/>
              </w:rPr>
              <w:fldChar w:fldCharType="begin"/>
            </w:r>
            <w:r w:rsidR="004F5B62">
              <w:rPr>
                <w:noProof/>
                <w:webHidden/>
              </w:rPr>
              <w:instrText xml:space="preserve"> PAGEREF _Toc517697995 \h </w:instrText>
            </w:r>
            <w:r w:rsidR="004F5B62">
              <w:rPr>
                <w:noProof/>
                <w:webHidden/>
              </w:rPr>
            </w:r>
            <w:r w:rsidR="004F5B62">
              <w:rPr>
                <w:noProof/>
                <w:webHidden/>
              </w:rPr>
              <w:fldChar w:fldCharType="separate"/>
            </w:r>
            <w:r w:rsidR="004F5B62">
              <w:rPr>
                <w:noProof/>
                <w:webHidden/>
              </w:rPr>
              <w:t>33</w:t>
            </w:r>
            <w:r w:rsidR="004F5B62">
              <w:rPr>
                <w:noProof/>
                <w:webHidden/>
              </w:rPr>
              <w:fldChar w:fldCharType="end"/>
            </w:r>
          </w:hyperlink>
        </w:p>
        <w:p w14:paraId="2E0035E0" w14:textId="77777777" w:rsidR="004F5B62" w:rsidRDefault="00C02D19">
          <w:pPr>
            <w:pStyle w:val="TOC2"/>
            <w:rPr>
              <w:rFonts w:asciiTheme="minorHAnsi" w:eastAsiaTheme="minorEastAsia" w:hAnsiTheme="minorHAnsi" w:cstheme="minorBidi"/>
              <w:b w:val="0"/>
              <w:noProof/>
              <w:sz w:val="22"/>
              <w:lang w:eastAsia="en-AU"/>
            </w:rPr>
          </w:pPr>
          <w:hyperlink w:anchor="_Toc517697996" w:history="1">
            <w:r w:rsidR="004F5B62" w:rsidRPr="00174EBB">
              <w:rPr>
                <w:rStyle w:val="Hyperlink"/>
                <w:noProof/>
              </w:rPr>
              <w:t>VI. Pharmacovigilance findings</w:t>
            </w:r>
            <w:r w:rsidR="004F5B62">
              <w:rPr>
                <w:noProof/>
                <w:webHidden/>
              </w:rPr>
              <w:tab/>
            </w:r>
            <w:r w:rsidR="004F5B62">
              <w:rPr>
                <w:noProof/>
                <w:webHidden/>
              </w:rPr>
              <w:fldChar w:fldCharType="begin"/>
            </w:r>
            <w:r w:rsidR="004F5B62">
              <w:rPr>
                <w:noProof/>
                <w:webHidden/>
              </w:rPr>
              <w:instrText xml:space="preserve"> PAGEREF _Toc517697996 \h </w:instrText>
            </w:r>
            <w:r w:rsidR="004F5B62">
              <w:rPr>
                <w:noProof/>
                <w:webHidden/>
              </w:rPr>
            </w:r>
            <w:r w:rsidR="004F5B62">
              <w:rPr>
                <w:noProof/>
                <w:webHidden/>
              </w:rPr>
              <w:fldChar w:fldCharType="separate"/>
            </w:r>
            <w:r w:rsidR="004F5B62">
              <w:rPr>
                <w:noProof/>
                <w:webHidden/>
              </w:rPr>
              <w:t>34</w:t>
            </w:r>
            <w:r w:rsidR="004F5B62">
              <w:rPr>
                <w:noProof/>
                <w:webHidden/>
              </w:rPr>
              <w:fldChar w:fldCharType="end"/>
            </w:r>
          </w:hyperlink>
        </w:p>
        <w:p w14:paraId="591FA578" w14:textId="77777777" w:rsidR="004F5B62" w:rsidRDefault="00C02D19">
          <w:pPr>
            <w:pStyle w:val="TOC3"/>
            <w:rPr>
              <w:rFonts w:asciiTheme="minorHAnsi" w:eastAsiaTheme="minorEastAsia" w:hAnsiTheme="minorHAnsi" w:cstheme="minorBidi"/>
              <w:noProof/>
              <w:lang w:eastAsia="en-AU"/>
            </w:rPr>
          </w:pPr>
          <w:hyperlink w:anchor="_Toc517697997" w:history="1">
            <w:r w:rsidR="004F5B62" w:rsidRPr="00174EBB">
              <w:rPr>
                <w:rStyle w:val="Hyperlink"/>
                <w:noProof/>
                <w:lang w:eastAsia="en-AU"/>
              </w:rPr>
              <w:t>Risk management plan</w:t>
            </w:r>
            <w:r w:rsidR="004F5B62">
              <w:rPr>
                <w:noProof/>
                <w:webHidden/>
              </w:rPr>
              <w:tab/>
            </w:r>
            <w:r w:rsidR="004F5B62">
              <w:rPr>
                <w:noProof/>
                <w:webHidden/>
              </w:rPr>
              <w:fldChar w:fldCharType="begin"/>
            </w:r>
            <w:r w:rsidR="004F5B62">
              <w:rPr>
                <w:noProof/>
                <w:webHidden/>
              </w:rPr>
              <w:instrText xml:space="preserve"> PAGEREF _Toc517697997 \h </w:instrText>
            </w:r>
            <w:r w:rsidR="004F5B62">
              <w:rPr>
                <w:noProof/>
                <w:webHidden/>
              </w:rPr>
            </w:r>
            <w:r w:rsidR="004F5B62">
              <w:rPr>
                <w:noProof/>
                <w:webHidden/>
              </w:rPr>
              <w:fldChar w:fldCharType="separate"/>
            </w:r>
            <w:r w:rsidR="004F5B62">
              <w:rPr>
                <w:noProof/>
                <w:webHidden/>
              </w:rPr>
              <w:t>34</w:t>
            </w:r>
            <w:r w:rsidR="004F5B62">
              <w:rPr>
                <w:noProof/>
                <w:webHidden/>
              </w:rPr>
              <w:fldChar w:fldCharType="end"/>
            </w:r>
          </w:hyperlink>
        </w:p>
        <w:p w14:paraId="2E1BD74B" w14:textId="77777777" w:rsidR="004F5B62" w:rsidRDefault="00C02D19">
          <w:pPr>
            <w:pStyle w:val="TOC2"/>
            <w:rPr>
              <w:rFonts w:asciiTheme="minorHAnsi" w:eastAsiaTheme="minorEastAsia" w:hAnsiTheme="minorHAnsi" w:cstheme="minorBidi"/>
              <w:b w:val="0"/>
              <w:noProof/>
              <w:sz w:val="22"/>
              <w:lang w:eastAsia="en-AU"/>
            </w:rPr>
          </w:pPr>
          <w:hyperlink w:anchor="_Toc517697998" w:history="1">
            <w:r w:rsidR="004F5B62" w:rsidRPr="00174EBB">
              <w:rPr>
                <w:rStyle w:val="Hyperlink"/>
                <w:noProof/>
              </w:rPr>
              <w:t>VII. Overall conclusion and risk/benefit assessment</w:t>
            </w:r>
            <w:r w:rsidR="004F5B62">
              <w:rPr>
                <w:noProof/>
                <w:webHidden/>
              </w:rPr>
              <w:tab/>
            </w:r>
            <w:r w:rsidR="004F5B62">
              <w:rPr>
                <w:noProof/>
                <w:webHidden/>
              </w:rPr>
              <w:fldChar w:fldCharType="begin"/>
            </w:r>
            <w:r w:rsidR="004F5B62">
              <w:rPr>
                <w:noProof/>
                <w:webHidden/>
              </w:rPr>
              <w:instrText xml:space="preserve"> PAGEREF _Toc517697998 \h </w:instrText>
            </w:r>
            <w:r w:rsidR="004F5B62">
              <w:rPr>
                <w:noProof/>
                <w:webHidden/>
              </w:rPr>
            </w:r>
            <w:r w:rsidR="004F5B62">
              <w:rPr>
                <w:noProof/>
                <w:webHidden/>
              </w:rPr>
              <w:fldChar w:fldCharType="separate"/>
            </w:r>
            <w:r w:rsidR="004F5B62">
              <w:rPr>
                <w:noProof/>
                <w:webHidden/>
              </w:rPr>
              <w:t>35</w:t>
            </w:r>
            <w:r w:rsidR="004F5B62">
              <w:rPr>
                <w:noProof/>
                <w:webHidden/>
              </w:rPr>
              <w:fldChar w:fldCharType="end"/>
            </w:r>
          </w:hyperlink>
        </w:p>
        <w:p w14:paraId="7D1F24E5" w14:textId="77777777" w:rsidR="004F5B62" w:rsidRDefault="00C02D19">
          <w:pPr>
            <w:pStyle w:val="TOC3"/>
            <w:rPr>
              <w:rFonts w:asciiTheme="minorHAnsi" w:eastAsiaTheme="minorEastAsia" w:hAnsiTheme="minorHAnsi" w:cstheme="minorBidi"/>
              <w:noProof/>
              <w:lang w:eastAsia="en-AU"/>
            </w:rPr>
          </w:pPr>
          <w:hyperlink w:anchor="_Toc517697999" w:history="1">
            <w:r w:rsidR="004F5B62" w:rsidRPr="00174EBB">
              <w:rPr>
                <w:rStyle w:val="Hyperlink"/>
                <w:noProof/>
              </w:rPr>
              <w:t>Quality and biopharmaceutics</w:t>
            </w:r>
            <w:r w:rsidR="004F5B62">
              <w:rPr>
                <w:noProof/>
                <w:webHidden/>
              </w:rPr>
              <w:tab/>
            </w:r>
            <w:r w:rsidR="004F5B62">
              <w:rPr>
                <w:noProof/>
                <w:webHidden/>
              </w:rPr>
              <w:fldChar w:fldCharType="begin"/>
            </w:r>
            <w:r w:rsidR="004F5B62">
              <w:rPr>
                <w:noProof/>
                <w:webHidden/>
              </w:rPr>
              <w:instrText xml:space="preserve"> PAGEREF _Toc517697999 \h </w:instrText>
            </w:r>
            <w:r w:rsidR="004F5B62">
              <w:rPr>
                <w:noProof/>
                <w:webHidden/>
              </w:rPr>
            </w:r>
            <w:r w:rsidR="004F5B62">
              <w:rPr>
                <w:noProof/>
                <w:webHidden/>
              </w:rPr>
              <w:fldChar w:fldCharType="separate"/>
            </w:r>
            <w:r w:rsidR="004F5B62">
              <w:rPr>
                <w:noProof/>
                <w:webHidden/>
              </w:rPr>
              <w:t>35</w:t>
            </w:r>
            <w:r w:rsidR="004F5B62">
              <w:rPr>
                <w:noProof/>
                <w:webHidden/>
              </w:rPr>
              <w:fldChar w:fldCharType="end"/>
            </w:r>
          </w:hyperlink>
        </w:p>
        <w:p w14:paraId="2ED75E6D" w14:textId="77777777" w:rsidR="004F5B62" w:rsidRDefault="00C02D19">
          <w:pPr>
            <w:pStyle w:val="TOC3"/>
            <w:rPr>
              <w:rFonts w:asciiTheme="minorHAnsi" w:eastAsiaTheme="minorEastAsia" w:hAnsiTheme="minorHAnsi" w:cstheme="minorBidi"/>
              <w:noProof/>
              <w:lang w:eastAsia="en-AU"/>
            </w:rPr>
          </w:pPr>
          <w:hyperlink w:anchor="_Toc517698000" w:history="1">
            <w:r w:rsidR="004F5B62" w:rsidRPr="00174EBB">
              <w:rPr>
                <w:rStyle w:val="Hyperlink"/>
                <w:noProof/>
              </w:rPr>
              <w:t>Nonclinical</w:t>
            </w:r>
            <w:r w:rsidR="004F5B62">
              <w:rPr>
                <w:noProof/>
                <w:webHidden/>
              </w:rPr>
              <w:tab/>
            </w:r>
            <w:r w:rsidR="004F5B62">
              <w:rPr>
                <w:noProof/>
                <w:webHidden/>
              </w:rPr>
              <w:fldChar w:fldCharType="begin"/>
            </w:r>
            <w:r w:rsidR="004F5B62">
              <w:rPr>
                <w:noProof/>
                <w:webHidden/>
              </w:rPr>
              <w:instrText xml:space="preserve"> PAGEREF _Toc517698000 \h </w:instrText>
            </w:r>
            <w:r w:rsidR="004F5B62">
              <w:rPr>
                <w:noProof/>
                <w:webHidden/>
              </w:rPr>
            </w:r>
            <w:r w:rsidR="004F5B62">
              <w:rPr>
                <w:noProof/>
                <w:webHidden/>
              </w:rPr>
              <w:fldChar w:fldCharType="separate"/>
            </w:r>
            <w:r w:rsidR="004F5B62">
              <w:rPr>
                <w:noProof/>
                <w:webHidden/>
              </w:rPr>
              <w:t>35</w:t>
            </w:r>
            <w:r w:rsidR="004F5B62">
              <w:rPr>
                <w:noProof/>
                <w:webHidden/>
              </w:rPr>
              <w:fldChar w:fldCharType="end"/>
            </w:r>
          </w:hyperlink>
        </w:p>
        <w:p w14:paraId="174E5165" w14:textId="77777777" w:rsidR="004F5B62" w:rsidRDefault="00C02D19">
          <w:pPr>
            <w:pStyle w:val="TOC3"/>
            <w:rPr>
              <w:rFonts w:asciiTheme="minorHAnsi" w:eastAsiaTheme="minorEastAsia" w:hAnsiTheme="minorHAnsi" w:cstheme="minorBidi"/>
              <w:noProof/>
              <w:lang w:eastAsia="en-AU"/>
            </w:rPr>
          </w:pPr>
          <w:hyperlink w:anchor="_Toc517698001" w:history="1">
            <w:r w:rsidR="004F5B62" w:rsidRPr="00174EBB">
              <w:rPr>
                <w:rStyle w:val="Hyperlink"/>
                <w:noProof/>
              </w:rPr>
              <w:t>Clinical</w:t>
            </w:r>
            <w:r w:rsidR="004F5B62">
              <w:rPr>
                <w:noProof/>
                <w:webHidden/>
              </w:rPr>
              <w:tab/>
            </w:r>
            <w:r w:rsidR="004F5B62">
              <w:rPr>
                <w:noProof/>
                <w:webHidden/>
              </w:rPr>
              <w:fldChar w:fldCharType="begin"/>
            </w:r>
            <w:r w:rsidR="004F5B62">
              <w:rPr>
                <w:noProof/>
                <w:webHidden/>
              </w:rPr>
              <w:instrText xml:space="preserve"> PAGEREF _Toc517698001 \h </w:instrText>
            </w:r>
            <w:r w:rsidR="004F5B62">
              <w:rPr>
                <w:noProof/>
                <w:webHidden/>
              </w:rPr>
            </w:r>
            <w:r w:rsidR="004F5B62">
              <w:rPr>
                <w:noProof/>
                <w:webHidden/>
              </w:rPr>
              <w:fldChar w:fldCharType="separate"/>
            </w:r>
            <w:r w:rsidR="004F5B62">
              <w:rPr>
                <w:noProof/>
                <w:webHidden/>
              </w:rPr>
              <w:t>35</w:t>
            </w:r>
            <w:r w:rsidR="004F5B62">
              <w:rPr>
                <w:noProof/>
                <w:webHidden/>
              </w:rPr>
              <w:fldChar w:fldCharType="end"/>
            </w:r>
          </w:hyperlink>
        </w:p>
        <w:p w14:paraId="32954258" w14:textId="77777777" w:rsidR="004F5B62" w:rsidRDefault="00C02D19">
          <w:pPr>
            <w:pStyle w:val="TOC3"/>
            <w:rPr>
              <w:rFonts w:asciiTheme="minorHAnsi" w:eastAsiaTheme="minorEastAsia" w:hAnsiTheme="minorHAnsi" w:cstheme="minorBidi"/>
              <w:noProof/>
              <w:lang w:eastAsia="en-AU"/>
            </w:rPr>
          </w:pPr>
          <w:hyperlink w:anchor="_Toc517698002" w:history="1">
            <w:r w:rsidR="004F5B62" w:rsidRPr="00174EBB">
              <w:rPr>
                <w:rStyle w:val="Hyperlink"/>
                <w:noProof/>
              </w:rPr>
              <w:t>RMP</w:t>
            </w:r>
            <w:r w:rsidR="004F5B62">
              <w:rPr>
                <w:noProof/>
                <w:webHidden/>
              </w:rPr>
              <w:tab/>
            </w:r>
            <w:r w:rsidR="004F5B62">
              <w:rPr>
                <w:noProof/>
                <w:webHidden/>
              </w:rPr>
              <w:fldChar w:fldCharType="begin"/>
            </w:r>
            <w:r w:rsidR="004F5B62">
              <w:rPr>
                <w:noProof/>
                <w:webHidden/>
              </w:rPr>
              <w:instrText xml:space="preserve"> PAGEREF _Toc517698002 \h </w:instrText>
            </w:r>
            <w:r w:rsidR="004F5B62">
              <w:rPr>
                <w:noProof/>
                <w:webHidden/>
              </w:rPr>
            </w:r>
            <w:r w:rsidR="004F5B62">
              <w:rPr>
                <w:noProof/>
                <w:webHidden/>
              </w:rPr>
              <w:fldChar w:fldCharType="separate"/>
            </w:r>
            <w:r w:rsidR="004F5B62">
              <w:rPr>
                <w:noProof/>
                <w:webHidden/>
              </w:rPr>
              <w:t>40</w:t>
            </w:r>
            <w:r w:rsidR="004F5B62">
              <w:rPr>
                <w:noProof/>
                <w:webHidden/>
              </w:rPr>
              <w:fldChar w:fldCharType="end"/>
            </w:r>
          </w:hyperlink>
        </w:p>
        <w:p w14:paraId="231EFBB8" w14:textId="77777777" w:rsidR="004F5B62" w:rsidRDefault="00C02D19">
          <w:pPr>
            <w:pStyle w:val="TOC3"/>
            <w:rPr>
              <w:rFonts w:asciiTheme="minorHAnsi" w:eastAsiaTheme="minorEastAsia" w:hAnsiTheme="minorHAnsi" w:cstheme="minorBidi"/>
              <w:noProof/>
              <w:lang w:eastAsia="en-AU"/>
            </w:rPr>
          </w:pPr>
          <w:hyperlink w:anchor="_Toc517698003" w:history="1">
            <w:r w:rsidR="004F5B62" w:rsidRPr="00174EBB">
              <w:rPr>
                <w:rStyle w:val="Hyperlink"/>
                <w:noProof/>
              </w:rPr>
              <w:t>Risk-benefit analysis</w:t>
            </w:r>
            <w:r w:rsidR="004F5B62">
              <w:rPr>
                <w:noProof/>
                <w:webHidden/>
              </w:rPr>
              <w:tab/>
            </w:r>
            <w:r w:rsidR="004F5B62">
              <w:rPr>
                <w:noProof/>
                <w:webHidden/>
              </w:rPr>
              <w:fldChar w:fldCharType="begin"/>
            </w:r>
            <w:r w:rsidR="004F5B62">
              <w:rPr>
                <w:noProof/>
                <w:webHidden/>
              </w:rPr>
              <w:instrText xml:space="preserve"> PAGEREF _Toc517698003 \h </w:instrText>
            </w:r>
            <w:r w:rsidR="004F5B62">
              <w:rPr>
                <w:noProof/>
                <w:webHidden/>
              </w:rPr>
            </w:r>
            <w:r w:rsidR="004F5B62">
              <w:rPr>
                <w:noProof/>
                <w:webHidden/>
              </w:rPr>
              <w:fldChar w:fldCharType="separate"/>
            </w:r>
            <w:r w:rsidR="004F5B62">
              <w:rPr>
                <w:noProof/>
                <w:webHidden/>
              </w:rPr>
              <w:t>40</w:t>
            </w:r>
            <w:r w:rsidR="004F5B62">
              <w:rPr>
                <w:noProof/>
                <w:webHidden/>
              </w:rPr>
              <w:fldChar w:fldCharType="end"/>
            </w:r>
          </w:hyperlink>
        </w:p>
        <w:p w14:paraId="76AB7BD6" w14:textId="77777777" w:rsidR="004F5B62" w:rsidRDefault="00C02D19">
          <w:pPr>
            <w:pStyle w:val="TOC3"/>
            <w:rPr>
              <w:rFonts w:asciiTheme="minorHAnsi" w:eastAsiaTheme="minorEastAsia" w:hAnsiTheme="minorHAnsi" w:cstheme="minorBidi"/>
              <w:noProof/>
              <w:lang w:eastAsia="en-AU"/>
            </w:rPr>
          </w:pPr>
          <w:hyperlink w:anchor="_Toc517698004" w:history="1">
            <w:r w:rsidR="004F5B62" w:rsidRPr="00174EBB">
              <w:rPr>
                <w:rStyle w:val="Hyperlink"/>
                <w:noProof/>
              </w:rPr>
              <w:t>Outcome</w:t>
            </w:r>
            <w:r w:rsidR="004F5B62">
              <w:rPr>
                <w:noProof/>
                <w:webHidden/>
              </w:rPr>
              <w:tab/>
            </w:r>
            <w:r w:rsidR="004F5B62">
              <w:rPr>
                <w:noProof/>
                <w:webHidden/>
              </w:rPr>
              <w:fldChar w:fldCharType="begin"/>
            </w:r>
            <w:r w:rsidR="004F5B62">
              <w:rPr>
                <w:noProof/>
                <w:webHidden/>
              </w:rPr>
              <w:instrText xml:space="preserve"> PAGEREF _Toc517698004 \h </w:instrText>
            </w:r>
            <w:r w:rsidR="004F5B62">
              <w:rPr>
                <w:noProof/>
                <w:webHidden/>
              </w:rPr>
            </w:r>
            <w:r w:rsidR="004F5B62">
              <w:rPr>
                <w:noProof/>
                <w:webHidden/>
              </w:rPr>
              <w:fldChar w:fldCharType="separate"/>
            </w:r>
            <w:r w:rsidR="004F5B62">
              <w:rPr>
                <w:noProof/>
                <w:webHidden/>
              </w:rPr>
              <w:t>42</w:t>
            </w:r>
            <w:r w:rsidR="004F5B62">
              <w:rPr>
                <w:noProof/>
                <w:webHidden/>
              </w:rPr>
              <w:fldChar w:fldCharType="end"/>
            </w:r>
          </w:hyperlink>
        </w:p>
        <w:p w14:paraId="2BBAB136" w14:textId="77777777" w:rsidR="004F5B62" w:rsidRDefault="00C02D19">
          <w:pPr>
            <w:pStyle w:val="TOC2"/>
            <w:rPr>
              <w:rFonts w:asciiTheme="minorHAnsi" w:eastAsiaTheme="minorEastAsia" w:hAnsiTheme="minorHAnsi" w:cstheme="minorBidi"/>
              <w:b w:val="0"/>
              <w:noProof/>
              <w:sz w:val="22"/>
              <w:lang w:eastAsia="en-AU"/>
            </w:rPr>
          </w:pPr>
          <w:hyperlink w:anchor="_Toc517698005" w:history="1">
            <w:r w:rsidR="004F5B62" w:rsidRPr="00174EBB">
              <w:rPr>
                <w:rStyle w:val="Hyperlink"/>
                <w:noProof/>
              </w:rPr>
              <w:t>Attachment 1. Product Information</w:t>
            </w:r>
            <w:r w:rsidR="004F5B62">
              <w:rPr>
                <w:noProof/>
                <w:webHidden/>
              </w:rPr>
              <w:tab/>
            </w:r>
            <w:r w:rsidR="004F5B62">
              <w:rPr>
                <w:noProof/>
                <w:webHidden/>
              </w:rPr>
              <w:fldChar w:fldCharType="begin"/>
            </w:r>
            <w:r w:rsidR="004F5B62">
              <w:rPr>
                <w:noProof/>
                <w:webHidden/>
              </w:rPr>
              <w:instrText xml:space="preserve"> PAGEREF _Toc517698005 \h </w:instrText>
            </w:r>
            <w:r w:rsidR="004F5B62">
              <w:rPr>
                <w:noProof/>
                <w:webHidden/>
              </w:rPr>
            </w:r>
            <w:r w:rsidR="004F5B62">
              <w:rPr>
                <w:noProof/>
                <w:webHidden/>
              </w:rPr>
              <w:fldChar w:fldCharType="separate"/>
            </w:r>
            <w:r w:rsidR="004F5B62">
              <w:rPr>
                <w:noProof/>
                <w:webHidden/>
              </w:rPr>
              <w:t>43</w:t>
            </w:r>
            <w:r w:rsidR="004F5B62">
              <w:rPr>
                <w:noProof/>
                <w:webHidden/>
              </w:rPr>
              <w:fldChar w:fldCharType="end"/>
            </w:r>
          </w:hyperlink>
        </w:p>
        <w:p w14:paraId="342D30D2" w14:textId="77777777" w:rsidR="004F5B62" w:rsidRDefault="00C02D19">
          <w:pPr>
            <w:pStyle w:val="TOC2"/>
            <w:rPr>
              <w:rFonts w:asciiTheme="minorHAnsi" w:eastAsiaTheme="minorEastAsia" w:hAnsiTheme="minorHAnsi" w:cstheme="minorBidi"/>
              <w:b w:val="0"/>
              <w:noProof/>
              <w:sz w:val="22"/>
              <w:lang w:eastAsia="en-AU"/>
            </w:rPr>
          </w:pPr>
          <w:hyperlink w:anchor="_Toc517698006" w:history="1">
            <w:r w:rsidR="004F5B62" w:rsidRPr="00174EBB">
              <w:rPr>
                <w:rStyle w:val="Hyperlink"/>
                <w:noProof/>
                <w:lang w:eastAsia="en-AU"/>
              </w:rPr>
              <w:t>Attachment 2. Extract from the Clinical Evaluation Report</w:t>
            </w:r>
            <w:r w:rsidR="004F5B62">
              <w:rPr>
                <w:noProof/>
                <w:webHidden/>
              </w:rPr>
              <w:tab/>
            </w:r>
            <w:r w:rsidR="004F5B62">
              <w:rPr>
                <w:noProof/>
                <w:webHidden/>
              </w:rPr>
              <w:fldChar w:fldCharType="begin"/>
            </w:r>
            <w:r w:rsidR="004F5B62">
              <w:rPr>
                <w:noProof/>
                <w:webHidden/>
              </w:rPr>
              <w:instrText xml:space="preserve"> PAGEREF _Toc517698006 \h </w:instrText>
            </w:r>
            <w:r w:rsidR="004F5B62">
              <w:rPr>
                <w:noProof/>
                <w:webHidden/>
              </w:rPr>
            </w:r>
            <w:r w:rsidR="004F5B62">
              <w:rPr>
                <w:noProof/>
                <w:webHidden/>
              </w:rPr>
              <w:fldChar w:fldCharType="separate"/>
            </w:r>
            <w:r w:rsidR="004F5B62">
              <w:rPr>
                <w:noProof/>
                <w:webHidden/>
              </w:rPr>
              <w:t>43</w:t>
            </w:r>
            <w:r w:rsidR="004F5B62">
              <w:rPr>
                <w:noProof/>
                <w:webHidden/>
              </w:rPr>
              <w:fldChar w:fldCharType="end"/>
            </w:r>
          </w:hyperlink>
        </w:p>
        <w:p w14:paraId="6BF1E011" w14:textId="77777777" w:rsidR="003A7F6C" w:rsidRPr="00113BDB" w:rsidRDefault="00DB6124" w:rsidP="00B811C6">
          <w:pPr>
            <w:pStyle w:val="TOC2"/>
          </w:pPr>
          <w:r w:rsidRPr="00113BDB">
            <w:fldChar w:fldCharType="end"/>
          </w:r>
        </w:p>
      </w:sdtContent>
    </w:sdt>
    <w:bookmarkStart w:id="2" w:name="_Toc314842482" w:displacedByCustomXml="prev"/>
    <w:p w14:paraId="392DE124" w14:textId="77777777" w:rsidR="00FD119B" w:rsidRPr="00113BDB" w:rsidRDefault="00FD119B">
      <w:pPr>
        <w:spacing w:before="0" w:after="200" w:line="0" w:lineRule="auto"/>
      </w:pPr>
      <w:r w:rsidRPr="00113BDB">
        <w:br w:type="page"/>
      </w:r>
    </w:p>
    <w:p w14:paraId="3022EA63" w14:textId="77777777" w:rsidR="00FD119B" w:rsidRPr="00113BDB" w:rsidRDefault="00441C3F" w:rsidP="004F0C4A">
      <w:pPr>
        <w:pStyle w:val="Heading2"/>
      </w:pPr>
      <w:bookmarkStart w:id="3" w:name="_Toc351716269"/>
      <w:bookmarkStart w:id="4" w:name="_Toc351718881"/>
      <w:bookmarkStart w:id="5" w:name="_Toc355338616"/>
      <w:bookmarkStart w:id="6" w:name="_Toc356306144"/>
      <w:bookmarkStart w:id="7" w:name="_Toc517697964"/>
      <w:r w:rsidRPr="00113BDB">
        <w:lastRenderedPageBreak/>
        <w:t>Common</w:t>
      </w:r>
      <w:r w:rsidR="00FD119B" w:rsidRPr="00113BD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Description w:val="Common abbrevatiions"/>
      </w:tblPr>
      <w:tblGrid>
        <w:gridCol w:w="1809"/>
        <w:gridCol w:w="6911"/>
      </w:tblGrid>
      <w:tr w:rsidR="00F112FC" w:rsidRPr="00113BDB" w14:paraId="367F2388"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7786EFF8" w14:textId="77777777" w:rsidR="00F112FC" w:rsidRPr="00113BDB" w:rsidRDefault="00F112FC" w:rsidP="00FD119B">
            <w:pPr>
              <w:keepNext w:val="0"/>
              <w:ind w:left="0" w:right="0"/>
              <w:rPr>
                <w:szCs w:val="22"/>
                <w:lang w:eastAsia="en-US"/>
              </w:rPr>
            </w:pPr>
            <w:r w:rsidRPr="00113BDB">
              <w:rPr>
                <w:szCs w:val="22"/>
                <w:lang w:eastAsia="en-US"/>
              </w:rPr>
              <w:t>Abbreviation</w:t>
            </w:r>
          </w:p>
        </w:tc>
        <w:tc>
          <w:tcPr>
            <w:tcW w:w="6911" w:type="dxa"/>
          </w:tcPr>
          <w:p w14:paraId="0EB0FA4D" w14:textId="77777777" w:rsidR="00F112FC" w:rsidRPr="00113BDB" w:rsidRDefault="00F112FC" w:rsidP="00FD119B">
            <w:pPr>
              <w:keepNext w:val="0"/>
              <w:ind w:left="0" w:right="0"/>
              <w:rPr>
                <w:szCs w:val="22"/>
                <w:lang w:eastAsia="en-US"/>
              </w:rPr>
            </w:pPr>
            <w:r w:rsidRPr="00113BDB">
              <w:rPr>
                <w:szCs w:val="22"/>
                <w:lang w:eastAsia="en-US"/>
              </w:rPr>
              <w:t>Meaning</w:t>
            </w:r>
          </w:p>
        </w:tc>
      </w:tr>
      <w:tr w:rsidR="00F112FC" w:rsidRPr="00113BDB" w14:paraId="3E675730" w14:textId="77777777" w:rsidTr="00FD119B">
        <w:tc>
          <w:tcPr>
            <w:tcW w:w="1809" w:type="dxa"/>
          </w:tcPr>
          <w:p w14:paraId="4682DDCA" w14:textId="77777777" w:rsidR="00F112FC" w:rsidRPr="00113BDB" w:rsidRDefault="00F112FC" w:rsidP="00FD119B">
            <w:r w:rsidRPr="00113BDB">
              <w:t>ACM</w:t>
            </w:r>
          </w:p>
        </w:tc>
        <w:tc>
          <w:tcPr>
            <w:tcW w:w="6911" w:type="dxa"/>
          </w:tcPr>
          <w:p w14:paraId="25836FDE" w14:textId="77777777" w:rsidR="00F112FC" w:rsidRPr="00113BDB" w:rsidRDefault="00F112FC" w:rsidP="00FD119B">
            <w:r w:rsidRPr="00113BDB">
              <w:t>Advisory Committee on Medicines</w:t>
            </w:r>
          </w:p>
        </w:tc>
      </w:tr>
      <w:tr w:rsidR="00F112FC" w:rsidRPr="00113BDB" w14:paraId="3F4123DF" w14:textId="77777777" w:rsidTr="00FD119B">
        <w:tc>
          <w:tcPr>
            <w:tcW w:w="1809" w:type="dxa"/>
          </w:tcPr>
          <w:p w14:paraId="1D88A77A" w14:textId="77777777" w:rsidR="00F112FC" w:rsidRPr="00113BDB" w:rsidRDefault="00F112FC" w:rsidP="00FD119B">
            <w:r w:rsidRPr="00113BDB">
              <w:t>ASA</w:t>
            </w:r>
          </w:p>
        </w:tc>
        <w:tc>
          <w:tcPr>
            <w:tcW w:w="6911" w:type="dxa"/>
          </w:tcPr>
          <w:p w14:paraId="1E8DC166" w14:textId="77777777" w:rsidR="00F112FC" w:rsidRPr="00113BDB" w:rsidRDefault="00F112FC" w:rsidP="00FD119B">
            <w:r w:rsidRPr="00113BDB">
              <w:t>Australian Specific Annex</w:t>
            </w:r>
          </w:p>
        </w:tc>
      </w:tr>
      <w:tr w:rsidR="00F112FC" w:rsidRPr="00113BDB" w14:paraId="20A0373E" w14:textId="77777777" w:rsidTr="00FD119B">
        <w:tc>
          <w:tcPr>
            <w:tcW w:w="1809" w:type="dxa"/>
          </w:tcPr>
          <w:p w14:paraId="4109F63B" w14:textId="77777777" w:rsidR="00F112FC" w:rsidRPr="00113BDB" w:rsidRDefault="00F112FC" w:rsidP="00FD119B">
            <w:r w:rsidRPr="00113BDB">
              <w:t>AUC</w:t>
            </w:r>
            <w:r w:rsidRPr="00113BDB">
              <w:rPr>
                <w:vertAlign w:val="subscript"/>
              </w:rPr>
              <w:t>0-6 h</w:t>
            </w:r>
          </w:p>
        </w:tc>
        <w:tc>
          <w:tcPr>
            <w:tcW w:w="6911" w:type="dxa"/>
          </w:tcPr>
          <w:p w14:paraId="36381591" w14:textId="77777777" w:rsidR="00F112FC" w:rsidRPr="00113BDB" w:rsidRDefault="00F112FC" w:rsidP="00FD119B">
            <w:r w:rsidRPr="00113BDB">
              <w:t>Area under the drug concentration time curve from time zero to 6 hours</w:t>
            </w:r>
          </w:p>
        </w:tc>
      </w:tr>
      <w:tr w:rsidR="00F112FC" w:rsidRPr="00113BDB" w14:paraId="3AC49BD8" w14:textId="77777777" w:rsidTr="00FD119B">
        <w:tc>
          <w:tcPr>
            <w:tcW w:w="1809" w:type="dxa"/>
          </w:tcPr>
          <w:p w14:paraId="3D73F7A7" w14:textId="77777777" w:rsidR="00F112FC" w:rsidRPr="00113BDB" w:rsidRDefault="00F112FC" w:rsidP="00FD119B">
            <w:r w:rsidRPr="00113BDB">
              <w:t>AUC</w:t>
            </w:r>
            <w:r w:rsidRPr="00113BDB">
              <w:rPr>
                <w:vertAlign w:val="subscript"/>
              </w:rPr>
              <w:t>0-inf</w:t>
            </w:r>
          </w:p>
        </w:tc>
        <w:tc>
          <w:tcPr>
            <w:tcW w:w="6911" w:type="dxa"/>
          </w:tcPr>
          <w:p w14:paraId="24F08900" w14:textId="77777777" w:rsidR="00F112FC" w:rsidRPr="00113BDB" w:rsidRDefault="00F112FC" w:rsidP="00FD119B">
            <w:r w:rsidRPr="00113BDB">
              <w:t>Area under the drug concentration time curve from time zero to infinity</w:t>
            </w:r>
          </w:p>
        </w:tc>
      </w:tr>
      <w:tr w:rsidR="00F112FC" w:rsidRPr="00113BDB" w14:paraId="1364C5B1" w14:textId="77777777" w:rsidTr="00FD119B">
        <w:tc>
          <w:tcPr>
            <w:tcW w:w="1809" w:type="dxa"/>
          </w:tcPr>
          <w:p w14:paraId="239B74F4" w14:textId="77777777" w:rsidR="00F112FC" w:rsidRPr="00113BDB" w:rsidRDefault="00F112FC" w:rsidP="00FD119B">
            <w:r w:rsidRPr="00113BDB">
              <w:t>AUC</w:t>
            </w:r>
            <w:r w:rsidRPr="00113BDB">
              <w:rPr>
                <w:vertAlign w:val="subscript"/>
              </w:rPr>
              <w:t>0–24 h</w:t>
            </w:r>
          </w:p>
        </w:tc>
        <w:tc>
          <w:tcPr>
            <w:tcW w:w="6911" w:type="dxa"/>
          </w:tcPr>
          <w:p w14:paraId="1DE2730F" w14:textId="77777777" w:rsidR="00F112FC" w:rsidRPr="00113BDB" w:rsidRDefault="00F112FC" w:rsidP="00FD119B">
            <w:r w:rsidRPr="00113BDB">
              <w:t>Area under the drug concentration time curve from time zero to 24 hours</w:t>
            </w:r>
          </w:p>
        </w:tc>
      </w:tr>
      <w:tr w:rsidR="00F112FC" w:rsidRPr="00113BDB" w14:paraId="488A3510" w14:textId="77777777" w:rsidTr="00FD119B">
        <w:tc>
          <w:tcPr>
            <w:tcW w:w="1809" w:type="dxa"/>
          </w:tcPr>
          <w:p w14:paraId="1C00D678" w14:textId="0B2AD11E" w:rsidR="00F112FC" w:rsidRPr="00113BDB" w:rsidRDefault="00F112FC" w:rsidP="00FD119B">
            <w:r w:rsidRPr="00D20E5F">
              <w:t>AUC</w:t>
            </w:r>
            <w:r w:rsidR="00D20E5F">
              <w:rPr>
                <w:vertAlign w:val="subscript"/>
              </w:rPr>
              <w:t>(</w:t>
            </w:r>
            <w:r w:rsidR="008A51C0" w:rsidRPr="00D20E5F">
              <w:rPr>
                <w:vertAlign w:val="subscript"/>
              </w:rPr>
              <w:t>IAsp</w:t>
            </w:r>
            <w:r w:rsidR="008A51C0">
              <w:rPr>
                <w:vertAlign w:val="subscript"/>
              </w:rPr>
              <w:t xml:space="preserve"> </w:t>
            </w:r>
            <w:r w:rsidRPr="00113BDB">
              <w:rPr>
                <w:vertAlign w:val="subscript"/>
              </w:rPr>
              <w:t>0</w:t>
            </w:r>
            <w:r w:rsidRPr="00113BDB">
              <w:rPr>
                <w:vertAlign w:val="subscript"/>
              </w:rPr>
              <w:noBreakHyphen/>
              <w:t>12</w:t>
            </w:r>
            <w:r w:rsidR="00D20E5F">
              <w:rPr>
                <w:vertAlign w:val="subscript"/>
              </w:rPr>
              <w:t xml:space="preserve"> </w:t>
            </w:r>
            <w:r w:rsidRPr="00113BDB">
              <w:rPr>
                <w:vertAlign w:val="subscript"/>
              </w:rPr>
              <w:t>h</w:t>
            </w:r>
            <w:r w:rsidR="00D20E5F">
              <w:rPr>
                <w:vertAlign w:val="subscript"/>
              </w:rPr>
              <w:t>)</w:t>
            </w:r>
          </w:p>
        </w:tc>
        <w:tc>
          <w:tcPr>
            <w:tcW w:w="6911" w:type="dxa"/>
          </w:tcPr>
          <w:p w14:paraId="673071CA" w14:textId="7A30D6E4" w:rsidR="00F112FC" w:rsidRPr="00113BDB" w:rsidRDefault="008A51C0" w:rsidP="008A51C0">
            <w:r>
              <w:t>Area under the IAsp</w:t>
            </w:r>
            <w:r w:rsidR="00F112FC" w:rsidRPr="00113BDB">
              <w:t xml:space="preserve"> concentration time curve from time 0 to 12 hours</w:t>
            </w:r>
          </w:p>
        </w:tc>
      </w:tr>
      <w:tr w:rsidR="008A51C0" w:rsidRPr="00113BDB" w14:paraId="7A52D51F" w14:textId="77777777" w:rsidTr="00FD119B">
        <w:tc>
          <w:tcPr>
            <w:tcW w:w="1809" w:type="dxa"/>
          </w:tcPr>
          <w:p w14:paraId="4F66B01E" w14:textId="5BCAB912" w:rsidR="008A51C0" w:rsidRPr="00D20E5F" w:rsidRDefault="00D20E5F" w:rsidP="00FD119B">
            <w:pPr>
              <w:rPr>
                <w:vertAlign w:val="subscript"/>
              </w:rPr>
            </w:pPr>
            <w:r>
              <w:t>AUC</w:t>
            </w:r>
            <w:r>
              <w:rPr>
                <w:vertAlign w:val="subscript"/>
              </w:rPr>
              <w:t>(IAsp 0-2 h)</w:t>
            </w:r>
          </w:p>
        </w:tc>
        <w:tc>
          <w:tcPr>
            <w:tcW w:w="6911" w:type="dxa"/>
          </w:tcPr>
          <w:p w14:paraId="317F43A5" w14:textId="738B3178" w:rsidR="008A51C0" w:rsidRDefault="00D20E5F" w:rsidP="008A51C0">
            <w:r>
              <w:t>Area sunder the IAsp concentration time curve from time 0 to 2 hours</w:t>
            </w:r>
          </w:p>
        </w:tc>
      </w:tr>
      <w:tr w:rsidR="00D20E5F" w:rsidRPr="00113BDB" w14:paraId="32E564B8" w14:textId="77777777" w:rsidTr="00FD119B">
        <w:tc>
          <w:tcPr>
            <w:tcW w:w="1809" w:type="dxa"/>
          </w:tcPr>
          <w:p w14:paraId="3DD38CA4" w14:textId="048ACC42" w:rsidR="00D20E5F" w:rsidRDefault="00D20E5F" w:rsidP="00FD119B">
            <w:r w:rsidRPr="00113BDB">
              <w:t>AUC</w:t>
            </w:r>
            <w:r w:rsidRPr="00113BDB">
              <w:rPr>
                <w:vertAlign w:val="subscript"/>
              </w:rPr>
              <w:t>(IAsp 0-6</w:t>
            </w:r>
            <w:r>
              <w:rPr>
                <w:vertAlign w:val="subscript"/>
              </w:rPr>
              <w:t xml:space="preserve"> </w:t>
            </w:r>
            <w:r w:rsidRPr="00113BDB">
              <w:rPr>
                <w:vertAlign w:val="subscript"/>
              </w:rPr>
              <w:t>h</w:t>
            </w:r>
            <w:r>
              <w:rPr>
                <w:vertAlign w:val="subscript"/>
              </w:rPr>
              <w:t>)</w:t>
            </w:r>
          </w:p>
        </w:tc>
        <w:tc>
          <w:tcPr>
            <w:tcW w:w="6911" w:type="dxa"/>
          </w:tcPr>
          <w:p w14:paraId="77C7466B" w14:textId="2555A569" w:rsidR="00D20E5F" w:rsidRDefault="00D20E5F" w:rsidP="008A51C0">
            <w:r w:rsidRPr="00D20E5F">
              <w:t>Area under the IAsp concentration time curve from time 0 to 6 hours</w:t>
            </w:r>
          </w:p>
        </w:tc>
      </w:tr>
      <w:tr w:rsidR="00F112FC" w:rsidRPr="00113BDB" w14:paraId="579498B7" w14:textId="77777777" w:rsidTr="00FD119B">
        <w:tc>
          <w:tcPr>
            <w:tcW w:w="1809" w:type="dxa"/>
          </w:tcPr>
          <w:p w14:paraId="7922891E" w14:textId="77777777" w:rsidR="00F112FC" w:rsidRPr="00113BDB" w:rsidRDefault="00F112FC" w:rsidP="00FD119B">
            <w:r w:rsidRPr="00113BDB">
              <w:t>AUC</w:t>
            </w:r>
            <w:r w:rsidRPr="00113BDB">
              <w:rPr>
                <w:vertAlign w:val="subscript"/>
              </w:rPr>
              <w:t>IDeg,τ,ss</w:t>
            </w:r>
          </w:p>
        </w:tc>
        <w:tc>
          <w:tcPr>
            <w:tcW w:w="6911" w:type="dxa"/>
          </w:tcPr>
          <w:p w14:paraId="3CF329BA" w14:textId="77777777" w:rsidR="00F112FC" w:rsidRPr="00113BDB" w:rsidRDefault="00F112FC" w:rsidP="00FD22DA">
            <w:r w:rsidRPr="00113BDB">
              <w:t>Area under the drug concentration time curve for IDeg during 1 dosing interval at steady state</w:t>
            </w:r>
          </w:p>
        </w:tc>
      </w:tr>
      <w:tr w:rsidR="0030024A" w:rsidRPr="00113BDB" w14:paraId="16EEA038" w14:textId="77777777" w:rsidTr="00FD119B">
        <w:tc>
          <w:tcPr>
            <w:tcW w:w="1809" w:type="dxa"/>
          </w:tcPr>
          <w:p w14:paraId="150A4C56" w14:textId="5B854C33" w:rsidR="0030024A" w:rsidRPr="00113BDB" w:rsidRDefault="0030024A" w:rsidP="00FD119B">
            <w:r>
              <w:t>BIAsp</w:t>
            </w:r>
          </w:p>
        </w:tc>
        <w:tc>
          <w:tcPr>
            <w:tcW w:w="6911" w:type="dxa"/>
          </w:tcPr>
          <w:p w14:paraId="471F4D8B" w14:textId="2D7A536A" w:rsidR="0030024A" w:rsidRPr="00113BDB" w:rsidRDefault="0030024A" w:rsidP="00FD119B">
            <w:r w:rsidRPr="0030024A">
              <w:t>biphasic insulin aspart</w:t>
            </w:r>
          </w:p>
        </w:tc>
      </w:tr>
      <w:tr w:rsidR="00F112FC" w:rsidRPr="00113BDB" w14:paraId="29B98C51" w14:textId="77777777" w:rsidTr="00FD119B">
        <w:tc>
          <w:tcPr>
            <w:tcW w:w="1809" w:type="dxa"/>
          </w:tcPr>
          <w:p w14:paraId="7AB37DA4" w14:textId="77777777" w:rsidR="00F112FC" w:rsidRPr="00113BDB" w:rsidRDefault="00F112FC" w:rsidP="00FD119B">
            <w:r w:rsidRPr="00113BDB">
              <w:t>BGL</w:t>
            </w:r>
          </w:p>
        </w:tc>
        <w:tc>
          <w:tcPr>
            <w:tcW w:w="6911" w:type="dxa"/>
          </w:tcPr>
          <w:p w14:paraId="52E802A0" w14:textId="77DB2D4D" w:rsidR="00F112FC" w:rsidRPr="00113BDB" w:rsidRDefault="00F112FC" w:rsidP="00FD119B">
            <w:r w:rsidRPr="00113BDB">
              <w:t>Blood glucose</w:t>
            </w:r>
            <w:r w:rsidR="0030024A">
              <w:t xml:space="preserve"> level</w:t>
            </w:r>
          </w:p>
        </w:tc>
      </w:tr>
      <w:tr w:rsidR="006B3C70" w:rsidRPr="00113BDB" w14:paraId="7D35540F" w14:textId="77777777" w:rsidTr="00FD119B">
        <w:tc>
          <w:tcPr>
            <w:tcW w:w="1809" w:type="dxa"/>
          </w:tcPr>
          <w:p w14:paraId="2FA185A8" w14:textId="0CCFF0B6" w:rsidR="006B3C70" w:rsidRPr="006B3C70" w:rsidRDefault="006B3C70" w:rsidP="00FD119B">
            <w:pPr>
              <w:rPr>
                <w:vertAlign w:val="subscript"/>
              </w:rPr>
            </w:pPr>
            <w:r>
              <w:t>C</w:t>
            </w:r>
            <w:r>
              <w:rPr>
                <w:vertAlign w:val="subscript"/>
              </w:rPr>
              <w:t>max</w:t>
            </w:r>
          </w:p>
        </w:tc>
        <w:tc>
          <w:tcPr>
            <w:tcW w:w="6911" w:type="dxa"/>
          </w:tcPr>
          <w:p w14:paraId="629159F7" w14:textId="3F91066A" w:rsidR="006B3C70" w:rsidRPr="00113BDB" w:rsidRDefault="006B3C70" w:rsidP="00FD119B">
            <w:r>
              <w:t>Maximum serum concentration</w:t>
            </w:r>
          </w:p>
        </w:tc>
      </w:tr>
      <w:tr w:rsidR="00F112FC" w:rsidRPr="00113BDB" w14:paraId="6BBC14F6" w14:textId="77777777" w:rsidTr="00FD119B">
        <w:tc>
          <w:tcPr>
            <w:tcW w:w="1809" w:type="dxa"/>
          </w:tcPr>
          <w:p w14:paraId="4E48D13F" w14:textId="77777777" w:rsidR="00F112FC" w:rsidRPr="00113BDB" w:rsidRDefault="00F112FC" w:rsidP="00FD119B">
            <w:r w:rsidRPr="00113BDB">
              <w:t>C</w:t>
            </w:r>
            <w:r w:rsidRPr="00113BDB">
              <w:rPr>
                <w:vertAlign w:val="subscript"/>
              </w:rPr>
              <w:t>max,IAsp</w:t>
            </w:r>
          </w:p>
        </w:tc>
        <w:tc>
          <w:tcPr>
            <w:tcW w:w="6911" w:type="dxa"/>
          </w:tcPr>
          <w:p w14:paraId="5A904536" w14:textId="5D7A8018" w:rsidR="00F112FC" w:rsidRPr="00113BDB" w:rsidRDefault="006B3C70" w:rsidP="00FD119B">
            <w:r>
              <w:t>Maximum</w:t>
            </w:r>
            <w:r w:rsidR="00F112FC" w:rsidRPr="00113BDB">
              <w:t xml:space="preserve"> </w:t>
            </w:r>
            <w:r>
              <w:t xml:space="preserve">serum </w:t>
            </w:r>
            <w:r w:rsidR="00F112FC" w:rsidRPr="00113BDB">
              <w:t>IAsp concentration</w:t>
            </w:r>
          </w:p>
        </w:tc>
      </w:tr>
      <w:tr w:rsidR="00F112FC" w:rsidRPr="00113BDB" w14:paraId="03D7F1D8" w14:textId="77777777" w:rsidTr="00FD119B">
        <w:tc>
          <w:tcPr>
            <w:tcW w:w="1809" w:type="dxa"/>
          </w:tcPr>
          <w:p w14:paraId="297D143C" w14:textId="77777777" w:rsidR="00F112FC" w:rsidRPr="00113BDB" w:rsidRDefault="00F112FC" w:rsidP="00FD119B">
            <w:r w:rsidRPr="00113BDB">
              <w:t>C</w:t>
            </w:r>
            <w:r w:rsidRPr="00113BDB">
              <w:rPr>
                <w:vertAlign w:val="subscript"/>
              </w:rPr>
              <w:t>max,IDeg ss</w:t>
            </w:r>
          </w:p>
        </w:tc>
        <w:tc>
          <w:tcPr>
            <w:tcW w:w="6911" w:type="dxa"/>
          </w:tcPr>
          <w:p w14:paraId="3E7E06CE" w14:textId="5B5DB620" w:rsidR="00F112FC" w:rsidRPr="00113BDB" w:rsidRDefault="006B3C70" w:rsidP="006B3C70">
            <w:r>
              <w:t>Maximum</w:t>
            </w:r>
            <w:r w:rsidR="00F112FC" w:rsidRPr="00113BDB">
              <w:t xml:space="preserve"> </w:t>
            </w:r>
            <w:r>
              <w:t xml:space="preserve">serum IDeg </w:t>
            </w:r>
            <w:r w:rsidR="00F112FC" w:rsidRPr="00113BDB">
              <w:t>concentration at steady state</w:t>
            </w:r>
          </w:p>
        </w:tc>
      </w:tr>
      <w:tr w:rsidR="00F112FC" w:rsidRPr="00113BDB" w14:paraId="3D9D9331" w14:textId="77777777" w:rsidTr="00FD119B">
        <w:tc>
          <w:tcPr>
            <w:tcW w:w="1809" w:type="dxa"/>
          </w:tcPr>
          <w:p w14:paraId="0E659941" w14:textId="77777777" w:rsidR="00F112FC" w:rsidRPr="00113BDB" w:rsidRDefault="00F112FC" w:rsidP="00FD119B">
            <w:r w:rsidRPr="00113BDB">
              <w:t>CMI</w:t>
            </w:r>
          </w:p>
        </w:tc>
        <w:tc>
          <w:tcPr>
            <w:tcW w:w="6911" w:type="dxa"/>
          </w:tcPr>
          <w:p w14:paraId="6AB5056A" w14:textId="77777777" w:rsidR="00F112FC" w:rsidRPr="00113BDB" w:rsidRDefault="00F112FC" w:rsidP="00FD119B">
            <w:r w:rsidRPr="00113BDB">
              <w:t>Consumer Medicine Information</w:t>
            </w:r>
          </w:p>
        </w:tc>
      </w:tr>
      <w:tr w:rsidR="00F112FC" w:rsidRPr="00113BDB" w14:paraId="4E49F627" w14:textId="77777777" w:rsidTr="00FD119B">
        <w:tc>
          <w:tcPr>
            <w:tcW w:w="1809" w:type="dxa"/>
          </w:tcPr>
          <w:p w14:paraId="612496EA" w14:textId="77777777" w:rsidR="00F112FC" w:rsidRPr="00113BDB" w:rsidRDefault="00F112FC" w:rsidP="00FD119B">
            <w:r w:rsidRPr="00113BDB">
              <w:t>CPD</w:t>
            </w:r>
          </w:p>
        </w:tc>
        <w:tc>
          <w:tcPr>
            <w:tcW w:w="6911" w:type="dxa"/>
          </w:tcPr>
          <w:p w14:paraId="53BE8039" w14:textId="77777777" w:rsidR="00F112FC" w:rsidRPr="00113BDB" w:rsidRDefault="00F112FC" w:rsidP="00FD119B">
            <w:r w:rsidRPr="00113BDB">
              <w:t>Certified Product Details</w:t>
            </w:r>
          </w:p>
        </w:tc>
      </w:tr>
      <w:tr w:rsidR="00F112FC" w:rsidRPr="00113BDB" w14:paraId="0E9DB1FD" w14:textId="77777777" w:rsidTr="00FD119B">
        <w:tc>
          <w:tcPr>
            <w:tcW w:w="1809" w:type="dxa"/>
          </w:tcPr>
          <w:p w14:paraId="06752225" w14:textId="77777777" w:rsidR="00F112FC" w:rsidRPr="00113BDB" w:rsidRDefault="00F112FC" w:rsidP="00FD119B">
            <w:r w:rsidRPr="00113BDB">
              <w:t>CV</w:t>
            </w:r>
          </w:p>
        </w:tc>
        <w:tc>
          <w:tcPr>
            <w:tcW w:w="6911" w:type="dxa"/>
          </w:tcPr>
          <w:p w14:paraId="56AB8F1A" w14:textId="77777777" w:rsidR="00F112FC" w:rsidRPr="00113BDB" w:rsidRDefault="00F112FC" w:rsidP="00FD119B">
            <w:r w:rsidRPr="00113BDB">
              <w:t>Cardiovascular</w:t>
            </w:r>
          </w:p>
        </w:tc>
      </w:tr>
      <w:tr w:rsidR="00F112FC" w:rsidRPr="00113BDB" w14:paraId="23847E38" w14:textId="77777777" w:rsidTr="00FD119B">
        <w:tc>
          <w:tcPr>
            <w:tcW w:w="1809" w:type="dxa"/>
          </w:tcPr>
          <w:p w14:paraId="52C1ECB5" w14:textId="77777777" w:rsidR="00F112FC" w:rsidRPr="00113BDB" w:rsidRDefault="00F112FC" w:rsidP="00FD119B">
            <w:r w:rsidRPr="00113BDB">
              <w:t>DLP</w:t>
            </w:r>
          </w:p>
        </w:tc>
        <w:tc>
          <w:tcPr>
            <w:tcW w:w="6911" w:type="dxa"/>
          </w:tcPr>
          <w:p w14:paraId="74A2C5A0" w14:textId="77777777" w:rsidR="00F112FC" w:rsidRPr="00113BDB" w:rsidRDefault="00F112FC" w:rsidP="00FD119B">
            <w:r w:rsidRPr="00113BDB">
              <w:t>Data lock point</w:t>
            </w:r>
          </w:p>
        </w:tc>
      </w:tr>
      <w:tr w:rsidR="00F112FC" w:rsidRPr="00113BDB" w14:paraId="19AEC0C2" w14:textId="77777777" w:rsidTr="00FD119B">
        <w:tc>
          <w:tcPr>
            <w:tcW w:w="1809" w:type="dxa"/>
          </w:tcPr>
          <w:p w14:paraId="2CEADDD2" w14:textId="77777777" w:rsidR="00F112FC" w:rsidRPr="00113BDB" w:rsidRDefault="00F112FC" w:rsidP="00FD119B">
            <w:r w:rsidRPr="00113BDB">
              <w:t>EAC</w:t>
            </w:r>
          </w:p>
        </w:tc>
        <w:tc>
          <w:tcPr>
            <w:tcW w:w="6911" w:type="dxa"/>
          </w:tcPr>
          <w:p w14:paraId="494C92F6" w14:textId="77777777" w:rsidR="00F112FC" w:rsidRPr="00113BDB" w:rsidRDefault="00F112FC" w:rsidP="00FD119B">
            <w:r w:rsidRPr="00113BDB">
              <w:t>Event Adjudication Committee</w:t>
            </w:r>
          </w:p>
        </w:tc>
      </w:tr>
      <w:tr w:rsidR="00F112FC" w:rsidRPr="00113BDB" w14:paraId="046D886C" w14:textId="77777777" w:rsidTr="00FD119B">
        <w:tc>
          <w:tcPr>
            <w:tcW w:w="1809" w:type="dxa"/>
          </w:tcPr>
          <w:p w14:paraId="6025A0B3" w14:textId="77777777" w:rsidR="00F112FC" w:rsidRPr="00113BDB" w:rsidRDefault="00F112FC" w:rsidP="00FD119B">
            <w:r w:rsidRPr="00113BDB">
              <w:t>EMA</w:t>
            </w:r>
          </w:p>
        </w:tc>
        <w:tc>
          <w:tcPr>
            <w:tcW w:w="6911" w:type="dxa"/>
          </w:tcPr>
          <w:p w14:paraId="1E92E525" w14:textId="77777777" w:rsidR="00F112FC" w:rsidRPr="00113BDB" w:rsidRDefault="00F112FC" w:rsidP="00FD119B">
            <w:r w:rsidRPr="00113BDB">
              <w:t>European Medicines Agency</w:t>
            </w:r>
          </w:p>
        </w:tc>
      </w:tr>
      <w:tr w:rsidR="00F112FC" w:rsidRPr="00113BDB" w14:paraId="64EB757E" w14:textId="77777777" w:rsidTr="00FD119B">
        <w:tc>
          <w:tcPr>
            <w:tcW w:w="1809" w:type="dxa"/>
          </w:tcPr>
          <w:p w14:paraId="791751C0" w14:textId="77777777" w:rsidR="00F112FC" w:rsidRPr="00113BDB" w:rsidRDefault="00F112FC" w:rsidP="00FD119B">
            <w:r w:rsidRPr="00113BDB">
              <w:t>EU</w:t>
            </w:r>
          </w:p>
        </w:tc>
        <w:tc>
          <w:tcPr>
            <w:tcW w:w="6911" w:type="dxa"/>
          </w:tcPr>
          <w:p w14:paraId="0EA82DA3" w14:textId="77777777" w:rsidR="00F112FC" w:rsidRPr="00113BDB" w:rsidRDefault="00F112FC" w:rsidP="00FD119B">
            <w:r w:rsidRPr="00113BDB">
              <w:t>European Union</w:t>
            </w:r>
          </w:p>
        </w:tc>
      </w:tr>
      <w:tr w:rsidR="00F112FC" w:rsidRPr="00113BDB" w14:paraId="260A58B4" w14:textId="77777777" w:rsidTr="00FD119B">
        <w:tc>
          <w:tcPr>
            <w:tcW w:w="1809" w:type="dxa"/>
          </w:tcPr>
          <w:p w14:paraId="38075437" w14:textId="77777777" w:rsidR="00F112FC" w:rsidRPr="00113BDB" w:rsidRDefault="00F112FC" w:rsidP="00FD119B">
            <w:r w:rsidRPr="00113BDB">
              <w:lastRenderedPageBreak/>
              <w:t>FDA</w:t>
            </w:r>
          </w:p>
        </w:tc>
        <w:tc>
          <w:tcPr>
            <w:tcW w:w="6911" w:type="dxa"/>
          </w:tcPr>
          <w:p w14:paraId="0C369BF9" w14:textId="77777777" w:rsidR="00F112FC" w:rsidRPr="00113BDB" w:rsidRDefault="00F112FC" w:rsidP="00FD119B">
            <w:r w:rsidRPr="00113BDB">
              <w:t>Food and Drug Administration (US)</w:t>
            </w:r>
          </w:p>
        </w:tc>
      </w:tr>
      <w:tr w:rsidR="00F112FC" w:rsidRPr="00113BDB" w14:paraId="321CB208" w14:textId="77777777" w:rsidTr="00FD119B">
        <w:tc>
          <w:tcPr>
            <w:tcW w:w="1809" w:type="dxa"/>
          </w:tcPr>
          <w:p w14:paraId="75F9C289" w14:textId="77777777" w:rsidR="00F112FC" w:rsidRPr="00113BDB" w:rsidRDefault="00F112FC" w:rsidP="00FD119B">
            <w:r w:rsidRPr="00113BDB">
              <w:t>FDC</w:t>
            </w:r>
          </w:p>
        </w:tc>
        <w:tc>
          <w:tcPr>
            <w:tcW w:w="6911" w:type="dxa"/>
          </w:tcPr>
          <w:p w14:paraId="09A8F71C" w14:textId="77777777" w:rsidR="00F112FC" w:rsidRPr="00113BDB" w:rsidRDefault="00F112FC" w:rsidP="00FD119B">
            <w:r w:rsidRPr="00113BDB">
              <w:t>Fixed dose combination</w:t>
            </w:r>
          </w:p>
        </w:tc>
      </w:tr>
      <w:tr w:rsidR="00F112FC" w:rsidRPr="00113BDB" w14:paraId="5C38BDE2" w14:textId="77777777" w:rsidTr="00FD119B">
        <w:tc>
          <w:tcPr>
            <w:tcW w:w="1809" w:type="dxa"/>
          </w:tcPr>
          <w:p w14:paraId="11E6B3FA" w14:textId="77777777" w:rsidR="00F112FC" w:rsidRPr="00113BDB" w:rsidRDefault="00F112FC" w:rsidP="00FD119B">
            <w:r w:rsidRPr="00113BDB">
              <w:t>GIR</w:t>
            </w:r>
          </w:p>
        </w:tc>
        <w:tc>
          <w:tcPr>
            <w:tcW w:w="6911" w:type="dxa"/>
          </w:tcPr>
          <w:p w14:paraId="5A9333D8" w14:textId="77777777" w:rsidR="00F112FC" w:rsidRPr="00113BDB" w:rsidRDefault="00F112FC" w:rsidP="00FD119B">
            <w:r w:rsidRPr="00113BDB">
              <w:t>Glucose infusion rate</w:t>
            </w:r>
          </w:p>
        </w:tc>
      </w:tr>
      <w:tr w:rsidR="006B3C70" w:rsidRPr="00113BDB" w14:paraId="40B36555" w14:textId="77777777" w:rsidTr="00FD119B">
        <w:tc>
          <w:tcPr>
            <w:tcW w:w="1809" w:type="dxa"/>
          </w:tcPr>
          <w:p w14:paraId="1AC15E01" w14:textId="5A6DC0A4" w:rsidR="006B3C70" w:rsidRPr="006B3C70" w:rsidRDefault="006B3C70" w:rsidP="00FD119B">
            <w:pPr>
              <w:rPr>
                <w:vertAlign w:val="subscript"/>
              </w:rPr>
            </w:pPr>
            <w:r>
              <w:t>GIR</w:t>
            </w:r>
            <w:r>
              <w:rPr>
                <w:vertAlign w:val="subscript"/>
              </w:rPr>
              <w:t>max</w:t>
            </w:r>
          </w:p>
        </w:tc>
        <w:tc>
          <w:tcPr>
            <w:tcW w:w="6911" w:type="dxa"/>
          </w:tcPr>
          <w:p w14:paraId="074016B2" w14:textId="3F8445C5" w:rsidR="006B3C70" w:rsidRPr="00113BDB" w:rsidRDefault="006B3C70" w:rsidP="00FD119B">
            <w:r>
              <w:t>Maximum glucose infusion rate</w:t>
            </w:r>
          </w:p>
        </w:tc>
      </w:tr>
      <w:tr w:rsidR="00F112FC" w:rsidRPr="00113BDB" w14:paraId="1C31BC4B" w14:textId="77777777" w:rsidTr="006825C8">
        <w:trPr>
          <w:trHeight w:val="523"/>
        </w:trPr>
        <w:tc>
          <w:tcPr>
            <w:tcW w:w="1809" w:type="dxa"/>
          </w:tcPr>
          <w:p w14:paraId="07D96DD5" w14:textId="77777777" w:rsidR="00F112FC" w:rsidRPr="00113BDB" w:rsidRDefault="00F112FC" w:rsidP="00FD119B">
            <w:r w:rsidRPr="00113BDB">
              <w:t>GLP</w:t>
            </w:r>
          </w:p>
        </w:tc>
        <w:tc>
          <w:tcPr>
            <w:tcW w:w="6911" w:type="dxa"/>
          </w:tcPr>
          <w:p w14:paraId="3B5738FB" w14:textId="77777777" w:rsidR="00F112FC" w:rsidRPr="00113BDB" w:rsidRDefault="00F112FC" w:rsidP="00FD119B">
            <w:r w:rsidRPr="00113BDB">
              <w:t>Good Laboratory Practice</w:t>
            </w:r>
          </w:p>
        </w:tc>
      </w:tr>
      <w:tr w:rsidR="00F112FC" w:rsidRPr="00113BDB" w14:paraId="7E4EA406" w14:textId="77777777" w:rsidTr="00FD119B">
        <w:tc>
          <w:tcPr>
            <w:tcW w:w="1809" w:type="dxa"/>
          </w:tcPr>
          <w:p w14:paraId="3B114B2F" w14:textId="77777777" w:rsidR="00F112FC" w:rsidRPr="00113BDB" w:rsidRDefault="00F112FC" w:rsidP="00FD119B">
            <w:r w:rsidRPr="00113BDB">
              <w:t>GLP-1</w:t>
            </w:r>
          </w:p>
        </w:tc>
        <w:tc>
          <w:tcPr>
            <w:tcW w:w="6911" w:type="dxa"/>
          </w:tcPr>
          <w:p w14:paraId="217E1DEC" w14:textId="77777777" w:rsidR="00F112FC" w:rsidRPr="00113BDB" w:rsidRDefault="00F112FC" w:rsidP="00FD119B">
            <w:r w:rsidRPr="00113BDB">
              <w:t>Glucagon like peptide-1 (agonist)</w:t>
            </w:r>
          </w:p>
        </w:tc>
      </w:tr>
      <w:tr w:rsidR="00F112FC" w:rsidRPr="00113BDB" w14:paraId="08C25917" w14:textId="77777777" w:rsidTr="00FD119B">
        <w:tc>
          <w:tcPr>
            <w:tcW w:w="1809" w:type="dxa"/>
          </w:tcPr>
          <w:p w14:paraId="29F76A59" w14:textId="77777777" w:rsidR="00F112FC" w:rsidRPr="00113BDB" w:rsidRDefault="00F112FC" w:rsidP="00FD119B">
            <w:r w:rsidRPr="00113BDB">
              <w:t>HbA1c</w:t>
            </w:r>
          </w:p>
        </w:tc>
        <w:tc>
          <w:tcPr>
            <w:tcW w:w="6911" w:type="dxa"/>
          </w:tcPr>
          <w:p w14:paraId="13B7AF07" w14:textId="77777777" w:rsidR="00F112FC" w:rsidRPr="00113BDB" w:rsidRDefault="00F112FC" w:rsidP="00FD119B">
            <w:r w:rsidRPr="00113BDB">
              <w:t>Glycated haemoglobin</w:t>
            </w:r>
          </w:p>
        </w:tc>
      </w:tr>
      <w:tr w:rsidR="00F112FC" w:rsidRPr="00113BDB" w14:paraId="07192320" w14:textId="77777777" w:rsidTr="00FD119B">
        <w:tc>
          <w:tcPr>
            <w:tcW w:w="1809" w:type="dxa"/>
          </w:tcPr>
          <w:p w14:paraId="22E08E04" w14:textId="77777777" w:rsidR="00F112FC" w:rsidRPr="00113BDB" w:rsidRDefault="00F112FC" w:rsidP="00FD119B">
            <w:r w:rsidRPr="00113BDB">
              <w:t>IAsp</w:t>
            </w:r>
          </w:p>
        </w:tc>
        <w:tc>
          <w:tcPr>
            <w:tcW w:w="6911" w:type="dxa"/>
          </w:tcPr>
          <w:p w14:paraId="1BB4EDF2" w14:textId="1CA77754" w:rsidR="00F112FC" w:rsidRPr="00113BDB" w:rsidRDefault="00F112FC" w:rsidP="00396F5E">
            <w:r w:rsidRPr="00113BDB">
              <w:t xml:space="preserve">Insulin </w:t>
            </w:r>
            <w:r w:rsidR="00396F5E">
              <w:t>a</w:t>
            </w:r>
            <w:r w:rsidRPr="00113BDB">
              <w:t>spart</w:t>
            </w:r>
          </w:p>
        </w:tc>
      </w:tr>
      <w:tr w:rsidR="00F112FC" w:rsidRPr="00113BDB" w14:paraId="796B003E" w14:textId="77777777" w:rsidTr="00FD119B">
        <w:tc>
          <w:tcPr>
            <w:tcW w:w="1809" w:type="dxa"/>
          </w:tcPr>
          <w:p w14:paraId="6A653DAB" w14:textId="77777777" w:rsidR="00F112FC" w:rsidRPr="00113BDB" w:rsidRDefault="00F112FC" w:rsidP="00FD119B">
            <w:r w:rsidRPr="00113BDB">
              <w:t>ICH</w:t>
            </w:r>
          </w:p>
        </w:tc>
        <w:tc>
          <w:tcPr>
            <w:tcW w:w="6911" w:type="dxa"/>
          </w:tcPr>
          <w:p w14:paraId="48FBA80E" w14:textId="77777777" w:rsidR="00F112FC" w:rsidRPr="00113BDB" w:rsidRDefault="00F112FC" w:rsidP="00FD119B">
            <w:r w:rsidRPr="00113BDB">
              <w:t>International Conference on Harmonisation</w:t>
            </w:r>
          </w:p>
        </w:tc>
      </w:tr>
      <w:tr w:rsidR="00F112FC" w:rsidRPr="00113BDB" w14:paraId="20D16880" w14:textId="77777777" w:rsidTr="00FD119B">
        <w:tc>
          <w:tcPr>
            <w:tcW w:w="1809" w:type="dxa"/>
          </w:tcPr>
          <w:p w14:paraId="18F53E97" w14:textId="77777777" w:rsidR="00F112FC" w:rsidRPr="00113BDB" w:rsidRDefault="00F112FC" w:rsidP="00FD119B">
            <w:r w:rsidRPr="00113BDB">
              <w:t>IDeg</w:t>
            </w:r>
          </w:p>
        </w:tc>
        <w:tc>
          <w:tcPr>
            <w:tcW w:w="6911" w:type="dxa"/>
          </w:tcPr>
          <w:p w14:paraId="136EE845" w14:textId="77777777" w:rsidR="00F112FC" w:rsidRPr="00113BDB" w:rsidRDefault="00F112FC" w:rsidP="00FD119B">
            <w:r w:rsidRPr="00113BDB">
              <w:t>Insulin degludec</w:t>
            </w:r>
          </w:p>
        </w:tc>
      </w:tr>
      <w:tr w:rsidR="00F112FC" w:rsidRPr="00113BDB" w14:paraId="6EA111D7" w14:textId="77777777" w:rsidTr="00FD119B">
        <w:tc>
          <w:tcPr>
            <w:tcW w:w="1809" w:type="dxa"/>
          </w:tcPr>
          <w:p w14:paraId="6F292A46" w14:textId="343657BF" w:rsidR="00F112FC" w:rsidRPr="00113BDB" w:rsidRDefault="00F112FC" w:rsidP="00FD119B">
            <w:r w:rsidRPr="00113BDB">
              <w:t>IDegAsp</w:t>
            </w:r>
          </w:p>
        </w:tc>
        <w:tc>
          <w:tcPr>
            <w:tcW w:w="6911" w:type="dxa"/>
          </w:tcPr>
          <w:p w14:paraId="1947B2BF" w14:textId="3940999A" w:rsidR="00F112FC" w:rsidRPr="00113BDB" w:rsidRDefault="00F112FC" w:rsidP="00FD119B">
            <w:r w:rsidRPr="00113BDB">
              <w:t xml:space="preserve">Insulin degludec </w:t>
            </w:r>
            <w:r w:rsidR="00396F5E">
              <w:t>and</w:t>
            </w:r>
            <w:r w:rsidRPr="00113BDB">
              <w:t xml:space="preserve"> insulin aspart mixture</w:t>
            </w:r>
          </w:p>
        </w:tc>
      </w:tr>
      <w:tr w:rsidR="00F112FC" w:rsidRPr="00113BDB" w14:paraId="55A93BB9" w14:textId="77777777" w:rsidTr="00FD119B">
        <w:tc>
          <w:tcPr>
            <w:tcW w:w="1809" w:type="dxa"/>
          </w:tcPr>
          <w:p w14:paraId="1CA2AA47" w14:textId="77777777" w:rsidR="00F112FC" w:rsidRPr="00113BDB" w:rsidRDefault="00F112FC" w:rsidP="00FD119B">
            <w:r w:rsidRPr="00113BDB">
              <w:t>IGlar</w:t>
            </w:r>
          </w:p>
        </w:tc>
        <w:tc>
          <w:tcPr>
            <w:tcW w:w="6911" w:type="dxa"/>
          </w:tcPr>
          <w:p w14:paraId="276B2CFA" w14:textId="77777777" w:rsidR="00F112FC" w:rsidRPr="00113BDB" w:rsidRDefault="00F112FC" w:rsidP="00FD119B">
            <w:r w:rsidRPr="00113BDB">
              <w:t>Insulin glargine</w:t>
            </w:r>
          </w:p>
        </w:tc>
      </w:tr>
      <w:tr w:rsidR="00F112FC" w:rsidRPr="00113BDB" w14:paraId="784BF513" w14:textId="77777777" w:rsidTr="00FD119B">
        <w:tc>
          <w:tcPr>
            <w:tcW w:w="1809" w:type="dxa"/>
          </w:tcPr>
          <w:p w14:paraId="58651E4B" w14:textId="77777777" w:rsidR="00F112FC" w:rsidRPr="00113BDB" w:rsidRDefault="00F112FC" w:rsidP="00FD119B">
            <w:r w:rsidRPr="00113BDB">
              <w:t>ISS</w:t>
            </w:r>
          </w:p>
        </w:tc>
        <w:tc>
          <w:tcPr>
            <w:tcW w:w="6911" w:type="dxa"/>
          </w:tcPr>
          <w:p w14:paraId="3A480747" w14:textId="77777777" w:rsidR="00F112FC" w:rsidRPr="00113BDB" w:rsidRDefault="00F112FC" w:rsidP="00FD119B">
            <w:r w:rsidRPr="00113BDB">
              <w:t>Integrated Safety Summary</w:t>
            </w:r>
          </w:p>
        </w:tc>
      </w:tr>
      <w:tr w:rsidR="00F112FC" w:rsidRPr="00113BDB" w14:paraId="6F2311B6" w14:textId="77777777" w:rsidTr="00FD119B">
        <w:tc>
          <w:tcPr>
            <w:tcW w:w="1809" w:type="dxa"/>
          </w:tcPr>
          <w:p w14:paraId="1505C248" w14:textId="77777777" w:rsidR="00F112FC" w:rsidRPr="00113BDB" w:rsidRDefault="00F112FC" w:rsidP="00FD119B">
            <w:r w:rsidRPr="00113BDB">
              <w:t>MACE</w:t>
            </w:r>
          </w:p>
        </w:tc>
        <w:tc>
          <w:tcPr>
            <w:tcW w:w="6911" w:type="dxa"/>
          </w:tcPr>
          <w:p w14:paraId="18FAF8AF" w14:textId="77777777" w:rsidR="00F112FC" w:rsidRPr="00113BDB" w:rsidRDefault="00F112FC" w:rsidP="00FD119B">
            <w:r w:rsidRPr="00113BDB">
              <w:t>Major adverse cardiovascular event</w:t>
            </w:r>
          </w:p>
        </w:tc>
      </w:tr>
      <w:tr w:rsidR="00F112FC" w:rsidRPr="00113BDB" w14:paraId="50E94EFE" w14:textId="77777777" w:rsidTr="00FD119B">
        <w:tc>
          <w:tcPr>
            <w:tcW w:w="1809" w:type="dxa"/>
          </w:tcPr>
          <w:p w14:paraId="2F6B5F8A" w14:textId="77777777" w:rsidR="00F112FC" w:rsidRPr="00113BDB" w:rsidRDefault="00F112FC" w:rsidP="00FD119B">
            <w:r w:rsidRPr="00113BDB">
              <w:t>MI</w:t>
            </w:r>
          </w:p>
        </w:tc>
        <w:tc>
          <w:tcPr>
            <w:tcW w:w="6911" w:type="dxa"/>
          </w:tcPr>
          <w:p w14:paraId="453D04AE" w14:textId="77777777" w:rsidR="00F112FC" w:rsidRPr="00113BDB" w:rsidRDefault="00F112FC" w:rsidP="00FD119B">
            <w:r w:rsidRPr="00113BDB">
              <w:t>Myocardial infarction</w:t>
            </w:r>
          </w:p>
        </w:tc>
      </w:tr>
      <w:tr w:rsidR="00F112FC" w:rsidRPr="00113BDB" w14:paraId="3D6DC7FD" w14:textId="77777777" w:rsidTr="00FD119B">
        <w:tc>
          <w:tcPr>
            <w:tcW w:w="1809" w:type="dxa"/>
          </w:tcPr>
          <w:p w14:paraId="21884090" w14:textId="77777777" w:rsidR="00F112FC" w:rsidRPr="00113BDB" w:rsidRDefault="00F112FC" w:rsidP="00FD119B">
            <w:r w:rsidRPr="00113BDB">
              <w:t>NPH</w:t>
            </w:r>
          </w:p>
        </w:tc>
        <w:tc>
          <w:tcPr>
            <w:tcW w:w="6911" w:type="dxa"/>
          </w:tcPr>
          <w:p w14:paraId="0321A96F" w14:textId="77777777" w:rsidR="00F112FC" w:rsidRPr="00113BDB" w:rsidRDefault="00F112FC" w:rsidP="00FD119B">
            <w:r w:rsidRPr="00113BDB">
              <w:t>Neutral protamine Hagedorn (insulin)</w:t>
            </w:r>
          </w:p>
        </w:tc>
      </w:tr>
      <w:tr w:rsidR="00F112FC" w:rsidRPr="00113BDB" w14:paraId="1E22A597" w14:textId="77777777" w:rsidTr="00FD119B">
        <w:tc>
          <w:tcPr>
            <w:tcW w:w="1809" w:type="dxa"/>
          </w:tcPr>
          <w:p w14:paraId="379E0563" w14:textId="77777777" w:rsidR="00F112FC" w:rsidRPr="00113BDB" w:rsidRDefault="00F112FC" w:rsidP="00FD119B">
            <w:r w:rsidRPr="00113BDB">
              <w:t>PBRER</w:t>
            </w:r>
          </w:p>
        </w:tc>
        <w:tc>
          <w:tcPr>
            <w:tcW w:w="6911" w:type="dxa"/>
          </w:tcPr>
          <w:p w14:paraId="44417497" w14:textId="77777777" w:rsidR="00F112FC" w:rsidRPr="00113BDB" w:rsidRDefault="00F112FC" w:rsidP="00FD119B">
            <w:r w:rsidRPr="00113BDB">
              <w:t>Periodic Benefit-Risk Evaluation Report</w:t>
            </w:r>
          </w:p>
        </w:tc>
      </w:tr>
      <w:tr w:rsidR="00F112FC" w:rsidRPr="00113BDB" w14:paraId="4CF837BB" w14:textId="77777777" w:rsidTr="00FD119B">
        <w:tc>
          <w:tcPr>
            <w:tcW w:w="1809" w:type="dxa"/>
          </w:tcPr>
          <w:p w14:paraId="32375870" w14:textId="77777777" w:rsidR="00F112FC" w:rsidRPr="00113BDB" w:rsidRDefault="00F112FC" w:rsidP="00FD119B">
            <w:r w:rsidRPr="00113BDB">
              <w:t>PI</w:t>
            </w:r>
          </w:p>
        </w:tc>
        <w:tc>
          <w:tcPr>
            <w:tcW w:w="6911" w:type="dxa"/>
          </w:tcPr>
          <w:p w14:paraId="10489E93" w14:textId="77777777" w:rsidR="00F112FC" w:rsidRPr="00113BDB" w:rsidRDefault="00F112FC" w:rsidP="00FD119B">
            <w:r w:rsidRPr="00113BDB">
              <w:t>Product Information</w:t>
            </w:r>
          </w:p>
        </w:tc>
      </w:tr>
      <w:tr w:rsidR="00F112FC" w:rsidRPr="00113BDB" w14:paraId="441435D7" w14:textId="77777777" w:rsidTr="00FD119B">
        <w:tc>
          <w:tcPr>
            <w:tcW w:w="1809" w:type="dxa"/>
          </w:tcPr>
          <w:p w14:paraId="697EE1F7" w14:textId="77777777" w:rsidR="00F112FC" w:rsidRPr="00113BDB" w:rsidRDefault="00F112FC" w:rsidP="00FD119B">
            <w:r w:rsidRPr="00113BDB">
              <w:t>PMDA</w:t>
            </w:r>
          </w:p>
        </w:tc>
        <w:tc>
          <w:tcPr>
            <w:tcW w:w="6911" w:type="dxa"/>
          </w:tcPr>
          <w:p w14:paraId="43AFA330" w14:textId="2213B8FA" w:rsidR="00F112FC" w:rsidRPr="00113BDB" w:rsidRDefault="00F112FC" w:rsidP="00FD119B">
            <w:r w:rsidRPr="00113BDB">
              <w:t>Pharmaceuticals and Medical Devices Agency</w:t>
            </w:r>
            <w:r w:rsidR="00396F5E">
              <w:t xml:space="preserve"> (Japan)</w:t>
            </w:r>
          </w:p>
        </w:tc>
      </w:tr>
      <w:tr w:rsidR="00F112FC" w:rsidRPr="00113BDB" w14:paraId="4F62FD54" w14:textId="77777777" w:rsidTr="00FD119B">
        <w:tc>
          <w:tcPr>
            <w:tcW w:w="1809" w:type="dxa"/>
          </w:tcPr>
          <w:p w14:paraId="566244EF" w14:textId="77777777" w:rsidR="00F112FC" w:rsidRPr="00113BDB" w:rsidRDefault="00F112FC" w:rsidP="00FD119B">
            <w:r w:rsidRPr="00113BDB">
              <w:t>PSUR</w:t>
            </w:r>
          </w:p>
        </w:tc>
        <w:tc>
          <w:tcPr>
            <w:tcW w:w="6911" w:type="dxa"/>
          </w:tcPr>
          <w:p w14:paraId="12FB57C6" w14:textId="77777777" w:rsidR="00F112FC" w:rsidRPr="00113BDB" w:rsidRDefault="00F112FC" w:rsidP="00FD119B">
            <w:r w:rsidRPr="00113BDB">
              <w:t>Periodic Safety Update Report</w:t>
            </w:r>
          </w:p>
        </w:tc>
      </w:tr>
      <w:tr w:rsidR="00F112FC" w:rsidRPr="00113BDB" w14:paraId="7B159789" w14:textId="77777777" w:rsidTr="00FD119B">
        <w:tc>
          <w:tcPr>
            <w:tcW w:w="1809" w:type="dxa"/>
          </w:tcPr>
          <w:p w14:paraId="239D5469" w14:textId="77777777" w:rsidR="00F112FC" w:rsidRPr="00113BDB" w:rsidRDefault="00F112FC" w:rsidP="00FD119B">
            <w:r w:rsidRPr="00113BDB">
              <w:t>RMP</w:t>
            </w:r>
          </w:p>
        </w:tc>
        <w:tc>
          <w:tcPr>
            <w:tcW w:w="6911" w:type="dxa"/>
          </w:tcPr>
          <w:p w14:paraId="65BC1244" w14:textId="77777777" w:rsidR="00F112FC" w:rsidRPr="00113BDB" w:rsidRDefault="00F112FC" w:rsidP="00FD119B">
            <w:r w:rsidRPr="00113BDB">
              <w:t>Risk Management Plan</w:t>
            </w:r>
          </w:p>
        </w:tc>
      </w:tr>
      <w:tr w:rsidR="00F112FC" w:rsidRPr="00113BDB" w14:paraId="1029022C" w14:textId="77777777" w:rsidTr="00FD119B">
        <w:tc>
          <w:tcPr>
            <w:tcW w:w="1809" w:type="dxa"/>
          </w:tcPr>
          <w:p w14:paraId="06636500" w14:textId="77777777" w:rsidR="00F112FC" w:rsidRPr="00113BDB" w:rsidRDefault="00F112FC" w:rsidP="00FD119B">
            <w:r w:rsidRPr="00113BDB">
              <w:t>SC</w:t>
            </w:r>
          </w:p>
        </w:tc>
        <w:tc>
          <w:tcPr>
            <w:tcW w:w="6911" w:type="dxa"/>
          </w:tcPr>
          <w:p w14:paraId="2E2658CA" w14:textId="77777777" w:rsidR="00F112FC" w:rsidRPr="00113BDB" w:rsidRDefault="00F112FC" w:rsidP="00FD119B">
            <w:r w:rsidRPr="00113BDB">
              <w:t>Subcutaneous</w:t>
            </w:r>
          </w:p>
        </w:tc>
      </w:tr>
      <w:tr w:rsidR="00F112FC" w:rsidRPr="00113BDB" w14:paraId="72562EBC" w14:textId="77777777" w:rsidTr="00FD119B">
        <w:tc>
          <w:tcPr>
            <w:tcW w:w="1809" w:type="dxa"/>
          </w:tcPr>
          <w:p w14:paraId="1044FBB9" w14:textId="77777777" w:rsidR="00F112FC" w:rsidRPr="00113BDB" w:rsidRDefault="00F112FC" w:rsidP="00FD119B">
            <w:r w:rsidRPr="00113BDB">
              <w:t>SGLT-2</w:t>
            </w:r>
          </w:p>
        </w:tc>
        <w:tc>
          <w:tcPr>
            <w:tcW w:w="6911" w:type="dxa"/>
          </w:tcPr>
          <w:p w14:paraId="4179A25A" w14:textId="5F9995C6" w:rsidR="00F112FC" w:rsidRPr="00113BDB" w:rsidRDefault="00F112FC" w:rsidP="00FD119B">
            <w:r w:rsidRPr="00113BDB">
              <w:t>Sodium-glucose cotransporter 2 (inhibitor</w:t>
            </w:r>
            <w:r w:rsidR="00396F5E">
              <w:t>)</w:t>
            </w:r>
          </w:p>
        </w:tc>
      </w:tr>
      <w:tr w:rsidR="00F112FC" w:rsidRPr="00113BDB" w14:paraId="0590713B" w14:textId="77777777" w:rsidTr="00FD119B">
        <w:tc>
          <w:tcPr>
            <w:tcW w:w="1809" w:type="dxa"/>
          </w:tcPr>
          <w:p w14:paraId="6F4BCC8B" w14:textId="77777777" w:rsidR="00F112FC" w:rsidRPr="00113BDB" w:rsidRDefault="00F112FC" w:rsidP="00FD119B">
            <w:r w:rsidRPr="00113BDB">
              <w:t>SOC</w:t>
            </w:r>
          </w:p>
        </w:tc>
        <w:tc>
          <w:tcPr>
            <w:tcW w:w="6911" w:type="dxa"/>
          </w:tcPr>
          <w:p w14:paraId="49F2E037" w14:textId="77777777" w:rsidR="00F112FC" w:rsidRPr="00113BDB" w:rsidRDefault="00F112FC" w:rsidP="00FD119B">
            <w:r w:rsidRPr="00113BDB">
              <w:t>System Organ Class</w:t>
            </w:r>
          </w:p>
        </w:tc>
      </w:tr>
      <w:tr w:rsidR="00F112FC" w:rsidRPr="00113BDB" w14:paraId="477610DC" w14:textId="77777777" w:rsidTr="00FD119B">
        <w:tc>
          <w:tcPr>
            <w:tcW w:w="1809" w:type="dxa"/>
          </w:tcPr>
          <w:p w14:paraId="11549058" w14:textId="77777777" w:rsidR="00F112FC" w:rsidRPr="00113BDB" w:rsidRDefault="00F112FC" w:rsidP="00FD119B">
            <w:r w:rsidRPr="00113BDB">
              <w:t>T1DM</w:t>
            </w:r>
          </w:p>
        </w:tc>
        <w:tc>
          <w:tcPr>
            <w:tcW w:w="6911" w:type="dxa"/>
          </w:tcPr>
          <w:p w14:paraId="74324460" w14:textId="77777777" w:rsidR="00F112FC" w:rsidRPr="00113BDB" w:rsidRDefault="00F112FC" w:rsidP="00FD119B">
            <w:r w:rsidRPr="00113BDB">
              <w:t>Type 1 diabetes mellitus</w:t>
            </w:r>
          </w:p>
        </w:tc>
      </w:tr>
      <w:tr w:rsidR="00F112FC" w:rsidRPr="00113BDB" w14:paraId="61414E29" w14:textId="77777777" w:rsidTr="00FD119B">
        <w:tc>
          <w:tcPr>
            <w:tcW w:w="1809" w:type="dxa"/>
          </w:tcPr>
          <w:p w14:paraId="177196AD" w14:textId="77777777" w:rsidR="00F112FC" w:rsidRPr="00113BDB" w:rsidRDefault="00F112FC" w:rsidP="00FD119B">
            <w:r w:rsidRPr="00113BDB">
              <w:t>T2DM</w:t>
            </w:r>
          </w:p>
        </w:tc>
        <w:tc>
          <w:tcPr>
            <w:tcW w:w="6911" w:type="dxa"/>
          </w:tcPr>
          <w:p w14:paraId="7BAE1AA6" w14:textId="77777777" w:rsidR="00F112FC" w:rsidRPr="00113BDB" w:rsidRDefault="00F112FC" w:rsidP="00FD119B">
            <w:r w:rsidRPr="00113BDB">
              <w:t>Type 2 diabetes mellitus</w:t>
            </w:r>
          </w:p>
        </w:tc>
      </w:tr>
      <w:tr w:rsidR="00F112FC" w:rsidRPr="00113BDB" w14:paraId="0D0BA646" w14:textId="77777777" w:rsidTr="00FD119B">
        <w:tc>
          <w:tcPr>
            <w:tcW w:w="1809" w:type="dxa"/>
          </w:tcPr>
          <w:p w14:paraId="21605E7A" w14:textId="77777777" w:rsidR="00F112FC" w:rsidRPr="00113BDB" w:rsidRDefault="00F112FC" w:rsidP="00FD119B">
            <w:r w:rsidRPr="00113BDB">
              <w:lastRenderedPageBreak/>
              <w:t>t</w:t>
            </w:r>
            <w:r w:rsidRPr="00113BDB">
              <w:rPr>
                <w:vertAlign w:val="subscript"/>
              </w:rPr>
              <w:t>max,IAsp</w:t>
            </w:r>
          </w:p>
        </w:tc>
        <w:tc>
          <w:tcPr>
            <w:tcW w:w="6911" w:type="dxa"/>
          </w:tcPr>
          <w:p w14:paraId="09153129" w14:textId="77777777" w:rsidR="00F112FC" w:rsidRPr="00113BDB" w:rsidRDefault="00F112FC" w:rsidP="00FD119B">
            <w:r w:rsidRPr="00113BDB">
              <w:t>Time to peak serum concentration of IAsp</w:t>
            </w:r>
          </w:p>
        </w:tc>
      </w:tr>
      <w:tr w:rsidR="00F112FC" w:rsidRPr="00113BDB" w14:paraId="197A70E4" w14:textId="77777777" w:rsidTr="00FD119B">
        <w:tc>
          <w:tcPr>
            <w:tcW w:w="1809" w:type="dxa"/>
          </w:tcPr>
          <w:p w14:paraId="12F67DA2" w14:textId="77777777" w:rsidR="00F112FC" w:rsidRPr="00113BDB" w:rsidRDefault="00F112FC" w:rsidP="00FD119B">
            <w:r w:rsidRPr="00113BDB">
              <w:t>US</w:t>
            </w:r>
          </w:p>
        </w:tc>
        <w:tc>
          <w:tcPr>
            <w:tcW w:w="6911" w:type="dxa"/>
          </w:tcPr>
          <w:p w14:paraId="153E7E28" w14:textId="77777777" w:rsidR="00F112FC" w:rsidRPr="00113BDB" w:rsidRDefault="00F112FC" w:rsidP="00FD119B">
            <w:r w:rsidRPr="00113BDB">
              <w:t>United States</w:t>
            </w:r>
          </w:p>
        </w:tc>
      </w:tr>
    </w:tbl>
    <w:p w14:paraId="3C0D0361" w14:textId="77777777" w:rsidR="008E7846" w:rsidRPr="00113BDB" w:rsidRDefault="00F53C07" w:rsidP="00781AE3">
      <w:pPr>
        <w:pStyle w:val="Heading2"/>
        <w:pageBreakBefore/>
      </w:pPr>
      <w:bookmarkStart w:id="8" w:name="_Toc517697965"/>
      <w:r w:rsidRPr="00113BDB">
        <w:lastRenderedPageBreak/>
        <w:t>I.</w:t>
      </w:r>
      <w:r w:rsidR="008E7846" w:rsidRPr="00113BDB">
        <w:t xml:space="preserve"> Introduction to product submission</w:t>
      </w:r>
      <w:bookmarkEnd w:id="8"/>
      <w:bookmarkEnd w:id="2"/>
      <w:bookmarkEnd w:id="0"/>
    </w:p>
    <w:p w14:paraId="5A4772E2" w14:textId="77777777" w:rsidR="008E7846" w:rsidRPr="00113BDB" w:rsidRDefault="008E7846" w:rsidP="008E7846">
      <w:pPr>
        <w:pStyle w:val="Heading3"/>
        <w:rPr>
          <w:lang w:eastAsia="en-AU"/>
        </w:rPr>
      </w:pPr>
      <w:bookmarkStart w:id="9" w:name="_Toc247691502"/>
      <w:bookmarkStart w:id="10" w:name="_Toc314842483"/>
      <w:bookmarkStart w:id="11" w:name="_Toc517697966"/>
      <w:r w:rsidRPr="00113BDB">
        <w:rPr>
          <w:lang w:eastAsia="en-AU"/>
        </w:rPr>
        <w:t>Submission details</w:t>
      </w:r>
      <w:bookmarkEnd w:id="9"/>
      <w:bookmarkEnd w:id="10"/>
      <w:bookmarkEnd w:id="11"/>
    </w:p>
    <w:tbl>
      <w:tblPr>
        <w:tblW w:w="9214" w:type="dxa"/>
        <w:tblInd w:w="108" w:type="dxa"/>
        <w:tblLook w:val="01E0" w:firstRow="1" w:lastRow="1" w:firstColumn="1" w:lastColumn="1" w:noHBand="0" w:noVBand="0"/>
        <w:tblDescription w:val="Submission details"/>
      </w:tblPr>
      <w:tblGrid>
        <w:gridCol w:w="2907"/>
        <w:gridCol w:w="6307"/>
      </w:tblGrid>
      <w:tr w:rsidR="008E7846" w:rsidRPr="00113BDB" w14:paraId="42D02A87" w14:textId="77777777" w:rsidTr="00C02D19">
        <w:trPr>
          <w:trHeight w:hRule="exact" w:val="381"/>
        </w:trPr>
        <w:tc>
          <w:tcPr>
            <w:tcW w:w="2907" w:type="dxa"/>
          </w:tcPr>
          <w:p w14:paraId="020F2F5B" w14:textId="77777777" w:rsidR="008E7846" w:rsidRPr="00113BDB" w:rsidRDefault="001B5C90" w:rsidP="001B5C90">
            <w:pPr>
              <w:rPr>
                <w:i/>
              </w:rPr>
            </w:pPr>
            <w:r w:rsidRPr="00113BDB">
              <w:rPr>
                <w:i/>
              </w:rPr>
              <w:t>Type of s</w:t>
            </w:r>
            <w:r w:rsidR="008E7846" w:rsidRPr="00113BDB">
              <w:rPr>
                <w:i/>
              </w:rPr>
              <w:t>ubmission</w:t>
            </w:r>
            <w:r w:rsidRPr="00113BDB">
              <w:rPr>
                <w:i/>
              </w:rPr>
              <w:t>:</w:t>
            </w:r>
          </w:p>
        </w:tc>
        <w:tc>
          <w:tcPr>
            <w:tcW w:w="6307" w:type="dxa"/>
          </w:tcPr>
          <w:p w14:paraId="1B987513" w14:textId="6D2163AB" w:rsidR="008E7846" w:rsidRPr="00113BDB" w:rsidRDefault="008E7846" w:rsidP="001D442E">
            <w:r w:rsidRPr="00113BDB">
              <w:t xml:space="preserve">New </w:t>
            </w:r>
            <w:r w:rsidR="001B5C90" w:rsidRPr="00113BDB">
              <w:t>c</w:t>
            </w:r>
            <w:r w:rsidRPr="00113BDB">
              <w:t xml:space="preserve">hemical </w:t>
            </w:r>
            <w:r w:rsidR="001B5C90" w:rsidRPr="00113BDB">
              <w:t>e</w:t>
            </w:r>
            <w:r w:rsidRPr="00113BDB">
              <w:t>ntity</w:t>
            </w:r>
          </w:p>
        </w:tc>
      </w:tr>
      <w:tr w:rsidR="008E7846" w:rsidRPr="00113BDB" w14:paraId="030B21CF" w14:textId="77777777" w:rsidTr="00C02D19">
        <w:trPr>
          <w:trHeight w:hRule="exact" w:val="454"/>
        </w:trPr>
        <w:tc>
          <w:tcPr>
            <w:tcW w:w="2907" w:type="dxa"/>
          </w:tcPr>
          <w:p w14:paraId="46FC589B" w14:textId="77777777" w:rsidR="008E7846" w:rsidRPr="00113BDB" w:rsidRDefault="008E7846" w:rsidP="003D1E62">
            <w:r w:rsidRPr="00113BDB">
              <w:rPr>
                <w:i/>
              </w:rPr>
              <w:t>Decision</w:t>
            </w:r>
            <w:r w:rsidRPr="00113BDB">
              <w:t>:</w:t>
            </w:r>
          </w:p>
        </w:tc>
        <w:tc>
          <w:tcPr>
            <w:tcW w:w="6307" w:type="dxa"/>
          </w:tcPr>
          <w:p w14:paraId="59E00ACC" w14:textId="611C61E4" w:rsidR="008E7846" w:rsidRPr="00113BDB" w:rsidRDefault="008E7846" w:rsidP="00F96548">
            <w:r w:rsidRPr="00113BDB">
              <w:t>Approved</w:t>
            </w:r>
          </w:p>
        </w:tc>
      </w:tr>
      <w:tr w:rsidR="008E7846" w:rsidRPr="00113BDB" w14:paraId="55927615" w14:textId="77777777" w:rsidTr="00C02D19">
        <w:trPr>
          <w:trHeight w:hRule="exact" w:val="454"/>
        </w:trPr>
        <w:tc>
          <w:tcPr>
            <w:tcW w:w="2907" w:type="dxa"/>
          </w:tcPr>
          <w:p w14:paraId="5D1CB2AD" w14:textId="77777777" w:rsidR="008E7846" w:rsidRPr="00113BDB" w:rsidRDefault="008E7846" w:rsidP="001B5C90">
            <w:pPr>
              <w:rPr>
                <w:i/>
              </w:rPr>
            </w:pPr>
            <w:r w:rsidRPr="00113BDB">
              <w:rPr>
                <w:i/>
              </w:rPr>
              <w:t xml:space="preserve">Date of </w:t>
            </w:r>
            <w:r w:rsidR="001B5C90" w:rsidRPr="00113BDB">
              <w:rPr>
                <w:i/>
              </w:rPr>
              <w:t>d</w:t>
            </w:r>
            <w:r w:rsidRPr="00113BDB">
              <w:rPr>
                <w:i/>
              </w:rPr>
              <w:t>ecision:</w:t>
            </w:r>
          </w:p>
        </w:tc>
        <w:tc>
          <w:tcPr>
            <w:tcW w:w="6307" w:type="dxa"/>
          </w:tcPr>
          <w:p w14:paraId="30FF84B2" w14:textId="2582444B" w:rsidR="008E7846" w:rsidRPr="00113BDB" w:rsidRDefault="005E4193" w:rsidP="00C02D19">
            <w:r w:rsidRPr="00113BDB">
              <w:t>2</w:t>
            </w:r>
            <w:r w:rsidR="00C02D19">
              <w:t>4</w:t>
            </w:r>
            <w:r w:rsidRPr="00113BDB">
              <w:t xml:space="preserve"> November 2017</w:t>
            </w:r>
          </w:p>
        </w:tc>
      </w:tr>
      <w:tr w:rsidR="00ED2922" w:rsidRPr="00113BDB" w14:paraId="337AEC4F" w14:textId="77777777" w:rsidTr="00C02D19">
        <w:trPr>
          <w:trHeight w:hRule="exact" w:val="454"/>
        </w:trPr>
        <w:tc>
          <w:tcPr>
            <w:tcW w:w="2907" w:type="dxa"/>
          </w:tcPr>
          <w:p w14:paraId="6EC8E02A" w14:textId="77777777" w:rsidR="00ED2922" w:rsidRPr="00113BDB" w:rsidRDefault="00ED2922" w:rsidP="001B5C90">
            <w:pPr>
              <w:rPr>
                <w:i/>
              </w:rPr>
            </w:pPr>
            <w:r w:rsidRPr="00113BDB">
              <w:rPr>
                <w:i/>
              </w:rPr>
              <w:t>Date of entry onto ARTG</w:t>
            </w:r>
          </w:p>
        </w:tc>
        <w:tc>
          <w:tcPr>
            <w:tcW w:w="6307" w:type="dxa"/>
          </w:tcPr>
          <w:p w14:paraId="2B4C919D" w14:textId="07A3EFB4" w:rsidR="00ED2922" w:rsidRPr="00113BDB" w:rsidRDefault="00F96548" w:rsidP="00EC463D">
            <w:pPr>
              <w:rPr>
                <w:i/>
              </w:rPr>
            </w:pPr>
            <w:r w:rsidRPr="00113BDB">
              <w:t>29 November 2017</w:t>
            </w:r>
          </w:p>
        </w:tc>
      </w:tr>
      <w:tr w:rsidR="008E7846" w:rsidRPr="00113BDB" w14:paraId="3CE6DD43" w14:textId="77777777" w:rsidTr="00C02D19">
        <w:tc>
          <w:tcPr>
            <w:tcW w:w="2907" w:type="dxa"/>
          </w:tcPr>
          <w:p w14:paraId="599782BB" w14:textId="0BE91063" w:rsidR="008E7846" w:rsidRPr="00113BDB" w:rsidRDefault="00F96548" w:rsidP="00E45619">
            <w:pPr>
              <w:rPr>
                <w:i/>
              </w:rPr>
            </w:pPr>
            <w:r w:rsidRPr="00113BDB">
              <w:rPr>
                <w:i/>
              </w:rPr>
              <w:t>Active ingredients</w:t>
            </w:r>
            <w:r w:rsidR="001B5C90" w:rsidRPr="00113BDB">
              <w:rPr>
                <w:i/>
              </w:rPr>
              <w:t>:</w:t>
            </w:r>
          </w:p>
        </w:tc>
        <w:tc>
          <w:tcPr>
            <w:tcW w:w="6307" w:type="dxa"/>
          </w:tcPr>
          <w:p w14:paraId="247F2623" w14:textId="4E4D3924" w:rsidR="008E7846" w:rsidRPr="00113BDB" w:rsidRDefault="00F96548" w:rsidP="00E45619">
            <w:r w:rsidRPr="00113BDB">
              <w:t>I</w:t>
            </w:r>
            <w:r w:rsidR="00132ADC" w:rsidRPr="00113BDB">
              <w:t>nsulin degludec</w:t>
            </w:r>
            <w:r w:rsidR="006F7B6B" w:rsidRPr="00113BDB">
              <w:t xml:space="preserve"> (70%)</w:t>
            </w:r>
            <w:r w:rsidR="00132ADC" w:rsidRPr="00113BDB">
              <w:t>; Insulin aspart</w:t>
            </w:r>
            <w:r w:rsidR="006F7B6B" w:rsidRPr="00113BDB">
              <w:t xml:space="preserve"> (30%)</w:t>
            </w:r>
          </w:p>
        </w:tc>
      </w:tr>
      <w:tr w:rsidR="008E7846" w:rsidRPr="00113BDB" w14:paraId="00E1D34F" w14:textId="77777777" w:rsidTr="00C02D19">
        <w:tc>
          <w:tcPr>
            <w:tcW w:w="2907" w:type="dxa"/>
          </w:tcPr>
          <w:p w14:paraId="7FC3374A" w14:textId="2517693E" w:rsidR="008E7846" w:rsidRPr="00113BDB" w:rsidRDefault="008E7846" w:rsidP="001B5C90">
            <w:pPr>
              <w:rPr>
                <w:i/>
              </w:rPr>
            </w:pPr>
            <w:r w:rsidRPr="00113BDB">
              <w:rPr>
                <w:i/>
              </w:rPr>
              <w:t>Product</w:t>
            </w:r>
            <w:r w:rsidR="00F96548" w:rsidRPr="00113BDB">
              <w:rPr>
                <w:i/>
              </w:rPr>
              <w:t xml:space="preserve"> names</w:t>
            </w:r>
            <w:r w:rsidR="001B5C90" w:rsidRPr="00113BDB">
              <w:rPr>
                <w:i/>
              </w:rPr>
              <w:t>:</w:t>
            </w:r>
          </w:p>
        </w:tc>
        <w:tc>
          <w:tcPr>
            <w:tcW w:w="6307" w:type="dxa"/>
          </w:tcPr>
          <w:p w14:paraId="7F2D1DEC" w14:textId="770E8CDD" w:rsidR="008E7846" w:rsidRPr="00113BDB" w:rsidRDefault="00F96548" w:rsidP="00E45619">
            <w:r w:rsidRPr="00113BDB">
              <w:t>Ryzodeg 70/30 FlexTouch; Ryzodeg 70/30 Penfill</w:t>
            </w:r>
          </w:p>
        </w:tc>
      </w:tr>
      <w:tr w:rsidR="008E7846" w:rsidRPr="00113BDB" w14:paraId="7CFE9E97" w14:textId="77777777" w:rsidTr="00C02D19">
        <w:tc>
          <w:tcPr>
            <w:tcW w:w="2907" w:type="dxa"/>
          </w:tcPr>
          <w:p w14:paraId="727438D1" w14:textId="77777777" w:rsidR="008E7846" w:rsidRPr="00113BDB" w:rsidRDefault="008E7846" w:rsidP="001B5C90">
            <w:pPr>
              <w:rPr>
                <w:i/>
              </w:rPr>
            </w:pPr>
            <w:r w:rsidRPr="00113BDB">
              <w:rPr>
                <w:i/>
              </w:rPr>
              <w:t xml:space="preserve">Sponsor’s </w:t>
            </w:r>
            <w:r w:rsidR="001B5C90" w:rsidRPr="00113BDB">
              <w:rPr>
                <w:i/>
              </w:rPr>
              <w:t>n</w:t>
            </w:r>
            <w:r w:rsidRPr="00113BDB">
              <w:rPr>
                <w:i/>
              </w:rPr>
              <w:t xml:space="preserve">ame and </w:t>
            </w:r>
            <w:r w:rsidR="001B5C90" w:rsidRPr="00113BDB">
              <w:rPr>
                <w:i/>
              </w:rPr>
              <w:t>a</w:t>
            </w:r>
            <w:r w:rsidRPr="00113BDB">
              <w:rPr>
                <w:i/>
              </w:rPr>
              <w:t>ddress:</w:t>
            </w:r>
          </w:p>
        </w:tc>
        <w:tc>
          <w:tcPr>
            <w:tcW w:w="6307" w:type="dxa"/>
          </w:tcPr>
          <w:p w14:paraId="6FB48FD4" w14:textId="1219CEF7" w:rsidR="008E7846" w:rsidRPr="00113BDB" w:rsidRDefault="00F96548" w:rsidP="00E45619">
            <w:r w:rsidRPr="00113BDB">
              <w:t>Novo Nordisk Pharmaceutical Pty Ltd</w:t>
            </w:r>
            <w:r w:rsidRPr="00113BDB">
              <w:br/>
              <w:t>PO Box 7586,</w:t>
            </w:r>
            <w:r w:rsidRPr="00113BDB">
              <w:br/>
              <w:t>Baulkham Hills, NSW, 2153</w:t>
            </w:r>
          </w:p>
        </w:tc>
      </w:tr>
      <w:tr w:rsidR="008E7846" w:rsidRPr="00113BDB" w14:paraId="4390B91C" w14:textId="77777777" w:rsidTr="00C02D19">
        <w:tc>
          <w:tcPr>
            <w:tcW w:w="2907" w:type="dxa"/>
          </w:tcPr>
          <w:p w14:paraId="4F16FA52" w14:textId="12463DD8" w:rsidR="008E7846" w:rsidRPr="00113BDB" w:rsidRDefault="00132ADC" w:rsidP="00132ADC">
            <w:pPr>
              <w:rPr>
                <w:i/>
              </w:rPr>
            </w:pPr>
            <w:r w:rsidRPr="00113BDB">
              <w:rPr>
                <w:i/>
              </w:rPr>
              <w:t>Dose form</w:t>
            </w:r>
            <w:r w:rsidR="001B5C90" w:rsidRPr="00113BDB">
              <w:rPr>
                <w:i/>
              </w:rPr>
              <w:t>:</w:t>
            </w:r>
          </w:p>
        </w:tc>
        <w:tc>
          <w:tcPr>
            <w:tcW w:w="6307" w:type="dxa"/>
          </w:tcPr>
          <w:p w14:paraId="3F8DF22F" w14:textId="07A1E9C5" w:rsidR="008E7846" w:rsidRPr="00113BDB" w:rsidRDefault="00132ADC" w:rsidP="00E45619">
            <w:r w:rsidRPr="00113BDB">
              <w:t>Solution for injection</w:t>
            </w:r>
          </w:p>
        </w:tc>
      </w:tr>
      <w:tr w:rsidR="008E7846" w:rsidRPr="00113BDB" w14:paraId="0CC6EB2B" w14:textId="77777777" w:rsidTr="00C02D19">
        <w:tc>
          <w:tcPr>
            <w:tcW w:w="2907" w:type="dxa"/>
          </w:tcPr>
          <w:p w14:paraId="221A3E51" w14:textId="3B167316" w:rsidR="008E7846" w:rsidRPr="00113BDB" w:rsidRDefault="00132ADC" w:rsidP="00E45619">
            <w:pPr>
              <w:rPr>
                <w:i/>
              </w:rPr>
            </w:pPr>
            <w:r w:rsidRPr="00113BDB">
              <w:rPr>
                <w:i/>
              </w:rPr>
              <w:t>Strength:</w:t>
            </w:r>
          </w:p>
        </w:tc>
        <w:tc>
          <w:tcPr>
            <w:tcW w:w="6307" w:type="dxa"/>
          </w:tcPr>
          <w:p w14:paraId="63D5666A" w14:textId="63F4542F" w:rsidR="008E7846" w:rsidRPr="00113BDB" w:rsidRDefault="00132ADC" w:rsidP="00E45619">
            <w:r w:rsidRPr="00113BDB">
              <w:t>100 U/mL</w:t>
            </w:r>
          </w:p>
        </w:tc>
      </w:tr>
      <w:tr w:rsidR="008E7846" w:rsidRPr="00113BDB" w14:paraId="7C10F026" w14:textId="77777777" w:rsidTr="00C02D19">
        <w:tc>
          <w:tcPr>
            <w:tcW w:w="2907" w:type="dxa"/>
          </w:tcPr>
          <w:p w14:paraId="4638915C" w14:textId="3D558C64" w:rsidR="008E7846" w:rsidRPr="00113BDB" w:rsidRDefault="00A87E43" w:rsidP="00E45619">
            <w:pPr>
              <w:rPr>
                <w:i/>
              </w:rPr>
            </w:pPr>
            <w:r w:rsidRPr="00113BDB">
              <w:rPr>
                <w:i/>
              </w:rPr>
              <w:t>Container</w:t>
            </w:r>
            <w:r w:rsidR="008E7846" w:rsidRPr="00113BDB">
              <w:rPr>
                <w:i/>
              </w:rPr>
              <w:t>:</w:t>
            </w:r>
          </w:p>
        </w:tc>
        <w:tc>
          <w:tcPr>
            <w:tcW w:w="6307" w:type="dxa"/>
          </w:tcPr>
          <w:p w14:paraId="032D4DDE" w14:textId="15F7BBB0" w:rsidR="008E7846" w:rsidRPr="00113BDB" w:rsidRDefault="00A87E43" w:rsidP="00E45619">
            <w:r w:rsidRPr="00113BDB">
              <w:t>Multidose cartridge</w:t>
            </w:r>
          </w:p>
        </w:tc>
      </w:tr>
      <w:tr w:rsidR="008E7846" w:rsidRPr="00113BDB" w14:paraId="14D556E4" w14:textId="77777777" w:rsidTr="00C02D19">
        <w:tc>
          <w:tcPr>
            <w:tcW w:w="2907" w:type="dxa"/>
          </w:tcPr>
          <w:p w14:paraId="30D9CBFB" w14:textId="31345F4A" w:rsidR="008E7846" w:rsidRPr="00113BDB" w:rsidRDefault="006F7B6B" w:rsidP="00E45619">
            <w:pPr>
              <w:rPr>
                <w:i/>
              </w:rPr>
            </w:pPr>
            <w:r w:rsidRPr="00113BDB">
              <w:rPr>
                <w:i/>
              </w:rPr>
              <w:t>Pack sizes</w:t>
            </w:r>
            <w:r w:rsidR="008E7846" w:rsidRPr="00113BDB">
              <w:rPr>
                <w:i/>
              </w:rPr>
              <w:t>:</w:t>
            </w:r>
          </w:p>
        </w:tc>
        <w:tc>
          <w:tcPr>
            <w:tcW w:w="6307" w:type="dxa"/>
          </w:tcPr>
          <w:p w14:paraId="4FD0295F" w14:textId="0F1275DE" w:rsidR="00A87E43" w:rsidRPr="00113BDB" w:rsidRDefault="00A87E43" w:rsidP="00A87E43">
            <w:r w:rsidRPr="00113BDB">
              <w:t>Ryzodeg 70/30 FlexTouch: Packs of 1 and 5 cartridge(s)</w:t>
            </w:r>
          </w:p>
          <w:p w14:paraId="2E73356D" w14:textId="299332D9" w:rsidR="008E7846" w:rsidRPr="00113BDB" w:rsidRDefault="00A87E43" w:rsidP="00A87E43">
            <w:r w:rsidRPr="00113BDB">
              <w:t>Ryzodeg 70/30 Penfill: Pack of 1 cartridge</w:t>
            </w:r>
          </w:p>
        </w:tc>
      </w:tr>
      <w:tr w:rsidR="008E7846" w:rsidRPr="00113BDB" w14:paraId="05D918A6" w14:textId="77777777" w:rsidTr="00C02D19">
        <w:tc>
          <w:tcPr>
            <w:tcW w:w="2907" w:type="dxa"/>
          </w:tcPr>
          <w:p w14:paraId="57731675" w14:textId="77777777" w:rsidR="008E7846" w:rsidRPr="00113BDB" w:rsidRDefault="008E7846" w:rsidP="001B5C90">
            <w:pPr>
              <w:rPr>
                <w:i/>
              </w:rPr>
            </w:pPr>
            <w:r w:rsidRPr="00113BDB">
              <w:rPr>
                <w:i/>
              </w:rPr>
              <w:t xml:space="preserve">Approved </w:t>
            </w:r>
            <w:r w:rsidR="001B5C90" w:rsidRPr="00113BDB">
              <w:rPr>
                <w:i/>
              </w:rPr>
              <w:t>t</w:t>
            </w:r>
            <w:r w:rsidRPr="00113BDB">
              <w:rPr>
                <w:i/>
              </w:rPr>
              <w:t>herapeutic use:</w:t>
            </w:r>
          </w:p>
        </w:tc>
        <w:tc>
          <w:tcPr>
            <w:tcW w:w="6307" w:type="dxa"/>
          </w:tcPr>
          <w:p w14:paraId="75317818" w14:textId="58CD9914" w:rsidR="008E7846" w:rsidRPr="00113BDB" w:rsidRDefault="006F7B6B" w:rsidP="00E45619">
            <w:pPr>
              <w:rPr>
                <w:i/>
              </w:rPr>
            </w:pPr>
            <w:r w:rsidRPr="00113BDB">
              <w:rPr>
                <w:i/>
              </w:rPr>
              <w:t>To improve glycaemic control in adult patients with diabetes mellitus requiring basal and prandial insulin.</w:t>
            </w:r>
          </w:p>
        </w:tc>
      </w:tr>
      <w:tr w:rsidR="008E7846" w:rsidRPr="00113BDB" w14:paraId="45D8788E" w14:textId="77777777" w:rsidTr="00C02D19">
        <w:tc>
          <w:tcPr>
            <w:tcW w:w="2907" w:type="dxa"/>
          </w:tcPr>
          <w:p w14:paraId="74934961" w14:textId="717ABF1A" w:rsidR="008E7846" w:rsidRPr="00113BDB" w:rsidRDefault="006F7B6B" w:rsidP="00E45619">
            <w:pPr>
              <w:rPr>
                <w:i/>
              </w:rPr>
            </w:pPr>
            <w:r w:rsidRPr="00113BDB">
              <w:rPr>
                <w:i/>
              </w:rPr>
              <w:t>Route</w:t>
            </w:r>
            <w:r w:rsidR="008E7846" w:rsidRPr="00113BDB">
              <w:rPr>
                <w:i/>
              </w:rPr>
              <w:t xml:space="preserve"> of administration:</w:t>
            </w:r>
          </w:p>
        </w:tc>
        <w:tc>
          <w:tcPr>
            <w:tcW w:w="6307" w:type="dxa"/>
          </w:tcPr>
          <w:p w14:paraId="51730D77" w14:textId="3D4E3467" w:rsidR="008E7846" w:rsidRPr="00113BDB" w:rsidRDefault="008B429F" w:rsidP="008B429F">
            <w:r w:rsidRPr="00113BDB">
              <w:t>Subcutaneous</w:t>
            </w:r>
            <w:r>
              <w:t xml:space="preserve"> (SC) </w:t>
            </w:r>
            <w:r w:rsidR="006F7B6B" w:rsidRPr="00113BDB">
              <w:t>injection</w:t>
            </w:r>
          </w:p>
        </w:tc>
      </w:tr>
      <w:tr w:rsidR="008E7846" w:rsidRPr="00113BDB" w14:paraId="39204090" w14:textId="77777777" w:rsidTr="00C02D19">
        <w:tc>
          <w:tcPr>
            <w:tcW w:w="2907" w:type="dxa"/>
          </w:tcPr>
          <w:p w14:paraId="1C95AFC3" w14:textId="77777777" w:rsidR="008E7846" w:rsidRPr="00113BDB" w:rsidRDefault="008E7846" w:rsidP="00E45619">
            <w:pPr>
              <w:rPr>
                <w:i/>
              </w:rPr>
            </w:pPr>
            <w:r w:rsidRPr="00113BDB">
              <w:rPr>
                <w:i/>
              </w:rPr>
              <w:t>Dosage:</w:t>
            </w:r>
          </w:p>
        </w:tc>
        <w:tc>
          <w:tcPr>
            <w:tcW w:w="6307" w:type="dxa"/>
          </w:tcPr>
          <w:p w14:paraId="35848CF4" w14:textId="2BF48418" w:rsidR="008E7846" w:rsidRPr="00113BDB" w:rsidRDefault="006F7B6B" w:rsidP="00E45619">
            <w:r w:rsidRPr="00113BDB">
              <w:t>Dosage is individualised according to patient need, related to patient’s glycaemic control. See the Product Information (PI) for further details.</w:t>
            </w:r>
          </w:p>
        </w:tc>
      </w:tr>
      <w:tr w:rsidR="008E7846" w:rsidRPr="00113BDB" w14:paraId="01B2F3FD" w14:textId="77777777" w:rsidTr="00C02D19">
        <w:tc>
          <w:tcPr>
            <w:tcW w:w="2907" w:type="dxa"/>
          </w:tcPr>
          <w:p w14:paraId="25599893" w14:textId="38B055DB" w:rsidR="008E7846" w:rsidRPr="00113BDB" w:rsidRDefault="008E7846" w:rsidP="001B5C90">
            <w:pPr>
              <w:rPr>
                <w:i/>
              </w:rPr>
            </w:pPr>
            <w:r w:rsidRPr="00113BDB">
              <w:rPr>
                <w:i/>
              </w:rPr>
              <w:t xml:space="preserve">ARTG </w:t>
            </w:r>
            <w:r w:rsidR="001B5C90" w:rsidRPr="00113BDB">
              <w:rPr>
                <w:i/>
              </w:rPr>
              <w:t>n</w:t>
            </w:r>
            <w:r w:rsidR="006F7B6B" w:rsidRPr="00113BDB">
              <w:rPr>
                <w:i/>
              </w:rPr>
              <w:t>umbers</w:t>
            </w:r>
            <w:r w:rsidR="001B5C90" w:rsidRPr="00113BDB">
              <w:rPr>
                <w:i/>
              </w:rPr>
              <w:t>:</w:t>
            </w:r>
          </w:p>
        </w:tc>
        <w:tc>
          <w:tcPr>
            <w:tcW w:w="6307" w:type="dxa"/>
          </w:tcPr>
          <w:p w14:paraId="492582B6" w14:textId="77777777" w:rsidR="006F7B6B" w:rsidRPr="00113BDB" w:rsidRDefault="006F7B6B" w:rsidP="006F7B6B">
            <w:r w:rsidRPr="00113BDB">
              <w:t>Ryzodeg 70/30 FlexTouch: 280432</w:t>
            </w:r>
          </w:p>
          <w:p w14:paraId="793F0515" w14:textId="0B7953D3" w:rsidR="008E7846" w:rsidRPr="00113BDB" w:rsidRDefault="006F7B6B" w:rsidP="00E45619">
            <w:r w:rsidRPr="00113BDB">
              <w:t>Ryzodeg 70/30 Penfill: 280433</w:t>
            </w:r>
          </w:p>
        </w:tc>
      </w:tr>
    </w:tbl>
    <w:p w14:paraId="4946E00A" w14:textId="77777777" w:rsidR="008E7846" w:rsidRPr="00113BDB" w:rsidRDefault="008E7846" w:rsidP="008E7846">
      <w:pPr>
        <w:pStyle w:val="Heading3"/>
      </w:pPr>
      <w:bookmarkStart w:id="12" w:name="_Toc247691503"/>
      <w:bookmarkStart w:id="13" w:name="_Toc314842484"/>
      <w:bookmarkStart w:id="14" w:name="_Toc517697967"/>
      <w:r w:rsidRPr="00113BDB">
        <w:t>Product background</w:t>
      </w:r>
      <w:bookmarkEnd w:id="12"/>
      <w:bookmarkEnd w:id="13"/>
      <w:bookmarkEnd w:id="14"/>
    </w:p>
    <w:p w14:paraId="5412FCF8" w14:textId="6147AD5A" w:rsidR="00BA6E65" w:rsidRPr="00113BDB" w:rsidRDefault="00BA6E65" w:rsidP="00BA6E65">
      <w:r w:rsidRPr="00113BDB">
        <w:t xml:space="preserve">This AusPAR describes the application by the sponsor to register Ryzodeg 70/30 FlexTouch and Ryzodeg 70/30 Penfill containing </w:t>
      </w:r>
      <w:r w:rsidR="00605D63" w:rsidRPr="00113BDB">
        <w:t xml:space="preserve">70% </w:t>
      </w:r>
      <w:r w:rsidRPr="00113BDB">
        <w:t xml:space="preserve">insulin degludec (rys) and </w:t>
      </w:r>
      <w:r w:rsidR="00605D63" w:rsidRPr="00113BDB">
        <w:t>30% </w:t>
      </w:r>
      <w:r w:rsidRPr="00113BDB">
        <w:t xml:space="preserve">insulin aspart </w:t>
      </w:r>
      <w:r w:rsidR="00605D63" w:rsidRPr="00113BDB">
        <w:t>(rys)</w:t>
      </w:r>
      <w:r w:rsidRPr="00113BDB">
        <w:t xml:space="preserve"> solution for injection in the proposed dosage forms and strengths shown in Table 1 (below) for the following indication:</w:t>
      </w:r>
    </w:p>
    <w:p w14:paraId="15D08AD8" w14:textId="31387B14" w:rsidR="00BA6E65" w:rsidRPr="00113BDB" w:rsidRDefault="00BA6E65" w:rsidP="00BA6E65">
      <w:pPr>
        <w:ind w:left="907"/>
        <w:rPr>
          <w:i/>
          <w:iCs/>
        </w:rPr>
      </w:pPr>
      <w:r w:rsidRPr="00113BDB">
        <w:rPr>
          <w:i/>
          <w:iCs/>
        </w:rPr>
        <w:t>To improve glycaemic control in adult patients with diabetes mellitus requiring basal and prandial insulin.</w:t>
      </w:r>
      <w:bookmarkStart w:id="15" w:name="_Toc479321680"/>
    </w:p>
    <w:p w14:paraId="5FB68584" w14:textId="5ED68B40" w:rsidR="00825A1E" w:rsidRPr="00113BDB" w:rsidRDefault="00825A1E" w:rsidP="00825A1E">
      <w:pPr>
        <w:pStyle w:val="Tabletitle0"/>
      </w:pPr>
      <w:r w:rsidRPr="00113BDB">
        <w:rPr>
          <w:lang w:eastAsia="ja-JP"/>
        </w:rPr>
        <w:lastRenderedPageBreak/>
        <w:t>Table 1</w:t>
      </w:r>
      <w:r w:rsidR="00396F5E">
        <w:rPr>
          <w:lang w:eastAsia="ja-JP"/>
        </w:rPr>
        <w:t>:</w:t>
      </w:r>
      <w:r w:rsidRPr="00113BDB">
        <w:rPr>
          <w:lang w:eastAsia="ja-JP"/>
        </w:rPr>
        <w:t xml:space="preserve"> Proposed dosage forms/strengths</w:t>
      </w:r>
    </w:p>
    <w:tbl>
      <w:tblPr>
        <w:tblStyle w:val="TableTGAblue"/>
        <w:tblW w:w="9025" w:type="dxa"/>
        <w:tblLook w:val="04A0" w:firstRow="1" w:lastRow="0" w:firstColumn="1" w:lastColumn="0" w:noHBand="0" w:noVBand="1"/>
        <w:tblDescription w:val="Table 1: Proposed dosage forms/strengths"/>
      </w:tblPr>
      <w:tblGrid>
        <w:gridCol w:w="2407"/>
        <w:gridCol w:w="2298"/>
        <w:gridCol w:w="4320"/>
      </w:tblGrid>
      <w:tr w:rsidR="00825A1E" w:rsidRPr="00113BDB" w14:paraId="154AE2C0" w14:textId="77777777" w:rsidTr="009A60CC">
        <w:trPr>
          <w:cnfStyle w:val="100000000000" w:firstRow="1" w:lastRow="0" w:firstColumn="0" w:lastColumn="0" w:oddVBand="0" w:evenVBand="0" w:oddHBand="0" w:evenHBand="0" w:firstRowFirstColumn="0" w:firstRowLastColumn="0" w:lastRowFirstColumn="0" w:lastRowLastColumn="0"/>
        </w:trPr>
        <w:tc>
          <w:tcPr>
            <w:tcW w:w="2407" w:type="dxa"/>
          </w:tcPr>
          <w:p w14:paraId="782D10C3" w14:textId="77777777" w:rsidR="00825A1E" w:rsidRPr="00113BDB" w:rsidRDefault="00825A1E" w:rsidP="009A60CC">
            <w:pPr>
              <w:rPr>
                <w:szCs w:val="22"/>
                <w:lang w:eastAsia="ja-JP"/>
              </w:rPr>
            </w:pPr>
            <w:r w:rsidRPr="00113BDB">
              <w:rPr>
                <w:szCs w:val="22"/>
                <w:lang w:eastAsia="ja-JP"/>
              </w:rPr>
              <w:t>Active ingredients</w:t>
            </w:r>
          </w:p>
        </w:tc>
        <w:tc>
          <w:tcPr>
            <w:tcW w:w="2298" w:type="dxa"/>
          </w:tcPr>
          <w:p w14:paraId="73E8F3AF" w14:textId="77777777" w:rsidR="00825A1E" w:rsidRPr="00113BDB" w:rsidRDefault="00825A1E" w:rsidP="009A60CC">
            <w:pPr>
              <w:rPr>
                <w:szCs w:val="22"/>
                <w:lang w:eastAsia="ja-JP"/>
              </w:rPr>
            </w:pPr>
            <w:r w:rsidRPr="00113BDB">
              <w:rPr>
                <w:szCs w:val="22"/>
                <w:lang w:eastAsia="ja-JP"/>
              </w:rPr>
              <w:t>Trade name</w:t>
            </w:r>
          </w:p>
        </w:tc>
        <w:tc>
          <w:tcPr>
            <w:tcW w:w="4320" w:type="dxa"/>
          </w:tcPr>
          <w:p w14:paraId="4AD98187" w14:textId="77777777" w:rsidR="00825A1E" w:rsidRPr="00113BDB" w:rsidRDefault="00825A1E" w:rsidP="009A60CC">
            <w:pPr>
              <w:rPr>
                <w:szCs w:val="22"/>
                <w:lang w:eastAsia="ja-JP"/>
              </w:rPr>
            </w:pPr>
            <w:r w:rsidRPr="00113BDB">
              <w:rPr>
                <w:szCs w:val="22"/>
                <w:lang w:eastAsia="ja-JP"/>
              </w:rPr>
              <w:t>Dosage forms/strengths</w:t>
            </w:r>
          </w:p>
        </w:tc>
      </w:tr>
      <w:tr w:rsidR="00825A1E" w:rsidRPr="00113BDB" w14:paraId="34917A06" w14:textId="77777777" w:rsidTr="009A60CC">
        <w:tc>
          <w:tcPr>
            <w:tcW w:w="2407" w:type="dxa"/>
            <w:vMerge w:val="restart"/>
          </w:tcPr>
          <w:p w14:paraId="74E996E5" w14:textId="77777777" w:rsidR="00825A1E" w:rsidRPr="00113BDB" w:rsidRDefault="00825A1E" w:rsidP="009A60CC">
            <w:pPr>
              <w:rPr>
                <w:szCs w:val="22"/>
                <w:lang w:eastAsia="ja-JP"/>
              </w:rPr>
            </w:pPr>
            <w:r w:rsidRPr="00113BDB">
              <w:rPr>
                <w:szCs w:val="22"/>
                <w:lang w:eastAsia="ja-JP"/>
              </w:rPr>
              <w:t>70% Insulin degludec (rys)</w:t>
            </w:r>
          </w:p>
          <w:p w14:paraId="404EC368" w14:textId="77777777" w:rsidR="00825A1E" w:rsidRPr="00113BDB" w:rsidRDefault="00825A1E" w:rsidP="009A60CC">
            <w:pPr>
              <w:rPr>
                <w:szCs w:val="22"/>
                <w:lang w:eastAsia="ja-JP"/>
              </w:rPr>
            </w:pPr>
            <w:r w:rsidRPr="00113BDB">
              <w:rPr>
                <w:szCs w:val="22"/>
                <w:lang w:eastAsia="ja-JP"/>
              </w:rPr>
              <w:t>30% Insulin aspart (rys)</w:t>
            </w:r>
          </w:p>
        </w:tc>
        <w:tc>
          <w:tcPr>
            <w:tcW w:w="2298" w:type="dxa"/>
          </w:tcPr>
          <w:p w14:paraId="28AB3C22" w14:textId="77777777" w:rsidR="00825A1E" w:rsidRPr="00113BDB" w:rsidRDefault="00825A1E" w:rsidP="009A60CC">
            <w:r w:rsidRPr="00113BDB">
              <w:t>Ryzodeg 70/30 FlexTouch</w:t>
            </w:r>
          </w:p>
        </w:tc>
        <w:tc>
          <w:tcPr>
            <w:tcW w:w="4320" w:type="dxa"/>
          </w:tcPr>
          <w:p w14:paraId="4C2EA58A" w14:textId="77777777" w:rsidR="00825A1E" w:rsidRPr="00113BDB" w:rsidRDefault="00825A1E" w:rsidP="009A60CC">
            <w:pPr>
              <w:rPr>
                <w:szCs w:val="22"/>
                <w:lang w:eastAsia="ja-JP"/>
              </w:rPr>
            </w:pPr>
            <w:r w:rsidRPr="00113BDB">
              <w:rPr>
                <w:szCs w:val="22"/>
                <w:lang w:eastAsia="ja-JP"/>
              </w:rPr>
              <w:t>FlexTouch 100 U/mL, 3 mL solution for injection in prefilled pen</w:t>
            </w:r>
          </w:p>
        </w:tc>
      </w:tr>
      <w:tr w:rsidR="00825A1E" w:rsidRPr="00113BDB" w14:paraId="63300826" w14:textId="77777777" w:rsidTr="009A60CC">
        <w:tc>
          <w:tcPr>
            <w:tcW w:w="2407" w:type="dxa"/>
            <w:vMerge/>
          </w:tcPr>
          <w:p w14:paraId="4C02F851" w14:textId="77777777" w:rsidR="00825A1E" w:rsidRPr="00113BDB" w:rsidRDefault="00825A1E" w:rsidP="009A60CC">
            <w:pPr>
              <w:rPr>
                <w:szCs w:val="22"/>
                <w:lang w:eastAsia="ja-JP"/>
              </w:rPr>
            </w:pPr>
          </w:p>
        </w:tc>
        <w:tc>
          <w:tcPr>
            <w:tcW w:w="2298" w:type="dxa"/>
          </w:tcPr>
          <w:p w14:paraId="28FD27D9" w14:textId="77777777" w:rsidR="00825A1E" w:rsidRPr="00113BDB" w:rsidRDefault="00825A1E" w:rsidP="009A60CC">
            <w:pPr>
              <w:rPr>
                <w:szCs w:val="22"/>
                <w:lang w:eastAsia="ja-JP"/>
              </w:rPr>
            </w:pPr>
            <w:r w:rsidRPr="00113BDB">
              <w:rPr>
                <w:szCs w:val="22"/>
                <w:lang w:eastAsia="ja-JP"/>
              </w:rPr>
              <w:t>Ryzodeg 70/30 Penfill</w:t>
            </w:r>
          </w:p>
        </w:tc>
        <w:tc>
          <w:tcPr>
            <w:tcW w:w="4320" w:type="dxa"/>
          </w:tcPr>
          <w:p w14:paraId="12EE834E" w14:textId="77777777" w:rsidR="00825A1E" w:rsidRPr="00113BDB" w:rsidRDefault="00825A1E" w:rsidP="009A60CC">
            <w:pPr>
              <w:rPr>
                <w:szCs w:val="22"/>
                <w:lang w:eastAsia="ja-JP"/>
              </w:rPr>
            </w:pPr>
            <w:r w:rsidRPr="00113BDB">
              <w:rPr>
                <w:szCs w:val="22"/>
                <w:lang w:eastAsia="ja-JP"/>
              </w:rPr>
              <w:t>Penfill 100 U/mL, 3 mL solution for injection in cartridge</w:t>
            </w:r>
          </w:p>
        </w:tc>
      </w:tr>
    </w:tbl>
    <w:p w14:paraId="67E9A550" w14:textId="77777777" w:rsidR="00825A1E" w:rsidRPr="009934FA" w:rsidRDefault="00825A1E" w:rsidP="00825A1E">
      <w:pPr>
        <w:pStyle w:val="Heading4"/>
      </w:pPr>
      <w:r w:rsidRPr="009934FA">
        <w:t>Diabetes mellitus</w:t>
      </w:r>
    </w:p>
    <w:p w14:paraId="0977DFCF" w14:textId="77777777" w:rsidR="00825A1E" w:rsidRPr="009934FA" w:rsidRDefault="00825A1E" w:rsidP="00825A1E">
      <w:pPr>
        <w:rPr>
          <w:lang w:eastAsia="ja-JP"/>
        </w:rPr>
      </w:pPr>
      <w:r w:rsidRPr="009934FA">
        <w:rPr>
          <w:lang w:eastAsia="ja-JP"/>
        </w:rPr>
        <w:t>Diabetes mellitus is associated with chronic hyperglycaemia due to either inadequate insulin production, insulin resistance or a combination of the two. Long term ocular, peripheral nervous system, renal and arterial damage can result.</w:t>
      </w:r>
    </w:p>
    <w:p w14:paraId="56D1B155" w14:textId="77777777" w:rsidR="00825A1E" w:rsidRPr="009934FA" w:rsidRDefault="00825A1E" w:rsidP="00825A1E">
      <w:pPr>
        <w:rPr>
          <w:lang w:eastAsia="ja-JP"/>
        </w:rPr>
      </w:pPr>
      <w:r w:rsidRPr="009934FA">
        <w:rPr>
          <w:lang w:eastAsia="ja-JP"/>
        </w:rPr>
        <w:t>There are predominantly 2 types of diabetes:</w:t>
      </w:r>
    </w:p>
    <w:p w14:paraId="458CFF5E" w14:textId="77777777" w:rsidR="00825A1E" w:rsidRPr="009934FA" w:rsidRDefault="00825A1E" w:rsidP="00825A1E">
      <w:pPr>
        <w:pStyle w:val="ListBullet"/>
        <w:numPr>
          <w:ilvl w:val="0"/>
          <w:numId w:val="3"/>
        </w:numPr>
        <w:rPr>
          <w:lang w:eastAsia="ja-JP"/>
        </w:rPr>
      </w:pPr>
      <w:r w:rsidRPr="009934FA">
        <w:rPr>
          <w:lang w:eastAsia="ja-JP"/>
        </w:rPr>
        <w:t>Type 1: immune mediated pancreatic cell destruction results in insulin deficiency. Type 1 diabetes mellitus (T1DM) most commonly develops in childhood.</w:t>
      </w:r>
    </w:p>
    <w:p w14:paraId="4D2D8BCB" w14:textId="77777777" w:rsidR="00825A1E" w:rsidRPr="009934FA" w:rsidRDefault="00825A1E" w:rsidP="00825A1E">
      <w:pPr>
        <w:pStyle w:val="ListBullet"/>
        <w:numPr>
          <w:ilvl w:val="0"/>
          <w:numId w:val="3"/>
        </w:numPr>
        <w:rPr>
          <w:lang w:eastAsia="ja-JP"/>
        </w:rPr>
      </w:pPr>
      <w:r w:rsidRPr="009934FA">
        <w:rPr>
          <w:lang w:eastAsia="ja-JP"/>
        </w:rPr>
        <w:t>Type 2: a combination of gradual insulin resistance and failure of the pancreas to produce sufficient insulin. Type 2 diabetes mellitus (T2DM) most commonly develops in adulthood.</w:t>
      </w:r>
    </w:p>
    <w:p w14:paraId="6758D1FF" w14:textId="0D7F9F3E" w:rsidR="00825A1E" w:rsidRPr="009934FA" w:rsidRDefault="00825A1E" w:rsidP="00825A1E">
      <w:pPr>
        <w:rPr>
          <w:lang w:eastAsia="ja-JP"/>
        </w:rPr>
      </w:pPr>
      <w:r w:rsidRPr="009934FA">
        <w:rPr>
          <w:lang w:eastAsia="ja-JP"/>
        </w:rPr>
        <w:t xml:space="preserve">In Australia, the estimated prevalence of adults with diabetes (both </w:t>
      </w:r>
      <w:r w:rsidR="00A85844">
        <w:rPr>
          <w:lang w:eastAsia="ja-JP"/>
        </w:rPr>
        <w:t>T1DM</w:t>
      </w:r>
      <w:r w:rsidRPr="009934FA">
        <w:rPr>
          <w:lang w:eastAsia="ja-JP"/>
        </w:rPr>
        <w:t xml:space="preserve"> and </w:t>
      </w:r>
      <w:r w:rsidR="00A85844">
        <w:rPr>
          <w:lang w:eastAsia="ja-JP"/>
        </w:rPr>
        <w:t>T2DM</w:t>
      </w:r>
      <w:r w:rsidRPr="009934FA">
        <w:rPr>
          <w:lang w:eastAsia="ja-JP"/>
        </w:rPr>
        <w:t>) in 2011 to 2012 was 5.4% and in 2013, over 6000 children (aged 0 to 14 years) were estimated to have T1DM.</w:t>
      </w:r>
      <w:r w:rsidRPr="009934FA">
        <w:rPr>
          <w:vertAlign w:val="superscript"/>
          <w:lang w:eastAsia="ja-JP"/>
        </w:rPr>
        <w:footnoteReference w:id="1"/>
      </w:r>
      <w:r w:rsidRPr="009934FA">
        <w:rPr>
          <w:lang w:eastAsia="ja-JP"/>
        </w:rPr>
        <w:t xml:space="preserve"> T2DM is by far the most common typ</w:t>
      </w:r>
      <w:r>
        <w:rPr>
          <w:lang w:eastAsia="ja-JP"/>
        </w:rPr>
        <w:t>e of diabetes; an estimated 849,</w:t>
      </w:r>
      <w:r w:rsidRPr="009934FA">
        <w:rPr>
          <w:lang w:eastAsia="ja-JP"/>
        </w:rPr>
        <w:t xml:space="preserve">000 adults (4.7%) reported that they have T2DM in 2011 to 2012, although this is thought to be an underestimate. It is estimated that in 2011, 36,263 Australians started using insulin to treat T2DM (164 people per 100,000 population) and the incidence of insulin use for </w:t>
      </w:r>
      <w:r w:rsidR="00A85844">
        <w:rPr>
          <w:lang w:eastAsia="ja-JP"/>
        </w:rPr>
        <w:t>T2DM</w:t>
      </w:r>
      <w:r w:rsidRPr="009934FA">
        <w:rPr>
          <w:lang w:eastAsia="ja-JP"/>
        </w:rPr>
        <w:t xml:space="preserve"> increases with age; it is estimated that there is a 5</w:t>
      </w:r>
      <w:r w:rsidR="00A85844">
        <w:rPr>
          <w:lang w:eastAsia="ja-JP"/>
        </w:rPr>
        <w:t xml:space="preserve"> </w:t>
      </w:r>
      <w:r w:rsidRPr="009934FA">
        <w:rPr>
          <w:lang w:eastAsia="ja-JP"/>
        </w:rPr>
        <w:t>fold increase in the use of insulin between the ages of 40 to 44 and 70 to 74 years.</w:t>
      </w:r>
      <w:r w:rsidRPr="009934FA">
        <w:rPr>
          <w:vertAlign w:val="superscript"/>
          <w:lang w:eastAsia="ja-JP"/>
        </w:rPr>
        <w:footnoteReference w:id="2"/>
      </w:r>
    </w:p>
    <w:p w14:paraId="557D0904" w14:textId="77777777" w:rsidR="00825A1E" w:rsidRPr="009934FA" w:rsidRDefault="00825A1E" w:rsidP="00825A1E">
      <w:pPr>
        <w:pStyle w:val="Heading4"/>
        <w:numPr>
          <w:ilvl w:val="2"/>
          <w:numId w:val="0"/>
        </w:numPr>
        <w:tabs>
          <w:tab w:val="num" w:pos="1134"/>
        </w:tabs>
        <w:adjustRightInd w:val="0"/>
        <w:snapToGrid w:val="0"/>
        <w:spacing w:before="120" w:after="120"/>
        <w:ind w:left="1134" w:hanging="964"/>
      </w:pPr>
      <w:bookmarkStart w:id="16" w:name="_Toc479321617"/>
      <w:r w:rsidRPr="009934FA">
        <w:t>Current treatment options</w:t>
      </w:r>
      <w:bookmarkEnd w:id="16"/>
    </w:p>
    <w:p w14:paraId="38CFAF14" w14:textId="77777777" w:rsidR="00825A1E" w:rsidRPr="009934FA" w:rsidRDefault="00825A1E" w:rsidP="00825A1E">
      <w:pPr>
        <w:pStyle w:val="Heading5"/>
        <w:numPr>
          <w:ilvl w:val="3"/>
          <w:numId w:val="0"/>
        </w:numPr>
        <w:tabs>
          <w:tab w:val="num" w:pos="1418"/>
        </w:tabs>
        <w:ind w:left="1304" w:hanging="1077"/>
        <w:rPr>
          <w:lang w:eastAsia="ja-JP"/>
        </w:rPr>
      </w:pPr>
      <w:r w:rsidRPr="009934FA">
        <w:rPr>
          <w:lang w:eastAsia="ja-JP"/>
        </w:rPr>
        <w:t>Type 1 diabetes mellitus (T1DM)</w:t>
      </w:r>
    </w:p>
    <w:p w14:paraId="127C56D4" w14:textId="77777777" w:rsidR="00825A1E" w:rsidRPr="009934FA" w:rsidRDefault="00825A1E" w:rsidP="00825A1E">
      <w:pPr>
        <w:keepNext/>
        <w:rPr>
          <w:lang w:eastAsia="ja-JP"/>
        </w:rPr>
      </w:pPr>
      <w:r w:rsidRPr="009934FA">
        <w:rPr>
          <w:lang w:eastAsia="ja-JP"/>
        </w:rPr>
        <w:t>Insulin is the cornerstone of treatment for T1DM.</w:t>
      </w:r>
      <w:bookmarkStart w:id="17" w:name="_Ref509732797"/>
      <w:r w:rsidRPr="009934FA">
        <w:rPr>
          <w:bCs/>
          <w:vertAlign w:val="superscript"/>
        </w:rPr>
        <w:footnoteReference w:id="3"/>
      </w:r>
      <w:bookmarkEnd w:id="17"/>
      <w:r>
        <w:rPr>
          <w:lang w:eastAsia="ja-JP"/>
        </w:rPr>
        <w:t xml:space="preserve"> </w:t>
      </w:r>
      <w:r w:rsidRPr="009934FA">
        <w:rPr>
          <w:lang w:eastAsia="ja-JP"/>
        </w:rPr>
        <w:t>Insulin needs may be considered in terms of:</w:t>
      </w:r>
    </w:p>
    <w:p w14:paraId="471BBE35" w14:textId="77777777" w:rsidR="00825A1E" w:rsidRPr="009934FA" w:rsidRDefault="00825A1E" w:rsidP="00825A1E">
      <w:pPr>
        <w:pStyle w:val="ListBullet"/>
        <w:numPr>
          <w:ilvl w:val="0"/>
          <w:numId w:val="3"/>
        </w:numPr>
        <w:rPr>
          <w:lang w:eastAsia="ja-JP"/>
        </w:rPr>
      </w:pPr>
      <w:r w:rsidRPr="009934FA">
        <w:rPr>
          <w:lang w:eastAsia="ja-JP"/>
        </w:rPr>
        <w:t>Basal insulin, which is the background requirement of insulin and is independent of carbohydrate needs. This is usually administered via long or intermediate acting insulin once or twice a day; and</w:t>
      </w:r>
    </w:p>
    <w:p w14:paraId="0E5CE421" w14:textId="77777777" w:rsidR="00825A1E" w:rsidRPr="009934FA" w:rsidRDefault="00825A1E" w:rsidP="00825A1E">
      <w:pPr>
        <w:pStyle w:val="ListBullet"/>
        <w:numPr>
          <w:ilvl w:val="0"/>
          <w:numId w:val="3"/>
        </w:numPr>
        <w:rPr>
          <w:lang w:eastAsia="ja-JP"/>
        </w:rPr>
      </w:pPr>
      <w:r w:rsidRPr="009934FA">
        <w:rPr>
          <w:lang w:eastAsia="ja-JP"/>
        </w:rPr>
        <w:t>Bolus insulin, which includes prandial insulin to cover oral carbohydrate intake and correction doses which are used to manage very high blood glucose levels. This is usually administered with short or very short acting insulin formations.</w:t>
      </w:r>
    </w:p>
    <w:p w14:paraId="1CA8768B" w14:textId="77777777" w:rsidR="00825A1E" w:rsidRPr="009934FA" w:rsidRDefault="00825A1E" w:rsidP="00825A1E">
      <w:pPr>
        <w:pStyle w:val="Heading5"/>
        <w:numPr>
          <w:ilvl w:val="3"/>
          <w:numId w:val="0"/>
        </w:numPr>
        <w:tabs>
          <w:tab w:val="num" w:pos="1418"/>
        </w:tabs>
        <w:ind w:left="1304" w:hanging="1077"/>
        <w:rPr>
          <w:lang w:eastAsia="ja-JP"/>
        </w:rPr>
      </w:pPr>
      <w:r w:rsidRPr="009934FA">
        <w:rPr>
          <w:lang w:eastAsia="ja-JP"/>
        </w:rPr>
        <w:t>Type 2 diabetes mellitus (T2DM)</w:t>
      </w:r>
    </w:p>
    <w:p w14:paraId="05D880F3" w14:textId="77777777" w:rsidR="00825A1E" w:rsidRPr="009934FA" w:rsidRDefault="00825A1E" w:rsidP="00825A1E">
      <w:pPr>
        <w:rPr>
          <w:lang w:eastAsia="ja-JP"/>
        </w:rPr>
      </w:pPr>
      <w:r w:rsidRPr="009934FA">
        <w:rPr>
          <w:lang w:eastAsia="ja-JP"/>
        </w:rPr>
        <w:t>Initial treatment usually starts with addressing lifestyle factors. As per current Therapeutic Guidelines, if glycaemic targets are not met with addressing lifestyle factors, metformin is recommended as first line therapy.</w:t>
      </w:r>
      <w:r w:rsidRPr="009934FA">
        <w:rPr>
          <w:vertAlign w:val="superscript"/>
          <w:lang w:eastAsia="ja-JP"/>
        </w:rPr>
        <w:fldChar w:fldCharType="begin"/>
      </w:r>
      <w:r w:rsidRPr="009934FA">
        <w:rPr>
          <w:vertAlign w:val="superscript"/>
          <w:lang w:eastAsia="ja-JP"/>
        </w:rPr>
        <w:instrText xml:space="preserve"> NOTEREF _Ref509732797 \h  \* MERGEFORMAT </w:instrText>
      </w:r>
      <w:r w:rsidRPr="009934FA">
        <w:rPr>
          <w:vertAlign w:val="superscript"/>
          <w:lang w:eastAsia="ja-JP"/>
        </w:rPr>
      </w:r>
      <w:r w:rsidRPr="009934FA">
        <w:rPr>
          <w:vertAlign w:val="superscript"/>
          <w:lang w:eastAsia="ja-JP"/>
        </w:rPr>
        <w:fldChar w:fldCharType="separate"/>
      </w:r>
      <w:r w:rsidR="00EA37BD">
        <w:rPr>
          <w:vertAlign w:val="superscript"/>
          <w:lang w:eastAsia="ja-JP"/>
        </w:rPr>
        <w:t>3</w:t>
      </w:r>
      <w:r w:rsidRPr="009934FA">
        <w:rPr>
          <w:vertAlign w:val="superscript"/>
          <w:lang w:eastAsia="ja-JP"/>
        </w:rPr>
        <w:fldChar w:fldCharType="end"/>
      </w:r>
      <w:r w:rsidRPr="009934FA">
        <w:rPr>
          <w:lang w:eastAsia="ja-JP"/>
        </w:rPr>
        <w:t xml:space="preserve"> If glycaemic targets are still not met, current options include a sulfonylurea, dipeptidyl peptidase-4 (DPP-4) inhibitor, </w:t>
      </w:r>
      <w:r w:rsidRPr="009934FA">
        <w:rPr>
          <w:lang w:eastAsia="ja-JP"/>
        </w:rPr>
        <w:lastRenderedPageBreak/>
        <w:t xml:space="preserve">glucagon like peptide-1 (GLP-1) agonist, </w:t>
      </w:r>
      <w:r>
        <w:rPr>
          <w:bCs/>
          <w:lang w:eastAsia="ja-JP"/>
        </w:rPr>
        <w:t>sodium/glucose cotransporter-</w:t>
      </w:r>
      <w:r w:rsidRPr="009934FA">
        <w:rPr>
          <w:bCs/>
          <w:lang w:eastAsia="ja-JP"/>
        </w:rPr>
        <w:t>2</w:t>
      </w:r>
      <w:r w:rsidRPr="009934FA">
        <w:rPr>
          <w:lang w:eastAsia="ja-JP"/>
        </w:rPr>
        <w:t xml:space="preserve"> (SGLT-2) inhibitor, thiazolidinedione, acarbose or insulin. For patients with T2DM, insulin therapy is generally started as once daily basal insulin</w:t>
      </w:r>
      <w:r>
        <w:rPr>
          <w:lang w:eastAsia="ja-JP"/>
        </w:rPr>
        <w:t xml:space="preserve"> treatment</w:t>
      </w:r>
      <w:r w:rsidRPr="009934FA">
        <w:rPr>
          <w:lang w:eastAsia="ja-JP"/>
        </w:rPr>
        <w:t>; however some patients may require more intensive treatment. Insulin is usually started in combination to an oral hypoglycaemic therapy.</w:t>
      </w:r>
    </w:p>
    <w:p w14:paraId="5DD7A492" w14:textId="77777777" w:rsidR="00825A1E" w:rsidRPr="009934FA" w:rsidRDefault="00825A1E" w:rsidP="00825A1E">
      <w:pPr>
        <w:rPr>
          <w:lang w:eastAsia="ja-JP"/>
        </w:rPr>
      </w:pPr>
      <w:r w:rsidRPr="009934FA">
        <w:rPr>
          <w:lang w:eastAsia="ja-JP"/>
        </w:rPr>
        <w:t>The following insulin formulations are available in Australia, as shown in Table 2.</w:t>
      </w:r>
    </w:p>
    <w:p w14:paraId="34D15B04" w14:textId="069C0B78" w:rsidR="00825A1E" w:rsidRPr="009934FA" w:rsidRDefault="00825A1E" w:rsidP="00825A1E">
      <w:pPr>
        <w:pStyle w:val="Tabletitle0"/>
        <w:rPr>
          <w:lang w:eastAsia="ja-JP"/>
        </w:rPr>
      </w:pPr>
      <w:bookmarkStart w:id="18" w:name="_Toc479321681"/>
      <w:r w:rsidRPr="009934FA">
        <w:rPr>
          <w:lang w:eastAsia="ja-JP"/>
        </w:rPr>
        <w:t>Table 2</w:t>
      </w:r>
      <w:r w:rsidR="00A85844">
        <w:rPr>
          <w:lang w:eastAsia="ja-JP"/>
        </w:rPr>
        <w:t>:</w:t>
      </w:r>
      <w:r w:rsidRPr="009934FA">
        <w:rPr>
          <w:lang w:eastAsia="ja-JP"/>
        </w:rPr>
        <w:t xml:space="preserve"> Australian Register of Therapeutic Goods (ARTG) registered basal insulin formulations in Australia</w:t>
      </w:r>
      <w:bookmarkEnd w:id="18"/>
    </w:p>
    <w:tbl>
      <w:tblPr>
        <w:tblStyle w:val="TableTGAblue"/>
        <w:tblW w:w="9115" w:type="dxa"/>
        <w:tblLook w:val="04A0" w:firstRow="1" w:lastRow="0" w:firstColumn="1" w:lastColumn="0" w:noHBand="0" w:noVBand="1"/>
        <w:tblDescription w:val="Table 2: Australian Register of Therapeutic Goods (ARTG) registered basal insulin formulations in Australia"/>
      </w:tblPr>
      <w:tblGrid>
        <w:gridCol w:w="1062"/>
        <w:gridCol w:w="2407"/>
        <w:gridCol w:w="2586"/>
        <w:gridCol w:w="3060"/>
      </w:tblGrid>
      <w:tr w:rsidR="00825A1E" w:rsidRPr="009934FA" w14:paraId="07B38E27" w14:textId="77777777" w:rsidTr="009A60CC">
        <w:trPr>
          <w:cnfStyle w:val="100000000000" w:firstRow="1" w:lastRow="0" w:firstColumn="0" w:lastColumn="0" w:oddVBand="0" w:evenVBand="0" w:oddHBand="0" w:evenHBand="0" w:firstRowFirstColumn="0" w:firstRowLastColumn="0" w:lastRowFirstColumn="0" w:lastRowLastColumn="0"/>
          <w:trHeight w:val="811"/>
        </w:trPr>
        <w:tc>
          <w:tcPr>
            <w:tcW w:w="1062" w:type="dxa"/>
          </w:tcPr>
          <w:p w14:paraId="5E9D8A75" w14:textId="77777777" w:rsidR="00825A1E" w:rsidRPr="009934FA" w:rsidRDefault="00825A1E" w:rsidP="009A60CC">
            <w:pPr>
              <w:rPr>
                <w:szCs w:val="22"/>
                <w:lang w:eastAsia="ja-JP"/>
              </w:rPr>
            </w:pPr>
            <w:r w:rsidRPr="009934FA">
              <w:rPr>
                <w:szCs w:val="22"/>
                <w:lang w:eastAsia="ja-JP"/>
              </w:rPr>
              <w:t>Type</w:t>
            </w:r>
          </w:p>
        </w:tc>
        <w:tc>
          <w:tcPr>
            <w:tcW w:w="2407" w:type="dxa"/>
          </w:tcPr>
          <w:p w14:paraId="5CD59AD2" w14:textId="77777777" w:rsidR="00825A1E" w:rsidRPr="009934FA" w:rsidRDefault="00825A1E" w:rsidP="009A60CC">
            <w:pPr>
              <w:ind w:left="0"/>
              <w:rPr>
                <w:szCs w:val="22"/>
                <w:lang w:eastAsia="ja-JP"/>
              </w:rPr>
            </w:pPr>
            <w:r w:rsidRPr="009934FA">
              <w:rPr>
                <w:szCs w:val="22"/>
                <w:lang w:eastAsia="ja-JP"/>
              </w:rPr>
              <w:t>(Relative) Duration of action</w:t>
            </w:r>
          </w:p>
        </w:tc>
        <w:tc>
          <w:tcPr>
            <w:tcW w:w="2586" w:type="dxa"/>
          </w:tcPr>
          <w:p w14:paraId="09A14ED9" w14:textId="77777777" w:rsidR="00825A1E" w:rsidRPr="009934FA" w:rsidRDefault="00825A1E" w:rsidP="009A60CC">
            <w:pPr>
              <w:rPr>
                <w:szCs w:val="22"/>
                <w:lang w:eastAsia="ja-JP"/>
              </w:rPr>
            </w:pPr>
            <w:r w:rsidRPr="009934FA">
              <w:rPr>
                <w:szCs w:val="22"/>
                <w:lang w:eastAsia="ja-JP"/>
              </w:rPr>
              <w:t>Active ingredient</w:t>
            </w:r>
          </w:p>
        </w:tc>
        <w:tc>
          <w:tcPr>
            <w:tcW w:w="3060" w:type="dxa"/>
          </w:tcPr>
          <w:p w14:paraId="0C5A852C" w14:textId="77777777" w:rsidR="00825A1E" w:rsidRPr="009934FA" w:rsidRDefault="00825A1E" w:rsidP="009A60CC">
            <w:pPr>
              <w:rPr>
                <w:szCs w:val="22"/>
                <w:lang w:eastAsia="ja-JP"/>
              </w:rPr>
            </w:pPr>
            <w:r w:rsidRPr="009934FA">
              <w:rPr>
                <w:szCs w:val="22"/>
                <w:lang w:eastAsia="ja-JP"/>
              </w:rPr>
              <w:t>Brand name(s)</w:t>
            </w:r>
          </w:p>
        </w:tc>
      </w:tr>
      <w:tr w:rsidR="00825A1E" w:rsidRPr="009934FA" w14:paraId="2F728B1E" w14:textId="77777777" w:rsidTr="009A60CC">
        <w:tc>
          <w:tcPr>
            <w:tcW w:w="1062" w:type="dxa"/>
            <w:vMerge w:val="restart"/>
          </w:tcPr>
          <w:p w14:paraId="0E61253E" w14:textId="77777777" w:rsidR="00825A1E" w:rsidRPr="009934FA" w:rsidRDefault="00825A1E" w:rsidP="009A60CC">
            <w:pPr>
              <w:rPr>
                <w:szCs w:val="22"/>
                <w:lang w:eastAsia="ja-JP"/>
              </w:rPr>
            </w:pPr>
            <w:r w:rsidRPr="009934FA">
              <w:rPr>
                <w:szCs w:val="22"/>
                <w:lang w:eastAsia="ja-JP"/>
              </w:rPr>
              <w:t>Basal</w:t>
            </w:r>
          </w:p>
        </w:tc>
        <w:tc>
          <w:tcPr>
            <w:tcW w:w="2407" w:type="dxa"/>
            <w:vMerge w:val="restart"/>
          </w:tcPr>
          <w:p w14:paraId="3FDE8268" w14:textId="77777777" w:rsidR="00825A1E" w:rsidRPr="009934FA" w:rsidRDefault="00825A1E" w:rsidP="009A60CC">
            <w:pPr>
              <w:rPr>
                <w:szCs w:val="22"/>
                <w:lang w:eastAsia="ja-JP"/>
              </w:rPr>
            </w:pPr>
            <w:r w:rsidRPr="009934FA">
              <w:rPr>
                <w:szCs w:val="22"/>
                <w:lang w:eastAsia="ja-JP"/>
              </w:rPr>
              <w:t>Long acting</w:t>
            </w:r>
          </w:p>
        </w:tc>
        <w:tc>
          <w:tcPr>
            <w:tcW w:w="2586" w:type="dxa"/>
          </w:tcPr>
          <w:p w14:paraId="563DA32D" w14:textId="77777777" w:rsidR="00825A1E" w:rsidRPr="009934FA" w:rsidRDefault="00825A1E" w:rsidP="009A60CC">
            <w:pPr>
              <w:rPr>
                <w:szCs w:val="22"/>
                <w:lang w:eastAsia="ja-JP"/>
              </w:rPr>
            </w:pPr>
            <w:r w:rsidRPr="009934FA">
              <w:rPr>
                <w:szCs w:val="22"/>
                <w:lang w:eastAsia="ja-JP"/>
              </w:rPr>
              <w:t>detemir</w:t>
            </w:r>
          </w:p>
        </w:tc>
        <w:tc>
          <w:tcPr>
            <w:tcW w:w="3060" w:type="dxa"/>
          </w:tcPr>
          <w:p w14:paraId="15A9D58F" w14:textId="77777777" w:rsidR="00825A1E" w:rsidRPr="009934FA" w:rsidRDefault="00825A1E" w:rsidP="009A60CC">
            <w:pPr>
              <w:rPr>
                <w:szCs w:val="22"/>
                <w:lang w:eastAsia="ja-JP"/>
              </w:rPr>
            </w:pPr>
            <w:r w:rsidRPr="009934FA">
              <w:rPr>
                <w:szCs w:val="22"/>
                <w:lang w:eastAsia="ja-JP"/>
              </w:rPr>
              <w:t>Levemir</w:t>
            </w:r>
          </w:p>
        </w:tc>
      </w:tr>
      <w:tr w:rsidR="00825A1E" w:rsidRPr="009934FA" w14:paraId="03931111" w14:textId="77777777" w:rsidTr="009A60CC">
        <w:tc>
          <w:tcPr>
            <w:tcW w:w="1062" w:type="dxa"/>
            <w:vMerge/>
          </w:tcPr>
          <w:p w14:paraId="584FD244" w14:textId="77777777" w:rsidR="00825A1E" w:rsidRPr="009934FA" w:rsidRDefault="00825A1E" w:rsidP="009A60CC">
            <w:pPr>
              <w:rPr>
                <w:szCs w:val="22"/>
                <w:lang w:eastAsia="ja-JP"/>
              </w:rPr>
            </w:pPr>
          </w:p>
        </w:tc>
        <w:tc>
          <w:tcPr>
            <w:tcW w:w="2407" w:type="dxa"/>
            <w:vMerge/>
          </w:tcPr>
          <w:p w14:paraId="094268C7" w14:textId="77777777" w:rsidR="00825A1E" w:rsidRPr="009934FA" w:rsidRDefault="00825A1E" w:rsidP="009A60CC">
            <w:pPr>
              <w:rPr>
                <w:szCs w:val="22"/>
                <w:lang w:eastAsia="ja-JP"/>
              </w:rPr>
            </w:pPr>
          </w:p>
        </w:tc>
        <w:tc>
          <w:tcPr>
            <w:tcW w:w="2586" w:type="dxa"/>
          </w:tcPr>
          <w:p w14:paraId="53BA4740" w14:textId="77777777" w:rsidR="00825A1E" w:rsidRPr="009934FA" w:rsidRDefault="00825A1E" w:rsidP="009A60CC">
            <w:pPr>
              <w:rPr>
                <w:szCs w:val="22"/>
                <w:lang w:eastAsia="ja-JP"/>
              </w:rPr>
            </w:pPr>
            <w:r w:rsidRPr="009934FA">
              <w:rPr>
                <w:szCs w:val="22"/>
                <w:lang w:eastAsia="ja-JP"/>
              </w:rPr>
              <w:t>glargine</w:t>
            </w:r>
          </w:p>
        </w:tc>
        <w:tc>
          <w:tcPr>
            <w:tcW w:w="3060" w:type="dxa"/>
          </w:tcPr>
          <w:p w14:paraId="2C4C3B7E" w14:textId="77777777" w:rsidR="00825A1E" w:rsidRPr="009934FA" w:rsidRDefault="00825A1E" w:rsidP="009A60CC">
            <w:pPr>
              <w:rPr>
                <w:szCs w:val="22"/>
                <w:lang w:eastAsia="ja-JP"/>
              </w:rPr>
            </w:pPr>
            <w:r w:rsidRPr="009934FA">
              <w:rPr>
                <w:szCs w:val="22"/>
                <w:lang w:eastAsia="ja-JP"/>
              </w:rPr>
              <w:t>Lantus, Toujeo, Optisulin</w:t>
            </w:r>
          </w:p>
        </w:tc>
      </w:tr>
      <w:tr w:rsidR="00825A1E" w:rsidRPr="009934FA" w14:paraId="23649542" w14:textId="77777777" w:rsidTr="009A60CC">
        <w:tc>
          <w:tcPr>
            <w:tcW w:w="1062" w:type="dxa"/>
            <w:vMerge/>
          </w:tcPr>
          <w:p w14:paraId="3C0266CF" w14:textId="77777777" w:rsidR="00825A1E" w:rsidRPr="009934FA" w:rsidRDefault="00825A1E" w:rsidP="009A60CC">
            <w:pPr>
              <w:rPr>
                <w:szCs w:val="22"/>
                <w:lang w:eastAsia="ja-JP"/>
              </w:rPr>
            </w:pPr>
          </w:p>
        </w:tc>
        <w:tc>
          <w:tcPr>
            <w:tcW w:w="2407" w:type="dxa"/>
          </w:tcPr>
          <w:p w14:paraId="432EDE6D" w14:textId="77777777" w:rsidR="00825A1E" w:rsidRPr="009934FA" w:rsidRDefault="00825A1E" w:rsidP="009A60CC">
            <w:pPr>
              <w:rPr>
                <w:szCs w:val="22"/>
                <w:lang w:eastAsia="ja-JP"/>
              </w:rPr>
            </w:pPr>
            <w:r w:rsidRPr="009934FA">
              <w:rPr>
                <w:szCs w:val="22"/>
                <w:lang w:eastAsia="ja-JP"/>
              </w:rPr>
              <w:t>Intermediate acting</w:t>
            </w:r>
          </w:p>
        </w:tc>
        <w:tc>
          <w:tcPr>
            <w:tcW w:w="2586" w:type="dxa"/>
          </w:tcPr>
          <w:p w14:paraId="7817E385" w14:textId="77777777" w:rsidR="00825A1E" w:rsidRPr="009934FA" w:rsidRDefault="00825A1E" w:rsidP="009A60CC">
            <w:pPr>
              <w:rPr>
                <w:szCs w:val="22"/>
                <w:lang w:eastAsia="ja-JP"/>
              </w:rPr>
            </w:pPr>
            <w:r>
              <w:rPr>
                <w:szCs w:val="22"/>
                <w:lang w:eastAsia="ja-JP"/>
              </w:rPr>
              <w:t>i</w:t>
            </w:r>
            <w:r w:rsidRPr="009934FA">
              <w:rPr>
                <w:szCs w:val="22"/>
                <w:lang w:eastAsia="ja-JP"/>
              </w:rPr>
              <w:t>sophane (protamine suspension)</w:t>
            </w:r>
          </w:p>
        </w:tc>
        <w:tc>
          <w:tcPr>
            <w:tcW w:w="3060" w:type="dxa"/>
          </w:tcPr>
          <w:p w14:paraId="4780630C" w14:textId="77777777" w:rsidR="00825A1E" w:rsidRPr="009934FA" w:rsidRDefault="00825A1E" w:rsidP="009A60CC">
            <w:pPr>
              <w:rPr>
                <w:szCs w:val="22"/>
                <w:lang w:eastAsia="ja-JP"/>
              </w:rPr>
            </w:pPr>
            <w:r w:rsidRPr="009934FA">
              <w:rPr>
                <w:szCs w:val="22"/>
                <w:lang w:eastAsia="ja-JP"/>
              </w:rPr>
              <w:t>Humulin NPH, Protaphane, Hypurin Isophane</w:t>
            </w:r>
          </w:p>
        </w:tc>
      </w:tr>
    </w:tbl>
    <w:p w14:paraId="64BECCE8" w14:textId="77777777" w:rsidR="00825A1E" w:rsidRPr="009934FA" w:rsidRDefault="00825A1E" w:rsidP="00825A1E">
      <w:pPr>
        <w:pStyle w:val="TableDescription"/>
        <w:rPr>
          <w:lang w:eastAsia="ja-JP"/>
        </w:rPr>
      </w:pPr>
      <w:r w:rsidRPr="009934FA">
        <w:rPr>
          <w:lang w:eastAsia="ja-JP"/>
        </w:rPr>
        <w:t>Adapted from Table 5.4 in ‘Diabetes: management’, Endocrinology, eTG Complete. Additional information from ARTG website (current as of 6 October 2016).</w:t>
      </w:r>
    </w:p>
    <w:bookmarkEnd w:id="15"/>
    <w:p w14:paraId="005D38BE" w14:textId="405C8409" w:rsidR="00A15E5D" w:rsidRPr="00113BDB" w:rsidRDefault="00605D63" w:rsidP="00A15E5D">
      <w:r w:rsidRPr="00113BDB">
        <w:t>These products represent</w:t>
      </w:r>
      <w:r w:rsidR="00A15E5D" w:rsidRPr="00113BDB">
        <w:t xml:space="preserve"> a new fixed dose combination</w:t>
      </w:r>
      <w:r w:rsidRPr="00113BDB">
        <w:t xml:space="preserve"> (FDC) of insulin d</w:t>
      </w:r>
      <w:r w:rsidR="00A15E5D" w:rsidRPr="00113BDB">
        <w:t xml:space="preserve">egludec </w:t>
      </w:r>
      <w:r w:rsidRPr="00113BDB">
        <w:t xml:space="preserve">(IDeg) </w:t>
      </w:r>
      <w:r w:rsidR="00A15E5D" w:rsidRPr="00113BDB">
        <w:t>and i</w:t>
      </w:r>
      <w:r w:rsidR="002923F6" w:rsidRPr="00113BDB">
        <w:t>nsulin aspart</w:t>
      </w:r>
      <w:r w:rsidRPr="00113BDB">
        <w:t xml:space="preserve"> (IAsp). The combination of IDeg and IAsp may be referred to as IDegAsp.</w:t>
      </w:r>
    </w:p>
    <w:p w14:paraId="13567704" w14:textId="111FCA4F" w:rsidR="00A15E5D" w:rsidRPr="00113BDB" w:rsidRDefault="00605D63" w:rsidP="00A15E5D">
      <w:r w:rsidRPr="00113BDB">
        <w:t>IAsp</w:t>
      </w:r>
      <w:r w:rsidR="00A15E5D" w:rsidRPr="00113BDB">
        <w:t xml:space="preserve"> is an active </w:t>
      </w:r>
      <w:r w:rsidR="006F7B6B" w:rsidRPr="00113BDB">
        <w:t>component of NovoRapid and NovoM</w:t>
      </w:r>
      <w:r w:rsidR="00A15E5D" w:rsidRPr="00113BDB">
        <w:t>ix which are currently widely used in the treatment of diabetes in Australia.</w:t>
      </w:r>
    </w:p>
    <w:p w14:paraId="77208B73" w14:textId="7C3D34D2" w:rsidR="00A15E5D" w:rsidRPr="00113BDB" w:rsidRDefault="00605D63" w:rsidP="00A15E5D">
      <w:r w:rsidRPr="00113BDB">
        <w:t>IDeg</w:t>
      </w:r>
      <w:r w:rsidR="00A15E5D" w:rsidRPr="00113BDB">
        <w:t xml:space="preserve"> is an ultra</w:t>
      </w:r>
      <w:r w:rsidR="008B429F">
        <w:t>-</w:t>
      </w:r>
      <w:r w:rsidR="00A15E5D" w:rsidRPr="00113BDB">
        <w:t xml:space="preserve">long acting insulin proposed for use in diabetes. IDeg differs from human insulin in that the amino acid threonine in position B30 has been omitted and a side chain consisting of glutamic acid and a C16 fatty acid has been attached. IDeg is produced by recombinant DNA technology using </w:t>
      </w:r>
      <w:r w:rsidR="00A15E5D" w:rsidRPr="00113BDB">
        <w:rPr>
          <w:i/>
        </w:rPr>
        <w:t>Saccharomyces secrevisiae.</w:t>
      </w:r>
    </w:p>
    <w:p w14:paraId="3692AF6C" w14:textId="2B70B8C9" w:rsidR="00A15E5D" w:rsidRPr="00113BDB" w:rsidRDefault="00A15E5D" w:rsidP="00A15E5D">
      <w:r w:rsidRPr="00113BDB">
        <w:t>IDegAsp has advantages over other premixed insulins in that it offers 24 hour basal coverage, has less late post prandial and nocturnal hypoglycaemia (but perhaps more earlier post prandial hypoglycaemia) and is soluble.</w:t>
      </w:r>
    </w:p>
    <w:p w14:paraId="140DC5EF" w14:textId="1E6DC7B8" w:rsidR="00605D63" w:rsidRPr="00113BDB" w:rsidRDefault="00605D63" w:rsidP="00A15E5D">
      <w:r w:rsidRPr="00113BDB">
        <w:t xml:space="preserve">Other premixed FDC products approved in Australia are shown in Table </w:t>
      </w:r>
      <w:r w:rsidR="00825A1E">
        <w:t>3</w:t>
      </w:r>
      <w:r w:rsidRPr="00113BDB">
        <w:t xml:space="preserve"> below.</w:t>
      </w:r>
    </w:p>
    <w:p w14:paraId="34609CD3" w14:textId="7493A95E" w:rsidR="00463074" w:rsidRPr="00113BDB" w:rsidRDefault="002923F6" w:rsidP="00605D63">
      <w:pPr>
        <w:pStyle w:val="Tabletitle0"/>
      </w:pPr>
      <w:r w:rsidRPr="00113BDB">
        <w:t xml:space="preserve">Table </w:t>
      </w:r>
      <w:r w:rsidR="00825A1E">
        <w:t>3</w:t>
      </w:r>
      <w:r w:rsidR="00A85844">
        <w:t>:</w:t>
      </w:r>
      <w:r w:rsidR="00463074" w:rsidRPr="00113BDB">
        <w:t xml:space="preserve"> </w:t>
      </w:r>
      <w:r w:rsidR="00AB7DA4" w:rsidRPr="00113BDB">
        <w:t>Other pre-mixed insulins</w:t>
      </w:r>
      <w:r w:rsidRPr="00113BDB">
        <w:t xml:space="preserve"> approved in Australia</w:t>
      </w:r>
    </w:p>
    <w:tbl>
      <w:tblPr>
        <w:tblStyle w:val="TableTGAblue"/>
        <w:tblW w:w="9019" w:type="dxa"/>
        <w:tblLook w:val="04A0" w:firstRow="1" w:lastRow="0" w:firstColumn="1" w:lastColumn="0" w:noHBand="0" w:noVBand="1"/>
        <w:tblDescription w:val="Table 3: Other pre-mixed insulins approved in Australia"/>
      </w:tblPr>
      <w:tblGrid>
        <w:gridCol w:w="2449"/>
        <w:gridCol w:w="4322"/>
        <w:gridCol w:w="2248"/>
      </w:tblGrid>
      <w:tr w:rsidR="002923F6" w:rsidRPr="00113BDB" w14:paraId="582AA8C5" w14:textId="77777777" w:rsidTr="002923F6">
        <w:trPr>
          <w:cnfStyle w:val="100000000000" w:firstRow="1" w:lastRow="0" w:firstColumn="0" w:lastColumn="0" w:oddVBand="0" w:evenVBand="0" w:oddHBand="0" w:evenHBand="0" w:firstRowFirstColumn="0" w:firstRowLastColumn="0" w:lastRowFirstColumn="0" w:lastRowLastColumn="0"/>
        </w:trPr>
        <w:tc>
          <w:tcPr>
            <w:tcW w:w="2449" w:type="dxa"/>
          </w:tcPr>
          <w:p w14:paraId="796D1547" w14:textId="77777777" w:rsidR="00A15E5D" w:rsidRPr="00113BDB" w:rsidRDefault="00A15E5D" w:rsidP="00605D63">
            <w:r w:rsidRPr="00113BDB">
              <w:t>Trade name</w:t>
            </w:r>
          </w:p>
        </w:tc>
        <w:tc>
          <w:tcPr>
            <w:tcW w:w="4322" w:type="dxa"/>
          </w:tcPr>
          <w:p w14:paraId="68D641B2" w14:textId="5FD57EF2" w:rsidR="00A15E5D" w:rsidRPr="00113BDB" w:rsidRDefault="00A15E5D" w:rsidP="00605D63">
            <w:r w:rsidRPr="00113BDB">
              <w:t>Components</w:t>
            </w:r>
            <w:r w:rsidR="002923F6" w:rsidRPr="00113BDB">
              <w:t>/</w:t>
            </w:r>
            <w:r w:rsidR="00A85844">
              <w:t>a</w:t>
            </w:r>
            <w:r w:rsidR="002923F6" w:rsidRPr="00113BDB">
              <w:t>ctive ingredients</w:t>
            </w:r>
          </w:p>
        </w:tc>
        <w:tc>
          <w:tcPr>
            <w:tcW w:w="2248" w:type="dxa"/>
          </w:tcPr>
          <w:p w14:paraId="7EA34212" w14:textId="77777777" w:rsidR="00A15E5D" w:rsidRPr="00113BDB" w:rsidRDefault="00A15E5D" w:rsidP="00605D63">
            <w:r w:rsidRPr="00113BDB">
              <w:t>Comments</w:t>
            </w:r>
          </w:p>
        </w:tc>
      </w:tr>
      <w:tr w:rsidR="002923F6" w:rsidRPr="00113BDB" w14:paraId="34BD9168" w14:textId="77777777" w:rsidTr="002923F6">
        <w:tc>
          <w:tcPr>
            <w:tcW w:w="2449" w:type="dxa"/>
          </w:tcPr>
          <w:p w14:paraId="77996DB2" w14:textId="77777777" w:rsidR="00A15E5D" w:rsidRPr="00113BDB" w:rsidRDefault="00A15E5D" w:rsidP="00605D63">
            <w:r w:rsidRPr="00113BDB">
              <w:t>NovoMix 30</w:t>
            </w:r>
          </w:p>
        </w:tc>
        <w:tc>
          <w:tcPr>
            <w:tcW w:w="4322" w:type="dxa"/>
          </w:tcPr>
          <w:p w14:paraId="54124797" w14:textId="77777777" w:rsidR="00A15E5D" w:rsidRPr="00113BDB" w:rsidRDefault="00A15E5D" w:rsidP="00605D63">
            <w:r w:rsidRPr="00113BDB">
              <w:t>Insulin aspart 30%/insulin aspart protamine 70%</w:t>
            </w:r>
          </w:p>
        </w:tc>
        <w:tc>
          <w:tcPr>
            <w:tcW w:w="2248" w:type="dxa"/>
          </w:tcPr>
          <w:p w14:paraId="5C51447F" w14:textId="2026A61D" w:rsidR="00A15E5D" w:rsidRPr="00113BDB" w:rsidRDefault="002923F6" w:rsidP="00605D63">
            <w:r w:rsidRPr="00113BDB">
              <w:t>A</w:t>
            </w:r>
            <w:r w:rsidR="00A15E5D" w:rsidRPr="00113BDB">
              <w:t>nalogue</w:t>
            </w:r>
          </w:p>
        </w:tc>
      </w:tr>
      <w:tr w:rsidR="002923F6" w:rsidRPr="00113BDB" w14:paraId="0E60044B" w14:textId="77777777" w:rsidTr="002923F6">
        <w:tc>
          <w:tcPr>
            <w:tcW w:w="2449" w:type="dxa"/>
          </w:tcPr>
          <w:p w14:paraId="67801161" w14:textId="77777777" w:rsidR="00A15E5D" w:rsidRPr="00113BDB" w:rsidRDefault="00A15E5D" w:rsidP="00605D63">
            <w:r w:rsidRPr="00113BDB">
              <w:t>Humalog Mix 25</w:t>
            </w:r>
          </w:p>
        </w:tc>
        <w:tc>
          <w:tcPr>
            <w:tcW w:w="4322" w:type="dxa"/>
          </w:tcPr>
          <w:p w14:paraId="3727A4D5" w14:textId="77777777" w:rsidR="00A15E5D" w:rsidRPr="00113BDB" w:rsidRDefault="00A15E5D" w:rsidP="00605D63">
            <w:r w:rsidRPr="00113BDB">
              <w:t>Lispro 25%/lispro protamine 75%</w:t>
            </w:r>
          </w:p>
        </w:tc>
        <w:tc>
          <w:tcPr>
            <w:tcW w:w="2248" w:type="dxa"/>
          </w:tcPr>
          <w:p w14:paraId="06EB5D1E" w14:textId="1E08DBEC" w:rsidR="00A15E5D" w:rsidRPr="00113BDB" w:rsidRDefault="002923F6" w:rsidP="00605D63">
            <w:r w:rsidRPr="00113BDB">
              <w:t>A</w:t>
            </w:r>
            <w:r w:rsidR="00A15E5D" w:rsidRPr="00113BDB">
              <w:t>nalogue</w:t>
            </w:r>
          </w:p>
        </w:tc>
      </w:tr>
      <w:tr w:rsidR="002923F6" w:rsidRPr="00113BDB" w14:paraId="2B9844FC" w14:textId="77777777" w:rsidTr="002923F6">
        <w:tc>
          <w:tcPr>
            <w:tcW w:w="2449" w:type="dxa"/>
          </w:tcPr>
          <w:p w14:paraId="14917429" w14:textId="77777777" w:rsidR="00A15E5D" w:rsidRPr="00113BDB" w:rsidRDefault="00A15E5D" w:rsidP="00605D63">
            <w:r w:rsidRPr="00113BDB">
              <w:t>Humalog Mix 50</w:t>
            </w:r>
          </w:p>
        </w:tc>
        <w:tc>
          <w:tcPr>
            <w:tcW w:w="4322" w:type="dxa"/>
          </w:tcPr>
          <w:p w14:paraId="2B22043D" w14:textId="77777777" w:rsidR="00A15E5D" w:rsidRPr="00113BDB" w:rsidRDefault="00A15E5D" w:rsidP="00605D63">
            <w:r w:rsidRPr="00113BDB">
              <w:t>Lispro 50%/lispro protamine 50%</w:t>
            </w:r>
          </w:p>
        </w:tc>
        <w:tc>
          <w:tcPr>
            <w:tcW w:w="2248" w:type="dxa"/>
          </w:tcPr>
          <w:p w14:paraId="53096C9A" w14:textId="2257E1EB" w:rsidR="00A15E5D" w:rsidRPr="00113BDB" w:rsidRDefault="002923F6" w:rsidP="00605D63">
            <w:r w:rsidRPr="00113BDB">
              <w:t>A</w:t>
            </w:r>
            <w:r w:rsidR="00A15E5D" w:rsidRPr="00113BDB">
              <w:t>nalogue</w:t>
            </w:r>
          </w:p>
        </w:tc>
      </w:tr>
      <w:tr w:rsidR="002923F6" w:rsidRPr="00113BDB" w14:paraId="10891F21" w14:textId="77777777" w:rsidTr="002923F6">
        <w:trPr>
          <w:trHeight w:val="878"/>
        </w:trPr>
        <w:tc>
          <w:tcPr>
            <w:tcW w:w="2449" w:type="dxa"/>
          </w:tcPr>
          <w:p w14:paraId="0B9B46C0" w14:textId="77777777" w:rsidR="00A15E5D" w:rsidRPr="00113BDB" w:rsidRDefault="00A15E5D" w:rsidP="00605D63">
            <w:r w:rsidRPr="00113BDB">
              <w:t>Mixtard 30/70</w:t>
            </w:r>
          </w:p>
          <w:p w14:paraId="5EF5E700" w14:textId="77777777" w:rsidR="00A15E5D" w:rsidRPr="00113BDB" w:rsidRDefault="00A15E5D" w:rsidP="00605D63">
            <w:r w:rsidRPr="00113BDB">
              <w:t>Humulin 30/70</w:t>
            </w:r>
          </w:p>
        </w:tc>
        <w:tc>
          <w:tcPr>
            <w:tcW w:w="4322" w:type="dxa"/>
          </w:tcPr>
          <w:p w14:paraId="1AABCE22" w14:textId="77777777" w:rsidR="00A15E5D" w:rsidRPr="00113BDB" w:rsidRDefault="00A15E5D" w:rsidP="00605D63">
            <w:r w:rsidRPr="00113BDB">
              <w:t>Neutral 30%/isophane 70%</w:t>
            </w:r>
          </w:p>
        </w:tc>
        <w:tc>
          <w:tcPr>
            <w:tcW w:w="2248" w:type="dxa"/>
          </w:tcPr>
          <w:p w14:paraId="4C0FADBE" w14:textId="77777777" w:rsidR="00A15E5D" w:rsidRPr="00113BDB" w:rsidRDefault="00A15E5D" w:rsidP="00605D63">
            <w:r w:rsidRPr="00113BDB">
              <w:t>Human insulin</w:t>
            </w:r>
          </w:p>
        </w:tc>
      </w:tr>
      <w:tr w:rsidR="002923F6" w:rsidRPr="00113BDB" w14:paraId="0C4AE445" w14:textId="77777777" w:rsidTr="002923F6">
        <w:tc>
          <w:tcPr>
            <w:tcW w:w="2449" w:type="dxa"/>
          </w:tcPr>
          <w:p w14:paraId="777BE4F0" w14:textId="77777777" w:rsidR="00A15E5D" w:rsidRPr="00113BDB" w:rsidRDefault="00A15E5D" w:rsidP="00605D63">
            <w:r w:rsidRPr="00113BDB">
              <w:lastRenderedPageBreak/>
              <w:t>Mixtard 50/50</w:t>
            </w:r>
          </w:p>
        </w:tc>
        <w:tc>
          <w:tcPr>
            <w:tcW w:w="4322" w:type="dxa"/>
          </w:tcPr>
          <w:p w14:paraId="670AD4FB" w14:textId="77777777" w:rsidR="00A15E5D" w:rsidRPr="00113BDB" w:rsidRDefault="00A15E5D" w:rsidP="00605D63">
            <w:r w:rsidRPr="00113BDB">
              <w:t>Neutral 50%/isophane 50%</w:t>
            </w:r>
          </w:p>
        </w:tc>
        <w:tc>
          <w:tcPr>
            <w:tcW w:w="2248" w:type="dxa"/>
          </w:tcPr>
          <w:p w14:paraId="25997C86" w14:textId="77777777" w:rsidR="00A15E5D" w:rsidRPr="00113BDB" w:rsidRDefault="00A15E5D" w:rsidP="00605D63">
            <w:r w:rsidRPr="00113BDB">
              <w:t>Human insulin</w:t>
            </w:r>
          </w:p>
        </w:tc>
      </w:tr>
    </w:tbl>
    <w:p w14:paraId="44C5D4AA" w14:textId="7B8C28FE" w:rsidR="002923F6" w:rsidRPr="00113BDB" w:rsidRDefault="00123FDB" w:rsidP="002923F6">
      <w:r w:rsidRPr="00113BDB">
        <w:t>Compared to NovoM</w:t>
      </w:r>
      <w:r w:rsidR="002923F6" w:rsidRPr="00113BDB">
        <w:t>ix</w:t>
      </w:r>
      <w:r w:rsidRPr="00113BDB">
        <w:t xml:space="preserve"> 30 (a FDC of 30% IAsp and 70% IAsp protamine)</w:t>
      </w:r>
      <w:r w:rsidR="002923F6" w:rsidRPr="00113BDB">
        <w:t>, IDegAsp has lower and shorter post prandial insulin action and longer duration of action</w:t>
      </w:r>
      <w:r w:rsidRPr="00113BDB">
        <w:t xml:space="preserve"> as shown in Figure 1, below</w:t>
      </w:r>
      <w:r w:rsidR="002923F6" w:rsidRPr="00113BDB">
        <w:t>.</w:t>
      </w:r>
    </w:p>
    <w:p w14:paraId="3023D866" w14:textId="1C73F73D" w:rsidR="00AB7DA4" w:rsidRPr="00113BDB" w:rsidRDefault="002923F6" w:rsidP="002923F6">
      <w:pPr>
        <w:pStyle w:val="FigureTitle"/>
      </w:pPr>
      <w:r w:rsidRPr="00113BDB">
        <w:t>Figure 1</w:t>
      </w:r>
      <w:r w:rsidR="00A85844">
        <w:t>:</w:t>
      </w:r>
      <w:r w:rsidR="00A15E5D" w:rsidRPr="00113BDB">
        <w:t xml:space="preserve"> Glucose infusion rate, mean smoothed profiles by dose level for IDegAsp and </w:t>
      </w:r>
      <w:r w:rsidR="00123FDB" w:rsidRPr="00113BDB">
        <w:t>NovoMix (</w:t>
      </w:r>
      <w:r w:rsidR="00A15E5D" w:rsidRPr="00113BDB">
        <w:t>BiAsp</w:t>
      </w:r>
      <w:r w:rsidR="00123FDB" w:rsidRPr="00113BDB">
        <w:t>)</w:t>
      </w:r>
      <w:r w:rsidR="00A15E5D" w:rsidRPr="00113BDB">
        <w:t xml:space="preserve"> 30 after single dose</w:t>
      </w:r>
    </w:p>
    <w:p w14:paraId="6E319CE7" w14:textId="1E15C8D2" w:rsidR="00A15E5D" w:rsidRPr="00113BDB" w:rsidRDefault="00A15E5D" w:rsidP="00940A89">
      <w:r w:rsidRPr="00113BDB">
        <w:rPr>
          <w:noProof/>
          <w:lang w:eastAsia="en-AU"/>
        </w:rPr>
        <w:drawing>
          <wp:inline distT="0" distB="0" distL="0" distR="0" wp14:anchorId="2EDC7BB1" wp14:editId="7E366028">
            <wp:extent cx="5588482" cy="4247968"/>
            <wp:effectExtent l="0" t="0" r="0" b="0"/>
            <wp:docPr id="15" name="Picture 15" descr="Glucose infusion rate, mean smoothed profiles by dose level for IDegAsp and BiAsp 30 after single dose" title="Glucose infusion rate, mean smoothed profiles by dose level for IDegAsp and BiAsp 30 after single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6121" r="3693" b="13763"/>
                    <a:stretch/>
                  </pic:blipFill>
                  <pic:spPr bwMode="auto">
                    <a:xfrm>
                      <a:off x="0" y="0"/>
                      <a:ext cx="5597974" cy="4255183"/>
                    </a:xfrm>
                    <a:prstGeom prst="rect">
                      <a:avLst/>
                    </a:prstGeom>
                    <a:noFill/>
                    <a:ln>
                      <a:noFill/>
                    </a:ln>
                    <a:extLst>
                      <a:ext uri="{53640926-AAD7-44D8-BBD7-CCE9431645EC}">
                        <a14:shadowObscured xmlns:a14="http://schemas.microsoft.com/office/drawing/2010/main"/>
                      </a:ext>
                    </a:extLst>
                  </pic:spPr>
                </pic:pic>
              </a:graphicData>
            </a:graphic>
          </wp:inline>
        </w:drawing>
      </w:r>
    </w:p>
    <w:p w14:paraId="3CF8C98E" w14:textId="77777777" w:rsidR="008E7846" w:rsidRPr="00113BDB" w:rsidRDefault="00386150" w:rsidP="008E7846">
      <w:pPr>
        <w:pStyle w:val="Heading3"/>
      </w:pPr>
      <w:bookmarkStart w:id="19" w:name="_Toc314842485"/>
      <w:bookmarkStart w:id="20" w:name="_Toc247691504"/>
      <w:bookmarkStart w:id="21" w:name="_Toc517697968"/>
      <w:r w:rsidRPr="00113BDB">
        <w:t>Regulatory s</w:t>
      </w:r>
      <w:r w:rsidR="008E7846" w:rsidRPr="00113BDB">
        <w:t>tatus</w:t>
      </w:r>
      <w:bookmarkEnd w:id="19"/>
      <w:bookmarkEnd w:id="20"/>
      <w:bookmarkEnd w:id="21"/>
    </w:p>
    <w:p w14:paraId="596682F3" w14:textId="447B870D" w:rsidR="00A006E7" w:rsidRPr="00113BDB" w:rsidRDefault="00A006E7" w:rsidP="00A006E7">
      <w:pPr>
        <w:pStyle w:val="Heading4"/>
      </w:pPr>
      <w:bookmarkStart w:id="22" w:name="_Toc247691505"/>
      <w:bookmarkStart w:id="23" w:name="_Toc314842486"/>
      <w:r w:rsidRPr="00113BDB">
        <w:t>Regulatory history</w:t>
      </w:r>
    </w:p>
    <w:p w14:paraId="4CBA8130" w14:textId="08AB14CD" w:rsidR="00A006E7" w:rsidRPr="00113BDB" w:rsidRDefault="00A006E7" w:rsidP="00A006E7">
      <w:r w:rsidRPr="00113BDB">
        <w:t>An application to register IDegAsp was previously submitted to the TGA in 2012. During the course of the evaluation, safety concerns regarding the cardiovascular (CV) risk of IDeg were identified by the United States (US) Food and Drug Administration (FDA). A meta</w:t>
      </w:r>
      <w:r w:rsidRPr="00113BDB">
        <w:noBreakHyphen/>
        <w:t>analysis identified that the use of IDeg could increase the risk of CV death, non-fatal myocardial infarction (MI), non-fatal stroke, and unstable angina compared to comparators by up to 10%.</w:t>
      </w:r>
    </w:p>
    <w:p w14:paraId="29FAF145" w14:textId="4B08378E" w:rsidR="00A006E7" w:rsidRPr="00113BDB" w:rsidRDefault="00A006E7" w:rsidP="00A006E7">
      <w:r w:rsidRPr="00113BDB">
        <w:t>A meeting between the TGA and sponsor was held in September 2013</w:t>
      </w:r>
      <w:r w:rsidR="008B429F">
        <w:t xml:space="preserve"> and the sponsor’s</w:t>
      </w:r>
      <w:r w:rsidRPr="00113BDB">
        <w:t xml:space="preserve"> application was subsequently withdrawn.</w:t>
      </w:r>
    </w:p>
    <w:p w14:paraId="1B06ADF3" w14:textId="380F348D" w:rsidR="00A006E7" w:rsidRPr="00113BDB" w:rsidRDefault="00A006E7" w:rsidP="00A006E7">
      <w:r w:rsidRPr="00113BDB">
        <w:t>In relation to th</w:t>
      </w:r>
      <w:r w:rsidR="008B429F">
        <w:t>e current</w:t>
      </w:r>
      <w:r w:rsidRPr="00113BDB">
        <w:t xml:space="preserve"> resubmission, a pre-submission meeting was held with the sponsor in June 2016. The TGA agreed to an abridged application based on interim results of the CV study and synopsis of other studies that had been submitted between the </w:t>
      </w:r>
      <w:r w:rsidRPr="00113BDB">
        <w:lastRenderedPageBreak/>
        <w:t>original and subsequent evaluation. The sponsor had not proposed to include any information in the product information (PI) from the interim results of the CV safety study or other synopsis of clinical studies.</w:t>
      </w:r>
    </w:p>
    <w:p w14:paraId="6A4BFA7F" w14:textId="51F8D3F7" w:rsidR="00A006E7" w:rsidRPr="00113BDB" w:rsidRDefault="00A006E7" w:rsidP="00A006E7">
      <w:pPr>
        <w:pStyle w:val="Heading4"/>
      </w:pPr>
      <w:r w:rsidRPr="00113BDB">
        <w:t>Overseas regulatory history</w:t>
      </w:r>
    </w:p>
    <w:p w14:paraId="7FD5D551" w14:textId="68481E08" w:rsidR="00A006E7" w:rsidRPr="00113BDB" w:rsidRDefault="00A006E7" w:rsidP="00A006E7">
      <w:r w:rsidRPr="00113BDB">
        <w:t>Ryzodeg was approved in the European Union (EU) by the European Medicines Agency (EMA) in 2013. The EMA was aware of the same data which raise concerns in the US, but considered that the low number of events, lack of confirmatory evidence from non-clinical data and limitations of post-hoc analysis meant that this data did not negate the otherwise positive risk-benefit analysis. IDeg has also been approved by Pharmaceuticals and Medical Devices Agency (PMDA) in Japan. In the US, the initial application was in September 2011. The application was resubmitted in March 2015 and approved in September 2015.</w:t>
      </w:r>
    </w:p>
    <w:p w14:paraId="6A302CE2" w14:textId="0A074A91" w:rsidR="00A006E7" w:rsidRPr="00113BDB" w:rsidRDefault="00A006E7" w:rsidP="00940A89">
      <w:r w:rsidRPr="00113BDB">
        <w:t>IDegAsp has been approved in more than 55 countries and marketed in 5 countries (Denmark, Switzerland, India, Bangladesh and Mexico). The sponsor had proposed to resubmit an application for insulin degludec in Canada in 2016.</w:t>
      </w:r>
    </w:p>
    <w:p w14:paraId="4DCDF012" w14:textId="72721B91" w:rsidR="002C70BA" w:rsidRPr="00113BDB" w:rsidRDefault="002C70BA" w:rsidP="002C70BA">
      <w:pPr>
        <w:pStyle w:val="Heading4"/>
      </w:pPr>
      <w:r w:rsidRPr="00113BDB">
        <w:t>Similar submissions</w:t>
      </w:r>
    </w:p>
    <w:p w14:paraId="1302EE06" w14:textId="73E5FD5F" w:rsidR="002C70BA" w:rsidRPr="00113BDB" w:rsidRDefault="002C70BA" w:rsidP="002C70BA">
      <w:r w:rsidRPr="00113BDB">
        <w:t>A concurrent submission</w:t>
      </w:r>
      <w:r w:rsidR="00D52E85" w:rsidRPr="00113BDB">
        <w:t xml:space="preserve"> from the same sponsor</w:t>
      </w:r>
      <w:r w:rsidRPr="00113BDB">
        <w:t xml:space="preserve"> for IDeg as a standalone product (Tresiba FlexTouch (prefilled pen) and Tresiba Penfill (cartridge)</w:t>
      </w:r>
      <w:r w:rsidR="00CA38A2" w:rsidRPr="00113BDB">
        <w:t>)</w:t>
      </w:r>
      <w:r w:rsidR="00CF1904" w:rsidRPr="00113BDB">
        <w:t xml:space="preserve"> </w:t>
      </w:r>
      <w:r w:rsidR="00D52E85" w:rsidRPr="00113BDB">
        <w:t xml:space="preserve">was </w:t>
      </w:r>
      <w:r w:rsidR="00AD1576">
        <w:t xml:space="preserve">also </w:t>
      </w:r>
      <w:r w:rsidR="00D52E85" w:rsidRPr="00113BDB">
        <w:t>under consideration</w:t>
      </w:r>
      <w:r w:rsidR="00AD1576">
        <w:t xml:space="preserve"> by the TGA</w:t>
      </w:r>
      <w:r w:rsidR="00D52E85" w:rsidRPr="00113BDB">
        <w:t xml:space="preserve">. </w:t>
      </w:r>
      <w:r w:rsidR="00CA38A2" w:rsidRPr="00113BDB">
        <w:t xml:space="preserve">As </w:t>
      </w:r>
      <w:r w:rsidR="00DA21AB" w:rsidRPr="00113BDB">
        <w:t xml:space="preserve">the </w:t>
      </w:r>
      <w:r w:rsidR="00CA38A2" w:rsidRPr="00113BDB">
        <w:t>IAsp</w:t>
      </w:r>
      <w:r w:rsidR="00DA21AB" w:rsidRPr="00113BDB">
        <w:t xml:space="preserve"> component of Ryzodeg</w:t>
      </w:r>
      <w:r w:rsidR="00CA38A2" w:rsidRPr="00113BDB">
        <w:t xml:space="preserve"> is currently widely used in the tre</w:t>
      </w:r>
      <w:r w:rsidR="00DA21AB" w:rsidRPr="00113BDB">
        <w:t>atment of diabetes in Australia, and IDeg represents the novel component of this FDC, the Tresiba submission is also relevant to this submission. Further information can be found in the AusPAR for Tresiba on the TGA website.</w:t>
      </w:r>
      <w:bookmarkStart w:id="24" w:name="_Ref511237953"/>
      <w:r w:rsidR="00DA21AB" w:rsidRPr="00113BDB">
        <w:rPr>
          <w:rStyle w:val="FootnoteReference"/>
        </w:rPr>
        <w:footnoteReference w:id="4"/>
      </w:r>
      <w:bookmarkEnd w:id="24"/>
    </w:p>
    <w:p w14:paraId="1AD08544" w14:textId="77777777" w:rsidR="008E7846" w:rsidRPr="00113BDB" w:rsidRDefault="008E7846" w:rsidP="00940A89">
      <w:pPr>
        <w:pStyle w:val="Heading3"/>
      </w:pPr>
      <w:bookmarkStart w:id="25" w:name="_Toc517697969"/>
      <w:r w:rsidRPr="00113BDB">
        <w:t>Product Information</w:t>
      </w:r>
      <w:bookmarkEnd w:id="22"/>
      <w:bookmarkEnd w:id="23"/>
      <w:bookmarkEnd w:id="25"/>
    </w:p>
    <w:p w14:paraId="4C954DD4" w14:textId="77777777" w:rsidR="00940A89" w:rsidRDefault="006136D7" w:rsidP="00940A89">
      <w:bookmarkStart w:id="26" w:name="_Toc247691506"/>
      <w:bookmarkStart w:id="27" w:name="_Toc314842487"/>
      <w:r w:rsidRPr="00113BDB">
        <w:t xml:space="preserve">The Product Information (PI) approved with the submission which is described in this AusPAR can be found as Attachment 1. For the most recent PI, please refer to the TGA website at </w:t>
      </w:r>
      <w:r w:rsidR="00441C3F" w:rsidRPr="00113BDB">
        <w:t>&lt;</w:t>
      </w:r>
      <w:hyperlink r:id="rId15" w:history="1">
        <w:r w:rsidR="00441C3F" w:rsidRPr="00113BDB">
          <w:rPr>
            <w:rStyle w:val="Hyperlink"/>
          </w:rPr>
          <w:t>https://www.tga.gov.au/product-information-pi</w:t>
        </w:r>
      </w:hyperlink>
      <w:r w:rsidR="00441C3F" w:rsidRPr="00113BDB">
        <w:t>&gt;</w:t>
      </w:r>
      <w:r w:rsidR="00940A89" w:rsidRPr="00113BDB">
        <w:t>.</w:t>
      </w:r>
    </w:p>
    <w:p w14:paraId="4B83ECBC" w14:textId="77777777" w:rsidR="009A60CC" w:rsidRPr="009A60CC" w:rsidRDefault="009A60CC" w:rsidP="009A60CC">
      <w:pPr>
        <w:pStyle w:val="Heading2"/>
      </w:pPr>
      <w:bookmarkStart w:id="28" w:name="_Toc517697970"/>
      <w:r w:rsidRPr="009A60CC">
        <w:t>II. Registration timeline</w:t>
      </w:r>
      <w:bookmarkEnd w:id="28"/>
    </w:p>
    <w:p w14:paraId="1BF50915" w14:textId="4679664F" w:rsidR="009A60CC" w:rsidRPr="009A60CC" w:rsidRDefault="009A60CC" w:rsidP="009A60CC">
      <w:pPr>
        <w:rPr>
          <w:b/>
          <w:bCs/>
        </w:rPr>
      </w:pPr>
      <w:r w:rsidRPr="009A60CC">
        <w:rPr>
          <w:b/>
          <w:bCs/>
        </w:rPr>
        <w:t xml:space="preserve">Table </w:t>
      </w:r>
      <w:r>
        <w:rPr>
          <w:b/>
          <w:bCs/>
        </w:rPr>
        <w:t>4</w:t>
      </w:r>
      <w:r w:rsidRPr="009A60CC">
        <w:rPr>
          <w:b/>
          <w:bCs/>
        </w:rPr>
        <w:t>: Registration timeline for Submission PM-2016-0272</w:t>
      </w:r>
      <w:r>
        <w:rPr>
          <w:b/>
          <w:bCs/>
        </w:rPr>
        <w:t>3</w:t>
      </w:r>
      <w:r w:rsidRPr="009A60CC">
        <w:rPr>
          <w:b/>
          <w:bCs/>
        </w:rPr>
        <w:t>-1-5</w:t>
      </w:r>
    </w:p>
    <w:tbl>
      <w:tblPr>
        <w:tblStyle w:val="TableTGAblue"/>
        <w:tblW w:w="8835" w:type="dxa"/>
        <w:tblLook w:val="04A0" w:firstRow="1" w:lastRow="0" w:firstColumn="1" w:lastColumn="0" w:noHBand="0" w:noVBand="1"/>
        <w:tblDescription w:val="Table 4: Registration timeline for Submission PM-2016-02723-1-5"/>
      </w:tblPr>
      <w:tblGrid>
        <w:gridCol w:w="5505"/>
        <w:gridCol w:w="3330"/>
      </w:tblGrid>
      <w:tr w:rsidR="00EF2F80" w:rsidRPr="00AA5CC2" w14:paraId="37A43AE7" w14:textId="77777777" w:rsidTr="00186073">
        <w:trPr>
          <w:cnfStyle w:val="100000000000" w:firstRow="1" w:lastRow="0" w:firstColumn="0" w:lastColumn="0" w:oddVBand="0" w:evenVBand="0" w:oddHBand="0" w:evenHBand="0" w:firstRowFirstColumn="0" w:firstRowLastColumn="0" w:lastRowFirstColumn="0" w:lastRowLastColumn="0"/>
        </w:trPr>
        <w:tc>
          <w:tcPr>
            <w:tcW w:w="5505" w:type="dxa"/>
          </w:tcPr>
          <w:p w14:paraId="226A3C61" w14:textId="77777777" w:rsidR="009A60CC" w:rsidRPr="00AA5CC2" w:rsidRDefault="009A60CC" w:rsidP="009A60CC">
            <w:r w:rsidRPr="00AA5CC2">
              <w:t>Description</w:t>
            </w:r>
          </w:p>
        </w:tc>
        <w:tc>
          <w:tcPr>
            <w:tcW w:w="3330" w:type="dxa"/>
          </w:tcPr>
          <w:p w14:paraId="609B0F3B" w14:textId="77777777" w:rsidR="009A60CC" w:rsidRPr="00AA5CC2" w:rsidRDefault="009A60CC" w:rsidP="009A60CC">
            <w:r w:rsidRPr="00AA5CC2">
              <w:t>Date</w:t>
            </w:r>
          </w:p>
        </w:tc>
      </w:tr>
      <w:tr w:rsidR="00EF2F80" w:rsidRPr="00AA5CC2" w14:paraId="3A713E34" w14:textId="77777777" w:rsidTr="00186073">
        <w:tc>
          <w:tcPr>
            <w:tcW w:w="5505" w:type="dxa"/>
          </w:tcPr>
          <w:p w14:paraId="32747C0C" w14:textId="77777777" w:rsidR="009A60CC" w:rsidRPr="00AA5CC2" w:rsidRDefault="009A60CC" w:rsidP="009A60CC">
            <w:r w:rsidRPr="00AA5CC2">
              <w:t>Submission dossier accepted and 1st round evaluation commenced</w:t>
            </w:r>
          </w:p>
        </w:tc>
        <w:tc>
          <w:tcPr>
            <w:tcW w:w="3330" w:type="dxa"/>
          </w:tcPr>
          <w:p w14:paraId="39C7A0D1" w14:textId="3913438C" w:rsidR="009A60CC" w:rsidRPr="00AA5CC2" w:rsidRDefault="001F7484" w:rsidP="009A60CC">
            <w:r>
              <w:t>31 October 2016</w:t>
            </w:r>
          </w:p>
        </w:tc>
      </w:tr>
      <w:tr w:rsidR="00EF2F80" w:rsidRPr="00AA5CC2" w14:paraId="4B2C21BA" w14:textId="77777777" w:rsidTr="00186073">
        <w:tc>
          <w:tcPr>
            <w:tcW w:w="5505" w:type="dxa"/>
          </w:tcPr>
          <w:p w14:paraId="256C2749" w14:textId="27E0932A" w:rsidR="009A60CC" w:rsidRPr="00AA5CC2" w:rsidRDefault="00A85844" w:rsidP="009A60CC">
            <w:r>
              <w:t>First</w:t>
            </w:r>
            <w:r w:rsidRPr="00AA5CC2">
              <w:t xml:space="preserve"> </w:t>
            </w:r>
            <w:r w:rsidR="009A60CC" w:rsidRPr="00AA5CC2">
              <w:t>round evaluation completed</w:t>
            </w:r>
          </w:p>
        </w:tc>
        <w:tc>
          <w:tcPr>
            <w:tcW w:w="3330" w:type="dxa"/>
          </w:tcPr>
          <w:p w14:paraId="412BDF8E" w14:textId="33131991" w:rsidR="009A60CC" w:rsidRPr="00AA5CC2" w:rsidRDefault="001F7484" w:rsidP="009A60CC">
            <w:r>
              <w:t>7 April 2017</w:t>
            </w:r>
          </w:p>
        </w:tc>
      </w:tr>
      <w:tr w:rsidR="00EF2F80" w:rsidRPr="00AA5CC2" w14:paraId="759AD280" w14:textId="77777777" w:rsidTr="00186073">
        <w:tc>
          <w:tcPr>
            <w:tcW w:w="5505" w:type="dxa"/>
          </w:tcPr>
          <w:p w14:paraId="7716BFEC" w14:textId="6D7A67FB" w:rsidR="009A60CC" w:rsidRPr="00AA5CC2" w:rsidRDefault="009A60CC" w:rsidP="00A85844">
            <w:r w:rsidRPr="00AA5CC2">
              <w:t xml:space="preserve">Sponsor provides responses on questions raised in </w:t>
            </w:r>
            <w:r w:rsidR="00A85844">
              <w:t>first</w:t>
            </w:r>
            <w:r w:rsidR="00A85844" w:rsidRPr="00AA5CC2">
              <w:t xml:space="preserve"> </w:t>
            </w:r>
            <w:r w:rsidRPr="00AA5CC2">
              <w:t>round evaluation</w:t>
            </w:r>
          </w:p>
        </w:tc>
        <w:tc>
          <w:tcPr>
            <w:tcW w:w="3330" w:type="dxa"/>
          </w:tcPr>
          <w:p w14:paraId="3ECDBB64" w14:textId="7EC8A2FE" w:rsidR="009A60CC" w:rsidRPr="00AA5CC2" w:rsidRDefault="001F7484" w:rsidP="009A60CC">
            <w:r>
              <w:t>8 June 2017</w:t>
            </w:r>
          </w:p>
        </w:tc>
      </w:tr>
      <w:tr w:rsidR="00EF2F80" w:rsidRPr="00AA5CC2" w14:paraId="5DBD7188" w14:textId="77777777" w:rsidTr="00186073">
        <w:tc>
          <w:tcPr>
            <w:tcW w:w="5505" w:type="dxa"/>
          </w:tcPr>
          <w:p w14:paraId="4F8A7D46" w14:textId="0BF3EB18" w:rsidR="009A60CC" w:rsidRPr="00AA5CC2" w:rsidRDefault="00A85844" w:rsidP="009A60CC">
            <w:r>
              <w:t>Second</w:t>
            </w:r>
            <w:r w:rsidRPr="00AA5CC2">
              <w:t xml:space="preserve"> </w:t>
            </w:r>
            <w:r w:rsidR="009A60CC" w:rsidRPr="00AA5CC2">
              <w:t>round evaluation completed</w:t>
            </w:r>
          </w:p>
        </w:tc>
        <w:tc>
          <w:tcPr>
            <w:tcW w:w="3330" w:type="dxa"/>
          </w:tcPr>
          <w:p w14:paraId="0EF4BB2D" w14:textId="7221E9E0" w:rsidR="009A60CC" w:rsidRPr="00AA5CC2" w:rsidRDefault="001F7484" w:rsidP="009A60CC">
            <w:r>
              <w:t>7 July 2017</w:t>
            </w:r>
          </w:p>
        </w:tc>
      </w:tr>
      <w:tr w:rsidR="00EF2F80" w:rsidRPr="00AA5CC2" w14:paraId="2FE7D4F0" w14:textId="77777777" w:rsidTr="00186073">
        <w:tc>
          <w:tcPr>
            <w:tcW w:w="5505" w:type="dxa"/>
          </w:tcPr>
          <w:p w14:paraId="47B9537C" w14:textId="77777777" w:rsidR="009A60CC" w:rsidRPr="00AA5CC2" w:rsidRDefault="009A60CC" w:rsidP="009A60CC">
            <w:r w:rsidRPr="00AA5CC2">
              <w:lastRenderedPageBreak/>
              <w:t>Request for Advisory Committee advice and/or Delegate’s Overview</w:t>
            </w:r>
          </w:p>
        </w:tc>
        <w:tc>
          <w:tcPr>
            <w:tcW w:w="3330" w:type="dxa"/>
          </w:tcPr>
          <w:p w14:paraId="2BC49729" w14:textId="5735A9BE" w:rsidR="009A60CC" w:rsidRPr="00AA5CC2" w:rsidRDefault="009A60CC" w:rsidP="009A60CC">
            <w:r>
              <w:t>30 August 2017</w:t>
            </w:r>
          </w:p>
        </w:tc>
      </w:tr>
      <w:tr w:rsidR="00EF2F80" w:rsidRPr="00AA5CC2" w14:paraId="5AAF4F5E" w14:textId="77777777" w:rsidTr="00186073">
        <w:tc>
          <w:tcPr>
            <w:tcW w:w="5505" w:type="dxa"/>
          </w:tcPr>
          <w:p w14:paraId="6BE0DB3E" w14:textId="77777777" w:rsidR="009A60CC" w:rsidRPr="00AA5CC2" w:rsidRDefault="009A60CC" w:rsidP="009A60CC">
            <w:r w:rsidRPr="00AA5CC2">
              <w:t>Sponsor’s response to Delegate’s Overview</w:t>
            </w:r>
          </w:p>
        </w:tc>
        <w:tc>
          <w:tcPr>
            <w:tcW w:w="3330" w:type="dxa"/>
          </w:tcPr>
          <w:p w14:paraId="2C47D47B" w14:textId="262F06B0" w:rsidR="009A60CC" w:rsidRPr="00AA5CC2" w:rsidRDefault="009A60CC" w:rsidP="009A60CC">
            <w:r>
              <w:t>20 September 2017</w:t>
            </w:r>
          </w:p>
        </w:tc>
      </w:tr>
      <w:tr w:rsidR="00EF2F80" w:rsidRPr="00AA5CC2" w14:paraId="672851EC" w14:textId="77777777" w:rsidTr="00186073">
        <w:tc>
          <w:tcPr>
            <w:tcW w:w="5505" w:type="dxa"/>
          </w:tcPr>
          <w:p w14:paraId="1284BD71" w14:textId="77777777" w:rsidR="009A60CC" w:rsidRPr="00AA5CC2" w:rsidRDefault="009A60CC" w:rsidP="009A60CC">
            <w:r w:rsidRPr="00AA5CC2">
              <w:t>Advisory Committee meeting</w:t>
            </w:r>
          </w:p>
        </w:tc>
        <w:tc>
          <w:tcPr>
            <w:tcW w:w="3330" w:type="dxa"/>
          </w:tcPr>
          <w:p w14:paraId="096447EF" w14:textId="278EA234" w:rsidR="009A60CC" w:rsidRPr="00AA5CC2" w:rsidRDefault="009A60CC" w:rsidP="009A60CC">
            <w:r>
              <w:t>5</w:t>
            </w:r>
            <w:r w:rsidR="00EF2F80">
              <w:t xml:space="preserve"> and </w:t>
            </w:r>
            <w:r>
              <w:t>6 October 2017</w:t>
            </w:r>
          </w:p>
        </w:tc>
      </w:tr>
      <w:tr w:rsidR="00EF2F80" w:rsidRPr="00AA5CC2" w14:paraId="43D0E733" w14:textId="77777777" w:rsidTr="00186073">
        <w:tc>
          <w:tcPr>
            <w:tcW w:w="5505" w:type="dxa"/>
          </w:tcPr>
          <w:p w14:paraId="10DBAA1F" w14:textId="77777777" w:rsidR="009A60CC" w:rsidRPr="00AA5CC2" w:rsidRDefault="009A60CC" w:rsidP="009A60CC">
            <w:r w:rsidRPr="00AA5CC2">
              <w:t>Registration decision</w:t>
            </w:r>
          </w:p>
        </w:tc>
        <w:tc>
          <w:tcPr>
            <w:tcW w:w="3330" w:type="dxa"/>
          </w:tcPr>
          <w:p w14:paraId="561A2381" w14:textId="5E7A01E9" w:rsidR="009A60CC" w:rsidRPr="00AA5CC2" w:rsidRDefault="009A60CC" w:rsidP="00C02D19">
            <w:r>
              <w:t>2</w:t>
            </w:r>
            <w:r w:rsidR="00C02D19">
              <w:t>4</w:t>
            </w:r>
            <w:bookmarkStart w:id="29" w:name="_GoBack"/>
            <w:bookmarkEnd w:id="29"/>
            <w:r>
              <w:t xml:space="preserve"> November 2017</w:t>
            </w:r>
          </w:p>
        </w:tc>
      </w:tr>
      <w:tr w:rsidR="00EF2F80" w:rsidRPr="00AA5CC2" w14:paraId="62089C2B" w14:textId="77777777" w:rsidTr="00186073">
        <w:tc>
          <w:tcPr>
            <w:tcW w:w="5505" w:type="dxa"/>
          </w:tcPr>
          <w:p w14:paraId="4042797A" w14:textId="77777777" w:rsidR="009A60CC" w:rsidRPr="00AA5CC2" w:rsidRDefault="009A60CC" w:rsidP="009A60CC">
            <w:r w:rsidRPr="00AA5CC2">
              <w:t>Entry onto ARTG</w:t>
            </w:r>
          </w:p>
        </w:tc>
        <w:tc>
          <w:tcPr>
            <w:tcW w:w="3330" w:type="dxa"/>
          </w:tcPr>
          <w:p w14:paraId="513B1104" w14:textId="77777777" w:rsidR="009A60CC" w:rsidRPr="00AA5CC2" w:rsidRDefault="009A60CC" w:rsidP="009A60CC">
            <w:r>
              <w:t>29 November 2017</w:t>
            </w:r>
          </w:p>
        </w:tc>
      </w:tr>
      <w:tr w:rsidR="00EF2F80" w:rsidRPr="00AA5CC2" w14:paraId="69FEB9E9" w14:textId="77777777" w:rsidTr="00186073">
        <w:tc>
          <w:tcPr>
            <w:tcW w:w="5505" w:type="dxa"/>
          </w:tcPr>
          <w:p w14:paraId="7F5C1607" w14:textId="77777777" w:rsidR="009A60CC" w:rsidRPr="00AA5CC2" w:rsidRDefault="009A60CC" w:rsidP="009A60CC">
            <w:r w:rsidRPr="00AA5CC2">
              <w:t>Number of TGA working days from commencement of evaluation  to registration decision*</w:t>
            </w:r>
          </w:p>
        </w:tc>
        <w:tc>
          <w:tcPr>
            <w:tcW w:w="3330" w:type="dxa"/>
          </w:tcPr>
          <w:p w14:paraId="0AC606C7" w14:textId="1A161D1B" w:rsidR="009A60CC" w:rsidRPr="00AA5CC2" w:rsidRDefault="001F7484" w:rsidP="009A60CC">
            <w:r>
              <w:t>228</w:t>
            </w:r>
          </w:p>
        </w:tc>
      </w:tr>
    </w:tbl>
    <w:p w14:paraId="5D67497B" w14:textId="17CBFDD2" w:rsidR="001F7484" w:rsidRDefault="001F7484" w:rsidP="001F7484">
      <w:pPr>
        <w:pStyle w:val="TableDescription"/>
      </w:pPr>
      <w:r>
        <w:t>*</w:t>
      </w:r>
      <w:r w:rsidRPr="001F7484">
        <w:t>Statutory timeframe: 255 working days.</w:t>
      </w:r>
    </w:p>
    <w:p w14:paraId="16D7ACD6" w14:textId="2C27D171" w:rsidR="008E7846" w:rsidRPr="00113BDB" w:rsidRDefault="001F7484" w:rsidP="008E7846">
      <w:pPr>
        <w:pStyle w:val="Heading2"/>
        <w:ind w:left="-11"/>
      </w:pPr>
      <w:bookmarkStart w:id="30" w:name="_Toc517697971"/>
      <w:r>
        <w:t xml:space="preserve">III. </w:t>
      </w:r>
      <w:r w:rsidR="008E7846" w:rsidRPr="00113BDB">
        <w:t>Quality</w:t>
      </w:r>
      <w:bookmarkEnd w:id="1"/>
      <w:r w:rsidR="008E7846" w:rsidRPr="00113BDB">
        <w:t xml:space="preserve"> findings</w:t>
      </w:r>
      <w:bookmarkEnd w:id="26"/>
      <w:bookmarkEnd w:id="27"/>
      <w:bookmarkEnd w:id="30"/>
    </w:p>
    <w:p w14:paraId="4671F672" w14:textId="77777777" w:rsidR="008E7846" w:rsidRPr="00113BDB" w:rsidRDefault="008E7846" w:rsidP="00940A89">
      <w:pPr>
        <w:pStyle w:val="Heading3"/>
      </w:pPr>
      <w:bookmarkStart w:id="31" w:name="_Toc247691507"/>
      <w:bookmarkStart w:id="32" w:name="_Toc314842488"/>
      <w:bookmarkStart w:id="33" w:name="_Toc517697972"/>
      <w:r w:rsidRPr="00113BDB">
        <w:t>Drug substance (active ingredient)</w:t>
      </w:r>
      <w:bookmarkEnd w:id="31"/>
      <w:bookmarkEnd w:id="32"/>
      <w:bookmarkEnd w:id="33"/>
    </w:p>
    <w:p w14:paraId="0386F7D5" w14:textId="016D6469" w:rsidR="00C37426" w:rsidRPr="00113BDB" w:rsidRDefault="00C37426" w:rsidP="00C37426">
      <w:pPr>
        <w:rPr>
          <w:b/>
        </w:rPr>
      </w:pPr>
      <w:r w:rsidRPr="00113BDB">
        <w:t>The</w:t>
      </w:r>
      <w:r w:rsidR="00DD4B69" w:rsidRPr="00113BDB">
        <w:t xml:space="preserve"> drug structure of </w:t>
      </w:r>
      <w:r w:rsidR="001050C9" w:rsidRPr="00113BDB">
        <w:t>IDeg</w:t>
      </w:r>
      <w:r w:rsidR="00DD4B69" w:rsidRPr="00113BDB">
        <w:t xml:space="preserve">, the novel component of Ryzodeg, is shown in Figure </w:t>
      </w:r>
      <w:r w:rsidR="00DE4AD9" w:rsidRPr="00113BDB">
        <w:t>2</w:t>
      </w:r>
      <w:r w:rsidR="00DD4B69" w:rsidRPr="00113BDB">
        <w:t>, below. The molecular formula is C</w:t>
      </w:r>
      <w:r w:rsidR="00DD4B69" w:rsidRPr="00113BDB">
        <w:rPr>
          <w:vertAlign w:val="subscript"/>
        </w:rPr>
        <w:t>274</w:t>
      </w:r>
      <w:r w:rsidR="00DD4B69" w:rsidRPr="00113BDB">
        <w:t>H</w:t>
      </w:r>
      <w:r w:rsidR="00DD4B69" w:rsidRPr="00113BDB">
        <w:rPr>
          <w:vertAlign w:val="subscript"/>
        </w:rPr>
        <w:t>411</w:t>
      </w:r>
      <w:r w:rsidR="00DD4B69" w:rsidRPr="00113BDB">
        <w:t>N</w:t>
      </w:r>
      <w:r w:rsidR="00DD4B69" w:rsidRPr="00113BDB">
        <w:rPr>
          <w:vertAlign w:val="subscript"/>
        </w:rPr>
        <w:t>65</w:t>
      </w:r>
      <w:r w:rsidR="00DD4B69" w:rsidRPr="00113BDB">
        <w:t>O</w:t>
      </w:r>
      <w:r w:rsidR="00DD4B69" w:rsidRPr="00113BDB">
        <w:rPr>
          <w:vertAlign w:val="subscript"/>
        </w:rPr>
        <w:t>81</w:t>
      </w:r>
      <w:r w:rsidR="00DD4B69" w:rsidRPr="00113BDB">
        <w:t>S</w:t>
      </w:r>
      <w:r w:rsidR="00DD4B69" w:rsidRPr="00113BDB">
        <w:rPr>
          <w:vertAlign w:val="subscript"/>
        </w:rPr>
        <w:t>6</w:t>
      </w:r>
      <w:r w:rsidR="00DD4B69" w:rsidRPr="00113BDB">
        <w:t>.</w:t>
      </w:r>
    </w:p>
    <w:p w14:paraId="1D084816" w14:textId="733526AA" w:rsidR="009B2406" w:rsidRPr="00113BDB" w:rsidRDefault="00DE4AD9" w:rsidP="00DE4AD9">
      <w:pPr>
        <w:pStyle w:val="FigureTitle"/>
      </w:pPr>
      <w:bookmarkStart w:id="34" w:name="_Toc488239292"/>
      <w:r w:rsidRPr="00113BDB">
        <w:t>Figure 2</w:t>
      </w:r>
      <w:r w:rsidR="008C2747">
        <w:t>:</w:t>
      </w:r>
      <w:r w:rsidR="00DD4B69" w:rsidRPr="00113BDB">
        <w:t xml:space="preserve"> Insulin degludec</w:t>
      </w:r>
      <w:r w:rsidR="008C2747">
        <w:t xml:space="preserve"> (IDeg)</w:t>
      </w:r>
      <w:r w:rsidR="00DD4B69" w:rsidRPr="00113BDB">
        <w:t xml:space="preserve"> s</w:t>
      </w:r>
      <w:r w:rsidR="009B2406" w:rsidRPr="00113BDB">
        <w:t>tructure</w:t>
      </w:r>
      <w:bookmarkEnd w:id="34"/>
    </w:p>
    <w:p w14:paraId="61C23135" w14:textId="77777777" w:rsidR="009B2406" w:rsidRPr="00113BDB" w:rsidRDefault="009B2406" w:rsidP="009B2406">
      <w:pPr>
        <w:rPr>
          <w:b/>
          <w:bCs/>
        </w:rPr>
      </w:pPr>
      <w:bookmarkStart w:id="35" w:name="_Toc488239293"/>
      <w:r w:rsidRPr="00113BDB">
        <w:rPr>
          <w:b/>
          <w:bCs/>
          <w:noProof/>
          <w:lang w:eastAsia="en-AU"/>
        </w:rPr>
        <w:drawing>
          <wp:inline distT="0" distB="0" distL="0" distR="0" wp14:anchorId="4B67CEA7" wp14:editId="1943FB59">
            <wp:extent cx="4518387" cy="1934371"/>
            <wp:effectExtent l="0" t="0" r="0" b="8890"/>
            <wp:docPr id="1" name="Picture 1" descr="Figure 2  is an image of the Insulin degludec structure" title="Insulin degludec stru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2511" cy="1940418"/>
                    </a:xfrm>
                    <a:prstGeom prst="rect">
                      <a:avLst/>
                    </a:prstGeom>
                    <a:noFill/>
                    <a:ln>
                      <a:noFill/>
                    </a:ln>
                  </pic:spPr>
                </pic:pic>
              </a:graphicData>
            </a:graphic>
          </wp:inline>
        </w:drawing>
      </w:r>
      <w:bookmarkEnd w:id="35"/>
    </w:p>
    <w:p w14:paraId="38B2E7E1" w14:textId="739B5803" w:rsidR="009B2406" w:rsidRPr="00113BDB" w:rsidRDefault="00EC10BC" w:rsidP="009B2406">
      <w:pPr>
        <w:rPr>
          <w:bCs/>
        </w:rPr>
      </w:pPr>
      <w:bookmarkStart w:id="36" w:name="_Toc488239294"/>
      <w:r w:rsidRPr="00113BDB">
        <w:rPr>
          <w:bCs/>
        </w:rPr>
        <w:t>IDeg</w:t>
      </w:r>
      <w:r w:rsidR="009B2406" w:rsidRPr="00113BDB">
        <w:rPr>
          <w:bCs/>
        </w:rPr>
        <w:t xml:space="preserve"> is an analogue of human insulin where threonine in position B30 has been omitted and where the έ-amino group of lysine B29 has been coupled with hexadecanedioic acid via a γ-glutamic acid spacer. </w:t>
      </w:r>
      <w:r w:rsidRPr="00113BDB">
        <w:rPr>
          <w:bCs/>
        </w:rPr>
        <w:t>IDeg</w:t>
      </w:r>
      <w:r w:rsidR="009B2406" w:rsidRPr="00113BDB">
        <w:rPr>
          <w:bCs/>
        </w:rPr>
        <w:t xml:space="preserve"> is produced using recombinant DNA technology in yeast (</w:t>
      </w:r>
      <w:r w:rsidR="009B2406" w:rsidRPr="00113BDB">
        <w:rPr>
          <w:bCs/>
          <w:i/>
        </w:rPr>
        <w:t>Saccharomyces cerevisiae</w:t>
      </w:r>
      <w:r w:rsidR="009B2406" w:rsidRPr="00113BDB">
        <w:rPr>
          <w:bCs/>
        </w:rPr>
        <w:t>) and chemical modification.</w:t>
      </w:r>
      <w:bookmarkEnd w:id="36"/>
    </w:p>
    <w:p w14:paraId="05C70C1E" w14:textId="50829A4F" w:rsidR="00DD4B69" w:rsidRPr="00113BDB" w:rsidRDefault="00DD4B69" w:rsidP="009B2406">
      <w:pPr>
        <w:rPr>
          <w:bCs/>
        </w:rPr>
      </w:pPr>
      <w:r w:rsidRPr="00113BDB">
        <w:rPr>
          <w:bCs/>
        </w:rPr>
        <w:t>The drug structure of insu</w:t>
      </w:r>
      <w:r w:rsidR="00EC10BC" w:rsidRPr="00113BDB">
        <w:rPr>
          <w:bCs/>
        </w:rPr>
        <w:t>lin aspart is shown in Figure 3</w:t>
      </w:r>
      <w:r w:rsidRPr="00113BDB">
        <w:rPr>
          <w:bCs/>
        </w:rPr>
        <w:t>, below.</w:t>
      </w:r>
    </w:p>
    <w:p w14:paraId="6951A0BC" w14:textId="591932AE" w:rsidR="009B2406" w:rsidRPr="00113BDB" w:rsidRDefault="00EC10BC" w:rsidP="00DD4B69">
      <w:pPr>
        <w:pStyle w:val="FigureTitle"/>
      </w:pPr>
      <w:bookmarkStart w:id="37" w:name="_Toc488239296"/>
      <w:r w:rsidRPr="00113BDB">
        <w:t>Figure 3</w:t>
      </w:r>
      <w:r w:rsidR="008C2747">
        <w:t>:</w:t>
      </w:r>
      <w:r w:rsidR="00DD4B69" w:rsidRPr="00113BDB">
        <w:t xml:space="preserve"> Insulin a</w:t>
      </w:r>
      <w:r w:rsidR="00F87754">
        <w:t>s</w:t>
      </w:r>
      <w:r w:rsidR="00DD4B69" w:rsidRPr="00113BDB">
        <w:t xml:space="preserve">part </w:t>
      </w:r>
      <w:r w:rsidR="008C2747">
        <w:t xml:space="preserve">(IAsp) </w:t>
      </w:r>
      <w:r w:rsidR="00DD4B69" w:rsidRPr="00113BDB">
        <w:t>s</w:t>
      </w:r>
      <w:r w:rsidR="009B2406" w:rsidRPr="00113BDB">
        <w:t>tructure</w:t>
      </w:r>
      <w:bookmarkEnd w:id="37"/>
    </w:p>
    <w:p w14:paraId="7B904155" w14:textId="77777777" w:rsidR="009B2406" w:rsidRPr="00113BDB" w:rsidRDefault="009B2406" w:rsidP="009B2406">
      <w:r w:rsidRPr="00113BDB">
        <w:rPr>
          <w:noProof/>
          <w:lang w:eastAsia="en-AU"/>
        </w:rPr>
        <w:drawing>
          <wp:inline distT="0" distB="0" distL="0" distR="0" wp14:anchorId="20BC61C6" wp14:editId="2C458FC2">
            <wp:extent cx="5726010" cy="904107"/>
            <wp:effectExtent l="0" t="0" r="0" b="0"/>
            <wp:docPr id="4" name="Picture 1" descr="Figure 3 is an image of the Insulin apart structure" title="Insulin apar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883443" cy="928965"/>
                    </a:xfrm>
                    <a:prstGeom prst="rect">
                      <a:avLst/>
                    </a:prstGeom>
                    <a:noFill/>
                    <a:ln w="9525">
                      <a:noFill/>
                      <a:miter lim="800000"/>
                      <a:headEnd/>
                      <a:tailEnd/>
                    </a:ln>
                  </pic:spPr>
                </pic:pic>
              </a:graphicData>
            </a:graphic>
          </wp:inline>
        </w:drawing>
      </w:r>
    </w:p>
    <w:p w14:paraId="471F7BBD" w14:textId="03A54758" w:rsidR="009B2406" w:rsidRPr="00113BDB" w:rsidRDefault="001050C9" w:rsidP="009B2406">
      <w:r w:rsidRPr="00113BDB">
        <w:lastRenderedPageBreak/>
        <w:t>IAsp</w:t>
      </w:r>
      <w:r w:rsidR="009B2406" w:rsidRPr="00113BDB">
        <w:t xml:space="preserve"> (B</w:t>
      </w:r>
      <w:r w:rsidR="00DD4B69" w:rsidRPr="00113BDB">
        <w:t xml:space="preserve">28Asp human insulin) is a rapid </w:t>
      </w:r>
      <w:r w:rsidR="009B2406" w:rsidRPr="00113BDB">
        <w:t xml:space="preserve">acting prandial insulin, in which the amino acid proline in the β-chain of human insulin has been replaced by aspartic acid. </w:t>
      </w:r>
      <w:r w:rsidRPr="00113BDB">
        <w:t>IAsp</w:t>
      </w:r>
      <w:r w:rsidR="009B2406" w:rsidRPr="00113BDB">
        <w:t xml:space="preserve"> is produced using recombinant DNA technology in yeast (</w:t>
      </w:r>
      <w:r w:rsidR="009B2406" w:rsidRPr="00113BDB">
        <w:rPr>
          <w:i/>
        </w:rPr>
        <w:t>Saccharomyces cerevisiae</w:t>
      </w:r>
      <w:r w:rsidR="009B2406" w:rsidRPr="00113BDB">
        <w:t>) and chemical modification.</w:t>
      </w:r>
    </w:p>
    <w:p w14:paraId="0EA79512" w14:textId="77777777" w:rsidR="008E7846" w:rsidRPr="00113BDB" w:rsidRDefault="008E7846" w:rsidP="008E7846">
      <w:pPr>
        <w:pStyle w:val="Heading3"/>
      </w:pPr>
      <w:bookmarkStart w:id="38" w:name="_Toc247691508"/>
      <w:bookmarkStart w:id="39" w:name="_Toc314842490"/>
      <w:bookmarkStart w:id="40" w:name="_Toc517697973"/>
      <w:r w:rsidRPr="00113BDB">
        <w:t>Drug product</w:t>
      </w:r>
      <w:bookmarkEnd w:id="38"/>
      <w:bookmarkEnd w:id="39"/>
      <w:bookmarkEnd w:id="40"/>
    </w:p>
    <w:p w14:paraId="4E0E90D4" w14:textId="36BA1ED8" w:rsidR="009B2406" w:rsidRPr="00113BDB" w:rsidRDefault="009B2406" w:rsidP="009B2406">
      <w:r w:rsidRPr="00113BDB">
        <w:t>The</w:t>
      </w:r>
      <w:r w:rsidR="00F26E77" w:rsidRPr="00113BDB">
        <w:t xml:space="preserve"> primary packaging is a Penfill</w:t>
      </w:r>
      <w:r w:rsidRPr="00113BDB">
        <w:t xml:space="preserve"> 3 mL cartr</w:t>
      </w:r>
      <w:r w:rsidR="00F26E77" w:rsidRPr="00113BDB">
        <w:t>idge. The Penfill</w:t>
      </w:r>
      <w:r w:rsidRPr="00113BDB">
        <w:t xml:space="preserve"> 3 mL cartridge can be assembled into a pre-filled disposable device, a PDS290 pen injector (FlexTouch). The PDS290 device is alr</w:t>
      </w:r>
      <w:r w:rsidR="001050C9" w:rsidRPr="00113BDB">
        <w:t>eady approved for use with NovoR</w:t>
      </w:r>
      <w:r w:rsidRPr="00113BDB">
        <w:t>apid. The Penfill 3 mL cartridge is approved for use in other insulin</w:t>
      </w:r>
      <w:r w:rsidR="00F26E77" w:rsidRPr="00113BDB">
        <w:t xml:space="preserve"> products</w:t>
      </w:r>
      <w:r w:rsidR="00EC10BC" w:rsidRPr="00113BDB">
        <w:t xml:space="preserve"> made by the same sponsor</w:t>
      </w:r>
      <w:r w:rsidR="00F26E77" w:rsidRPr="00113BDB">
        <w:t xml:space="preserve">. It consists of Type </w:t>
      </w:r>
      <w:r w:rsidR="008C2747">
        <w:t>I</w:t>
      </w:r>
      <w:r w:rsidRPr="00113BDB">
        <w:t xml:space="preserve"> glass, with a plunger (halobutyl) and a stopper (halobutyl/isoprene). These materials have all been previously evaluated and found to be satisfactory.</w:t>
      </w:r>
    </w:p>
    <w:p w14:paraId="1FD70530" w14:textId="1A4B9D2E" w:rsidR="009B2406" w:rsidRPr="00113BDB" w:rsidRDefault="00F26E77" w:rsidP="00F26E77">
      <w:pPr>
        <w:pStyle w:val="Heading4"/>
      </w:pPr>
      <w:r w:rsidRPr="00113BDB">
        <w:t>Stability</w:t>
      </w:r>
    </w:p>
    <w:p w14:paraId="16EEB2B2" w14:textId="782B7C06" w:rsidR="009B2406" w:rsidRPr="00113BDB" w:rsidRDefault="009B2406" w:rsidP="009B2406">
      <w:r w:rsidRPr="00113BDB">
        <w:t>Stability data have been generated under stressed and real time conditions to characterise the sta</w:t>
      </w:r>
      <w:r w:rsidR="00F26E77" w:rsidRPr="00113BDB">
        <w:t xml:space="preserve">bility profile of the product. </w:t>
      </w:r>
      <w:r w:rsidRPr="00113BDB">
        <w:t>The product is not photostable. However, the secondary packaging provides adequate protection.</w:t>
      </w:r>
    </w:p>
    <w:p w14:paraId="5E4A093D" w14:textId="77777777" w:rsidR="009B2406" w:rsidRPr="00113BDB" w:rsidRDefault="009B2406" w:rsidP="009B2406">
      <w:r w:rsidRPr="00113BDB">
        <w:t>The proposed shelf life is 30 months when stored at 5°C ± 3°C. This is supported by adequate stability data.</w:t>
      </w:r>
    </w:p>
    <w:p w14:paraId="59515A4D" w14:textId="3C9F4B45" w:rsidR="009B2406" w:rsidRPr="00113BDB" w:rsidRDefault="00B7441F" w:rsidP="009B2406">
      <w:r w:rsidRPr="00113BDB">
        <w:t xml:space="preserve">In </w:t>
      </w:r>
      <w:r w:rsidR="009B2406" w:rsidRPr="00113BDB">
        <w:t>use stability data covering storage at 24 months at 2 to 8</w:t>
      </w:r>
      <w:r w:rsidR="00F26E77" w:rsidRPr="00113BDB">
        <w:t>°</w:t>
      </w:r>
      <w:r w:rsidR="009B2406" w:rsidRPr="00113BDB">
        <w:t>C then 4 weeks at 30</w:t>
      </w:r>
      <w:r w:rsidR="00F26E77" w:rsidRPr="00113BDB">
        <w:t>°</w:t>
      </w:r>
      <w:r w:rsidR="009B2406" w:rsidRPr="00113BDB">
        <w:t>C have also been submitted. The proposed shelf life and storage conditions for the opened product are 28 days when stored below 30</w:t>
      </w:r>
      <w:r w:rsidR="00F26E77" w:rsidRPr="00113BDB">
        <w:t>°</w:t>
      </w:r>
      <w:r w:rsidR="009B2406" w:rsidRPr="00113BDB">
        <w:t>C or at 2</w:t>
      </w:r>
      <w:r w:rsidR="00F26E77" w:rsidRPr="00113BDB">
        <w:t xml:space="preserve"> to </w:t>
      </w:r>
      <w:r w:rsidR="009B2406" w:rsidRPr="00113BDB">
        <w:t>8</w:t>
      </w:r>
      <w:r w:rsidR="00F26E77" w:rsidRPr="00113BDB">
        <w:t>°C.</w:t>
      </w:r>
    </w:p>
    <w:p w14:paraId="69A3CBDE" w14:textId="0EA1B58D" w:rsidR="009B2406" w:rsidRPr="00113BDB" w:rsidRDefault="009B2406" w:rsidP="009B2406">
      <w:r w:rsidRPr="00113BDB">
        <w:t xml:space="preserve">Maximum temperature and duration of temperature excursion: Stability studies have been conducted in accordance with relevant </w:t>
      </w:r>
      <w:r w:rsidR="00EC10BC" w:rsidRPr="00113BDB">
        <w:t>International Conference on Harmonisation (</w:t>
      </w:r>
      <w:r w:rsidRPr="00113BDB">
        <w:t>ICH</w:t>
      </w:r>
      <w:r w:rsidR="00EC10BC" w:rsidRPr="00113BDB">
        <w:t>)</w:t>
      </w:r>
      <w:r w:rsidRPr="00113BDB">
        <w:t xml:space="preserve"> guidelines.</w:t>
      </w:r>
    </w:p>
    <w:p w14:paraId="103CB265" w14:textId="7681F7F3" w:rsidR="00940A89" w:rsidRPr="00113BDB" w:rsidRDefault="009B2406" w:rsidP="00940A89">
      <w:r w:rsidRPr="00113BDB">
        <w:t xml:space="preserve">Test samples of </w:t>
      </w:r>
      <w:r w:rsidR="00B7441F" w:rsidRPr="00113BDB">
        <w:t xml:space="preserve">IDeg 100 U/mL, IDeg 200 U/mL </w:t>
      </w:r>
      <w:r w:rsidRPr="00113BDB">
        <w:t xml:space="preserve">and </w:t>
      </w:r>
      <w:r w:rsidR="00B7441F" w:rsidRPr="00113BDB">
        <w:t>IDegAsp</w:t>
      </w:r>
      <w:r w:rsidRPr="00113BDB">
        <w:t xml:space="preserve"> 100 U/mL drug products were tested in a temperature cycle study simulating tem</w:t>
      </w:r>
      <w:r w:rsidR="00B7441F" w:rsidRPr="00113BDB">
        <w:t>perature excursions outside 2 to </w:t>
      </w:r>
      <w:r w:rsidRPr="00113BDB">
        <w:t xml:space="preserve">8°C during transportation and storage permitted by </w:t>
      </w:r>
      <w:r w:rsidR="00B7441F" w:rsidRPr="00113BDB">
        <w:t>the sponsor</w:t>
      </w:r>
      <w:r w:rsidRPr="00113BDB">
        <w:t>. Test samples were exposed to all permitted excursions and subsequently test samples were placed for storage in a long term stability study at 5°C</w:t>
      </w:r>
      <w:r w:rsidR="00B7441F" w:rsidRPr="00113BDB">
        <w:t xml:space="preserve"> ± 3°C until end of shelf life.</w:t>
      </w:r>
    </w:p>
    <w:p w14:paraId="03947F32" w14:textId="77777777" w:rsidR="008E7846" w:rsidRPr="00113BDB" w:rsidRDefault="008E7846" w:rsidP="008E7846">
      <w:pPr>
        <w:pStyle w:val="Heading3"/>
      </w:pPr>
      <w:bookmarkStart w:id="41" w:name="_Toc314842491"/>
      <w:bookmarkStart w:id="42" w:name="_Toc517697974"/>
      <w:r w:rsidRPr="00113BDB">
        <w:t>Biopharmaceutics</w:t>
      </w:r>
      <w:bookmarkEnd w:id="41"/>
      <w:bookmarkEnd w:id="42"/>
    </w:p>
    <w:p w14:paraId="72E064F9" w14:textId="6CBEA80E" w:rsidR="00F14B10" w:rsidRPr="00113BDB" w:rsidRDefault="00FA7A32" w:rsidP="00F14B10">
      <w:r w:rsidRPr="00113BDB">
        <w:t>The pharma</w:t>
      </w:r>
      <w:r w:rsidR="00B7441F" w:rsidRPr="00113BDB">
        <w:t>cokinetic</w:t>
      </w:r>
      <w:r w:rsidR="00F14B10" w:rsidRPr="00113BDB">
        <w:t xml:space="preserve"> data for IDegAsp </w:t>
      </w:r>
      <w:r w:rsidR="00AD1576">
        <w:t>was</w:t>
      </w:r>
      <w:r w:rsidR="00F14B10" w:rsidRPr="00113BDB">
        <w:t xml:space="preserve"> evaluated in</w:t>
      </w:r>
      <w:r w:rsidR="00B7441F" w:rsidRPr="00113BDB">
        <w:t xml:space="preserve"> the previous withdrawn submission</w:t>
      </w:r>
      <w:r w:rsidR="00F14B10" w:rsidRPr="00113BDB">
        <w:t xml:space="preserve">. The current dossier contained </w:t>
      </w:r>
      <w:r w:rsidR="008E15CC" w:rsidRPr="00113BDB">
        <w:t>a synopsi</w:t>
      </w:r>
      <w:r w:rsidR="00F14B10" w:rsidRPr="00113BDB">
        <w:t xml:space="preserve">s for </w:t>
      </w:r>
      <w:r w:rsidR="008E15CC" w:rsidRPr="00113BDB">
        <w:t>1 additional pharmacokinetic/pharmacodynamic trial (Study NN5401-</w:t>
      </w:r>
      <w:r w:rsidR="00F14B10" w:rsidRPr="00113BDB">
        <w:t>1979) as discussed below.</w:t>
      </w:r>
    </w:p>
    <w:p w14:paraId="258E8D0F" w14:textId="77777777" w:rsidR="00F14B10" w:rsidRPr="00113BDB" w:rsidRDefault="00F14B10" w:rsidP="00F14B10">
      <w:pPr>
        <w:pStyle w:val="Heading4"/>
      </w:pPr>
      <w:r w:rsidRPr="00113BDB">
        <w:t>Pharmacokinetics in the target population</w:t>
      </w:r>
    </w:p>
    <w:p w14:paraId="68C641CD" w14:textId="77777777" w:rsidR="00F14B10" w:rsidRPr="00113BDB" w:rsidRDefault="00F14B10" w:rsidP="00F14B10">
      <w:pPr>
        <w:pStyle w:val="Heading5"/>
      </w:pPr>
      <w:r w:rsidRPr="00113BDB">
        <w:t>Study NN5401-1979</w:t>
      </w:r>
    </w:p>
    <w:p w14:paraId="18D74F02" w14:textId="714343B5" w:rsidR="00F14B10" w:rsidRPr="00113BDB" w:rsidRDefault="00F14B10" w:rsidP="00F14B10">
      <w:r w:rsidRPr="00113BDB">
        <w:t xml:space="preserve">Study NN5401-1979 was a single centre, open label, multiple dose study to assess the </w:t>
      </w:r>
      <w:r w:rsidR="002226CD" w:rsidRPr="00113BDB">
        <w:t>pharmacodynamic</w:t>
      </w:r>
      <w:r w:rsidRPr="00113BDB">
        <w:t xml:space="preserve"> and </w:t>
      </w:r>
      <w:r w:rsidR="00736602" w:rsidRPr="00113BDB">
        <w:t>pharmacokinetic</w:t>
      </w:r>
      <w:r w:rsidRPr="00113BDB">
        <w:t xml:space="preserve"> properties of IDegAsp (at steady </w:t>
      </w:r>
      <w:r w:rsidR="00736602" w:rsidRPr="00113BDB">
        <w:t>state) in 22 </w:t>
      </w:r>
      <w:r w:rsidRPr="00113BDB">
        <w:t>adult subjects with T1DM.</w:t>
      </w:r>
    </w:p>
    <w:p w14:paraId="16FECB08" w14:textId="4D396E6D" w:rsidR="00F14B10" w:rsidRPr="00113BDB" w:rsidRDefault="00F14B10" w:rsidP="00F14B10">
      <w:r w:rsidRPr="00113BDB">
        <w:t xml:space="preserve">All subjects received a fixed subcutaneous </w:t>
      </w:r>
      <w:r w:rsidR="001050C9" w:rsidRPr="00113BDB">
        <w:t xml:space="preserve">(SC) </w:t>
      </w:r>
      <w:r w:rsidRPr="00113BDB">
        <w:t>dose of IDeg (0.42 U/kg body weight) daily for 5 consecutive days (plus IAsp as bolus insulin as needed, dosage not specified) to achieve steady state for I</w:t>
      </w:r>
      <w:r w:rsidR="001050C9" w:rsidRPr="00113BDB">
        <w:t>Deg followed by a single fixed SC</w:t>
      </w:r>
      <w:r w:rsidR="00736602" w:rsidRPr="00113BDB">
        <w:t xml:space="preserve"> dose of IDegAsp (0.6 </w:t>
      </w:r>
      <w:r w:rsidRPr="00113BDB">
        <w:t>U/kg body weight, corresponding to 0.42 U/kg IDeg and 0.18 U/kg IAsp) on Day 6. P</w:t>
      </w:r>
      <w:r w:rsidR="00736602" w:rsidRPr="00113BDB">
        <w:t>harmacokinetic</w:t>
      </w:r>
      <w:r w:rsidRPr="00113BDB">
        <w:t> properties were evaluated for 120 hours.</w:t>
      </w:r>
    </w:p>
    <w:p w14:paraId="47BFBA70" w14:textId="23039CF3" w:rsidR="00F14B10" w:rsidRPr="00113BDB" w:rsidRDefault="00F14B10" w:rsidP="00F14B10">
      <w:r w:rsidRPr="00113BDB">
        <w:lastRenderedPageBreak/>
        <w:t xml:space="preserve">The mean total serum exposure of IDeg in IDegAsp at steady state during </w:t>
      </w:r>
      <w:r w:rsidR="00FD22DA" w:rsidRPr="00113BDB">
        <w:t xml:space="preserve">1 </w:t>
      </w:r>
      <w:r w:rsidRPr="00113BDB">
        <w:t>dosing interval (</w:t>
      </w:r>
      <w:r w:rsidR="00736602" w:rsidRPr="00113BDB">
        <w:t xml:space="preserve">area under the drug concentration time curve </w:t>
      </w:r>
      <w:r w:rsidR="00FD22DA" w:rsidRPr="00113BDB">
        <w:t xml:space="preserve">for IDeg during 1 dosing interval </w:t>
      </w:r>
      <w:r w:rsidR="00736602" w:rsidRPr="00113BDB">
        <w:t>at steady state (</w:t>
      </w:r>
      <w:r w:rsidRPr="00113BDB">
        <w:t>AUC</w:t>
      </w:r>
      <w:r w:rsidRPr="00113BDB">
        <w:rPr>
          <w:vertAlign w:val="subscript"/>
        </w:rPr>
        <w:t>IDeg,τ,ss</w:t>
      </w:r>
      <w:r w:rsidRPr="00113BDB">
        <w:t>)</w:t>
      </w:r>
      <w:r w:rsidR="00736602" w:rsidRPr="00113BDB">
        <w:t>)</w:t>
      </w:r>
      <w:r w:rsidRPr="00113BDB">
        <w:t xml:space="preserve"> was 72084 pmol.h/L and the mean </w:t>
      </w:r>
      <w:r w:rsidR="00736602" w:rsidRPr="00113BDB">
        <w:t>maximal concentration of IDeg at steady state (</w:t>
      </w:r>
      <w:r w:rsidRPr="00113BDB">
        <w:t>C</w:t>
      </w:r>
      <w:r w:rsidR="00736602" w:rsidRPr="00113BDB">
        <w:rPr>
          <w:vertAlign w:val="subscript"/>
        </w:rPr>
        <w:t>max,IDeg </w:t>
      </w:r>
      <w:r w:rsidRPr="00113BDB">
        <w:rPr>
          <w:vertAlign w:val="subscript"/>
        </w:rPr>
        <w:t>ss</w:t>
      </w:r>
      <w:r w:rsidR="00736602" w:rsidRPr="00113BDB">
        <w:t xml:space="preserve">) </w:t>
      </w:r>
      <w:r w:rsidRPr="00113BDB">
        <w:t xml:space="preserve">was 3938 pmol/L. Mean total serum exposure of IAsp in IDegAsp </w:t>
      </w:r>
      <w:r w:rsidR="00736602" w:rsidRPr="00113BDB">
        <w:t xml:space="preserve">(area under the </w:t>
      </w:r>
      <w:r w:rsidR="00FD22DA" w:rsidRPr="00113BDB">
        <w:t xml:space="preserve">drug concentration time </w:t>
      </w:r>
      <w:r w:rsidR="00736602" w:rsidRPr="00113BDB">
        <w:t xml:space="preserve">curve </w:t>
      </w:r>
      <w:r w:rsidR="00FD22DA" w:rsidRPr="00113BDB">
        <w:t xml:space="preserve">for </w:t>
      </w:r>
      <w:r w:rsidR="00736602" w:rsidRPr="00113BDB">
        <w:t xml:space="preserve">IAsp from </w:t>
      </w:r>
      <w:r w:rsidR="00A4353A" w:rsidRPr="00113BDB">
        <w:t>time 0</w:t>
      </w:r>
      <w:r w:rsidR="00736602" w:rsidRPr="00113BDB">
        <w:t xml:space="preserve"> to 12 hours (</w:t>
      </w:r>
      <w:r w:rsidRPr="00113BDB">
        <w:t>AUC</w:t>
      </w:r>
      <w:r w:rsidR="00A4353A" w:rsidRPr="00113BDB">
        <w:rPr>
          <w:vertAlign w:val="subscript"/>
        </w:rPr>
        <w:t>IAsp,0</w:t>
      </w:r>
      <w:r w:rsidR="00A4353A" w:rsidRPr="00113BDB">
        <w:rPr>
          <w:vertAlign w:val="subscript"/>
        </w:rPr>
        <w:noBreakHyphen/>
      </w:r>
      <w:r w:rsidRPr="00113BDB">
        <w:rPr>
          <w:vertAlign w:val="subscript"/>
        </w:rPr>
        <w:t>12h</w:t>
      </w:r>
      <w:r w:rsidRPr="00113BDB">
        <w:t>)</w:t>
      </w:r>
      <w:r w:rsidR="00736602" w:rsidRPr="00113BDB">
        <w:t>)</w:t>
      </w:r>
      <w:r w:rsidRPr="00113BDB">
        <w:t xml:space="preserve"> was 1087 pmol.h/L and mean </w:t>
      </w:r>
      <w:r w:rsidR="00736602" w:rsidRPr="00113BDB">
        <w:t>maximal IAsp concentration (</w:t>
      </w:r>
      <w:r w:rsidRPr="00113BDB">
        <w:t>C</w:t>
      </w:r>
      <w:r w:rsidRPr="00113BDB">
        <w:rPr>
          <w:vertAlign w:val="subscript"/>
        </w:rPr>
        <w:t>max,IAsp</w:t>
      </w:r>
      <w:r w:rsidR="00736602" w:rsidRPr="00113BDB">
        <w:t xml:space="preserve">) </w:t>
      </w:r>
      <w:r w:rsidRPr="00113BDB">
        <w:t>was 326 pmol/L, with a median time to peak serum concentration of IAsp (t</w:t>
      </w:r>
      <w:r w:rsidRPr="00113BDB">
        <w:rPr>
          <w:vertAlign w:val="subscript"/>
        </w:rPr>
        <w:t>max,IAsp</w:t>
      </w:r>
      <w:r w:rsidR="00A971E9" w:rsidRPr="00113BDB">
        <w:t>) of 1.3 </w:t>
      </w:r>
      <w:r w:rsidRPr="00113BDB">
        <w:t>hours.</w:t>
      </w:r>
    </w:p>
    <w:p w14:paraId="21602DEF" w14:textId="4D916734" w:rsidR="00F14B10" w:rsidRPr="00113BDB" w:rsidRDefault="00F14B10" w:rsidP="00F14B10">
      <w:r w:rsidRPr="00113BDB">
        <w:t>On visual inspection, the IAsp component of IDegAsp had a fast onset of appearance and a peak covering the prandial phase, whilst IDeg had a flat and evenly distributed pharmacokinetic profile over 24 hours. The mean ratio between AUC</w:t>
      </w:r>
      <w:r w:rsidRPr="00113BDB">
        <w:rPr>
          <w:vertAlign w:val="subscript"/>
        </w:rPr>
        <w:t>IDeg,0-12h,SS</w:t>
      </w:r>
      <w:r w:rsidRPr="00113BDB">
        <w:t xml:space="preserve"> and AUC</w:t>
      </w:r>
      <w:r w:rsidRPr="00113BDB">
        <w:rPr>
          <w:vertAlign w:val="subscript"/>
        </w:rPr>
        <w:t>IDeg,τ,SS</w:t>
      </w:r>
      <w:r w:rsidRPr="00113BDB">
        <w:t xml:space="preserve"> was 0.51 indicating that exposure to IDeg in IDegA</w:t>
      </w:r>
      <w:r w:rsidR="00736602" w:rsidRPr="00113BDB">
        <w:t>sp was similar for the first 12 </w:t>
      </w:r>
      <w:r w:rsidRPr="00113BDB">
        <w:t>hours compared to the following 12 hours of one dosing interval at steady state.</w:t>
      </w:r>
    </w:p>
    <w:p w14:paraId="01CEFC19" w14:textId="77777777" w:rsidR="009B2406" w:rsidRPr="00113BDB" w:rsidRDefault="009B2406" w:rsidP="009B2406">
      <w:pPr>
        <w:pStyle w:val="Heading5"/>
      </w:pPr>
      <w:r w:rsidRPr="00113BDB">
        <w:t>Biopharmaceutical evaluator’s comments</w:t>
      </w:r>
    </w:p>
    <w:p w14:paraId="7CAA0F7D" w14:textId="63BADB30" w:rsidR="008E7846" w:rsidRPr="00113BDB" w:rsidRDefault="00F14B10" w:rsidP="00F14B10">
      <w:r w:rsidRPr="00113BDB">
        <w:t xml:space="preserve">The </w:t>
      </w:r>
      <w:r w:rsidR="00736602" w:rsidRPr="00113BDB">
        <w:t>pharmacokinetics</w:t>
      </w:r>
      <w:r w:rsidRPr="00113BDB">
        <w:t xml:space="preserve"> of IDeg at steady state in subjects with T1DM was determined in Studies </w:t>
      </w:r>
      <w:r w:rsidR="00736602" w:rsidRPr="00113BDB">
        <w:t>NN5401-</w:t>
      </w:r>
      <w:r w:rsidRPr="00113BDB">
        <w:t xml:space="preserve">1991 and </w:t>
      </w:r>
      <w:r w:rsidR="00736602" w:rsidRPr="00113BDB">
        <w:t>NN5401-</w:t>
      </w:r>
      <w:r w:rsidRPr="00113BDB">
        <w:t xml:space="preserve">1993 in </w:t>
      </w:r>
      <w:r w:rsidR="00736602" w:rsidRPr="00113BDB">
        <w:t>the original withdrawn submission.</w:t>
      </w:r>
      <w:r w:rsidRPr="00113BDB">
        <w:t xml:space="preserve"> The </w:t>
      </w:r>
      <w:r w:rsidR="00736602" w:rsidRPr="00113BDB">
        <w:t>c</w:t>
      </w:r>
      <w:r w:rsidRPr="00113BDB">
        <w:t xml:space="preserve">linical </w:t>
      </w:r>
      <w:r w:rsidR="00736602" w:rsidRPr="00113BDB">
        <w:t>e</w:t>
      </w:r>
      <w:r w:rsidRPr="00113BDB">
        <w:t xml:space="preserve">valuator for </w:t>
      </w:r>
      <w:r w:rsidR="00736602" w:rsidRPr="00113BDB">
        <w:t xml:space="preserve">that submission </w:t>
      </w:r>
      <w:r w:rsidRPr="00113BDB">
        <w:t>noted IDeg exposu</w:t>
      </w:r>
      <w:r w:rsidR="00736602" w:rsidRPr="00113BDB">
        <w:t>re was similar for the first 12 </w:t>
      </w:r>
      <w:r w:rsidRPr="00113BDB">
        <w:t xml:space="preserve">hours compared to the following 12 hours of </w:t>
      </w:r>
      <w:r w:rsidR="00736602" w:rsidRPr="00113BDB">
        <w:t>1</w:t>
      </w:r>
      <w:r w:rsidRPr="00113BDB">
        <w:t xml:space="preserve"> dosing interval; the above results are consistent with these</w:t>
      </w:r>
      <w:r w:rsidR="00736602" w:rsidRPr="00113BDB">
        <w:t xml:space="preserve"> findings. However, as the </w:t>
      </w:r>
      <w:r w:rsidR="00F87754" w:rsidRPr="00113BDB">
        <w:t>half-life</w:t>
      </w:r>
      <w:r w:rsidRPr="00113BDB">
        <w:t xml:space="preserve"> of IDeg is 25 hours, the </w:t>
      </w:r>
      <w:r w:rsidR="00736602" w:rsidRPr="00113BDB">
        <w:t>pharmacokinetic</w:t>
      </w:r>
      <w:r w:rsidRPr="00113BDB">
        <w:t xml:space="preserve"> parameters of the IDeg component of the IDegAsp would have been influenced by previous dosing of IDeg.</w:t>
      </w:r>
    </w:p>
    <w:p w14:paraId="23212866" w14:textId="77777777" w:rsidR="008E7846" w:rsidRPr="00113BDB" w:rsidRDefault="008E7846" w:rsidP="008E7846">
      <w:pPr>
        <w:pStyle w:val="Heading3"/>
      </w:pPr>
      <w:bookmarkStart w:id="43" w:name="_Toc247691509"/>
      <w:bookmarkStart w:id="44" w:name="_Toc314842493"/>
      <w:bookmarkStart w:id="45" w:name="_Toc517697975"/>
      <w:r w:rsidRPr="00113BDB">
        <w:t>Quality summary and conclusions</w:t>
      </w:r>
      <w:bookmarkEnd w:id="43"/>
      <w:bookmarkEnd w:id="44"/>
      <w:bookmarkEnd w:id="45"/>
    </w:p>
    <w:p w14:paraId="4A179085" w14:textId="30A4325D" w:rsidR="002C24B6" w:rsidRPr="00113BDB" w:rsidRDefault="002C24B6" w:rsidP="002C24B6">
      <w:r w:rsidRPr="00113BDB">
        <w:t xml:space="preserve">There are no objections on quality grounds to the approval of Ryzodeg FlexTouch and </w:t>
      </w:r>
      <w:r w:rsidR="00565674" w:rsidRPr="00113BDB">
        <w:t>Ryzodeg</w:t>
      </w:r>
      <w:r w:rsidRPr="00113BDB">
        <w:t xml:space="preserve"> Penfill 100 U/mL (insulin degludec (rys)/insulin aspart (rys)).</w:t>
      </w:r>
    </w:p>
    <w:p w14:paraId="611BAA9D" w14:textId="77777777" w:rsidR="00781AE3" w:rsidRDefault="005B08F4" w:rsidP="00F26E77">
      <w:pPr>
        <w:pStyle w:val="Heading4"/>
      </w:pPr>
      <w:r w:rsidRPr="00113BDB">
        <w:t>Recommended shelf life</w:t>
      </w:r>
    </w:p>
    <w:p w14:paraId="549E3229" w14:textId="08C74E83" w:rsidR="005B08F4" w:rsidRPr="00113BDB" w:rsidRDefault="00FA7A32" w:rsidP="005B08F4">
      <w:r w:rsidRPr="00113BDB">
        <w:t>30 months at 2 to</w:t>
      </w:r>
      <w:r w:rsidR="005B08F4" w:rsidRPr="00113BDB">
        <w:t xml:space="preserve"> 8</w:t>
      </w:r>
      <w:r w:rsidRPr="00113BDB">
        <w:t>°</w:t>
      </w:r>
      <w:r w:rsidR="005B08F4" w:rsidRPr="00113BDB">
        <w:t>C. Store below 30°C or in the refrigerator between 2°C to 8°C for up to 28 days. Any remainder must then be discarded.</w:t>
      </w:r>
    </w:p>
    <w:p w14:paraId="16CF57F2" w14:textId="77777777" w:rsidR="002C24B6" w:rsidRPr="00113BDB" w:rsidRDefault="002C24B6" w:rsidP="002C24B6">
      <w:pPr>
        <w:pStyle w:val="Heading4"/>
      </w:pPr>
      <w:r w:rsidRPr="00113BDB">
        <w:t>Proposed conditions of registration for the Delegate</w:t>
      </w:r>
    </w:p>
    <w:p w14:paraId="2B6D923E" w14:textId="77777777" w:rsidR="00C370A2" w:rsidRPr="00113BDB" w:rsidRDefault="002C24B6" w:rsidP="00C370A2">
      <w:pPr>
        <w:pStyle w:val="Heading5"/>
      </w:pPr>
      <w:r w:rsidRPr="00113BDB">
        <w:t>Batch release testing and compliance with Certified Product Details (CPD)</w:t>
      </w:r>
    </w:p>
    <w:p w14:paraId="25901843" w14:textId="77777777" w:rsidR="002C24B6" w:rsidRPr="00113BDB" w:rsidRDefault="002C24B6" w:rsidP="00C370A2">
      <w:r w:rsidRPr="00113BDB">
        <w:t>It is a condition of registrati</w:t>
      </w:r>
      <w:r w:rsidR="00C370A2" w:rsidRPr="00113BDB">
        <w:t>on that all batches of:</w:t>
      </w:r>
    </w:p>
    <w:p w14:paraId="23FF7D9C" w14:textId="77777777" w:rsidR="002C24B6" w:rsidRPr="00113BDB" w:rsidRDefault="00C370A2" w:rsidP="00C370A2">
      <w:pPr>
        <w:pStyle w:val="ListBullet"/>
      </w:pPr>
      <w:r w:rsidRPr="00113BDB">
        <w:t xml:space="preserve">Ryzodeg </w:t>
      </w:r>
      <w:r w:rsidR="002C24B6" w:rsidRPr="00113BDB">
        <w:t>FlexTouch 1</w:t>
      </w:r>
      <w:r w:rsidRPr="00113BDB">
        <w:t>00 U/mL (insulin degludec (rys)/</w:t>
      </w:r>
      <w:r w:rsidR="002C24B6" w:rsidRPr="00113BDB">
        <w:t>insulin aspart (rys))</w:t>
      </w:r>
    </w:p>
    <w:p w14:paraId="1B829726" w14:textId="77777777" w:rsidR="002C24B6" w:rsidRPr="00113BDB" w:rsidRDefault="00C370A2" w:rsidP="00C370A2">
      <w:pPr>
        <w:pStyle w:val="ListBullet"/>
      </w:pPr>
      <w:r w:rsidRPr="00113BDB">
        <w:t>Ryzodeg</w:t>
      </w:r>
      <w:r w:rsidR="002C24B6" w:rsidRPr="00113BDB">
        <w:t xml:space="preserve"> Penfill 1</w:t>
      </w:r>
      <w:r w:rsidRPr="00113BDB">
        <w:t>00 U/mL (insulin degludec (rys)/</w:t>
      </w:r>
      <w:r w:rsidR="002C24B6" w:rsidRPr="00113BDB">
        <w:t>insulin aspart (rys))</w:t>
      </w:r>
    </w:p>
    <w:p w14:paraId="7BED5F99" w14:textId="77777777" w:rsidR="002C24B6" w:rsidRPr="00113BDB" w:rsidRDefault="002C24B6" w:rsidP="002C24B6">
      <w:r w:rsidRPr="00113BDB">
        <w:t>imported into/manufactured in Australia must comply with the product details and specifications approved during evaluation and detailed in the Certified Product Details (CPD).</w:t>
      </w:r>
    </w:p>
    <w:p w14:paraId="5C7965C5" w14:textId="77777777" w:rsidR="002C24B6" w:rsidRPr="00113BDB" w:rsidRDefault="002C24B6" w:rsidP="00F14B10">
      <w:r w:rsidRPr="00113BDB">
        <w:t xml:space="preserve">It is a condition of </w:t>
      </w:r>
      <w:r w:rsidR="00C370A2" w:rsidRPr="00113BDB">
        <w:t>registration that each batch of</w:t>
      </w:r>
      <w:r w:rsidR="00F14B10" w:rsidRPr="00113BDB">
        <w:t>:</w:t>
      </w:r>
    </w:p>
    <w:p w14:paraId="384213B4" w14:textId="77777777" w:rsidR="00F14B10" w:rsidRPr="00113BDB" w:rsidRDefault="00F14B10" w:rsidP="00F14B10">
      <w:pPr>
        <w:pStyle w:val="ListBullet"/>
      </w:pPr>
      <w:r w:rsidRPr="00113BDB">
        <w:t>Ryzodeg FlexTouch 100 U/mL (insulin degludec (rys)/insulin aspart (rys))</w:t>
      </w:r>
    </w:p>
    <w:p w14:paraId="59FAB1C3" w14:textId="77777777" w:rsidR="00F14B10" w:rsidRPr="00113BDB" w:rsidRDefault="00F14B10" w:rsidP="00F14B10">
      <w:pPr>
        <w:pStyle w:val="ListBullet"/>
      </w:pPr>
      <w:r w:rsidRPr="00113BDB">
        <w:t>Ryzodeg Penfill 100 U/mL (insulin degludec (rys)/insulin aspart (rys))</w:t>
      </w:r>
    </w:p>
    <w:p w14:paraId="018269B9" w14:textId="77777777" w:rsidR="002C24B6" w:rsidRPr="00113BDB" w:rsidRDefault="002C24B6" w:rsidP="00186073">
      <w:pPr>
        <w:ind w:left="360"/>
      </w:pPr>
      <w:r w:rsidRPr="00113BDB">
        <w:t>imported into/manufactured in Australia is not released for sale until samples and/or the manufacturer’s release data have been assessed and endorsed for release by the TGA Laboratori</w:t>
      </w:r>
      <w:r w:rsidR="00C370A2" w:rsidRPr="00113BDB">
        <w:t>es Branch.</w:t>
      </w:r>
    </w:p>
    <w:p w14:paraId="031E968F" w14:textId="77777777" w:rsidR="002C24B6" w:rsidRPr="00113BDB" w:rsidRDefault="002C24B6" w:rsidP="002C24B6">
      <w:r w:rsidRPr="00113BDB">
        <w:t>The sponsor must supply:</w:t>
      </w:r>
    </w:p>
    <w:p w14:paraId="47828FD7" w14:textId="77777777" w:rsidR="002C24B6" w:rsidRPr="00113BDB" w:rsidRDefault="002C24B6" w:rsidP="00F14B10">
      <w:pPr>
        <w:pStyle w:val="ListBullet"/>
      </w:pPr>
      <w:r w:rsidRPr="00113BDB">
        <w:lastRenderedPageBreak/>
        <w:t>Certificates of Analysis of all active ingredient (drug substance) and final product.</w:t>
      </w:r>
    </w:p>
    <w:p w14:paraId="76D510AA" w14:textId="77777777" w:rsidR="002C24B6" w:rsidRPr="00113BDB" w:rsidRDefault="002C24B6" w:rsidP="00F14B10">
      <w:pPr>
        <w:pStyle w:val="ListBullet"/>
      </w:pPr>
      <w:r w:rsidRPr="00113BDB">
        <w:t>Information on the number of doses to be released in Australia with accompanying expiry dates for the product and diluents (if incl</w:t>
      </w:r>
      <w:r w:rsidR="00F14B10" w:rsidRPr="00113BDB">
        <w:t>uded).</w:t>
      </w:r>
    </w:p>
    <w:p w14:paraId="66ED4E61" w14:textId="77777777" w:rsidR="002C24B6" w:rsidRPr="00113BDB" w:rsidRDefault="002C24B6" w:rsidP="00F14B10">
      <w:pPr>
        <w:pStyle w:val="ListBullet"/>
      </w:pPr>
      <w:r w:rsidRPr="00113BDB">
        <w:t>Evidence of the maintenance of registered storage conditions during transport to Australia.</w:t>
      </w:r>
    </w:p>
    <w:p w14:paraId="38E4CC8F" w14:textId="77777777" w:rsidR="002C24B6" w:rsidRPr="00113BDB" w:rsidRDefault="002C24B6" w:rsidP="00F14B10">
      <w:pPr>
        <w:pStyle w:val="ListBullet"/>
      </w:pPr>
      <w:r w:rsidRPr="00113BDB">
        <w:t>6 cartridges of each batch for testing by the TGA Laboratories Branch together with any necessary standards, impurities and active pharmaceutical ingredients (with their Certificates of Analysis) required for method development and validation.</w:t>
      </w:r>
    </w:p>
    <w:p w14:paraId="3C886450" w14:textId="112B49EC" w:rsidR="008E7846" w:rsidRPr="00113BDB" w:rsidRDefault="008E7846" w:rsidP="008E7846">
      <w:pPr>
        <w:pStyle w:val="Heading2"/>
      </w:pPr>
      <w:bookmarkStart w:id="46" w:name="_Toc196046439"/>
      <w:bookmarkStart w:id="47" w:name="_Toc247691510"/>
      <w:bookmarkStart w:id="48" w:name="_Toc314842494"/>
      <w:bookmarkStart w:id="49" w:name="_Toc517697976"/>
      <w:r w:rsidRPr="00113BDB">
        <w:t>I</w:t>
      </w:r>
      <w:r w:rsidR="009A60CC">
        <w:t>V</w:t>
      </w:r>
      <w:r w:rsidRPr="00113BDB">
        <w:t>. Nonclinical</w:t>
      </w:r>
      <w:bookmarkEnd w:id="46"/>
      <w:r w:rsidRPr="00113BDB">
        <w:t xml:space="preserve"> findings</w:t>
      </w:r>
      <w:bookmarkEnd w:id="47"/>
      <w:bookmarkEnd w:id="48"/>
      <w:bookmarkEnd w:id="49"/>
    </w:p>
    <w:p w14:paraId="577D2D26" w14:textId="77777777" w:rsidR="008E7846" w:rsidRPr="00113BDB" w:rsidRDefault="008E7846" w:rsidP="00940A89">
      <w:pPr>
        <w:pStyle w:val="Heading3"/>
      </w:pPr>
      <w:bookmarkStart w:id="50" w:name="_Toc247691511"/>
      <w:bookmarkStart w:id="51" w:name="_Toc314842495"/>
      <w:bookmarkStart w:id="52" w:name="_Toc517697977"/>
      <w:r w:rsidRPr="00113BDB">
        <w:t>Introduction</w:t>
      </w:r>
      <w:bookmarkEnd w:id="50"/>
      <w:bookmarkEnd w:id="51"/>
      <w:bookmarkEnd w:id="52"/>
    </w:p>
    <w:p w14:paraId="61612FF7" w14:textId="0CE8E895" w:rsidR="004334C7" w:rsidRPr="00113BDB" w:rsidRDefault="00993625" w:rsidP="004334C7">
      <w:r w:rsidRPr="00113BDB">
        <w:t>The submitted nonclinical dossier was in general accordance with the recommendations</w:t>
      </w:r>
      <w:r w:rsidR="00A971E9" w:rsidRPr="00113BDB">
        <w:t xml:space="preserve"> in the EU </w:t>
      </w:r>
      <w:r w:rsidR="008C2747">
        <w:t>G</w:t>
      </w:r>
      <w:r w:rsidR="008C2747" w:rsidRPr="00113BDB">
        <w:t xml:space="preserve">uideline </w:t>
      </w:r>
      <w:r w:rsidR="00A971E9" w:rsidRPr="00113BDB">
        <w:t xml:space="preserve">on the </w:t>
      </w:r>
      <w:r w:rsidR="008C2747">
        <w:t>N</w:t>
      </w:r>
      <w:r w:rsidR="008C2747" w:rsidRPr="00113BDB">
        <w:t xml:space="preserve">onclinical Development </w:t>
      </w:r>
      <w:r w:rsidR="008C2747">
        <w:t>o</w:t>
      </w:r>
      <w:r w:rsidR="008C2747" w:rsidRPr="00113BDB">
        <w:t xml:space="preserve">f Fixed Combinations </w:t>
      </w:r>
      <w:r w:rsidR="008C2747">
        <w:t>o</w:t>
      </w:r>
      <w:r w:rsidR="008C2747" w:rsidRPr="00113BDB">
        <w:t>f Medicinal Products</w:t>
      </w:r>
      <w:r w:rsidRPr="00113BDB">
        <w:t xml:space="preserve"> (EMEA/CHMP/SWP/258498/2005). </w:t>
      </w:r>
      <w:r w:rsidR="00990BEB" w:rsidRPr="00113BDB">
        <w:t xml:space="preserve">The nonclinical </w:t>
      </w:r>
      <w:r w:rsidR="00297B1F" w:rsidRPr="00113BDB">
        <w:t xml:space="preserve">dossier </w:t>
      </w:r>
      <w:r w:rsidRPr="00113BDB">
        <w:t xml:space="preserve">consisted of all nonclinical studies submitted for the registration of </w:t>
      </w:r>
      <w:r w:rsidR="00A971E9" w:rsidRPr="00113BDB">
        <w:t>IDeg</w:t>
      </w:r>
      <w:r w:rsidRPr="00113BDB">
        <w:t xml:space="preserve"> as a new biological entity (Tresiba; made simultaneously to this application) and a number of furth</w:t>
      </w:r>
      <w:r w:rsidR="00FA7A32" w:rsidRPr="00113BDB">
        <w:t xml:space="preserve">er studies to support the fixed </w:t>
      </w:r>
      <w:r w:rsidRPr="00113BDB">
        <w:t>dose combination.</w:t>
      </w:r>
      <w:r w:rsidR="00FA7A32" w:rsidRPr="00113BDB">
        <w:rPr>
          <w:vertAlign w:val="superscript"/>
        </w:rPr>
        <w:fldChar w:fldCharType="begin"/>
      </w:r>
      <w:r w:rsidR="00FA7A32" w:rsidRPr="00113BDB">
        <w:rPr>
          <w:vertAlign w:val="superscript"/>
        </w:rPr>
        <w:instrText xml:space="preserve"> NOTEREF _Ref511237953 \h  \* MERGEFORMAT </w:instrText>
      </w:r>
      <w:r w:rsidR="00FA7A32" w:rsidRPr="00113BDB">
        <w:rPr>
          <w:vertAlign w:val="superscript"/>
        </w:rPr>
      </w:r>
      <w:r w:rsidR="00FA7A32" w:rsidRPr="00113BDB">
        <w:rPr>
          <w:vertAlign w:val="superscript"/>
        </w:rPr>
        <w:fldChar w:fldCharType="separate"/>
      </w:r>
      <w:r w:rsidR="00EA37BD">
        <w:rPr>
          <w:vertAlign w:val="superscript"/>
        </w:rPr>
        <w:t>4</w:t>
      </w:r>
      <w:r w:rsidR="00FA7A32" w:rsidRPr="00113BDB">
        <w:rPr>
          <w:vertAlign w:val="superscript"/>
        </w:rPr>
        <w:fldChar w:fldCharType="end"/>
      </w:r>
      <w:r w:rsidRPr="00113BDB">
        <w:t xml:space="preserve"> Only studies directly relevant to the proposed combination are discussed here.</w:t>
      </w:r>
    </w:p>
    <w:p w14:paraId="6879F045" w14:textId="77777777" w:rsidR="008E7846" w:rsidRPr="00113BDB" w:rsidRDefault="008E7846" w:rsidP="008E7846">
      <w:pPr>
        <w:pStyle w:val="Heading3"/>
      </w:pPr>
      <w:bookmarkStart w:id="53" w:name="_Toc247691512"/>
      <w:bookmarkStart w:id="54" w:name="_Toc314842496"/>
      <w:bookmarkStart w:id="55" w:name="_Toc517697978"/>
      <w:r w:rsidRPr="00113BDB">
        <w:t>Pharmacology</w:t>
      </w:r>
      <w:bookmarkEnd w:id="53"/>
      <w:bookmarkEnd w:id="54"/>
      <w:bookmarkEnd w:id="55"/>
    </w:p>
    <w:p w14:paraId="2903633B" w14:textId="76411F00" w:rsidR="004334C7" w:rsidRPr="00113BDB" w:rsidRDefault="00A971E9" w:rsidP="004334C7">
      <w:r w:rsidRPr="00113BDB">
        <w:t>An additive effect of IDeg</w:t>
      </w:r>
      <w:r w:rsidR="00993625" w:rsidRPr="00113BDB">
        <w:t xml:space="preserve"> and </w:t>
      </w:r>
      <w:r w:rsidRPr="00113BDB">
        <w:t>IAsp</w:t>
      </w:r>
      <w:r w:rsidR="00993625" w:rsidRPr="00113BDB">
        <w:t xml:space="preserve"> was demonstrated in lipogenesis assays in rat adipocytes. In vivo in euglycaemic clamp studies in pigs, no interference in pharmacodynamic (or pharmacokinetic) profiles was found for a 1:8 or 1:1 combination of </w:t>
      </w:r>
      <w:r w:rsidRPr="00113BDB">
        <w:t>IAsp/IDeg</w:t>
      </w:r>
      <w:r w:rsidR="00993625" w:rsidRPr="00113BDB">
        <w:t xml:space="preserve"> when formulated with 6 Zn</w:t>
      </w:r>
      <w:r w:rsidR="00993625" w:rsidRPr="00113BDB">
        <w:rPr>
          <w:vertAlign w:val="superscript"/>
        </w:rPr>
        <w:t>2+</w:t>
      </w:r>
      <w:r w:rsidR="00297B1F" w:rsidRPr="00113BDB">
        <w:t xml:space="preserve">/6 </w:t>
      </w:r>
      <w:r w:rsidRPr="00113BDB">
        <w:t>IDeg</w:t>
      </w:r>
      <w:r w:rsidR="00297B1F" w:rsidRPr="00113BDB">
        <w:t xml:space="preserve"> (that is, </w:t>
      </w:r>
      <w:r w:rsidR="00993625" w:rsidRPr="00113BDB">
        <w:t>the clinical zinc ratio). Significant interference in pharmacodynamic/ pharmacokinetic profiles was observed though with a 1:8 combination formulated with 3.38 Zn</w:t>
      </w:r>
      <w:r w:rsidR="00993625" w:rsidRPr="00113BDB">
        <w:rPr>
          <w:vertAlign w:val="superscript"/>
        </w:rPr>
        <w:t>2+</w:t>
      </w:r>
      <w:r w:rsidR="00993625" w:rsidRPr="00113BDB">
        <w:t xml:space="preserve">/6 </w:t>
      </w:r>
      <w:r w:rsidRPr="00113BDB">
        <w:t>IDeg</w:t>
      </w:r>
      <w:r w:rsidR="00993625" w:rsidRPr="00113BDB">
        <w:t xml:space="preserve">. In a euglycaemic clamp study in pigs using the clinical ratio of 70:30 </w:t>
      </w:r>
      <w:r w:rsidR="00955D3E" w:rsidRPr="00113BDB">
        <w:t>IDeg</w:t>
      </w:r>
      <w:r w:rsidR="00993625" w:rsidRPr="00113BDB">
        <w:t>/</w:t>
      </w:r>
      <w:r w:rsidR="00955D3E" w:rsidRPr="00113BDB">
        <w:t>IAsp</w:t>
      </w:r>
      <w:r w:rsidR="00297B1F" w:rsidRPr="00113BDB">
        <w:t xml:space="preserve"> (evaluated in the previous n</w:t>
      </w:r>
      <w:r w:rsidR="00993625" w:rsidRPr="00113BDB">
        <w:t xml:space="preserve">onclinical </w:t>
      </w:r>
      <w:r w:rsidR="00297B1F" w:rsidRPr="00113BDB">
        <w:t>r</w:t>
      </w:r>
      <w:r w:rsidR="00993625" w:rsidRPr="00113BDB">
        <w:t>eport for Tresiba</w:t>
      </w:r>
      <w:r w:rsidR="00297B1F" w:rsidRPr="00113BDB">
        <w:t xml:space="preserve">) </w:t>
      </w:r>
      <w:r w:rsidR="00993625" w:rsidRPr="00113BDB">
        <w:t xml:space="preserve">a biphasic glucose infusion rate profile was found, comprising an early peak corresponding to </w:t>
      </w:r>
      <w:r w:rsidR="00955D3E" w:rsidRPr="00113BDB">
        <w:t>IAsp</w:t>
      </w:r>
      <w:r w:rsidR="00993625" w:rsidRPr="00113BDB">
        <w:t xml:space="preserve"> and a flat basal action as a result of </w:t>
      </w:r>
      <w:r w:rsidR="00955D3E" w:rsidRPr="00113BDB">
        <w:t>IDeg</w:t>
      </w:r>
      <w:r w:rsidR="00993625" w:rsidRPr="00113BDB">
        <w:t xml:space="preserve">. </w:t>
      </w:r>
      <w:r w:rsidR="00955D3E" w:rsidRPr="00113BDB">
        <w:t>IDeg</w:t>
      </w:r>
      <w:r w:rsidR="00993625" w:rsidRPr="00113BDB">
        <w:t xml:space="preserve"> did not blunt the response to insulin aspart.</w:t>
      </w:r>
    </w:p>
    <w:p w14:paraId="020291F3" w14:textId="77777777" w:rsidR="008E7846" w:rsidRPr="00113BDB" w:rsidRDefault="008E7846" w:rsidP="008E7846">
      <w:pPr>
        <w:pStyle w:val="Heading3"/>
      </w:pPr>
      <w:bookmarkStart w:id="56" w:name="_Toc247691513"/>
      <w:bookmarkStart w:id="57" w:name="_Toc314842497"/>
      <w:bookmarkStart w:id="58" w:name="_Toc517697979"/>
      <w:r w:rsidRPr="00113BDB">
        <w:t>Pharmacokinetics</w:t>
      </w:r>
      <w:bookmarkEnd w:id="56"/>
      <w:bookmarkEnd w:id="57"/>
      <w:bookmarkEnd w:id="58"/>
    </w:p>
    <w:p w14:paraId="37A5BDA4" w14:textId="31D4B41F" w:rsidR="00993625" w:rsidRPr="00113BDB" w:rsidRDefault="00993625" w:rsidP="00993625">
      <w:bookmarkStart w:id="59" w:name="_Toc247691514"/>
      <w:bookmarkStart w:id="60" w:name="_Toc314842498"/>
      <w:r w:rsidRPr="00113BDB">
        <w:t>No pharmacokinetic interactions between insulin degludec and insulin aspart were apparent in a series of single</w:t>
      </w:r>
      <w:r w:rsidR="00FA7A32" w:rsidRPr="00113BDB">
        <w:t xml:space="preserve"> </w:t>
      </w:r>
      <w:r w:rsidRPr="00113BDB">
        <w:t>dose pharmacokinetic studies conducted in pigs with various dose ratios, strengths and zinc concentrations. These studies were designed to guide formulation development and did not include the final clinical formulation.</w:t>
      </w:r>
    </w:p>
    <w:p w14:paraId="6C69166B" w14:textId="5504AD5A" w:rsidR="004334C7" w:rsidRPr="00113BDB" w:rsidRDefault="00993625" w:rsidP="004334C7">
      <w:r w:rsidRPr="00113BDB">
        <w:t>Pharmacokinetic data obtained in repeat</w:t>
      </w:r>
      <w:r w:rsidR="00297B1F" w:rsidRPr="00113BDB">
        <w:t xml:space="preserve"> </w:t>
      </w:r>
      <w:r w:rsidRPr="00113BDB">
        <w:t>dose toxicity studies in rats, conducted with the clinical formulation, indicated maintenance of the expected rapid SC absorption of insulin aspart and the more prolonged absorption of insulin degludec with co-formulation. No parallel single</w:t>
      </w:r>
      <w:r w:rsidR="00FA7A32" w:rsidRPr="00113BDB">
        <w:t xml:space="preserve"> </w:t>
      </w:r>
      <w:r w:rsidRPr="00113BDB">
        <w:t xml:space="preserve">agent groups were included in the studies, hindering the assessment of potential pharmacokinetic interactions. Based on comparison with data obtained previously in other studies, there appears to be no effect on </w:t>
      </w:r>
      <w:r w:rsidR="00955D3E" w:rsidRPr="00113BDB">
        <w:t>IDeg</w:t>
      </w:r>
      <w:r w:rsidRPr="00113BDB">
        <w:t xml:space="preserve"> pharmacokinetics but some reduction in the peak exposure to </w:t>
      </w:r>
      <w:r w:rsidR="00955D3E" w:rsidRPr="00113BDB">
        <w:t>IAsp</w:t>
      </w:r>
      <w:r w:rsidRPr="00113BDB">
        <w:t>. A similar finding in humans with the co</w:t>
      </w:r>
      <w:r w:rsidRPr="00113BDB">
        <w:noBreakHyphen/>
        <w:t xml:space="preserve">formulation is reported in the </w:t>
      </w:r>
      <w:r w:rsidR="00FB4E29">
        <w:t xml:space="preserve">sponsor’s </w:t>
      </w:r>
      <w:r w:rsidRPr="00113BDB">
        <w:t xml:space="preserve">Summary of Clinical Pharmacology Studies (referring to data obtained in </w:t>
      </w:r>
      <w:r w:rsidR="00FA7A32" w:rsidRPr="00113BDB">
        <w:t>Study NN5401-</w:t>
      </w:r>
      <w:r w:rsidRPr="00113BDB">
        <w:t>1959).</w:t>
      </w:r>
    </w:p>
    <w:p w14:paraId="168DEF8C" w14:textId="77777777" w:rsidR="001B5C90" w:rsidRPr="00113BDB" w:rsidRDefault="008E7846" w:rsidP="001B5C90">
      <w:pPr>
        <w:pStyle w:val="Heading3"/>
      </w:pPr>
      <w:bookmarkStart w:id="61" w:name="_Toc517697980"/>
      <w:r w:rsidRPr="00113BDB">
        <w:lastRenderedPageBreak/>
        <w:t>Toxicology</w:t>
      </w:r>
      <w:bookmarkEnd w:id="59"/>
      <w:bookmarkEnd w:id="60"/>
      <w:bookmarkEnd w:id="61"/>
    </w:p>
    <w:p w14:paraId="5E2B9E42" w14:textId="6311E62C" w:rsidR="00993625" w:rsidRPr="00113BDB" w:rsidRDefault="00FB4E29" w:rsidP="00993625">
      <w:r>
        <w:t>Two</w:t>
      </w:r>
      <w:r w:rsidRPr="00113BDB">
        <w:t xml:space="preserve"> </w:t>
      </w:r>
      <w:r w:rsidR="00993625" w:rsidRPr="00113BDB">
        <w:t>repeat</w:t>
      </w:r>
      <w:r w:rsidR="00297B1F" w:rsidRPr="00113BDB">
        <w:t xml:space="preserve"> </w:t>
      </w:r>
      <w:r w:rsidR="00993625" w:rsidRPr="00113BDB">
        <w:t xml:space="preserve">dose toxicity studies with insulin aspart and insulin degludec </w:t>
      </w:r>
      <w:r w:rsidR="00297B1F" w:rsidRPr="00113BDB">
        <w:t>in combination were submitte</w:t>
      </w:r>
      <w:r w:rsidR="00FA7A32" w:rsidRPr="00113BDB">
        <w:t>d</w:t>
      </w:r>
      <w:r w:rsidR="00297B1F" w:rsidRPr="00113BDB">
        <w:t xml:space="preserve">; a pilot 4 week study and a pivotal 13 </w:t>
      </w:r>
      <w:r w:rsidR="00993625" w:rsidRPr="00113BDB">
        <w:t>we</w:t>
      </w:r>
      <w:r w:rsidR="00297B1F" w:rsidRPr="00113BDB">
        <w:t xml:space="preserve">ek study in rats. Both were </w:t>
      </w:r>
      <w:r w:rsidR="00FA7A32" w:rsidRPr="00113BDB">
        <w:t>Good Laboratory Practice (</w:t>
      </w:r>
      <w:r w:rsidR="00297B1F" w:rsidRPr="00113BDB">
        <w:t>GLP</w:t>
      </w:r>
      <w:r w:rsidR="00FA7A32" w:rsidRPr="00113BDB">
        <w:t>)</w:t>
      </w:r>
      <w:r w:rsidR="00297B1F" w:rsidRPr="00113BDB">
        <w:t xml:space="preserve"> </w:t>
      </w:r>
      <w:r w:rsidR="00993625" w:rsidRPr="00113BDB">
        <w:t>compliant. Species selection and the route of administration (SC) were appropriate, as was the duration of the pivotal stud</w:t>
      </w:r>
      <w:r w:rsidR="00FA7A32" w:rsidRPr="00113BDB">
        <w:t>y. The clinical dose ratio (7:3 </w:t>
      </w:r>
      <w:r w:rsidR="00955D3E" w:rsidRPr="00113BDB">
        <w:t>IDeg</w:t>
      </w:r>
      <w:r w:rsidR="00993625" w:rsidRPr="00113BDB">
        <w:t>/</w:t>
      </w:r>
      <w:r w:rsidR="00955D3E" w:rsidRPr="00113BDB">
        <w:t>IAsp</w:t>
      </w:r>
      <w:r w:rsidR="00993625" w:rsidRPr="00113BDB">
        <w:t>) and vehicle formulation were used in both studies; another formulation of the combination (11:9 dose ratio) was also tested in the pilot study. NPH insulin was used as a comparator in the pivotal study.</w:t>
      </w:r>
      <w:r w:rsidR="007D3A42" w:rsidRPr="00113BDB">
        <w:rPr>
          <w:rStyle w:val="FootnoteReference"/>
        </w:rPr>
        <w:footnoteReference w:id="5"/>
      </w:r>
      <w:r w:rsidR="00993625" w:rsidRPr="00113BDB">
        <w:t xml:space="preserve"> Exposure ratios (calculated as animal:human plasma </w:t>
      </w:r>
      <w:r w:rsidR="00FA7A32" w:rsidRPr="00113BDB">
        <w:t>area under the drug concentration time curve from time zero to 24 hours (</w:t>
      </w:r>
      <w:r w:rsidR="00993625" w:rsidRPr="00113BDB">
        <w:t>AUC</w:t>
      </w:r>
      <w:r w:rsidR="00993625" w:rsidRPr="00113BDB">
        <w:rPr>
          <w:vertAlign w:val="subscript"/>
        </w:rPr>
        <w:t>0–24 h</w:t>
      </w:r>
      <w:r w:rsidR="00FA7A32" w:rsidRPr="00113BDB">
        <w:t xml:space="preserve">) </w:t>
      </w:r>
      <w:r w:rsidR="00993625" w:rsidRPr="00113BDB">
        <w:t xml:space="preserve">values) achieved in animals treated with 7:3 insulin degludec/insulin aspart are tabulated below. Human reference values relate to a daily dose of 1.08 U/kg, the highest reported mean clinical dose, observed in subjects with </w:t>
      </w:r>
      <w:r w:rsidR="00297B1F" w:rsidRPr="00113BDB">
        <w:t>T2DM</w:t>
      </w:r>
      <w:r w:rsidR="00993625" w:rsidRPr="00113BDB">
        <w:t xml:space="preserve"> on a twice daily dose regime.</w:t>
      </w:r>
    </w:p>
    <w:p w14:paraId="4A631FFE" w14:textId="5A6C3ECE" w:rsidR="00993625" w:rsidRPr="00113BDB" w:rsidRDefault="00FA7A32" w:rsidP="00FA7A32">
      <w:pPr>
        <w:pStyle w:val="Tabletitle0"/>
      </w:pPr>
      <w:r w:rsidRPr="00113BDB">
        <w:t xml:space="preserve">Table </w:t>
      </w:r>
      <w:r w:rsidR="00825A1E">
        <w:t>4</w:t>
      </w:r>
      <w:r w:rsidR="007D7AB0">
        <w:t>:</w:t>
      </w:r>
      <w:r w:rsidR="00993625" w:rsidRPr="00113BDB">
        <w:t xml:space="preserve"> Relative exposure in the repeat-dose toxicity studies</w:t>
      </w:r>
    </w:p>
    <w:tbl>
      <w:tblPr>
        <w:tblStyle w:val="TableTGAblue"/>
        <w:tblW w:w="9019" w:type="dxa"/>
        <w:tblLayout w:type="fixed"/>
        <w:tblLook w:val="01E0" w:firstRow="1" w:lastRow="1" w:firstColumn="1" w:lastColumn="1" w:noHBand="0" w:noVBand="0"/>
        <w:tblDescription w:val="Table 4: Relative exposure in the repeat-dose toxicity studies"/>
      </w:tblPr>
      <w:tblGrid>
        <w:gridCol w:w="1277"/>
        <w:gridCol w:w="1294"/>
        <w:gridCol w:w="1138"/>
        <w:gridCol w:w="1080"/>
        <w:gridCol w:w="1080"/>
        <w:gridCol w:w="1080"/>
        <w:gridCol w:w="1080"/>
        <w:gridCol w:w="990"/>
      </w:tblGrid>
      <w:tr w:rsidR="007D7AB0" w:rsidRPr="00FB4E29" w14:paraId="1F0E0FC8" w14:textId="77777777" w:rsidTr="00186073">
        <w:trPr>
          <w:cnfStyle w:val="100000000000" w:firstRow="1" w:lastRow="0" w:firstColumn="0" w:lastColumn="0" w:oddVBand="0" w:evenVBand="0" w:oddHBand="0" w:evenHBand="0" w:firstRowFirstColumn="0" w:firstRowLastColumn="0" w:lastRowFirstColumn="0" w:lastRowLastColumn="0"/>
          <w:cantSplit/>
          <w:trHeight w:val="775"/>
        </w:trPr>
        <w:tc>
          <w:tcPr>
            <w:tcW w:w="1277" w:type="dxa"/>
            <w:vMerge w:val="restart"/>
            <w:tcBorders>
              <w:right w:val="single" w:sz="4" w:space="0" w:color="000000"/>
            </w:tcBorders>
          </w:tcPr>
          <w:p w14:paraId="57CF4131" w14:textId="77777777" w:rsidR="00993625" w:rsidRPr="007D7AB0" w:rsidRDefault="00993625" w:rsidP="00825A1E">
            <w:pPr>
              <w:ind w:left="0" w:right="0"/>
              <w:rPr>
                <w:sz w:val="20"/>
              </w:rPr>
            </w:pPr>
            <w:r w:rsidRPr="007D7AB0">
              <w:rPr>
                <w:sz w:val="20"/>
              </w:rPr>
              <w:t>Species</w:t>
            </w:r>
          </w:p>
        </w:tc>
        <w:tc>
          <w:tcPr>
            <w:tcW w:w="1294" w:type="dxa"/>
            <w:vMerge w:val="restart"/>
            <w:tcBorders>
              <w:left w:val="single" w:sz="4" w:space="0" w:color="000000"/>
              <w:right w:val="single" w:sz="4" w:space="0" w:color="000000"/>
            </w:tcBorders>
          </w:tcPr>
          <w:p w14:paraId="4504E08C" w14:textId="77777777" w:rsidR="00993625" w:rsidRPr="007D7AB0" w:rsidRDefault="00993625" w:rsidP="00825A1E">
            <w:pPr>
              <w:ind w:left="0" w:right="0"/>
              <w:rPr>
                <w:sz w:val="20"/>
              </w:rPr>
            </w:pPr>
            <w:r w:rsidRPr="007D7AB0">
              <w:rPr>
                <w:sz w:val="20"/>
              </w:rPr>
              <w:t>Study</w:t>
            </w:r>
            <w:r w:rsidRPr="007D7AB0">
              <w:rPr>
                <w:sz w:val="20"/>
              </w:rPr>
              <w:br/>
              <w:t>duration</w:t>
            </w:r>
          </w:p>
        </w:tc>
        <w:tc>
          <w:tcPr>
            <w:tcW w:w="2218" w:type="dxa"/>
            <w:gridSpan w:val="2"/>
            <w:tcBorders>
              <w:left w:val="single" w:sz="4" w:space="0" w:color="000000"/>
              <w:right w:val="single" w:sz="4" w:space="0" w:color="000000"/>
            </w:tcBorders>
          </w:tcPr>
          <w:p w14:paraId="67273C57" w14:textId="05B2583B" w:rsidR="00993625" w:rsidRPr="007D7AB0" w:rsidRDefault="00993625" w:rsidP="00825A1E">
            <w:pPr>
              <w:ind w:left="0" w:right="0"/>
              <w:rPr>
                <w:sz w:val="20"/>
              </w:rPr>
            </w:pPr>
            <w:r w:rsidRPr="007D7AB0">
              <w:rPr>
                <w:sz w:val="20"/>
              </w:rPr>
              <w:t>Dose(nmol/kg/day)</w:t>
            </w:r>
          </w:p>
        </w:tc>
        <w:tc>
          <w:tcPr>
            <w:tcW w:w="2160" w:type="dxa"/>
            <w:gridSpan w:val="2"/>
            <w:tcBorders>
              <w:left w:val="single" w:sz="4" w:space="0" w:color="000000"/>
              <w:right w:val="single" w:sz="4" w:space="0" w:color="000000"/>
            </w:tcBorders>
          </w:tcPr>
          <w:p w14:paraId="6742BB82" w14:textId="25EF786C" w:rsidR="00993625" w:rsidRPr="007D7AB0" w:rsidRDefault="00993625" w:rsidP="00825A1E">
            <w:pPr>
              <w:ind w:left="0" w:right="0"/>
              <w:rPr>
                <w:sz w:val="20"/>
              </w:rPr>
            </w:pPr>
            <w:r w:rsidRPr="007D7AB0">
              <w:rPr>
                <w:sz w:val="20"/>
              </w:rPr>
              <w:t>AUC</w:t>
            </w:r>
            <w:r w:rsidRPr="007D7AB0">
              <w:rPr>
                <w:sz w:val="20"/>
                <w:vertAlign w:val="subscript"/>
              </w:rPr>
              <w:t>0–24 h</w:t>
            </w:r>
            <w:r w:rsidR="007D7AB0" w:rsidRPr="007D7AB0">
              <w:rPr>
                <w:sz w:val="20"/>
              </w:rPr>
              <w:t xml:space="preserve"> </w:t>
            </w:r>
            <w:r w:rsidRPr="007D7AB0">
              <w:rPr>
                <w:sz w:val="20"/>
              </w:rPr>
              <w:t>(nM∙h)</w:t>
            </w:r>
          </w:p>
        </w:tc>
        <w:tc>
          <w:tcPr>
            <w:tcW w:w="2070" w:type="dxa"/>
            <w:gridSpan w:val="2"/>
            <w:tcBorders>
              <w:left w:val="single" w:sz="4" w:space="0" w:color="000000"/>
            </w:tcBorders>
          </w:tcPr>
          <w:p w14:paraId="06204545" w14:textId="77777777" w:rsidR="00993625" w:rsidRPr="007D7AB0" w:rsidRDefault="00993625" w:rsidP="00825A1E">
            <w:pPr>
              <w:ind w:left="0" w:right="0"/>
              <w:rPr>
                <w:sz w:val="20"/>
              </w:rPr>
            </w:pPr>
            <w:r w:rsidRPr="007D7AB0">
              <w:rPr>
                <w:sz w:val="20"/>
              </w:rPr>
              <w:t>Relative exposure</w:t>
            </w:r>
          </w:p>
        </w:tc>
      </w:tr>
      <w:tr w:rsidR="00E9366D" w:rsidRPr="00FB4E29" w14:paraId="04C8E8E9" w14:textId="77777777" w:rsidTr="00186073">
        <w:trPr>
          <w:cantSplit/>
          <w:trHeight w:val="20"/>
        </w:trPr>
        <w:tc>
          <w:tcPr>
            <w:tcW w:w="1277" w:type="dxa"/>
            <w:vMerge/>
            <w:tcBorders>
              <w:right w:val="single" w:sz="4" w:space="0" w:color="000000"/>
            </w:tcBorders>
          </w:tcPr>
          <w:p w14:paraId="79802978" w14:textId="77777777" w:rsidR="00993625" w:rsidRPr="00C36733" w:rsidRDefault="00993625" w:rsidP="00825A1E">
            <w:pPr>
              <w:keepNext/>
              <w:ind w:left="0" w:right="0"/>
              <w:rPr>
                <w:b/>
                <w:sz w:val="20"/>
              </w:rPr>
            </w:pPr>
          </w:p>
        </w:tc>
        <w:tc>
          <w:tcPr>
            <w:tcW w:w="1294" w:type="dxa"/>
            <w:vMerge/>
            <w:tcBorders>
              <w:left w:val="single" w:sz="4" w:space="0" w:color="000000"/>
              <w:right w:val="single" w:sz="4" w:space="0" w:color="000000"/>
            </w:tcBorders>
          </w:tcPr>
          <w:p w14:paraId="44C3DB2D" w14:textId="77777777" w:rsidR="00993625" w:rsidRPr="00C36733" w:rsidRDefault="00993625" w:rsidP="00825A1E">
            <w:pPr>
              <w:keepNext/>
              <w:ind w:left="0" w:right="0"/>
              <w:rPr>
                <w:b/>
                <w:sz w:val="20"/>
              </w:rPr>
            </w:pPr>
          </w:p>
        </w:tc>
        <w:tc>
          <w:tcPr>
            <w:tcW w:w="1138" w:type="dxa"/>
            <w:tcBorders>
              <w:left w:val="single" w:sz="4" w:space="0" w:color="000000"/>
            </w:tcBorders>
          </w:tcPr>
          <w:p w14:paraId="28BC2D7B" w14:textId="3B56DACD" w:rsidR="00993625" w:rsidRPr="0053175F" w:rsidRDefault="00993625" w:rsidP="00825A1E">
            <w:pPr>
              <w:keepNext/>
              <w:ind w:left="0" w:right="0"/>
              <w:rPr>
                <w:b/>
                <w:sz w:val="20"/>
              </w:rPr>
            </w:pPr>
            <w:r w:rsidRPr="00FB4E29">
              <w:rPr>
                <w:sz w:val="20"/>
              </w:rPr>
              <w:t>I</w:t>
            </w:r>
            <w:r w:rsidR="00FA7A32" w:rsidRPr="00FB4E29">
              <w:rPr>
                <w:sz w:val="20"/>
              </w:rPr>
              <w:t>Deg</w:t>
            </w:r>
          </w:p>
        </w:tc>
        <w:tc>
          <w:tcPr>
            <w:tcW w:w="1080" w:type="dxa"/>
          </w:tcPr>
          <w:p w14:paraId="5629A33F" w14:textId="4B633DC3" w:rsidR="00993625" w:rsidRPr="0053175F" w:rsidRDefault="00FA7A32" w:rsidP="00825A1E">
            <w:pPr>
              <w:keepNext/>
              <w:ind w:left="0" w:right="0"/>
              <w:rPr>
                <w:b/>
                <w:sz w:val="20"/>
              </w:rPr>
            </w:pPr>
            <w:r w:rsidRPr="00FB4E29">
              <w:rPr>
                <w:sz w:val="20"/>
              </w:rPr>
              <w:t>IAsp</w:t>
            </w:r>
          </w:p>
        </w:tc>
        <w:tc>
          <w:tcPr>
            <w:tcW w:w="1080" w:type="dxa"/>
          </w:tcPr>
          <w:p w14:paraId="16688061" w14:textId="329616C9" w:rsidR="00993625" w:rsidRPr="0053175F" w:rsidRDefault="00FA7A32" w:rsidP="00825A1E">
            <w:pPr>
              <w:keepNext/>
              <w:ind w:left="0" w:right="0"/>
              <w:rPr>
                <w:b/>
                <w:sz w:val="20"/>
              </w:rPr>
            </w:pPr>
            <w:r w:rsidRPr="00FB4E29">
              <w:rPr>
                <w:sz w:val="20"/>
              </w:rPr>
              <w:t>IDeg</w:t>
            </w:r>
          </w:p>
        </w:tc>
        <w:tc>
          <w:tcPr>
            <w:tcW w:w="1080" w:type="dxa"/>
          </w:tcPr>
          <w:p w14:paraId="4211D092" w14:textId="49A3D39F" w:rsidR="00993625" w:rsidRPr="0053175F" w:rsidRDefault="00FA7A32" w:rsidP="00825A1E">
            <w:pPr>
              <w:keepNext/>
              <w:ind w:left="0" w:right="0"/>
              <w:rPr>
                <w:b/>
                <w:sz w:val="20"/>
              </w:rPr>
            </w:pPr>
            <w:r w:rsidRPr="00FB4E29">
              <w:rPr>
                <w:sz w:val="20"/>
              </w:rPr>
              <w:t>IAsp</w:t>
            </w:r>
          </w:p>
        </w:tc>
        <w:tc>
          <w:tcPr>
            <w:tcW w:w="1080" w:type="dxa"/>
          </w:tcPr>
          <w:p w14:paraId="407B47E2" w14:textId="1A6CCB0B" w:rsidR="00993625" w:rsidRPr="0053175F" w:rsidRDefault="00FA7A32" w:rsidP="00825A1E">
            <w:pPr>
              <w:keepNext/>
              <w:ind w:left="0" w:right="0"/>
              <w:rPr>
                <w:b/>
                <w:sz w:val="20"/>
              </w:rPr>
            </w:pPr>
            <w:r w:rsidRPr="00FB4E29">
              <w:rPr>
                <w:sz w:val="20"/>
              </w:rPr>
              <w:t>IDeg</w:t>
            </w:r>
          </w:p>
        </w:tc>
        <w:tc>
          <w:tcPr>
            <w:tcW w:w="990" w:type="dxa"/>
          </w:tcPr>
          <w:p w14:paraId="54817095" w14:textId="17CFC061" w:rsidR="00993625" w:rsidRPr="0053175F" w:rsidRDefault="00FA7A32" w:rsidP="00825A1E">
            <w:pPr>
              <w:keepNext/>
              <w:ind w:left="0" w:right="0"/>
              <w:rPr>
                <w:b/>
                <w:sz w:val="20"/>
              </w:rPr>
            </w:pPr>
            <w:r w:rsidRPr="00FB4E29">
              <w:rPr>
                <w:sz w:val="20"/>
              </w:rPr>
              <w:t>IAsp</w:t>
            </w:r>
          </w:p>
        </w:tc>
      </w:tr>
      <w:tr w:rsidR="00E9366D" w:rsidRPr="00113BDB" w14:paraId="5DD43A8B" w14:textId="77777777" w:rsidTr="00186073">
        <w:trPr>
          <w:trHeight w:val="20"/>
        </w:trPr>
        <w:tc>
          <w:tcPr>
            <w:tcW w:w="1277" w:type="dxa"/>
            <w:vMerge w:val="restart"/>
          </w:tcPr>
          <w:p w14:paraId="2A9BF1E3" w14:textId="366FF5D7" w:rsidR="00993625" w:rsidRPr="00113BDB" w:rsidRDefault="00993625" w:rsidP="00186073">
            <w:pPr>
              <w:keepNext/>
              <w:ind w:left="0" w:right="0"/>
              <w:rPr>
                <w:sz w:val="20"/>
              </w:rPr>
            </w:pPr>
            <w:r w:rsidRPr="00113BDB">
              <w:rPr>
                <w:b/>
                <w:sz w:val="20"/>
              </w:rPr>
              <w:t>Rat</w:t>
            </w:r>
            <w:r w:rsidRPr="00113BDB">
              <w:rPr>
                <w:sz w:val="20"/>
              </w:rPr>
              <w:br/>
              <w:t>(</w:t>
            </w:r>
            <w:r w:rsidR="007D7AB0">
              <w:rPr>
                <w:sz w:val="20"/>
              </w:rPr>
              <w:t>h</w:t>
            </w:r>
            <w:r w:rsidRPr="00113BDB">
              <w:rPr>
                <w:sz w:val="20"/>
              </w:rPr>
              <w:t xml:space="preserve">an </w:t>
            </w:r>
            <w:r w:rsidR="00186073">
              <w:rPr>
                <w:sz w:val="20"/>
              </w:rPr>
              <w:t>W</w:t>
            </w:r>
            <w:r w:rsidR="007D7AB0" w:rsidRPr="00113BDB">
              <w:rPr>
                <w:sz w:val="20"/>
              </w:rPr>
              <w:t>istar</w:t>
            </w:r>
            <w:r w:rsidRPr="00113BDB">
              <w:rPr>
                <w:sz w:val="20"/>
              </w:rPr>
              <w:t>)</w:t>
            </w:r>
          </w:p>
        </w:tc>
        <w:tc>
          <w:tcPr>
            <w:tcW w:w="1294" w:type="dxa"/>
            <w:vMerge w:val="restart"/>
          </w:tcPr>
          <w:p w14:paraId="70AA67E8" w14:textId="77777777" w:rsidR="00E9366D" w:rsidRPr="00113BDB" w:rsidRDefault="00993625" w:rsidP="00825A1E">
            <w:pPr>
              <w:keepNext/>
              <w:ind w:left="0" w:right="0"/>
              <w:rPr>
                <w:sz w:val="20"/>
              </w:rPr>
            </w:pPr>
            <w:r w:rsidRPr="00113BDB">
              <w:rPr>
                <w:sz w:val="20"/>
              </w:rPr>
              <w:t>4 weeks</w:t>
            </w:r>
          </w:p>
          <w:p w14:paraId="50710F0C" w14:textId="692C601D" w:rsidR="00993625" w:rsidRPr="00113BDB" w:rsidRDefault="00E9366D" w:rsidP="00825A1E">
            <w:pPr>
              <w:keepNext/>
              <w:ind w:left="0" w:right="0"/>
              <w:rPr>
                <w:sz w:val="20"/>
              </w:rPr>
            </w:pPr>
            <w:r w:rsidRPr="00113BDB">
              <w:rPr>
                <w:sz w:val="20"/>
              </w:rPr>
              <w:t>Study 208289</w:t>
            </w:r>
          </w:p>
        </w:tc>
        <w:tc>
          <w:tcPr>
            <w:tcW w:w="1138" w:type="dxa"/>
          </w:tcPr>
          <w:p w14:paraId="1C5B220B" w14:textId="77777777" w:rsidR="00993625" w:rsidRPr="00113BDB" w:rsidRDefault="00993625" w:rsidP="00825A1E">
            <w:pPr>
              <w:keepNext/>
              <w:ind w:left="0" w:right="0"/>
              <w:rPr>
                <w:sz w:val="20"/>
              </w:rPr>
            </w:pPr>
            <w:r w:rsidRPr="00113BDB">
              <w:rPr>
                <w:sz w:val="20"/>
              </w:rPr>
              <w:t>25</w:t>
            </w:r>
          </w:p>
        </w:tc>
        <w:tc>
          <w:tcPr>
            <w:tcW w:w="1080" w:type="dxa"/>
          </w:tcPr>
          <w:p w14:paraId="6F35BBF0" w14:textId="77777777" w:rsidR="00993625" w:rsidRPr="00113BDB" w:rsidRDefault="00993625" w:rsidP="00825A1E">
            <w:pPr>
              <w:keepNext/>
              <w:ind w:left="0" w:right="0"/>
              <w:rPr>
                <w:sz w:val="20"/>
              </w:rPr>
            </w:pPr>
            <w:r w:rsidRPr="00113BDB">
              <w:rPr>
                <w:sz w:val="20"/>
              </w:rPr>
              <w:t>10.7</w:t>
            </w:r>
          </w:p>
        </w:tc>
        <w:tc>
          <w:tcPr>
            <w:tcW w:w="1080" w:type="dxa"/>
          </w:tcPr>
          <w:p w14:paraId="7B77CC03" w14:textId="77777777" w:rsidR="00993625" w:rsidRPr="00113BDB" w:rsidRDefault="00993625" w:rsidP="00825A1E">
            <w:pPr>
              <w:keepNext/>
              <w:ind w:left="0" w:right="0"/>
              <w:rPr>
                <w:sz w:val="20"/>
              </w:rPr>
            </w:pPr>
            <w:r w:rsidRPr="00113BDB">
              <w:rPr>
                <w:sz w:val="20"/>
              </w:rPr>
              <w:t>319</w:t>
            </w:r>
          </w:p>
        </w:tc>
        <w:tc>
          <w:tcPr>
            <w:tcW w:w="1080" w:type="dxa"/>
          </w:tcPr>
          <w:p w14:paraId="3DDA8999" w14:textId="77777777" w:rsidR="00993625" w:rsidRPr="00113BDB" w:rsidRDefault="00993625" w:rsidP="00825A1E">
            <w:pPr>
              <w:keepNext/>
              <w:ind w:left="0" w:right="0"/>
              <w:rPr>
                <w:sz w:val="20"/>
              </w:rPr>
            </w:pPr>
            <w:r w:rsidRPr="00113BDB">
              <w:rPr>
                <w:sz w:val="20"/>
              </w:rPr>
              <w:t>1.2</w:t>
            </w:r>
          </w:p>
        </w:tc>
        <w:tc>
          <w:tcPr>
            <w:tcW w:w="1080" w:type="dxa"/>
          </w:tcPr>
          <w:p w14:paraId="03DD8BD3" w14:textId="77777777" w:rsidR="00993625" w:rsidRPr="00113BDB" w:rsidRDefault="00993625" w:rsidP="00825A1E">
            <w:pPr>
              <w:keepNext/>
              <w:ind w:left="0" w:right="0"/>
              <w:rPr>
                <w:sz w:val="20"/>
              </w:rPr>
            </w:pPr>
            <w:r w:rsidRPr="00113BDB">
              <w:rPr>
                <w:sz w:val="20"/>
              </w:rPr>
              <w:t>2</w:t>
            </w:r>
          </w:p>
        </w:tc>
        <w:tc>
          <w:tcPr>
            <w:tcW w:w="990" w:type="dxa"/>
          </w:tcPr>
          <w:p w14:paraId="6549DDF0" w14:textId="77777777" w:rsidR="00993625" w:rsidRPr="00113BDB" w:rsidRDefault="00993625" w:rsidP="00825A1E">
            <w:pPr>
              <w:keepNext/>
              <w:ind w:left="0" w:right="0"/>
              <w:rPr>
                <w:sz w:val="20"/>
              </w:rPr>
            </w:pPr>
            <w:r w:rsidRPr="00113BDB">
              <w:rPr>
                <w:sz w:val="20"/>
              </w:rPr>
              <w:t>0.6</w:t>
            </w:r>
          </w:p>
        </w:tc>
      </w:tr>
      <w:tr w:rsidR="00E9366D" w:rsidRPr="00113BDB" w14:paraId="6B569829" w14:textId="77777777" w:rsidTr="00665E67">
        <w:trPr>
          <w:trHeight w:val="20"/>
        </w:trPr>
        <w:tc>
          <w:tcPr>
            <w:tcW w:w="1277" w:type="dxa"/>
            <w:vMerge/>
          </w:tcPr>
          <w:p w14:paraId="31D6D817" w14:textId="77777777" w:rsidR="00993625" w:rsidRPr="00113BDB" w:rsidRDefault="00993625" w:rsidP="009549F0">
            <w:pPr>
              <w:ind w:left="0" w:right="0"/>
              <w:rPr>
                <w:sz w:val="20"/>
              </w:rPr>
            </w:pPr>
          </w:p>
        </w:tc>
        <w:tc>
          <w:tcPr>
            <w:tcW w:w="1294" w:type="dxa"/>
            <w:vMerge/>
          </w:tcPr>
          <w:p w14:paraId="1A2CABEC" w14:textId="77777777" w:rsidR="00993625" w:rsidRPr="00113BDB" w:rsidRDefault="00993625" w:rsidP="009549F0">
            <w:pPr>
              <w:ind w:left="0" w:right="0"/>
              <w:rPr>
                <w:sz w:val="20"/>
              </w:rPr>
            </w:pPr>
          </w:p>
        </w:tc>
        <w:tc>
          <w:tcPr>
            <w:tcW w:w="1138" w:type="dxa"/>
          </w:tcPr>
          <w:p w14:paraId="3ECC2DBD" w14:textId="77777777" w:rsidR="00993625" w:rsidRPr="00113BDB" w:rsidRDefault="00993625" w:rsidP="009549F0">
            <w:pPr>
              <w:ind w:left="0" w:right="0"/>
              <w:rPr>
                <w:sz w:val="20"/>
              </w:rPr>
            </w:pPr>
            <w:r w:rsidRPr="00113BDB">
              <w:rPr>
                <w:sz w:val="20"/>
              </w:rPr>
              <w:t>75</w:t>
            </w:r>
          </w:p>
        </w:tc>
        <w:tc>
          <w:tcPr>
            <w:tcW w:w="1080" w:type="dxa"/>
          </w:tcPr>
          <w:p w14:paraId="3A037D8F" w14:textId="77777777" w:rsidR="00993625" w:rsidRPr="00113BDB" w:rsidRDefault="00993625" w:rsidP="009549F0">
            <w:pPr>
              <w:ind w:left="0" w:right="0"/>
              <w:rPr>
                <w:sz w:val="20"/>
              </w:rPr>
            </w:pPr>
            <w:r w:rsidRPr="00113BDB">
              <w:rPr>
                <w:sz w:val="20"/>
              </w:rPr>
              <w:t>32.1</w:t>
            </w:r>
          </w:p>
        </w:tc>
        <w:tc>
          <w:tcPr>
            <w:tcW w:w="1080" w:type="dxa"/>
          </w:tcPr>
          <w:p w14:paraId="32F49EE2" w14:textId="77777777" w:rsidR="00993625" w:rsidRPr="00113BDB" w:rsidRDefault="00993625" w:rsidP="009549F0">
            <w:pPr>
              <w:ind w:left="0" w:right="0"/>
              <w:rPr>
                <w:sz w:val="20"/>
              </w:rPr>
            </w:pPr>
            <w:r w:rsidRPr="00113BDB">
              <w:rPr>
                <w:sz w:val="20"/>
              </w:rPr>
              <w:t>944</w:t>
            </w:r>
          </w:p>
        </w:tc>
        <w:tc>
          <w:tcPr>
            <w:tcW w:w="1080" w:type="dxa"/>
          </w:tcPr>
          <w:p w14:paraId="6D8005F6" w14:textId="77777777" w:rsidR="00993625" w:rsidRPr="00113BDB" w:rsidRDefault="00993625" w:rsidP="009549F0">
            <w:pPr>
              <w:ind w:left="0" w:right="0"/>
              <w:rPr>
                <w:sz w:val="20"/>
              </w:rPr>
            </w:pPr>
            <w:r w:rsidRPr="00113BDB">
              <w:rPr>
                <w:sz w:val="20"/>
              </w:rPr>
              <w:t>10.9</w:t>
            </w:r>
          </w:p>
        </w:tc>
        <w:tc>
          <w:tcPr>
            <w:tcW w:w="1080" w:type="dxa"/>
          </w:tcPr>
          <w:p w14:paraId="6371A19B" w14:textId="77777777" w:rsidR="00993625" w:rsidRPr="00113BDB" w:rsidRDefault="00993625" w:rsidP="009549F0">
            <w:pPr>
              <w:ind w:left="0" w:right="0"/>
              <w:rPr>
                <w:sz w:val="20"/>
              </w:rPr>
            </w:pPr>
            <w:r w:rsidRPr="00113BDB">
              <w:rPr>
                <w:sz w:val="20"/>
              </w:rPr>
              <w:t>6</w:t>
            </w:r>
          </w:p>
        </w:tc>
        <w:tc>
          <w:tcPr>
            <w:tcW w:w="990" w:type="dxa"/>
          </w:tcPr>
          <w:p w14:paraId="19519F3D" w14:textId="77777777" w:rsidR="00993625" w:rsidRPr="00113BDB" w:rsidRDefault="00993625" w:rsidP="009549F0">
            <w:pPr>
              <w:ind w:left="0" w:right="0"/>
              <w:rPr>
                <w:sz w:val="20"/>
              </w:rPr>
            </w:pPr>
            <w:r w:rsidRPr="00113BDB">
              <w:rPr>
                <w:sz w:val="20"/>
              </w:rPr>
              <w:t>5</w:t>
            </w:r>
          </w:p>
        </w:tc>
      </w:tr>
      <w:tr w:rsidR="00E9366D" w:rsidRPr="00113BDB" w14:paraId="70D86361" w14:textId="77777777" w:rsidTr="00665E67">
        <w:trPr>
          <w:trHeight w:val="20"/>
        </w:trPr>
        <w:tc>
          <w:tcPr>
            <w:tcW w:w="1277" w:type="dxa"/>
            <w:vMerge/>
          </w:tcPr>
          <w:p w14:paraId="74185527" w14:textId="77777777" w:rsidR="00993625" w:rsidRPr="00113BDB" w:rsidRDefault="00993625" w:rsidP="009549F0">
            <w:pPr>
              <w:ind w:left="0" w:right="0"/>
              <w:rPr>
                <w:sz w:val="20"/>
              </w:rPr>
            </w:pPr>
          </w:p>
        </w:tc>
        <w:tc>
          <w:tcPr>
            <w:tcW w:w="1294" w:type="dxa"/>
            <w:vMerge/>
          </w:tcPr>
          <w:p w14:paraId="6487A789" w14:textId="77777777" w:rsidR="00993625" w:rsidRPr="00113BDB" w:rsidRDefault="00993625" w:rsidP="009549F0">
            <w:pPr>
              <w:ind w:left="0" w:right="0"/>
              <w:rPr>
                <w:sz w:val="20"/>
              </w:rPr>
            </w:pPr>
          </w:p>
        </w:tc>
        <w:tc>
          <w:tcPr>
            <w:tcW w:w="1138" w:type="dxa"/>
          </w:tcPr>
          <w:p w14:paraId="4333220A" w14:textId="77777777" w:rsidR="00993625" w:rsidRPr="00113BDB" w:rsidRDefault="00993625" w:rsidP="009549F0">
            <w:pPr>
              <w:ind w:left="0" w:right="0"/>
              <w:rPr>
                <w:sz w:val="20"/>
              </w:rPr>
            </w:pPr>
            <w:r w:rsidRPr="00113BDB">
              <w:rPr>
                <w:sz w:val="20"/>
              </w:rPr>
              <w:t>150</w:t>
            </w:r>
          </w:p>
        </w:tc>
        <w:tc>
          <w:tcPr>
            <w:tcW w:w="1080" w:type="dxa"/>
          </w:tcPr>
          <w:p w14:paraId="1BADA95C" w14:textId="77777777" w:rsidR="00993625" w:rsidRPr="00113BDB" w:rsidRDefault="00993625" w:rsidP="009549F0">
            <w:pPr>
              <w:ind w:left="0" w:right="0"/>
              <w:rPr>
                <w:sz w:val="20"/>
              </w:rPr>
            </w:pPr>
            <w:r w:rsidRPr="00113BDB">
              <w:rPr>
                <w:sz w:val="20"/>
              </w:rPr>
              <w:t>64.3</w:t>
            </w:r>
          </w:p>
        </w:tc>
        <w:tc>
          <w:tcPr>
            <w:tcW w:w="1080" w:type="dxa"/>
          </w:tcPr>
          <w:p w14:paraId="7046EC16" w14:textId="77777777" w:rsidR="00993625" w:rsidRPr="00113BDB" w:rsidRDefault="00993625" w:rsidP="009549F0">
            <w:pPr>
              <w:ind w:left="0" w:right="0"/>
              <w:rPr>
                <w:sz w:val="20"/>
              </w:rPr>
            </w:pPr>
            <w:r w:rsidRPr="00113BDB">
              <w:rPr>
                <w:sz w:val="20"/>
              </w:rPr>
              <w:t>2285</w:t>
            </w:r>
          </w:p>
        </w:tc>
        <w:tc>
          <w:tcPr>
            <w:tcW w:w="1080" w:type="dxa"/>
          </w:tcPr>
          <w:p w14:paraId="6BDBF4A3" w14:textId="77777777" w:rsidR="00993625" w:rsidRPr="00113BDB" w:rsidRDefault="00993625" w:rsidP="009549F0">
            <w:pPr>
              <w:ind w:left="0" w:right="0"/>
              <w:rPr>
                <w:sz w:val="20"/>
              </w:rPr>
            </w:pPr>
            <w:r w:rsidRPr="00113BDB">
              <w:rPr>
                <w:sz w:val="20"/>
              </w:rPr>
              <w:t>24.3</w:t>
            </w:r>
          </w:p>
        </w:tc>
        <w:tc>
          <w:tcPr>
            <w:tcW w:w="1080" w:type="dxa"/>
          </w:tcPr>
          <w:p w14:paraId="7044F9BD" w14:textId="77777777" w:rsidR="00993625" w:rsidRPr="00113BDB" w:rsidRDefault="00993625" w:rsidP="009549F0">
            <w:pPr>
              <w:ind w:left="0" w:right="0"/>
              <w:rPr>
                <w:sz w:val="20"/>
              </w:rPr>
            </w:pPr>
            <w:r w:rsidRPr="00113BDB">
              <w:rPr>
                <w:sz w:val="20"/>
              </w:rPr>
              <w:t>13</w:t>
            </w:r>
          </w:p>
        </w:tc>
        <w:tc>
          <w:tcPr>
            <w:tcW w:w="990" w:type="dxa"/>
          </w:tcPr>
          <w:p w14:paraId="212DB07D" w14:textId="77777777" w:rsidR="00993625" w:rsidRPr="00113BDB" w:rsidRDefault="00993625" w:rsidP="009549F0">
            <w:pPr>
              <w:ind w:left="0" w:right="0"/>
              <w:rPr>
                <w:sz w:val="20"/>
              </w:rPr>
            </w:pPr>
            <w:r w:rsidRPr="00113BDB">
              <w:rPr>
                <w:sz w:val="20"/>
              </w:rPr>
              <w:t>12</w:t>
            </w:r>
          </w:p>
        </w:tc>
      </w:tr>
      <w:tr w:rsidR="00E9366D" w:rsidRPr="00113BDB" w14:paraId="03FE56E9" w14:textId="77777777" w:rsidTr="00665E67">
        <w:trPr>
          <w:trHeight w:val="20"/>
        </w:trPr>
        <w:tc>
          <w:tcPr>
            <w:tcW w:w="1277" w:type="dxa"/>
            <w:vMerge/>
          </w:tcPr>
          <w:p w14:paraId="38697461" w14:textId="77777777" w:rsidR="00993625" w:rsidRPr="00113BDB" w:rsidRDefault="00993625" w:rsidP="009549F0">
            <w:pPr>
              <w:ind w:left="0" w:right="0"/>
              <w:rPr>
                <w:sz w:val="20"/>
              </w:rPr>
            </w:pPr>
          </w:p>
        </w:tc>
        <w:tc>
          <w:tcPr>
            <w:tcW w:w="1294" w:type="dxa"/>
            <w:vMerge w:val="restart"/>
          </w:tcPr>
          <w:p w14:paraId="18300FAD" w14:textId="77777777" w:rsidR="00E9366D" w:rsidRPr="00113BDB" w:rsidRDefault="00993625" w:rsidP="009549F0">
            <w:pPr>
              <w:ind w:left="0" w:right="0"/>
              <w:rPr>
                <w:sz w:val="20"/>
              </w:rPr>
            </w:pPr>
            <w:r w:rsidRPr="00113BDB">
              <w:rPr>
                <w:sz w:val="20"/>
              </w:rPr>
              <w:t>13 weeks</w:t>
            </w:r>
          </w:p>
          <w:p w14:paraId="3389F9F1" w14:textId="464D37EA" w:rsidR="00993625" w:rsidRPr="00113BDB" w:rsidRDefault="00993625" w:rsidP="009549F0">
            <w:pPr>
              <w:ind w:left="0" w:right="0"/>
              <w:rPr>
                <w:sz w:val="20"/>
              </w:rPr>
            </w:pPr>
            <w:r w:rsidRPr="00113BDB">
              <w:rPr>
                <w:sz w:val="20"/>
              </w:rPr>
              <w:t>Study</w:t>
            </w:r>
            <w:r w:rsidR="00E9366D" w:rsidRPr="00113BDB">
              <w:rPr>
                <w:sz w:val="20"/>
              </w:rPr>
              <w:t xml:space="preserve"> 208337</w:t>
            </w:r>
          </w:p>
        </w:tc>
        <w:tc>
          <w:tcPr>
            <w:tcW w:w="1138" w:type="dxa"/>
          </w:tcPr>
          <w:p w14:paraId="4F4668F1" w14:textId="77777777" w:rsidR="00993625" w:rsidRPr="00113BDB" w:rsidRDefault="00993625" w:rsidP="009549F0">
            <w:pPr>
              <w:ind w:left="0" w:right="0"/>
              <w:rPr>
                <w:sz w:val="20"/>
              </w:rPr>
            </w:pPr>
            <w:r w:rsidRPr="00113BDB">
              <w:rPr>
                <w:sz w:val="20"/>
              </w:rPr>
              <w:t>25</w:t>
            </w:r>
          </w:p>
        </w:tc>
        <w:tc>
          <w:tcPr>
            <w:tcW w:w="1080" w:type="dxa"/>
          </w:tcPr>
          <w:p w14:paraId="5B34CFF3" w14:textId="77777777" w:rsidR="00993625" w:rsidRPr="00113BDB" w:rsidRDefault="00993625" w:rsidP="009549F0">
            <w:pPr>
              <w:ind w:left="0" w:right="0"/>
              <w:rPr>
                <w:sz w:val="20"/>
              </w:rPr>
            </w:pPr>
            <w:r w:rsidRPr="00113BDB">
              <w:rPr>
                <w:sz w:val="20"/>
              </w:rPr>
              <w:t>10.7</w:t>
            </w:r>
          </w:p>
        </w:tc>
        <w:tc>
          <w:tcPr>
            <w:tcW w:w="1080" w:type="dxa"/>
          </w:tcPr>
          <w:p w14:paraId="141A746C" w14:textId="77777777" w:rsidR="00993625" w:rsidRPr="00113BDB" w:rsidRDefault="00993625" w:rsidP="009549F0">
            <w:pPr>
              <w:ind w:left="0" w:right="0"/>
              <w:rPr>
                <w:sz w:val="20"/>
              </w:rPr>
            </w:pPr>
            <w:r w:rsidRPr="00113BDB">
              <w:rPr>
                <w:sz w:val="20"/>
              </w:rPr>
              <w:t>494</w:t>
            </w:r>
          </w:p>
        </w:tc>
        <w:tc>
          <w:tcPr>
            <w:tcW w:w="1080" w:type="dxa"/>
          </w:tcPr>
          <w:p w14:paraId="55F1103A" w14:textId="77777777" w:rsidR="00993625" w:rsidRPr="00113BDB" w:rsidRDefault="00993625" w:rsidP="009549F0">
            <w:pPr>
              <w:ind w:left="0" w:right="0"/>
              <w:rPr>
                <w:i/>
                <w:sz w:val="20"/>
                <w:vertAlign w:val="superscript"/>
              </w:rPr>
            </w:pPr>
            <w:r w:rsidRPr="00113BDB">
              <w:rPr>
                <w:sz w:val="20"/>
              </w:rPr>
              <w:t>3.1</w:t>
            </w:r>
          </w:p>
        </w:tc>
        <w:tc>
          <w:tcPr>
            <w:tcW w:w="1080" w:type="dxa"/>
          </w:tcPr>
          <w:p w14:paraId="1C08555E" w14:textId="77777777" w:rsidR="00993625" w:rsidRPr="00113BDB" w:rsidRDefault="00993625" w:rsidP="009549F0">
            <w:pPr>
              <w:ind w:left="0" w:right="0"/>
              <w:rPr>
                <w:sz w:val="20"/>
              </w:rPr>
            </w:pPr>
            <w:r w:rsidRPr="00113BDB">
              <w:rPr>
                <w:sz w:val="20"/>
              </w:rPr>
              <w:t>3</w:t>
            </w:r>
          </w:p>
        </w:tc>
        <w:tc>
          <w:tcPr>
            <w:tcW w:w="990" w:type="dxa"/>
          </w:tcPr>
          <w:p w14:paraId="06BFB7E4" w14:textId="77777777" w:rsidR="00993625" w:rsidRPr="00113BDB" w:rsidRDefault="00993625" w:rsidP="009549F0">
            <w:pPr>
              <w:ind w:left="0" w:right="0"/>
              <w:rPr>
                <w:sz w:val="20"/>
              </w:rPr>
            </w:pPr>
            <w:r w:rsidRPr="00113BDB">
              <w:rPr>
                <w:sz w:val="20"/>
              </w:rPr>
              <w:t>1.6</w:t>
            </w:r>
          </w:p>
        </w:tc>
      </w:tr>
      <w:tr w:rsidR="00E9366D" w:rsidRPr="00113BDB" w14:paraId="605787EA" w14:textId="77777777" w:rsidTr="00665E67">
        <w:trPr>
          <w:trHeight w:val="20"/>
        </w:trPr>
        <w:tc>
          <w:tcPr>
            <w:tcW w:w="1277" w:type="dxa"/>
            <w:vMerge/>
          </w:tcPr>
          <w:p w14:paraId="4F58DB25" w14:textId="77777777" w:rsidR="00993625" w:rsidRPr="00113BDB" w:rsidRDefault="00993625" w:rsidP="009549F0">
            <w:pPr>
              <w:ind w:left="0" w:right="0"/>
              <w:rPr>
                <w:sz w:val="20"/>
              </w:rPr>
            </w:pPr>
          </w:p>
        </w:tc>
        <w:tc>
          <w:tcPr>
            <w:tcW w:w="1294" w:type="dxa"/>
            <w:vMerge/>
          </w:tcPr>
          <w:p w14:paraId="1EDC049E" w14:textId="77777777" w:rsidR="00993625" w:rsidRPr="00113BDB" w:rsidRDefault="00993625" w:rsidP="009549F0">
            <w:pPr>
              <w:ind w:left="0" w:right="0"/>
              <w:rPr>
                <w:sz w:val="20"/>
              </w:rPr>
            </w:pPr>
          </w:p>
        </w:tc>
        <w:tc>
          <w:tcPr>
            <w:tcW w:w="1138" w:type="dxa"/>
          </w:tcPr>
          <w:p w14:paraId="79A9E3A2" w14:textId="77777777" w:rsidR="00993625" w:rsidRPr="00113BDB" w:rsidRDefault="00993625" w:rsidP="009549F0">
            <w:pPr>
              <w:ind w:left="0" w:right="0"/>
              <w:rPr>
                <w:sz w:val="20"/>
              </w:rPr>
            </w:pPr>
            <w:r w:rsidRPr="00113BDB">
              <w:rPr>
                <w:sz w:val="20"/>
              </w:rPr>
              <w:t>50</w:t>
            </w:r>
          </w:p>
        </w:tc>
        <w:tc>
          <w:tcPr>
            <w:tcW w:w="1080" w:type="dxa"/>
          </w:tcPr>
          <w:p w14:paraId="058EAD93" w14:textId="77777777" w:rsidR="00993625" w:rsidRPr="00113BDB" w:rsidRDefault="00993625" w:rsidP="009549F0">
            <w:pPr>
              <w:ind w:left="0" w:right="0"/>
              <w:rPr>
                <w:sz w:val="20"/>
              </w:rPr>
            </w:pPr>
            <w:r w:rsidRPr="00113BDB">
              <w:rPr>
                <w:sz w:val="20"/>
              </w:rPr>
              <w:t>21.4</w:t>
            </w:r>
          </w:p>
        </w:tc>
        <w:tc>
          <w:tcPr>
            <w:tcW w:w="1080" w:type="dxa"/>
          </w:tcPr>
          <w:p w14:paraId="4DA58D49" w14:textId="77777777" w:rsidR="00993625" w:rsidRPr="00113BDB" w:rsidRDefault="00993625" w:rsidP="009549F0">
            <w:pPr>
              <w:ind w:left="0" w:right="0"/>
              <w:rPr>
                <w:sz w:val="20"/>
              </w:rPr>
            </w:pPr>
            <w:r w:rsidRPr="00113BDB">
              <w:rPr>
                <w:sz w:val="20"/>
              </w:rPr>
              <w:t>804</w:t>
            </w:r>
          </w:p>
        </w:tc>
        <w:tc>
          <w:tcPr>
            <w:tcW w:w="1080" w:type="dxa"/>
          </w:tcPr>
          <w:p w14:paraId="6329FBCA" w14:textId="77777777" w:rsidR="00993625" w:rsidRPr="00113BDB" w:rsidRDefault="00993625" w:rsidP="009549F0">
            <w:pPr>
              <w:ind w:left="0" w:right="0"/>
              <w:rPr>
                <w:sz w:val="20"/>
              </w:rPr>
            </w:pPr>
            <w:r w:rsidRPr="00113BDB">
              <w:rPr>
                <w:sz w:val="20"/>
              </w:rPr>
              <w:t>13.7</w:t>
            </w:r>
          </w:p>
        </w:tc>
        <w:tc>
          <w:tcPr>
            <w:tcW w:w="1080" w:type="dxa"/>
          </w:tcPr>
          <w:p w14:paraId="5CAD5F27" w14:textId="77777777" w:rsidR="00993625" w:rsidRPr="00113BDB" w:rsidRDefault="00993625" w:rsidP="009549F0">
            <w:pPr>
              <w:ind w:left="0" w:right="0"/>
              <w:rPr>
                <w:sz w:val="20"/>
              </w:rPr>
            </w:pPr>
            <w:r w:rsidRPr="00113BDB">
              <w:rPr>
                <w:sz w:val="20"/>
              </w:rPr>
              <w:t>5</w:t>
            </w:r>
          </w:p>
        </w:tc>
        <w:tc>
          <w:tcPr>
            <w:tcW w:w="990" w:type="dxa"/>
          </w:tcPr>
          <w:p w14:paraId="02285528" w14:textId="77777777" w:rsidR="00993625" w:rsidRPr="00113BDB" w:rsidRDefault="00993625" w:rsidP="009549F0">
            <w:pPr>
              <w:ind w:left="0" w:right="0"/>
              <w:rPr>
                <w:sz w:val="20"/>
              </w:rPr>
            </w:pPr>
            <w:r w:rsidRPr="00113BDB">
              <w:rPr>
                <w:sz w:val="20"/>
              </w:rPr>
              <w:t>7</w:t>
            </w:r>
          </w:p>
        </w:tc>
      </w:tr>
      <w:tr w:rsidR="00E9366D" w:rsidRPr="00113BDB" w14:paraId="04B4C4DC" w14:textId="77777777" w:rsidTr="00665E67">
        <w:trPr>
          <w:trHeight w:val="20"/>
        </w:trPr>
        <w:tc>
          <w:tcPr>
            <w:tcW w:w="1277" w:type="dxa"/>
            <w:vMerge/>
          </w:tcPr>
          <w:p w14:paraId="1906188B" w14:textId="77777777" w:rsidR="00993625" w:rsidRPr="00113BDB" w:rsidRDefault="00993625" w:rsidP="009549F0">
            <w:pPr>
              <w:ind w:left="0" w:right="0"/>
              <w:rPr>
                <w:sz w:val="20"/>
              </w:rPr>
            </w:pPr>
          </w:p>
        </w:tc>
        <w:tc>
          <w:tcPr>
            <w:tcW w:w="1294" w:type="dxa"/>
            <w:vMerge/>
          </w:tcPr>
          <w:p w14:paraId="19E852A2" w14:textId="77777777" w:rsidR="00993625" w:rsidRPr="00113BDB" w:rsidRDefault="00993625" w:rsidP="009549F0">
            <w:pPr>
              <w:ind w:left="0" w:right="0"/>
              <w:rPr>
                <w:sz w:val="20"/>
              </w:rPr>
            </w:pPr>
          </w:p>
        </w:tc>
        <w:tc>
          <w:tcPr>
            <w:tcW w:w="1138" w:type="dxa"/>
          </w:tcPr>
          <w:p w14:paraId="00B6C4EE" w14:textId="77777777" w:rsidR="00993625" w:rsidRPr="00113BDB" w:rsidRDefault="00993625" w:rsidP="009549F0">
            <w:pPr>
              <w:ind w:left="0" w:right="0"/>
              <w:rPr>
                <w:sz w:val="20"/>
              </w:rPr>
            </w:pPr>
            <w:r w:rsidRPr="00113BDB">
              <w:rPr>
                <w:sz w:val="20"/>
              </w:rPr>
              <w:t>75</w:t>
            </w:r>
          </w:p>
        </w:tc>
        <w:tc>
          <w:tcPr>
            <w:tcW w:w="1080" w:type="dxa"/>
          </w:tcPr>
          <w:p w14:paraId="7EAD9B26" w14:textId="77777777" w:rsidR="00993625" w:rsidRPr="00113BDB" w:rsidRDefault="00993625" w:rsidP="009549F0">
            <w:pPr>
              <w:ind w:left="0" w:right="0"/>
              <w:rPr>
                <w:sz w:val="20"/>
              </w:rPr>
            </w:pPr>
            <w:r w:rsidRPr="00113BDB">
              <w:rPr>
                <w:sz w:val="20"/>
              </w:rPr>
              <w:t>32.1</w:t>
            </w:r>
          </w:p>
        </w:tc>
        <w:tc>
          <w:tcPr>
            <w:tcW w:w="1080" w:type="dxa"/>
          </w:tcPr>
          <w:p w14:paraId="652605F4" w14:textId="77777777" w:rsidR="00993625" w:rsidRPr="00113BDB" w:rsidRDefault="00993625" w:rsidP="009549F0">
            <w:pPr>
              <w:ind w:left="0" w:right="0"/>
              <w:rPr>
                <w:sz w:val="20"/>
              </w:rPr>
            </w:pPr>
            <w:r w:rsidRPr="00113BDB">
              <w:rPr>
                <w:sz w:val="20"/>
              </w:rPr>
              <w:t>1210</w:t>
            </w:r>
          </w:p>
        </w:tc>
        <w:tc>
          <w:tcPr>
            <w:tcW w:w="1080" w:type="dxa"/>
          </w:tcPr>
          <w:p w14:paraId="7EBF3E79" w14:textId="77777777" w:rsidR="00993625" w:rsidRPr="00113BDB" w:rsidRDefault="00993625" w:rsidP="009549F0">
            <w:pPr>
              <w:ind w:left="0" w:right="0"/>
              <w:rPr>
                <w:sz w:val="20"/>
              </w:rPr>
            </w:pPr>
            <w:r w:rsidRPr="00113BDB">
              <w:rPr>
                <w:sz w:val="20"/>
              </w:rPr>
              <w:t>25.9</w:t>
            </w:r>
          </w:p>
        </w:tc>
        <w:tc>
          <w:tcPr>
            <w:tcW w:w="1080" w:type="dxa"/>
          </w:tcPr>
          <w:p w14:paraId="09CCAA30" w14:textId="77777777" w:rsidR="00993625" w:rsidRPr="00113BDB" w:rsidRDefault="00993625" w:rsidP="009549F0">
            <w:pPr>
              <w:ind w:left="0" w:right="0"/>
              <w:rPr>
                <w:sz w:val="20"/>
              </w:rPr>
            </w:pPr>
            <w:r w:rsidRPr="00113BDB">
              <w:rPr>
                <w:sz w:val="20"/>
              </w:rPr>
              <w:t>7</w:t>
            </w:r>
          </w:p>
        </w:tc>
        <w:tc>
          <w:tcPr>
            <w:tcW w:w="990" w:type="dxa"/>
          </w:tcPr>
          <w:p w14:paraId="0BA99B3A" w14:textId="77777777" w:rsidR="00993625" w:rsidRPr="00113BDB" w:rsidRDefault="00993625" w:rsidP="009549F0">
            <w:pPr>
              <w:ind w:left="0" w:right="0"/>
              <w:rPr>
                <w:sz w:val="20"/>
              </w:rPr>
            </w:pPr>
            <w:r w:rsidRPr="00113BDB">
              <w:rPr>
                <w:sz w:val="20"/>
              </w:rPr>
              <w:t>13</w:t>
            </w:r>
          </w:p>
        </w:tc>
      </w:tr>
      <w:tr w:rsidR="00E9366D" w:rsidRPr="00113BDB" w14:paraId="24F394AA" w14:textId="77777777" w:rsidTr="00665E67">
        <w:trPr>
          <w:trHeight w:val="20"/>
        </w:trPr>
        <w:tc>
          <w:tcPr>
            <w:tcW w:w="2571" w:type="dxa"/>
            <w:gridSpan w:val="2"/>
            <w:vMerge w:val="restart"/>
          </w:tcPr>
          <w:p w14:paraId="25F0D5A9" w14:textId="77777777" w:rsidR="00993625" w:rsidRPr="00113BDB" w:rsidRDefault="00993625" w:rsidP="009549F0">
            <w:pPr>
              <w:ind w:left="0" w:right="0"/>
              <w:rPr>
                <w:sz w:val="20"/>
              </w:rPr>
            </w:pPr>
            <w:r w:rsidRPr="00113BDB">
              <w:rPr>
                <w:b/>
                <w:sz w:val="20"/>
              </w:rPr>
              <w:t>Human</w:t>
            </w:r>
            <w:r w:rsidRPr="00113BDB">
              <w:rPr>
                <w:sz w:val="20"/>
              </w:rPr>
              <w:t xml:space="preserve"> (diabetic patients)</w:t>
            </w:r>
          </w:p>
        </w:tc>
        <w:tc>
          <w:tcPr>
            <w:tcW w:w="1138" w:type="dxa"/>
          </w:tcPr>
          <w:p w14:paraId="23416E8A" w14:textId="77777777" w:rsidR="00993625" w:rsidRPr="00113BDB" w:rsidRDefault="00993625" w:rsidP="009549F0">
            <w:pPr>
              <w:ind w:left="0" w:right="0"/>
              <w:rPr>
                <w:sz w:val="20"/>
              </w:rPr>
            </w:pPr>
            <w:r w:rsidRPr="00113BDB">
              <w:rPr>
                <w:sz w:val="20"/>
              </w:rPr>
              <w:t>4.54</w:t>
            </w:r>
          </w:p>
        </w:tc>
        <w:tc>
          <w:tcPr>
            <w:tcW w:w="1080" w:type="dxa"/>
          </w:tcPr>
          <w:p w14:paraId="203A7C2D" w14:textId="77777777" w:rsidR="00993625" w:rsidRPr="00113BDB" w:rsidRDefault="00993625" w:rsidP="009549F0">
            <w:pPr>
              <w:ind w:left="0" w:right="0"/>
              <w:rPr>
                <w:sz w:val="20"/>
              </w:rPr>
            </w:pPr>
            <w:r w:rsidRPr="00113BDB">
              <w:rPr>
                <w:sz w:val="20"/>
              </w:rPr>
              <w:t>1.94</w:t>
            </w:r>
          </w:p>
        </w:tc>
        <w:tc>
          <w:tcPr>
            <w:tcW w:w="1080" w:type="dxa"/>
            <w:vMerge w:val="restart"/>
          </w:tcPr>
          <w:p w14:paraId="7EBA8E3B" w14:textId="45B5522E" w:rsidR="00993625" w:rsidRPr="00113BDB" w:rsidRDefault="00993625" w:rsidP="009549F0">
            <w:pPr>
              <w:ind w:left="0" w:right="0"/>
              <w:rPr>
                <w:sz w:val="20"/>
              </w:rPr>
            </w:pPr>
            <w:r w:rsidRPr="00113BDB">
              <w:rPr>
                <w:sz w:val="20"/>
              </w:rPr>
              <w:t>170</w:t>
            </w:r>
            <w:r w:rsidR="00E9366D" w:rsidRPr="00113BDB">
              <w:rPr>
                <w:sz w:val="20"/>
                <w:vertAlign w:val="superscript"/>
              </w:rPr>
              <w:t>a</w:t>
            </w:r>
          </w:p>
        </w:tc>
        <w:tc>
          <w:tcPr>
            <w:tcW w:w="1080" w:type="dxa"/>
            <w:vMerge w:val="restart"/>
          </w:tcPr>
          <w:p w14:paraId="55EF5D00" w14:textId="56B7503B" w:rsidR="00993625" w:rsidRPr="00113BDB" w:rsidRDefault="00993625" w:rsidP="009549F0">
            <w:pPr>
              <w:ind w:left="0" w:right="0"/>
              <w:rPr>
                <w:sz w:val="20"/>
              </w:rPr>
            </w:pPr>
            <w:r w:rsidRPr="00113BDB">
              <w:rPr>
                <w:sz w:val="20"/>
              </w:rPr>
              <w:t>2.0</w:t>
            </w:r>
            <w:r w:rsidR="00E9366D" w:rsidRPr="00113BDB">
              <w:rPr>
                <w:sz w:val="20"/>
                <w:vertAlign w:val="superscript"/>
              </w:rPr>
              <w:t>a</w:t>
            </w:r>
          </w:p>
        </w:tc>
        <w:tc>
          <w:tcPr>
            <w:tcW w:w="1080" w:type="dxa"/>
            <w:vMerge w:val="restart"/>
          </w:tcPr>
          <w:p w14:paraId="5ACFB4AC" w14:textId="1B66E5A0" w:rsidR="00993625" w:rsidRPr="00113BDB" w:rsidRDefault="00993625" w:rsidP="009549F0">
            <w:pPr>
              <w:ind w:left="0" w:right="0"/>
              <w:rPr>
                <w:sz w:val="20"/>
              </w:rPr>
            </w:pPr>
          </w:p>
        </w:tc>
        <w:tc>
          <w:tcPr>
            <w:tcW w:w="990" w:type="dxa"/>
            <w:vMerge w:val="restart"/>
          </w:tcPr>
          <w:p w14:paraId="6D5304FF" w14:textId="5583E7E4" w:rsidR="00993625" w:rsidRPr="00113BDB" w:rsidRDefault="00993625" w:rsidP="009549F0">
            <w:pPr>
              <w:ind w:left="0" w:right="0"/>
              <w:rPr>
                <w:sz w:val="20"/>
              </w:rPr>
            </w:pPr>
          </w:p>
        </w:tc>
      </w:tr>
      <w:tr w:rsidR="00E9366D" w:rsidRPr="00113BDB" w14:paraId="1F1A58F6" w14:textId="77777777" w:rsidTr="00665E67">
        <w:trPr>
          <w:trHeight w:val="20"/>
        </w:trPr>
        <w:tc>
          <w:tcPr>
            <w:tcW w:w="2571" w:type="dxa"/>
            <w:gridSpan w:val="2"/>
            <w:vMerge/>
          </w:tcPr>
          <w:p w14:paraId="2F9AF222" w14:textId="77777777" w:rsidR="00993625" w:rsidRPr="00113BDB" w:rsidRDefault="00993625" w:rsidP="009549F0">
            <w:pPr>
              <w:ind w:left="0" w:right="0"/>
              <w:rPr>
                <w:b/>
                <w:sz w:val="20"/>
              </w:rPr>
            </w:pPr>
          </w:p>
        </w:tc>
        <w:tc>
          <w:tcPr>
            <w:tcW w:w="2218" w:type="dxa"/>
            <w:gridSpan w:val="2"/>
          </w:tcPr>
          <w:p w14:paraId="6647DAEA" w14:textId="77777777" w:rsidR="00993625" w:rsidRPr="00113BDB" w:rsidRDefault="00993625" w:rsidP="009549F0">
            <w:pPr>
              <w:ind w:left="0" w:right="0"/>
              <w:rPr>
                <w:sz w:val="20"/>
              </w:rPr>
            </w:pPr>
            <w:r w:rsidRPr="00113BDB">
              <w:rPr>
                <w:sz w:val="20"/>
              </w:rPr>
              <w:t>(= 1.08 U/kg/day)</w:t>
            </w:r>
          </w:p>
        </w:tc>
        <w:tc>
          <w:tcPr>
            <w:tcW w:w="1080" w:type="dxa"/>
            <w:vMerge/>
          </w:tcPr>
          <w:p w14:paraId="6DA637AB" w14:textId="77777777" w:rsidR="00993625" w:rsidRPr="00113BDB" w:rsidRDefault="00993625" w:rsidP="009549F0">
            <w:pPr>
              <w:ind w:left="0" w:right="0"/>
              <w:rPr>
                <w:sz w:val="20"/>
              </w:rPr>
            </w:pPr>
          </w:p>
        </w:tc>
        <w:tc>
          <w:tcPr>
            <w:tcW w:w="1080" w:type="dxa"/>
            <w:vMerge/>
          </w:tcPr>
          <w:p w14:paraId="1CB29435" w14:textId="77777777" w:rsidR="00993625" w:rsidRPr="00113BDB" w:rsidRDefault="00993625" w:rsidP="009549F0">
            <w:pPr>
              <w:ind w:left="0" w:right="0"/>
              <w:rPr>
                <w:sz w:val="20"/>
              </w:rPr>
            </w:pPr>
          </w:p>
        </w:tc>
        <w:tc>
          <w:tcPr>
            <w:tcW w:w="1080" w:type="dxa"/>
            <w:vMerge/>
          </w:tcPr>
          <w:p w14:paraId="09EC7D1D" w14:textId="77777777" w:rsidR="00993625" w:rsidRPr="00113BDB" w:rsidRDefault="00993625" w:rsidP="009549F0">
            <w:pPr>
              <w:ind w:left="0" w:right="0"/>
              <w:rPr>
                <w:sz w:val="20"/>
              </w:rPr>
            </w:pPr>
          </w:p>
        </w:tc>
        <w:tc>
          <w:tcPr>
            <w:tcW w:w="990" w:type="dxa"/>
            <w:vMerge/>
          </w:tcPr>
          <w:p w14:paraId="50887C6E" w14:textId="77777777" w:rsidR="00993625" w:rsidRPr="00113BDB" w:rsidRDefault="00993625" w:rsidP="009549F0">
            <w:pPr>
              <w:ind w:left="0" w:right="0"/>
              <w:rPr>
                <w:sz w:val="20"/>
              </w:rPr>
            </w:pPr>
          </w:p>
        </w:tc>
      </w:tr>
    </w:tbl>
    <w:p w14:paraId="50D39667" w14:textId="684280D2" w:rsidR="00993625" w:rsidRPr="00113BDB" w:rsidRDefault="00E9366D" w:rsidP="00297B1F">
      <w:pPr>
        <w:pStyle w:val="TableDescription"/>
      </w:pPr>
      <w:r w:rsidRPr="00113BDB">
        <w:t xml:space="preserve">a) </w:t>
      </w:r>
      <w:r w:rsidR="00993625" w:rsidRPr="00113BDB">
        <w:t>Human AUC values for insulin degludec and insulin aspart have been calculated based on linear extrapolation of mean pharmacokinetic data</w:t>
      </w:r>
      <w:r w:rsidRPr="00113BDB">
        <w:t xml:space="preserve"> obtained at 0.8 U/kg doses in c</w:t>
      </w:r>
      <w:r w:rsidR="00993625" w:rsidRPr="00113BDB">
        <w:t>linical Studies NN1250-1993 (insulin degludec) and NN5401-3539 (combination), respectively.</w:t>
      </w:r>
    </w:p>
    <w:p w14:paraId="603DE0BB" w14:textId="08E9F921" w:rsidR="009549F0" w:rsidRPr="00113BDB" w:rsidRDefault="009549F0" w:rsidP="009549F0">
      <w:r w:rsidRPr="00113BDB">
        <w:t>Salient findings included clinical signs of hypoglycaemia (underactive behaviour, partially closed eyes), some changes in clinical chemistry (lower protein levels, as well as reduced blood glucose) and urinalysis (reduced volume with a subsequent darkening in colour and reduced pH), and reduced liver weights. Histopathological findings were limite</w:t>
      </w:r>
      <w:r w:rsidR="00297B1F" w:rsidRPr="00113BDB">
        <w:t>d to injection site reactions;</w:t>
      </w:r>
      <w:r w:rsidRPr="00113BDB">
        <w:t xml:space="preserve"> generally mild and similar across all groups (including vehicle controls). No unanticipated toxicities were seen, and the findings are not considered adverse. A </w:t>
      </w:r>
      <w:r w:rsidR="00E9366D" w:rsidRPr="00113BDB">
        <w:t xml:space="preserve">no observable adverse effect level </w:t>
      </w:r>
      <w:r w:rsidRPr="00113BDB">
        <w:t>of 75/32 nmol/kg/day is established for insulin degludec/insulin aspart in the pivotal combination study, associated with significant multiples of the clinical exposu</w:t>
      </w:r>
      <w:r w:rsidR="00932F57" w:rsidRPr="00113BDB">
        <w:t xml:space="preserve">re for each insulin analogue (7 to </w:t>
      </w:r>
      <w:r w:rsidRPr="00113BDB">
        <w:t>13).</w:t>
      </w:r>
    </w:p>
    <w:p w14:paraId="6C345C84" w14:textId="1C554661" w:rsidR="009549F0" w:rsidRPr="00113BDB" w:rsidRDefault="009549F0" w:rsidP="009549F0">
      <w:r w:rsidRPr="00113BDB">
        <w:t xml:space="preserve">Antibodies against both insulins developed in treated rats. This has been seen previously in studies with the individual components, are associated with a human protein </w:t>
      </w:r>
      <w:r w:rsidRPr="00113BDB">
        <w:lastRenderedPageBreak/>
        <w:t>administered to rats, and are not considered to be predictive of the clinical situation. Anti-drug antibodies were not seen to affect drug exposure.</w:t>
      </w:r>
    </w:p>
    <w:p w14:paraId="2FCE34D5" w14:textId="77777777" w:rsidR="009549F0" w:rsidRPr="00113BDB" w:rsidRDefault="009549F0" w:rsidP="00C36733">
      <w:pPr>
        <w:pStyle w:val="Heading4"/>
      </w:pPr>
      <w:r w:rsidRPr="00113BDB">
        <w:t>Reproductive toxicity</w:t>
      </w:r>
    </w:p>
    <w:p w14:paraId="14CD930B" w14:textId="722821EB" w:rsidR="009549F0" w:rsidRPr="00113BDB" w:rsidRDefault="00FB4E29" w:rsidP="009549F0">
      <w:r>
        <w:t>Two</w:t>
      </w:r>
      <w:r w:rsidRPr="00113BDB">
        <w:t xml:space="preserve"> </w:t>
      </w:r>
      <w:r w:rsidR="009549F0" w:rsidRPr="00113BDB">
        <w:t>rat embryofetal development studies with t</w:t>
      </w:r>
      <w:r w:rsidR="00297B1F" w:rsidRPr="00113BDB">
        <w:t xml:space="preserve">he combination were submitted; </w:t>
      </w:r>
      <w:r w:rsidR="009549F0" w:rsidRPr="00113BDB">
        <w:t>a pilot dose</w:t>
      </w:r>
      <w:r w:rsidR="00297B1F" w:rsidRPr="00113BDB">
        <w:t xml:space="preserve"> </w:t>
      </w:r>
      <w:r w:rsidR="009549F0" w:rsidRPr="00113BDB">
        <w:t>ranging study and a main study. Both were GLP</w:t>
      </w:r>
      <w:r w:rsidR="00297B1F" w:rsidRPr="00113BDB">
        <w:t xml:space="preserve"> </w:t>
      </w:r>
      <w:r w:rsidR="009549F0" w:rsidRPr="00113BDB">
        <w:t>compliant, and the pivotal study was appropriately designed and conducted. The clinical formulation and the clinical dose ratio (7:3 </w:t>
      </w:r>
      <w:r w:rsidR="00955D3E" w:rsidRPr="00113BDB">
        <w:t>IDeg</w:t>
      </w:r>
      <w:r w:rsidR="009549F0" w:rsidRPr="00113BDB">
        <w:t>/</w:t>
      </w:r>
      <w:r w:rsidR="00955D3E" w:rsidRPr="00113BDB">
        <w:t>IAsp</w:t>
      </w:r>
      <w:r w:rsidR="009549F0" w:rsidRPr="00113BDB">
        <w:t>) were used, and NPH insulin was included as a comparator. Exposure ratios achieved in the animals are tabulated below. The same dose levels were used in both studies.</w:t>
      </w:r>
    </w:p>
    <w:p w14:paraId="2D8EC14C" w14:textId="59F315B3" w:rsidR="009549F0" w:rsidRPr="00113BDB" w:rsidRDefault="00932F57" w:rsidP="00932F57">
      <w:pPr>
        <w:pStyle w:val="Tabletitle0"/>
      </w:pPr>
      <w:r w:rsidRPr="00113BDB">
        <w:t xml:space="preserve">Table </w:t>
      </w:r>
      <w:r w:rsidR="00825A1E">
        <w:t>5</w:t>
      </w:r>
      <w:r w:rsidR="00EF2F80">
        <w:t>:</w:t>
      </w:r>
      <w:r w:rsidR="009549F0" w:rsidRPr="00113BDB">
        <w:t xml:space="preserve"> Relative exposure in reproductive toxicity studies</w:t>
      </w:r>
    </w:p>
    <w:tbl>
      <w:tblPr>
        <w:tblStyle w:val="TableTGAblue"/>
        <w:tblW w:w="8749" w:type="dxa"/>
        <w:tblLayout w:type="fixed"/>
        <w:tblLook w:val="01E0" w:firstRow="1" w:lastRow="1" w:firstColumn="1" w:lastColumn="1" w:noHBand="0" w:noVBand="0"/>
        <w:tblDescription w:val="Table 5: Relative exposure in reproductive toxicity studies"/>
      </w:tblPr>
      <w:tblGrid>
        <w:gridCol w:w="1277"/>
        <w:gridCol w:w="1559"/>
        <w:gridCol w:w="873"/>
        <w:gridCol w:w="990"/>
        <w:gridCol w:w="990"/>
        <w:gridCol w:w="990"/>
        <w:gridCol w:w="990"/>
        <w:gridCol w:w="1080"/>
      </w:tblGrid>
      <w:tr w:rsidR="00932F57" w:rsidRPr="00FB4E29" w14:paraId="4FE765C3" w14:textId="77777777" w:rsidTr="00C36733">
        <w:trPr>
          <w:cnfStyle w:val="100000000000" w:firstRow="1" w:lastRow="0" w:firstColumn="0" w:lastColumn="0" w:oddVBand="0" w:evenVBand="0" w:oddHBand="0" w:evenHBand="0" w:firstRowFirstColumn="0" w:firstRowLastColumn="0" w:lastRowFirstColumn="0" w:lastRowLastColumn="0"/>
          <w:cantSplit/>
        </w:trPr>
        <w:tc>
          <w:tcPr>
            <w:tcW w:w="1277" w:type="dxa"/>
            <w:vMerge w:val="restart"/>
            <w:tcBorders>
              <w:right w:val="single" w:sz="4" w:space="0" w:color="000000"/>
            </w:tcBorders>
          </w:tcPr>
          <w:p w14:paraId="589A5235" w14:textId="77777777" w:rsidR="009549F0" w:rsidRPr="00FB4E29" w:rsidRDefault="009549F0" w:rsidP="00297B1F">
            <w:pPr>
              <w:ind w:left="0" w:right="0"/>
              <w:rPr>
                <w:sz w:val="20"/>
              </w:rPr>
            </w:pPr>
            <w:r w:rsidRPr="00FB4E29">
              <w:rPr>
                <w:sz w:val="20"/>
              </w:rPr>
              <w:t>Species</w:t>
            </w:r>
          </w:p>
        </w:tc>
        <w:tc>
          <w:tcPr>
            <w:tcW w:w="1559" w:type="dxa"/>
            <w:vMerge w:val="restart"/>
            <w:tcBorders>
              <w:left w:val="single" w:sz="4" w:space="0" w:color="000000"/>
              <w:right w:val="single" w:sz="4" w:space="0" w:color="000000"/>
            </w:tcBorders>
          </w:tcPr>
          <w:p w14:paraId="33508DAD" w14:textId="77777777" w:rsidR="009549F0" w:rsidRPr="00FB4E29" w:rsidRDefault="009549F0" w:rsidP="00297B1F">
            <w:pPr>
              <w:ind w:left="0" w:right="0"/>
              <w:rPr>
                <w:sz w:val="20"/>
              </w:rPr>
            </w:pPr>
            <w:r w:rsidRPr="00FB4E29">
              <w:rPr>
                <w:sz w:val="20"/>
              </w:rPr>
              <w:t>Study</w:t>
            </w:r>
          </w:p>
        </w:tc>
        <w:tc>
          <w:tcPr>
            <w:tcW w:w="1863" w:type="dxa"/>
            <w:gridSpan w:val="2"/>
            <w:tcBorders>
              <w:left w:val="single" w:sz="4" w:space="0" w:color="000000"/>
              <w:right w:val="single" w:sz="4" w:space="0" w:color="000000"/>
            </w:tcBorders>
          </w:tcPr>
          <w:p w14:paraId="3457F832" w14:textId="77777777" w:rsidR="009549F0" w:rsidRPr="00FB4E29" w:rsidRDefault="009549F0" w:rsidP="00297B1F">
            <w:pPr>
              <w:ind w:left="0" w:right="0"/>
              <w:rPr>
                <w:sz w:val="20"/>
              </w:rPr>
            </w:pPr>
            <w:r w:rsidRPr="00FB4E29">
              <w:rPr>
                <w:sz w:val="20"/>
              </w:rPr>
              <w:t>Dose</w:t>
            </w:r>
            <w:r w:rsidRPr="00FB4E29">
              <w:rPr>
                <w:sz w:val="20"/>
              </w:rPr>
              <w:br/>
              <w:t>(nmol/kg/day)</w:t>
            </w:r>
          </w:p>
        </w:tc>
        <w:tc>
          <w:tcPr>
            <w:tcW w:w="1980" w:type="dxa"/>
            <w:gridSpan w:val="2"/>
            <w:tcBorders>
              <w:left w:val="single" w:sz="4" w:space="0" w:color="000000"/>
              <w:right w:val="single" w:sz="4" w:space="0" w:color="000000"/>
            </w:tcBorders>
          </w:tcPr>
          <w:p w14:paraId="2DD9618B" w14:textId="77777777" w:rsidR="009549F0" w:rsidRPr="00FB4E29" w:rsidRDefault="009549F0" w:rsidP="00297B1F">
            <w:pPr>
              <w:ind w:left="0" w:right="0"/>
              <w:rPr>
                <w:sz w:val="20"/>
              </w:rPr>
            </w:pPr>
            <w:r w:rsidRPr="00FB4E29">
              <w:rPr>
                <w:sz w:val="20"/>
              </w:rPr>
              <w:t>AUC</w:t>
            </w:r>
            <w:r w:rsidRPr="00FB4E29">
              <w:rPr>
                <w:sz w:val="20"/>
                <w:vertAlign w:val="subscript"/>
              </w:rPr>
              <w:t>0–24 h</w:t>
            </w:r>
            <w:r w:rsidRPr="00FB4E29">
              <w:rPr>
                <w:sz w:val="20"/>
                <w:vertAlign w:val="subscript"/>
              </w:rPr>
              <w:br/>
            </w:r>
            <w:r w:rsidRPr="00FB4E29">
              <w:rPr>
                <w:sz w:val="20"/>
              </w:rPr>
              <w:t>(nM∙h)</w:t>
            </w:r>
          </w:p>
        </w:tc>
        <w:tc>
          <w:tcPr>
            <w:tcW w:w="2070" w:type="dxa"/>
            <w:gridSpan w:val="2"/>
            <w:tcBorders>
              <w:left w:val="single" w:sz="4" w:space="0" w:color="000000"/>
            </w:tcBorders>
          </w:tcPr>
          <w:p w14:paraId="077FE100" w14:textId="77777777" w:rsidR="009549F0" w:rsidRPr="00FB4E29" w:rsidRDefault="009549F0" w:rsidP="00297B1F">
            <w:pPr>
              <w:ind w:left="0" w:right="0"/>
              <w:rPr>
                <w:sz w:val="20"/>
              </w:rPr>
            </w:pPr>
            <w:r w:rsidRPr="00FB4E29">
              <w:rPr>
                <w:sz w:val="20"/>
              </w:rPr>
              <w:t>Relative exposure</w:t>
            </w:r>
          </w:p>
        </w:tc>
      </w:tr>
      <w:tr w:rsidR="00932F57" w:rsidRPr="00FB4E29" w14:paraId="247FB4C0" w14:textId="77777777" w:rsidTr="00C36733">
        <w:trPr>
          <w:cantSplit/>
        </w:trPr>
        <w:tc>
          <w:tcPr>
            <w:tcW w:w="1277" w:type="dxa"/>
            <w:vMerge/>
            <w:tcBorders>
              <w:right w:val="single" w:sz="4" w:space="0" w:color="000000"/>
            </w:tcBorders>
          </w:tcPr>
          <w:p w14:paraId="7B37BC7C" w14:textId="77777777" w:rsidR="00932F57" w:rsidRPr="00C36733" w:rsidRDefault="00932F57" w:rsidP="00297B1F">
            <w:pPr>
              <w:ind w:left="0" w:right="0"/>
              <w:rPr>
                <w:b/>
                <w:sz w:val="20"/>
              </w:rPr>
            </w:pPr>
          </w:p>
        </w:tc>
        <w:tc>
          <w:tcPr>
            <w:tcW w:w="1559" w:type="dxa"/>
            <w:vMerge/>
            <w:tcBorders>
              <w:left w:val="single" w:sz="4" w:space="0" w:color="000000"/>
              <w:right w:val="single" w:sz="4" w:space="0" w:color="000000"/>
            </w:tcBorders>
          </w:tcPr>
          <w:p w14:paraId="2446C84D" w14:textId="77777777" w:rsidR="00932F57" w:rsidRPr="00C36733" w:rsidRDefault="00932F57" w:rsidP="00297B1F">
            <w:pPr>
              <w:ind w:left="0" w:right="0"/>
              <w:rPr>
                <w:b/>
                <w:sz w:val="20"/>
              </w:rPr>
            </w:pPr>
          </w:p>
        </w:tc>
        <w:tc>
          <w:tcPr>
            <w:tcW w:w="873" w:type="dxa"/>
            <w:tcBorders>
              <w:left w:val="single" w:sz="4" w:space="0" w:color="000000"/>
            </w:tcBorders>
          </w:tcPr>
          <w:p w14:paraId="4A7EF123" w14:textId="320C1C6E" w:rsidR="00932F57" w:rsidRPr="00C36733" w:rsidRDefault="00932F57" w:rsidP="00297B1F">
            <w:pPr>
              <w:ind w:left="0" w:right="0"/>
              <w:rPr>
                <w:b/>
                <w:sz w:val="20"/>
              </w:rPr>
            </w:pPr>
            <w:r w:rsidRPr="00FB4E29">
              <w:rPr>
                <w:sz w:val="20"/>
              </w:rPr>
              <w:t>IDeg</w:t>
            </w:r>
          </w:p>
        </w:tc>
        <w:tc>
          <w:tcPr>
            <w:tcW w:w="990" w:type="dxa"/>
          </w:tcPr>
          <w:p w14:paraId="02F5AA47" w14:textId="6BCE131D" w:rsidR="00932F57" w:rsidRPr="0053175F" w:rsidRDefault="00932F57" w:rsidP="00297B1F">
            <w:pPr>
              <w:ind w:left="0" w:right="0"/>
              <w:rPr>
                <w:b/>
                <w:sz w:val="20"/>
              </w:rPr>
            </w:pPr>
            <w:r w:rsidRPr="00FB4E29">
              <w:rPr>
                <w:sz w:val="20"/>
              </w:rPr>
              <w:t>IAsp</w:t>
            </w:r>
          </w:p>
        </w:tc>
        <w:tc>
          <w:tcPr>
            <w:tcW w:w="990" w:type="dxa"/>
          </w:tcPr>
          <w:p w14:paraId="2592221D" w14:textId="768B67BC" w:rsidR="00932F57" w:rsidRPr="0053175F" w:rsidRDefault="00932F57" w:rsidP="00297B1F">
            <w:pPr>
              <w:ind w:left="0" w:right="0"/>
              <w:rPr>
                <w:b/>
                <w:sz w:val="20"/>
              </w:rPr>
            </w:pPr>
            <w:r w:rsidRPr="00FB4E29">
              <w:rPr>
                <w:sz w:val="20"/>
              </w:rPr>
              <w:t>IDeg</w:t>
            </w:r>
          </w:p>
        </w:tc>
        <w:tc>
          <w:tcPr>
            <w:tcW w:w="990" w:type="dxa"/>
          </w:tcPr>
          <w:p w14:paraId="72336E7A" w14:textId="6D41397D" w:rsidR="00932F57" w:rsidRPr="0053175F" w:rsidRDefault="00932F57" w:rsidP="00297B1F">
            <w:pPr>
              <w:ind w:left="0" w:right="0"/>
              <w:rPr>
                <w:b/>
                <w:sz w:val="20"/>
              </w:rPr>
            </w:pPr>
            <w:r w:rsidRPr="00FB4E29">
              <w:rPr>
                <w:sz w:val="20"/>
              </w:rPr>
              <w:t>IAsp</w:t>
            </w:r>
          </w:p>
        </w:tc>
        <w:tc>
          <w:tcPr>
            <w:tcW w:w="990" w:type="dxa"/>
          </w:tcPr>
          <w:p w14:paraId="3A223B27" w14:textId="1F5F43E3" w:rsidR="00932F57" w:rsidRPr="0053175F" w:rsidRDefault="00932F57" w:rsidP="00297B1F">
            <w:pPr>
              <w:ind w:left="0" w:right="0"/>
              <w:rPr>
                <w:b/>
                <w:sz w:val="20"/>
              </w:rPr>
            </w:pPr>
            <w:r w:rsidRPr="00FB4E29">
              <w:rPr>
                <w:sz w:val="20"/>
              </w:rPr>
              <w:t>IDeg</w:t>
            </w:r>
          </w:p>
        </w:tc>
        <w:tc>
          <w:tcPr>
            <w:tcW w:w="1080" w:type="dxa"/>
          </w:tcPr>
          <w:p w14:paraId="4E441252" w14:textId="62364FF0" w:rsidR="00932F57" w:rsidRPr="0053175F" w:rsidRDefault="00932F57" w:rsidP="00297B1F">
            <w:pPr>
              <w:ind w:left="0" w:right="0"/>
              <w:rPr>
                <w:b/>
                <w:sz w:val="20"/>
              </w:rPr>
            </w:pPr>
            <w:r w:rsidRPr="00FB4E29">
              <w:rPr>
                <w:sz w:val="20"/>
              </w:rPr>
              <w:t>IAsp</w:t>
            </w:r>
          </w:p>
        </w:tc>
      </w:tr>
      <w:tr w:rsidR="00932F57" w:rsidRPr="00113BDB" w14:paraId="41775C75" w14:textId="77777777" w:rsidTr="00932F57">
        <w:trPr>
          <w:trHeight w:val="227"/>
        </w:trPr>
        <w:tc>
          <w:tcPr>
            <w:tcW w:w="1277" w:type="dxa"/>
            <w:vMerge w:val="restart"/>
          </w:tcPr>
          <w:p w14:paraId="5245DEE0" w14:textId="77777777" w:rsidR="009549F0" w:rsidRPr="00113BDB" w:rsidRDefault="009549F0" w:rsidP="00297B1F">
            <w:pPr>
              <w:ind w:left="0" w:right="0"/>
              <w:rPr>
                <w:sz w:val="20"/>
              </w:rPr>
            </w:pPr>
            <w:r w:rsidRPr="00113BDB">
              <w:rPr>
                <w:b/>
                <w:sz w:val="20"/>
              </w:rPr>
              <w:t>Rat</w:t>
            </w:r>
            <w:r w:rsidRPr="00113BDB">
              <w:rPr>
                <w:sz w:val="20"/>
              </w:rPr>
              <w:br/>
              <w:t>(Han Wistar)</w:t>
            </w:r>
          </w:p>
        </w:tc>
        <w:tc>
          <w:tcPr>
            <w:tcW w:w="1559" w:type="dxa"/>
            <w:vMerge w:val="restart"/>
          </w:tcPr>
          <w:p w14:paraId="5D8408E5" w14:textId="77777777" w:rsidR="009549F0" w:rsidRPr="00113BDB" w:rsidRDefault="009549F0" w:rsidP="00297B1F">
            <w:pPr>
              <w:ind w:left="0" w:right="0"/>
              <w:rPr>
                <w:sz w:val="20"/>
              </w:rPr>
            </w:pPr>
            <w:r w:rsidRPr="00113BDB">
              <w:rPr>
                <w:sz w:val="20"/>
              </w:rPr>
              <w:t>Embryofetal development</w:t>
            </w:r>
          </w:p>
          <w:p w14:paraId="2D562B02" w14:textId="44B4127E" w:rsidR="009549F0" w:rsidRPr="00113BDB" w:rsidRDefault="00932F57" w:rsidP="00297B1F">
            <w:pPr>
              <w:ind w:left="0" w:right="0"/>
              <w:rPr>
                <w:sz w:val="20"/>
              </w:rPr>
            </w:pPr>
            <w:r w:rsidRPr="00113BDB">
              <w:rPr>
                <w:sz w:val="20"/>
              </w:rPr>
              <w:t>Studies 208333 and 208334</w:t>
            </w:r>
          </w:p>
        </w:tc>
        <w:tc>
          <w:tcPr>
            <w:tcW w:w="873" w:type="dxa"/>
          </w:tcPr>
          <w:p w14:paraId="5DBCC231" w14:textId="77777777" w:rsidR="009549F0" w:rsidRPr="00113BDB" w:rsidRDefault="009549F0" w:rsidP="00297B1F">
            <w:pPr>
              <w:ind w:left="0" w:right="0"/>
              <w:rPr>
                <w:sz w:val="20"/>
              </w:rPr>
            </w:pPr>
            <w:r w:rsidRPr="00113BDB">
              <w:rPr>
                <w:sz w:val="20"/>
              </w:rPr>
              <w:t>20</w:t>
            </w:r>
          </w:p>
        </w:tc>
        <w:tc>
          <w:tcPr>
            <w:tcW w:w="990" w:type="dxa"/>
          </w:tcPr>
          <w:p w14:paraId="2D72C32B" w14:textId="77777777" w:rsidR="009549F0" w:rsidRPr="00113BDB" w:rsidRDefault="009549F0" w:rsidP="00297B1F">
            <w:pPr>
              <w:ind w:left="0" w:right="0"/>
              <w:rPr>
                <w:sz w:val="20"/>
              </w:rPr>
            </w:pPr>
            <w:r w:rsidRPr="00113BDB">
              <w:rPr>
                <w:sz w:val="20"/>
              </w:rPr>
              <w:t>8.6</w:t>
            </w:r>
          </w:p>
        </w:tc>
        <w:tc>
          <w:tcPr>
            <w:tcW w:w="990" w:type="dxa"/>
          </w:tcPr>
          <w:p w14:paraId="26B61BA5" w14:textId="77777777" w:rsidR="009549F0" w:rsidRPr="00113BDB" w:rsidRDefault="009549F0" w:rsidP="00297B1F">
            <w:pPr>
              <w:ind w:left="0" w:right="0"/>
              <w:rPr>
                <w:sz w:val="20"/>
              </w:rPr>
            </w:pPr>
            <w:r w:rsidRPr="00113BDB">
              <w:rPr>
                <w:sz w:val="20"/>
              </w:rPr>
              <w:t>155</w:t>
            </w:r>
          </w:p>
        </w:tc>
        <w:tc>
          <w:tcPr>
            <w:tcW w:w="990" w:type="dxa"/>
          </w:tcPr>
          <w:p w14:paraId="334F464F" w14:textId="77777777" w:rsidR="009549F0" w:rsidRPr="00113BDB" w:rsidRDefault="009549F0" w:rsidP="00297B1F">
            <w:pPr>
              <w:ind w:left="0" w:right="0"/>
              <w:rPr>
                <w:sz w:val="20"/>
              </w:rPr>
            </w:pPr>
            <w:r w:rsidRPr="00113BDB">
              <w:rPr>
                <w:sz w:val="20"/>
              </w:rPr>
              <w:t>0.253</w:t>
            </w:r>
          </w:p>
        </w:tc>
        <w:tc>
          <w:tcPr>
            <w:tcW w:w="990" w:type="dxa"/>
          </w:tcPr>
          <w:p w14:paraId="0349157A" w14:textId="77777777" w:rsidR="009549F0" w:rsidRPr="00113BDB" w:rsidRDefault="009549F0" w:rsidP="00297B1F">
            <w:pPr>
              <w:ind w:left="0" w:right="0"/>
              <w:rPr>
                <w:sz w:val="20"/>
              </w:rPr>
            </w:pPr>
            <w:r w:rsidRPr="00113BDB">
              <w:rPr>
                <w:sz w:val="20"/>
              </w:rPr>
              <w:t>0.9</w:t>
            </w:r>
          </w:p>
        </w:tc>
        <w:tc>
          <w:tcPr>
            <w:tcW w:w="1080" w:type="dxa"/>
          </w:tcPr>
          <w:p w14:paraId="25C99574" w14:textId="77777777" w:rsidR="009549F0" w:rsidRPr="00113BDB" w:rsidRDefault="009549F0" w:rsidP="00297B1F">
            <w:pPr>
              <w:ind w:left="0" w:right="0"/>
              <w:rPr>
                <w:sz w:val="20"/>
              </w:rPr>
            </w:pPr>
            <w:r w:rsidRPr="00113BDB">
              <w:rPr>
                <w:sz w:val="20"/>
              </w:rPr>
              <w:t>0.1</w:t>
            </w:r>
          </w:p>
        </w:tc>
      </w:tr>
      <w:tr w:rsidR="00932F57" w:rsidRPr="00113BDB" w14:paraId="65AA9735" w14:textId="77777777" w:rsidTr="00932F57">
        <w:trPr>
          <w:trHeight w:val="227"/>
        </w:trPr>
        <w:tc>
          <w:tcPr>
            <w:tcW w:w="1277" w:type="dxa"/>
            <w:vMerge/>
          </w:tcPr>
          <w:p w14:paraId="1B22D2C4" w14:textId="77777777" w:rsidR="009549F0" w:rsidRPr="00113BDB" w:rsidRDefault="009549F0" w:rsidP="00297B1F">
            <w:pPr>
              <w:ind w:left="0" w:right="0"/>
              <w:rPr>
                <w:sz w:val="20"/>
              </w:rPr>
            </w:pPr>
          </w:p>
        </w:tc>
        <w:tc>
          <w:tcPr>
            <w:tcW w:w="1559" w:type="dxa"/>
            <w:vMerge/>
          </w:tcPr>
          <w:p w14:paraId="21FC7003" w14:textId="77777777" w:rsidR="009549F0" w:rsidRPr="00113BDB" w:rsidRDefault="009549F0" w:rsidP="00297B1F">
            <w:pPr>
              <w:ind w:left="0" w:right="0"/>
              <w:rPr>
                <w:sz w:val="20"/>
              </w:rPr>
            </w:pPr>
          </w:p>
        </w:tc>
        <w:tc>
          <w:tcPr>
            <w:tcW w:w="873" w:type="dxa"/>
          </w:tcPr>
          <w:p w14:paraId="6C61EF84" w14:textId="77777777" w:rsidR="009549F0" w:rsidRPr="00113BDB" w:rsidRDefault="009549F0" w:rsidP="00297B1F">
            <w:pPr>
              <w:ind w:left="0" w:right="0"/>
              <w:rPr>
                <w:sz w:val="20"/>
              </w:rPr>
            </w:pPr>
            <w:r w:rsidRPr="00113BDB">
              <w:rPr>
                <w:sz w:val="20"/>
              </w:rPr>
              <w:t>80</w:t>
            </w:r>
          </w:p>
        </w:tc>
        <w:tc>
          <w:tcPr>
            <w:tcW w:w="990" w:type="dxa"/>
          </w:tcPr>
          <w:p w14:paraId="042E7F49" w14:textId="77777777" w:rsidR="009549F0" w:rsidRPr="00113BDB" w:rsidRDefault="009549F0" w:rsidP="00297B1F">
            <w:pPr>
              <w:ind w:left="0" w:right="0"/>
              <w:rPr>
                <w:sz w:val="20"/>
              </w:rPr>
            </w:pPr>
            <w:r w:rsidRPr="00113BDB">
              <w:rPr>
                <w:sz w:val="20"/>
              </w:rPr>
              <w:t>34.3</w:t>
            </w:r>
          </w:p>
        </w:tc>
        <w:tc>
          <w:tcPr>
            <w:tcW w:w="990" w:type="dxa"/>
          </w:tcPr>
          <w:p w14:paraId="06D5CF64" w14:textId="77777777" w:rsidR="009549F0" w:rsidRPr="00113BDB" w:rsidRDefault="009549F0" w:rsidP="00297B1F">
            <w:pPr>
              <w:ind w:left="0" w:right="0"/>
              <w:rPr>
                <w:sz w:val="20"/>
              </w:rPr>
            </w:pPr>
            <w:r w:rsidRPr="00113BDB">
              <w:rPr>
                <w:sz w:val="20"/>
              </w:rPr>
              <w:t>765</w:t>
            </w:r>
          </w:p>
        </w:tc>
        <w:tc>
          <w:tcPr>
            <w:tcW w:w="990" w:type="dxa"/>
          </w:tcPr>
          <w:p w14:paraId="5381E7D3" w14:textId="77777777" w:rsidR="009549F0" w:rsidRPr="00113BDB" w:rsidRDefault="009549F0" w:rsidP="00297B1F">
            <w:pPr>
              <w:ind w:left="0" w:right="0"/>
              <w:rPr>
                <w:sz w:val="20"/>
              </w:rPr>
            </w:pPr>
            <w:r w:rsidRPr="00113BDB">
              <w:rPr>
                <w:sz w:val="20"/>
              </w:rPr>
              <w:t>21.8</w:t>
            </w:r>
          </w:p>
        </w:tc>
        <w:tc>
          <w:tcPr>
            <w:tcW w:w="990" w:type="dxa"/>
          </w:tcPr>
          <w:p w14:paraId="39A761D8" w14:textId="77777777" w:rsidR="009549F0" w:rsidRPr="00113BDB" w:rsidRDefault="009549F0" w:rsidP="00297B1F">
            <w:pPr>
              <w:ind w:left="0" w:right="0"/>
              <w:rPr>
                <w:sz w:val="20"/>
              </w:rPr>
            </w:pPr>
            <w:r w:rsidRPr="00113BDB">
              <w:rPr>
                <w:sz w:val="20"/>
              </w:rPr>
              <w:t>5</w:t>
            </w:r>
          </w:p>
        </w:tc>
        <w:tc>
          <w:tcPr>
            <w:tcW w:w="1080" w:type="dxa"/>
          </w:tcPr>
          <w:p w14:paraId="65616D4A" w14:textId="77777777" w:rsidR="009549F0" w:rsidRPr="00113BDB" w:rsidRDefault="009549F0" w:rsidP="00297B1F">
            <w:pPr>
              <w:ind w:left="0" w:right="0"/>
              <w:rPr>
                <w:sz w:val="20"/>
              </w:rPr>
            </w:pPr>
            <w:r w:rsidRPr="00113BDB">
              <w:rPr>
                <w:sz w:val="20"/>
              </w:rPr>
              <w:t>11</w:t>
            </w:r>
          </w:p>
        </w:tc>
      </w:tr>
      <w:tr w:rsidR="00932F57" w:rsidRPr="00113BDB" w14:paraId="31683195" w14:textId="77777777" w:rsidTr="00932F57">
        <w:trPr>
          <w:trHeight w:val="227"/>
        </w:trPr>
        <w:tc>
          <w:tcPr>
            <w:tcW w:w="1277" w:type="dxa"/>
            <w:vMerge/>
          </w:tcPr>
          <w:p w14:paraId="5C77B899" w14:textId="77777777" w:rsidR="009549F0" w:rsidRPr="00113BDB" w:rsidRDefault="009549F0" w:rsidP="00297B1F">
            <w:pPr>
              <w:ind w:left="0" w:right="0"/>
              <w:rPr>
                <w:sz w:val="20"/>
              </w:rPr>
            </w:pPr>
          </w:p>
        </w:tc>
        <w:tc>
          <w:tcPr>
            <w:tcW w:w="1559" w:type="dxa"/>
            <w:vMerge/>
          </w:tcPr>
          <w:p w14:paraId="77F1B872" w14:textId="77777777" w:rsidR="009549F0" w:rsidRPr="00113BDB" w:rsidRDefault="009549F0" w:rsidP="00297B1F">
            <w:pPr>
              <w:ind w:left="0" w:right="0"/>
              <w:rPr>
                <w:sz w:val="20"/>
              </w:rPr>
            </w:pPr>
          </w:p>
        </w:tc>
        <w:tc>
          <w:tcPr>
            <w:tcW w:w="873" w:type="dxa"/>
          </w:tcPr>
          <w:p w14:paraId="0F3DD8B7" w14:textId="77777777" w:rsidR="009549F0" w:rsidRPr="00113BDB" w:rsidRDefault="009549F0" w:rsidP="00297B1F">
            <w:pPr>
              <w:ind w:left="0" w:right="0"/>
              <w:rPr>
                <w:sz w:val="20"/>
              </w:rPr>
            </w:pPr>
            <w:r w:rsidRPr="00113BDB">
              <w:rPr>
                <w:sz w:val="20"/>
              </w:rPr>
              <w:t>125</w:t>
            </w:r>
          </w:p>
        </w:tc>
        <w:tc>
          <w:tcPr>
            <w:tcW w:w="990" w:type="dxa"/>
          </w:tcPr>
          <w:p w14:paraId="52AF9C27" w14:textId="77777777" w:rsidR="009549F0" w:rsidRPr="00113BDB" w:rsidRDefault="009549F0" w:rsidP="00297B1F">
            <w:pPr>
              <w:ind w:left="0" w:right="0"/>
              <w:rPr>
                <w:sz w:val="20"/>
              </w:rPr>
            </w:pPr>
            <w:r w:rsidRPr="00113BDB">
              <w:rPr>
                <w:sz w:val="20"/>
              </w:rPr>
              <w:t>53.6</w:t>
            </w:r>
          </w:p>
        </w:tc>
        <w:tc>
          <w:tcPr>
            <w:tcW w:w="990" w:type="dxa"/>
          </w:tcPr>
          <w:p w14:paraId="36065C6F" w14:textId="77777777" w:rsidR="009549F0" w:rsidRPr="00113BDB" w:rsidRDefault="009549F0" w:rsidP="00297B1F">
            <w:pPr>
              <w:ind w:left="0" w:right="0"/>
              <w:rPr>
                <w:sz w:val="20"/>
              </w:rPr>
            </w:pPr>
            <w:r w:rsidRPr="00113BDB">
              <w:rPr>
                <w:sz w:val="20"/>
              </w:rPr>
              <w:t>1300</w:t>
            </w:r>
          </w:p>
        </w:tc>
        <w:tc>
          <w:tcPr>
            <w:tcW w:w="990" w:type="dxa"/>
          </w:tcPr>
          <w:p w14:paraId="2D14E71E" w14:textId="77777777" w:rsidR="009549F0" w:rsidRPr="00113BDB" w:rsidRDefault="009549F0" w:rsidP="00297B1F">
            <w:pPr>
              <w:ind w:left="0" w:right="0"/>
              <w:rPr>
                <w:sz w:val="20"/>
              </w:rPr>
            </w:pPr>
            <w:r w:rsidRPr="00113BDB">
              <w:rPr>
                <w:sz w:val="20"/>
              </w:rPr>
              <w:t>47.4</w:t>
            </w:r>
          </w:p>
        </w:tc>
        <w:tc>
          <w:tcPr>
            <w:tcW w:w="990" w:type="dxa"/>
          </w:tcPr>
          <w:p w14:paraId="15F326BE" w14:textId="77777777" w:rsidR="009549F0" w:rsidRPr="00113BDB" w:rsidRDefault="009549F0" w:rsidP="00297B1F">
            <w:pPr>
              <w:ind w:left="0" w:right="0"/>
              <w:rPr>
                <w:sz w:val="20"/>
              </w:rPr>
            </w:pPr>
            <w:r w:rsidRPr="00113BDB">
              <w:rPr>
                <w:sz w:val="20"/>
              </w:rPr>
              <w:t>8</w:t>
            </w:r>
          </w:p>
        </w:tc>
        <w:tc>
          <w:tcPr>
            <w:tcW w:w="1080" w:type="dxa"/>
          </w:tcPr>
          <w:p w14:paraId="2C220D62" w14:textId="77777777" w:rsidR="009549F0" w:rsidRPr="00113BDB" w:rsidRDefault="009549F0" w:rsidP="00297B1F">
            <w:pPr>
              <w:ind w:left="0" w:right="0"/>
              <w:rPr>
                <w:sz w:val="20"/>
              </w:rPr>
            </w:pPr>
            <w:r w:rsidRPr="00113BDB">
              <w:rPr>
                <w:sz w:val="20"/>
              </w:rPr>
              <w:t>24</w:t>
            </w:r>
          </w:p>
        </w:tc>
      </w:tr>
      <w:tr w:rsidR="00932F57" w:rsidRPr="00113BDB" w14:paraId="5DEFC459" w14:textId="77777777" w:rsidTr="00932F57">
        <w:trPr>
          <w:trHeight w:val="167"/>
        </w:trPr>
        <w:tc>
          <w:tcPr>
            <w:tcW w:w="2836" w:type="dxa"/>
            <w:gridSpan w:val="2"/>
            <w:vMerge w:val="restart"/>
          </w:tcPr>
          <w:p w14:paraId="0542F7D3" w14:textId="77777777" w:rsidR="009549F0" w:rsidRPr="00113BDB" w:rsidRDefault="009549F0" w:rsidP="00297B1F">
            <w:pPr>
              <w:ind w:left="0" w:right="0"/>
              <w:rPr>
                <w:sz w:val="20"/>
              </w:rPr>
            </w:pPr>
            <w:r w:rsidRPr="00113BDB">
              <w:rPr>
                <w:b/>
                <w:sz w:val="20"/>
              </w:rPr>
              <w:t>Human</w:t>
            </w:r>
            <w:r w:rsidRPr="00113BDB">
              <w:rPr>
                <w:sz w:val="20"/>
              </w:rPr>
              <w:t xml:space="preserve"> (diabetic patients)</w:t>
            </w:r>
          </w:p>
        </w:tc>
        <w:tc>
          <w:tcPr>
            <w:tcW w:w="873" w:type="dxa"/>
          </w:tcPr>
          <w:p w14:paraId="752A1332" w14:textId="77777777" w:rsidR="009549F0" w:rsidRPr="00113BDB" w:rsidRDefault="009549F0" w:rsidP="00297B1F">
            <w:pPr>
              <w:ind w:left="0" w:right="0"/>
              <w:rPr>
                <w:sz w:val="20"/>
              </w:rPr>
            </w:pPr>
            <w:r w:rsidRPr="00113BDB">
              <w:rPr>
                <w:sz w:val="20"/>
              </w:rPr>
              <w:t>4.54</w:t>
            </w:r>
          </w:p>
        </w:tc>
        <w:tc>
          <w:tcPr>
            <w:tcW w:w="990" w:type="dxa"/>
          </w:tcPr>
          <w:p w14:paraId="6A2F522F" w14:textId="77777777" w:rsidR="009549F0" w:rsidRPr="00113BDB" w:rsidRDefault="009549F0" w:rsidP="00297B1F">
            <w:pPr>
              <w:ind w:left="0" w:right="0"/>
              <w:rPr>
                <w:sz w:val="20"/>
              </w:rPr>
            </w:pPr>
            <w:r w:rsidRPr="00113BDB">
              <w:rPr>
                <w:sz w:val="20"/>
              </w:rPr>
              <w:t>1.94</w:t>
            </w:r>
          </w:p>
        </w:tc>
        <w:tc>
          <w:tcPr>
            <w:tcW w:w="990" w:type="dxa"/>
            <w:vMerge w:val="restart"/>
          </w:tcPr>
          <w:p w14:paraId="3470BA01" w14:textId="7EA8CC38" w:rsidR="009549F0" w:rsidRPr="00113BDB" w:rsidRDefault="009549F0" w:rsidP="00297B1F">
            <w:pPr>
              <w:ind w:left="0" w:right="0"/>
              <w:rPr>
                <w:sz w:val="20"/>
              </w:rPr>
            </w:pPr>
            <w:r w:rsidRPr="00113BDB">
              <w:rPr>
                <w:sz w:val="20"/>
              </w:rPr>
              <w:t>170</w:t>
            </w:r>
            <w:r w:rsidR="00932F57" w:rsidRPr="00113BDB">
              <w:rPr>
                <w:sz w:val="20"/>
                <w:vertAlign w:val="superscript"/>
              </w:rPr>
              <w:t>a</w:t>
            </w:r>
          </w:p>
        </w:tc>
        <w:tc>
          <w:tcPr>
            <w:tcW w:w="990" w:type="dxa"/>
            <w:vMerge w:val="restart"/>
          </w:tcPr>
          <w:p w14:paraId="639C858A" w14:textId="60FDADF8" w:rsidR="009549F0" w:rsidRPr="00113BDB" w:rsidRDefault="009549F0" w:rsidP="00297B1F">
            <w:pPr>
              <w:ind w:left="0" w:right="0"/>
              <w:rPr>
                <w:sz w:val="20"/>
              </w:rPr>
            </w:pPr>
            <w:r w:rsidRPr="00113BDB">
              <w:rPr>
                <w:sz w:val="20"/>
              </w:rPr>
              <w:t>2.0</w:t>
            </w:r>
            <w:r w:rsidR="00932F57" w:rsidRPr="00113BDB">
              <w:rPr>
                <w:sz w:val="20"/>
                <w:vertAlign w:val="superscript"/>
              </w:rPr>
              <w:t>a</w:t>
            </w:r>
          </w:p>
        </w:tc>
        <w:tc>
          <w:tcPr>
            <w:tcW w:w="990" w:type="dxa"/>
            <w:vMerge w:val="restart"/>
          </w:tcPr>
          <w:p w14:paraId="06BBDC6C" w14:textId="7F07FEDF" w:rsidR="009549F0" w:rsidRPr="00113BDB" w:rsidRDefault="009549F0" w:rsidP="00297B1F">
            <w:pPr>
              <w:ind w:left="0" w:right="0"/>
              <w:rPr>
                <w:sz w:val="20"/>
              </w:rPr>
            </w:pPr>
          </w:p>
        </w:tc>
        <w:tc>
          <w:tcPr>
            <w:tcW w:w="1080" w:type="dxa"/>
            <w:vMerge w:val="restart"/>
          </w:tcPr>
          <w:p w14:paraId="7003D42D" w14:textId="70C9B3E9" w:rsidR="009549F0" w:rsidRPr="00113BDB" w:rsidRDefault="009549F0" w:rsidP="00297B1F">
            <w:pPr>
              <w:ind w:left="0" w:right="0"/>
              <w:rPr>
                <w:sz w:val="20"/>
              </w:rPr>
            </w:pPr>
          </w:p>
        </w:tc>
      </w:tr>
      <w:tr w:rsidR="00932F57" w:rsidRPr="00113BDB" w14:paraId="6BB19C47" w14:textId="77777777" w:rsidTr="00932F57">
        <w:trPr>
          <w:trHeight w:hRule="exact" w:val="464"/>
        </w:trPr>
        <w:tc>
          <w:tcPr>
            <w:tcW w:w="2836" w:type="dxa"/>
            <w:gridSpan w:val="2"/>
            <w:vMerge/>
          </w:tcPr>
          <w:p w14:paraId="524C69DD" w14:textId="77777777" w:rsidR="009549F0" w:rsidRPr="00113BDB" w:rsidRDefault="009549F0" w:rsidP="00297B1F">
            <w:pPr>
              <w:ind w:left="0" w:right="0"/>
              <w:rPr>
                <w:b/>
                <w:sz w:val="20"/>
              </w:rPr>
            </w:pPr>
          </w:p>
        </w:tc>
        <w:tc>
          <w:tcPr>
            <w:tcW w:w="1863" w:type="dxa"/>
            <w:gridSpan w:val="2"/>
          </w:tcPr>
          <w:p w14:paraId="588633D4" w14:textId="77777777" w:rsidR="009549F0" w:rsidRPr="00113BDB" w:rsidRDefault="009549F0" w:rsidP="00297B1F">
            <w:pPr>
              <w:ind w:left="0" w:right="0"/>
              <w:rPr>
                <w:sz w:val="20"/>
              </w:rPr>
            </w:pPr>
            <w:r w:rsidRPr="00113BDB">
              <w:rPr>
                <w:sz w:val="20"/>
              </w:rPr>
              <w:t>(= 1.08 U/kg/day)</w:t>
            </w:r>
          </w:p>
        </w:tc>
        <w:tc>
          <w:tcPr>
            <w:tcW w:w="990" w:type="dxa"/>
            <w:vMerge/>
          </w:tcPr>
          <w:p w14:paraId="2F7F1F1D" w14:textId="77777777" w:rsidR="009549F0" w:rsidRPr="00113BDB" w:rsidRDefault="009549F0" w:rsidP="00297B1F">
            <w:pPr>
              <w:ind w:left="0" w:right="0"/>
              <w:rPr>
                <w:sz w:val="20"/>
              </w:rPr>
            </w:pPr>
          </w:p>
        </w:tc>
        <w:tc>
          <w:tcPr>
            <w:tcW w:w="990" w:type="dxa"/>
            <w:vMerge/>
          </w:tcPr>
          <w:p w14:paraId="3AD95FDF" w14:textId="77777777" w:rsidR="009549F0" w:rsidRPr="00113BDB" w:rsidRDefault="009549F0" w:rsidP="00297B1F">
            <w:pPr>
              <w:ind w:left="0" w:right="0"/>
              <w:rPr>
                <w:sz w:val="20"/>
              </w:rPr>
            </w:pPr>
          </w:p>
        </w:tc>
        <w:tc>
          <w:tcPr>
            <w:tcW w:w="990" w:type="dxa"/>
            <w:vMerge/>
          </w:tcPr>
          <w:p w14:paraId="403FBAAA" w14:textId="77777777" w:rsidR="009549F0" w:rsidRPr="00113BDB" w:rsidRDefault="009549F0" w:rsidP="00297B1F">
            <w:pPr>
              <w:ind w:left="0" w:right="0"/>
              <w:rPr>
                <w:sz w:val="20"/>
              </w:rPr>
            </w:pPr>
          </w:p>
        </w:tc>
        <w:tc>
          <w:tcPr>
            <w:tcW w:w="1080" w:type="dxa"/>
            <w:vMerge/>
          </w:tcPr>
          <w:p w14:paraId="67E8DEA0" w14:textId="77777777" w:rsidR="009549F0" w:rsidRPr="00113BDB" w:rsidRDefault="009549F0" w:rsidP="00297B1F">
            <w:pPr>
              <w:ind w:left="0" w:right="0"/>
              <w:rPr>
                <w:sz w:val="20"/>
              </w:rPr>
            </w:pPr>
          </w:p>
        </w:tc>
      </w:tr>
    </w:tbl>
    <w:p w14:paraId="17C54F2D" w14:textId="25EA3ABD" w:rsidR="009549F0" w:rsidRPr="00113BDB" w:rsidRDefault="00932F57" w:rsidP="00297B1F">
      <w:pPr>
        <w:pStyle w:val="TableDescription"/>
      </w:pPr>
      <w:r w:rsidRPr="00113BDB">
        <w:t xml:space="preserve">a) </w:t>
      </w:r>
      <w:r w:rsidR="009549F0" w:rsidRPr="00113BDB">
        <w:t>Human AUC values for insulin degludec and insulin aspart have been calculated as described in the preceding table.</w:t>
      </w:r>
    </w:p>
    <w:p w14:paraId="077B1CBC" w14:textId="69B9E013" w:rsidR="009549F0" w:rsidRPr="00113BDB" w:rsidRDefault="009549F0" w:rsidP="009549F0">
      <w:r w:rsidRPr="00113BDB">
        <w:t>Treatment at 125/53.6 nmol/kg/day insulin degludec/insulin aspart was associated with a decrease in mean fetal weight; this was also seen in the NPH insulin comparator group and is likely secondary to maternal hypoglycaemia. No treatment-related increase in fetal abnormalities was observed up to the highest do</w:t>
      </w:r>
      <w:r w:rsidR="00297B1F" w:rsidRPr="00113BDB">
        <w:t xml:space="preserve">se tested (relative exposure, 8 to </w:t>
      </w:r>
      <w:r w:rsidRPr="00113BDB">
        <w:t>24).</w:t>
      </w:r>
    </w:p>
    <w:p w14:paraId="190A124B" w14:textId="77777777" w:rsidR="009549F0" w:rsidRPr="00113BDB" w:rsidRDefault="009549F0" w:rsidP="00C36733">
      <w:pPr>
        <w:pStyle w:val="Heading5"/>
      </w:pPr>
      <w:r w:rsidRPr="00113BDB">
        <w:t>Pregnancy classification</w:t>
      </w:r>
    </w:p>
    <w:p w14:paraId="326C915A" w14:textId="7667768E" w:rsidR="009549F0" w:rsidRPr="00113BDB" w:rsidRDefault="009549F0" w:rsidP="001B7206">
      <w:pPr>
        <w:keepNext/>
      </w:pPr>
      <w:r w:rsidRPr="00113BDB">
        <w:t>The sponsor has proposed Pregnancy Category B3.</w:t>
      </w:r>
      <w:bookmarkStart w:id="62" w:name="_Ref511238717"/>
      <w:r w:rsidR="007D3A42" w:rsidRPr="00113BDB">
        <w:rPr>
          <w:rStyle w:val="FootnoteReference"/>
        </w:rPr>
        <w:footnoteReference w:id="6"/>
      </w:r>
      <w:bookmarkEnd w:id="62"/>
      <w:r w:rsidRPr="00113BDB">
        <w:t xml:space="preserve"> This is considered appropriate. It is consistent with the finding of decreased fetal weight here and increased fetal abnormalities in rats seen in a study with insulin degludec alone (</w:t>
      </w:r>
      <w:r w:rsidR="007D3A42" w:rsidRPr="00113BDB">
        <w:t xml:space="preserve">also see the nonclinical section of the AusPAR for </w:t>
      </w:r>
      <w:r w:rsidRPr="00113BDB">
        <w:t>Tresiba).</w:t>
      </w:r>
      <w:r w:rsidR="007D3A42" w:rsidRPr="00113BDB">
        <w:rPr>
          <w:vertAlign w:val="superscript"/>
        </w:rPr>
        <w:fldChar w:fldCharType="begin"/>
      </w:r>
      <w:r w:rsidR="007D3A42" w:rsidRPr="00113BDB">
        <w:rPr>
          <w:vertAlign w:val="superscript"/>
        </w:rPr>
        <w:instrText xml:space="preserve"> NOTEREF _Ref511237953 \h  \* MERGEFORMAT </w:instrText>
      </w:r>
      <w:r w:rsidR="007D3A42" w:rsidRPr="00113BDB">
        <w:rPr>
          <w:vertAlign w:val="superscript"/>
        </w:rPr>
      </w:r>
      <w:r w:rsidR="007D3A42" w:rsidRPr="00113BDB">
        <w:rPr>
          <w:vertAlign w:val="superscript"/>
        </w:rPr>
        <w:fldChar w:fldCharType="separate"/>
      </w:r>
      <w:r w:rsidR="00EA37BD">
        <w:rPr>
          <w:vertAlign w:val="superscript"/>
        </w:rPr>
        <w:t>4</w:t>
      </w:r>
      <w:r w:rsidR="007D3A42" w:rsidRPr="00113BDB">
        <w:rPr>
          <w:vertAlign w:val="superscript"/>
        </w:rPr>
        <w:fldChar w:fldCharType="end"/>
      </w:r>
    </w:p>
    <w:p w14:paraId="0A10F5D3" w14:textId="36833B1E" w:rsidR="009549F0" w:rsidRPr="00113BDB" w:rsidRDefault="00887637" w:rsidP="00C36733">
      <w:pPr>
        <w:pStyle w:val="Heading4"/>
      </w:pPr>
      <w:r w:rsidRPr="00113BDB">
        <w:t>Local tolerance</w:t>
      </w:r>
    </w:p>
    <w:p w14:paraId="47B3681C" w14:textId="77777777" w:rsidR="009549F0" w:rsidRPr="00113BDB" w:rsidRDefault="009549F0" w:rsidP="009549F0">
      <w:r w:rsidRPr="00113BDB">
        <w:t>SC haemorrhage, inflammation and myofibre degeneration were seen at the injection site of treated rats in the toxicity studies. The incidence and severity were similar across all groups, including the controls, suggesting it is not associated with either insulin per se but likely associated with the vehicle in the clinical formulation and/or the injection procedure itself.</w:t>
      </w:r>
    </w:p>
    <w:p w14:paraId="48ADC673" w14:textId="77777777" w:rsidR="008E7846" w:rsidRPr="00113BDB" w:rsidRDefault="008E7846" w:rsidP="008E7846">
      <w:pPr>
        <w:pStyle w:val="Heading3"/>
      </w:pPr>
      <w:bookmarkStart w:id="63" w:name="_Toc247691515"/>
      <w:bookmarkStart w:id="64" w:name="_Toc314842499"/>
      <w:bookmarkStart w:id="65" w:name="_Toc517697981"/>
      <w:r w:rsidRPr="00113BDB">
        <w:lastRenderedPageBreak/>
        <w:t>Nonclinical summary and conclusions</w:t>
      </w:r>
      <w:bookmarkEnd w:id="63"/>
      <w:bookmarkEnd w:id="64"/>
      <w:bookmarkEnd w:id="65"/>
    </w:p>
    <w:p w14:paraId="4DA3002B" w14:textId="490B22D4" w:rsidR="005B08F4" w:rsidRPr="00113BDB" w:rsidRDefault="00887637" w:rsidP="009C7A83">
      <w:pPr>
        <w:pStyle w:val="ListBullet"/>
      </w:pPr>
      <w:r w:rsidRPr="00113BDB">
        <w:t>The nonclinical dossier</w:t>
      </w:r>
      <w:r w:rsidR="005B08F4" w:rsidRPr="00113BDB">
        <w:t xml:space="preserve"> contained no major deficiencies. Nonclinical data of direct relevance to combination use comprised pharmacology, pharmacokinetic, repeat</w:t>
      </w:r>
      <w:r w:rsidR="00955D3E" w:rsidRPr="00113BDB">
        <w:t xml:space="preserve"> </w:t>
      </w:r>
      <w:r w:rsidR="005B08F4" w:rsidRPr="00113BDB">
        <w:t>dose toxicity and embryofetal development studies, with all safety</w:t>
      </w:r>
      <w:r w:rsidRPr="00113BDB">
        <w:t xml:space="preserve"> </w:t>
      </w:r>
      <w:r w:rsidR="005B08F4" w:rsidRPr="00113BDB">
        <w:t>related studies conducted according to GLP.</w:t>
      </w:r>
    </w:p>
    <w:p w14:paraId="014A5C06" w14:textId="6F878B13" w:rsidR="005B08F4" w:rsidRPr="00113BDB" w:rsidRDefault="005B08F4" w:rsidP="009C7A83">
      <w:pPr>
        <w:pStyle w:val="ListBullet"/>
      </w:pPr>
      <w:r w:rsidRPr="00113BDB">
        <w:t>Pharmacology and pharmacokinetic data support the use of Ryzodeg</w:t>
      </w:r>
      <w:r w:rsidR="00887637" w:rsidRPr="00113BDB">
        <w:t xml:space="preserve"> as a basal </w:t>
      </w:r>
      <w:r w:rsidRPr="00113BDB">
        <w:t xml:space="preserve">bolus regimen for the treatment of diabetes mellitus. An additive effect of </w:t>
      </w:r>
      <w:r w:rsidR="00955D3E" w:rsidRPr="00113BDB">
        <w:t>IDeg</w:t>
      </w:r>
      <w:r w:rsidRPr="00113BDB">
        <w:t xml:space="preserve"> and </w:t>
      </w:r>
      <w:r w:rsidR="00955D3E" w:rsidRPr="00113BDB">
        <w:t>IAsp</w:t>
      </w:r>
      <w:r w:rsidRPr="00113BDB">
        <w:t xml:space="preserve"> was shown in lipogenesis assays in rat adipocytes. A biphasic glucose infusion rate profile, corresponding to the </w:t>
      </w:r>
      <w:r w:rsidR="00887637" w:rsidRPr="00113BDB">
        <w:t>2</w:t>
      </w:r>
      <w:r w:rsidRPr="00113BDB">
        <w:t xml:space="preserve"> insulins, was evident in a euglycaemic clamp study with the clinical dose ratio in pigs.</w:t>
      </w:r>
    </w:p>
    <w:p w14:paraId="1CB902F6" w14:textId="77777777" w:rsidR="005B08F4" w:rsidRPr="00113BDB" w:rsidRDefault="005B08F4" w:rsidP="009C7A83">
      <w:pPr>
        <w:pStyle w:val="ListBullet"/>
      </w:pPr>
      <w:r w:rsidRPr="00113BDB">
        <w:t>No unanticipated toxicities were found for the combination in the submitted repeat-dose toxicity and embryofetal developments studies, conducted in rats. All findings were similar to those observed in controls treated with human insulin.</w:t>
      </w:r>
    </w:p>
    <w:p w14:paraId="00B3545D" w14:textId="77777777" w:rsidR="005B08F4" w:rsidRPr="00113BDB" w:rsidRDefault="005B08F4" w:rsidP="009C7A83">
      <w:pPr>
        <w:pStyle w:val="ListBullet"/>
      </w:pPr>
      <w:r w:rsidRPr="00113BDB">
        <w:t>The clinical formulation was seen to be well tolerated locally in rats.</w:t>
      </w:r>
    </w:p>
    <w:p w14:paraId="7AB82D37" w14:textId="4ED4EF17" w:rsidR="005B08F4" w:rsidRPr="00113BDB" w:rsidRDefault="005B08F4" w:rsidP="009C7A83">
      <w:pPr>
        <w:pStyle w:val="ListBullet"/>
      </w:pPr>
      <w:r w:rsidRPr="00113BDB">
        <w:t>The proposed Preg</w:t>
      </w:r>
      <w:r w:rsidR="00BD15FC" w:rsidRPr="00113BDB">
        <w:t>nancy Category B3</w:t>
      </w:r>
      <w:r w:rsidRPr="00113BDB">
        <w:t xml:space="preserve"> is considered appropriate.</w:t>
      </w:r>
      <w:r w:rsidR="00517023" w:rsidRPr="00113BDB">
        <w:rPr>
          <w:vertAlign w:val="superscript"/>
        </w:rPr>
        <w:fldChar w:fldCharType="begin"/>
      </w:r>
      <w:r w:rsidR="00517023" w:rsidRPr="00113BDB">
        <w:rPr>
          <w:vertAlign w:val="superscript"/>
        </w:rPr>
        <w:instrText xml:space="preserve"> NOTEREF _Ref511238717 \h  \* MERGEFORMAT </w:instrText>
      </w:r>
      <w:r w:rsidR="00517023" w:rsidRPr="00113BDB">
        <w:rPr>
          <w:vertAlign w:val="superscript"/>
        </w:rPr>
      </w:r>
      <w:r w:rsidR="00517023" w:rsidRPr="00113BDB">
        <w:rPr>
          <w:vertAlign w:val="superscript"/>
        </w:rPr>
        <w:fldChar w:fldCharType="separate"/>
      </w:r>
      <w:r w:rsidR="00EA37BD">
        <w:rPr>
          <w:vertAlign w:val="superscript"/>
        </w:rPr>
        <w:t>6</w:t>
      </w:r>
      <w:r w:rsidR="00517023" w:rsidRPr="00113BDB">
        <w:rPr>
          <w:vertAlign w:val="superscript"/>
        </w:rPr>
        <w:fldChar w:fldCharType="end"/>
      </w:r>
    </w:p>
    <w:p w14:paraId="06AB8CBC" w14:textId="4733125E" w:rsidR="005B08F4" w:rsidRPr="00113BDB" w:rsidRDefault="005B08F4" w:rsidP="009C7A83">
      <w:pPr>
        <w:pStyle w:val="ListBullet"/>
      </w:pPr>
      <w:r w:rsidRPr="00113BDB">
        <w:t>There are no objections on nonclinical grounds to the registration of Ryzodeg for the proposed indication.</w:t>
      </w:r>
    </w:p>
    <w:p w14:paraId="629A5C0C" w14:textId="44BF8F3F" w:rsidR="008E7846" w:rsidRPr="00113BDB" w:rsidRDefault="008E7846" w:rsidP="008E7846">
      <w:pPr>
        <w:pStyle w:val="Heading2"/>
      </w:pPr>
      <w:bookmarkStart w:id="66" w:name="_Toc196046462"/>
      <w:bookmarkStart w:id="67" w:name="_Toc247691516"/>
      <w:bookmarkStart w:id="68" w:name="_Toc314842500"/>
      <w:bookmarkStart w:id="69" w:name="_Toc517697982"/>
      <w:bookmarkStart w:id="70" w:name="_Toc163441353"/>
      <w:bookmarkStart w:id="71" w:name="_Toc163441348"/>
      <w:r w:rsidRPr="00113BDB">
        <w:t>V. Clinical</w:t>
      </w:r>
      <w:bookmarkEnd w:id="66"/>
      <w:r w:rsidRPr="00113BDB">
        <w:t xml:space="preserve"> </w:t>
      </w:r>
      <w:r w:rsidR="003A7F6C" w:rsidRPr="00113BDB">
        <w:t>f</w:t>
      </w:r>
      <w:r w:rsidRPr="00113BDB">
        <w:t>indings</w:t>
      </w:r>
      <w:bookmarkEnd w:id="67"/>
      <w:bookmarkEnd w:id="68"/>
      <w:bookmarkEnd w:id="69"/>
    </w:p>
    <w:p w14:paraId="56CA1B7D" w14:textId="77777777" w:rsidR="00C80137" w:rsidRPr="00113BDB" w:rsidRDefault="00C80137" w:rsidP="00D425BB">
      <w:bookmarkStart w:id="72" w:name="_Toc196046463"/>
      <w:r w:rsidRPr="00113BDB">
        <w:t>A summary of the clinical findings is presented in this section. Further details of these clinical findings can be found in Attachment 2.</w:t>
      </w:r>
    </w:p>
    <w:p w14:paraId="228D702A" w14:textId="77777777" w:rsidR="008E7846" w:rsidRPr="00113BDB" w:rsidRDefault="008E7846" w:rsidP="008E7846">
      <w:pPr>
        <w:pStyle w:val="Heading3"/>
      </w:pPr>
      <w:bookmarkStart w:id="73" w:name="_Toc247691517"/>
      <w:bookmarkStart w:id="74" w:name="_Toc314842501"/>
      <w:bookmarkStart w:id="75" w:name="_Toc517697983"/>
      <w:r w:rsidRPr="00113BDB">
        <w:t>Introduction</w:t>
      </w:r>
      <w:bookmarkEnd w:id="72"/>
      <w:bookmarkEnd w:id="73"/>
      <w:bookmarkEnd w:id="74"/>
      <w:bookmarkEnd w:id="75"/>
    </w:p>
    <w:p w14:paraId="2714C85C" w14:textId="77777777" w:rsidR="00605AD4" w:rsidRPr="00113BDB" w:rsidRDefault="00605AD4" w:rsidP="00605AD4">
      <w:pPr>
        <w:pStyle w:val="Heading4"/>
      </w:pPr>
      <w:bookmarkStart w:id="76" w:name="_Toc196046464"/>
      <w:bookmarkStart w:id="77" w:name="_Toc247691518"/>
      <w:bookmarkStart w:id="78" w:name="_Toc314842502"/>
      <w:r w:rsidRPr="00113BDB">
        <w:t xml:space="preserve">Clinical </w:t>
      </w:r>
      <w:r w:rsidR="00EF59DC" w:rsidRPr="00113BDB">
        <w:t>r</w:t>
      </w:r>
      <w:r w:rsidRPr="00113BDB">
        <w:t>ationale</w:t>
      </w:r>
    </w:p>
    <w:p w14:paraId="46A8F7F9" w14:textId="5D945B94" w:rsidR="009D1060" w:rsidRPr="00113BDB" w:rsidRDefault="00F75569" w:rsidP="00EF2F80">
      <w:r w:rsidRPr="00113BDB">
        <w:t>The sponsor’s rationale</w:t>
      </w:r>
      <w:r w:rsidR="009D1060" w:rsidRPr="00113BDB">
        <w:t xml:space="preserve"> for this new FDC (as stated in the submission cover letter dated 20 September 2016)</w:t>
      </w:r>
      <w:r w:rsidRPr="00113BDB">
        <w:t xml:space="preserve"> is that there is</w:t>
      </w:r>
      <w:r w:rsidR="009D1060" w:rsidRPr="00113BDB">
        <w:t>:</w:t>
      </w:r>
      <w:r w:rsidR="00EF2F80">
        <w:t xml:space="preserve"> </w:t>
      </w:r>
      <w:r w:rsidRPr="00113BDB">
        <w:t>‘</w:t>
      </w:r>
      <w:r w:rsidRPr="00113BDB">
        <w:rPr>
          <w:i/>
        </w:rPr>
        <w:t>a need for an ultra long acting basal insulin which more closely mimics endogenous insulin secretion with low day to day variability of glucose lowering action, to deliver improved glycaemic control with a reduced risk of hypoglycaemia relative to premixed insulin</w:t>
      </w:r>
      <w:r w:rsidR="009D1060" w:rsidRPr="00113BDB">
        <w:t>’.</w:t>
      </w:r>
    </w:p>
    <w:p w14:paraId="635747BD" w14:textId="77777777" w:rsidR="00605AD4" w:rsidRPr="00113BDB" w:rsidRDefault="00605AD4" w:rsidP="00605AD4">
      <w:pPr>
        <w:pStyle w:val="Heading4"/>
      </w:pPr>
      <w:r w:rsidRPr="00113BDB">
        <w:t>Guidance</w:t>
      </w:r>
    </w:p>
    <w:p w14:paraId="1783ABC7" w14:textId="77777777" w:rsidR="003968DA" w:rsidRPr="00113BDB" w:rsidRDefault="003968DA" w:rsidP="003968DA">
      <w:r w:rsidRPr="00113BDB">
        <w:t>Relevant TGA adopted EMA guidelines are the following:</w:t>
      </w:r>
    </w:p>
    <w:p w14:paraId="3161B6C1" w14:textId="6D766E40" w:rsidR="003968DA" w:rsidRPr="00113BDB" w:rsidRDefault="003968DA" w:rsidP="003968DA">
      <w:pPr>
        <w:numPr>
          <w:ilvl w:val="0"/>
          <w:numId w:val="3"/>
        </w:numPr>
      </w:pPr>
      <w:r w:rsidRPr="00113BDB">
        <w:t xml:space="preserve">Guideline on </w:t>
      </w:r>
      <w:r w:rsidR="00EF2F80" w:rsidRPr="00113BDB">
        <w:t xml:space="preserve">Clinical Investigation </w:t>
      </w:r>
      <w:r w:rsidR="00EF2F80">
        <w:t>o</w:t>
      </w:r>
      <w:r w:rsidR="00EF2F80" w:rsidRPr="00113BDB">
        <w:t xml:space="preserve">f Medicinal Products </w:t>
      </w:r>
      <w:r w:rsidR="00EF2F80">
        <w:t>i</w:t>
      </w:r>
      <w:r w:rsidR="00EF2F80" w:rsidRPr="00113BDB">
        <w:t xml:space="preserve">n </w:t>
      </w:r>
      <w:r w:rsidR="00EF2F80">
        <w:t>t</w:t>
      </w:r>
      <w:r w:rsidR="00EF2F80" w:rsidRPr="00113BDB">
        <w:t xml:space="preserve">he Treatment </w:t>
      </w:r>
      <w:r w:rsidR="00EF2F80">
        <w:t>o</w:t>
      </w:r>
      <w:r w:rsidR="00EF2F80" w:rsidRPr="00113BDB">
        <w:t xml:space="preserve">r Prevention </w:t>
      </w:r>
      <w:r w:rsidR="00EF2F80">
        <w:t>o</w:t>
      </w:r>
      <w:r w:rsidR="00EF2F80" w:rsidRPr="00113BDB">
        <w:t xml:space="preserve">f Diabetes Mellitus </w:t>
      </w:r>
      <w:r w:rsidRPr="00113BDB">
        <w:t>(14 May 2012; CPMP/EWP/1080/00 Rev. 1).</w:t>
      </w:r>
    </w:p>
    <w:p w14:paraId="499D784D" w14:textId="145B035C" w:rsidR="009D1060" w:rsidRPr="00113BDB" w:rsidRDefault="00EF2F80" w:rsidP="009D1060">
      <w:pPr>
        <w:numPr>
          <w:ilvl w:val="0"/>
          <w:numId w:val="3"/>
        </w:numPr>
      </w:pPr>
      <w:r w:rsidRPr="00113BDB">
        <w:t xml:space="preserve">Reflection Paper </w:t>
      </w:r>
      <w:r>
        <w:t>o</w:t>
      </w:r>
      <w:r w:rsidRPr="00113BDB">
        <w:t xml:space="preserve">n Assessment </w:t>
      </w:r>
      <w:r>
        <w:t>o</w:t>
      </w:r>
      <w:r w:rsidRPr="00113BDB">
        <w:t xml:space="preserve">f Cardiovascular Safety Profile </w:t>
      </w:r>
      <w:r>
        <w:t>o</w:t>
      </w:r>
      <w:r w:rsidRPr="00113BDB">
        <w:t xml:space="preserve">f Medicinal Products </w:t>
      </w:r>
      <w:r w:rsidR="003968DA" w:rsidRPr="00113BDB">
        <w:t>(25 February 2016; EMA/CHMP/50549/2015).</w:t>
      </w:r>
    </w:p>
    <w:p w14:paraId="26680118" w14:textId="77777777" w:rsidR="00605AD4" w:rsidRPr="00113BDB" w:rsidRDefault="00605AD4" w:rsidP="00605AD4">
      <w:pPr>
        <w:pStyle w:val="Heading4"/>
      </w:pPr>
      <w:r w:rsidRPr="00113BDB">
        <w:t>Contents of the clinical dossier</w:t>
      </w:r>
    </w:p>
    <w:p w14:paraId="1BE7DE7C" w14:textId="5A501841" w:rsidR="009D1060" w:rsidRPr="00113BDB" w:rsidRDefault="009D1060" w:rsidP="009D1060">
      <w:r w:rsidRPr="00113BDB">
        <w:t xml:space="preserve">The sponsor conducted a pre-submission meeting with the TGA on 20 June 2016, where it was agreed the dossier for IDegAsp would be resubmitted. In view of the previous evaluation, it was decided the dossier would be limited to data from </w:t>
      </w:r>
      <w:r w:rsidR="003968DA" w:rsidRPr="00113BDB">
        <w:t xml:space="preserve">Study EX 1250-4080 (also known as the </w:t>
      </w:r>
      <w:r w:rsidRPr="00113BDB">
        <w:t>DEVOTE trial</w:t>
      </w:r>
      <w:r w:rsidR="003968DA" w:rsidRPr="00113BDB">
        <w:t>)</w:t>
      </w:r>
      <w:r w:rsidRPr="00113BDB">
        <w:t>, synopses of studies completed since the previous submission rather than full clinical trial reports, and addressing any outstanding issues from the previous submission.</w:t>
      </w:r>
    </w:p>
    <w:p w14:paraId="294F06CD" w14:textId="21D7A167" w:rsidR="009D1060" w:rsidRPr="00113BDB" w:rsidRDefault="009D1060" w:rsidP="009D1060">
      <w:r w:rsidRPr="00113BDB">
        <w:lastRenderedPageBreak/>
        <w:t>The new studies comprised of:</w:t>
      </w:r>
    </w:p>
    <w:p w14:paraId="57C4B273" w14:textId="35AC3036" w:rsidR="009D1060" w:rsidRPr="00113BDB" w:rsidRDefault="009D1060" w:rsidP="009D1060">
      <w:pPr>
        <w:pStyle w:val="ListBullet"/>
      </w:pPr>
      <w:r w:rsidRPr="00113BDB">
        <w:t>10 new IDegAsp studies submitted (compared with the original submission) as synopses. These included 7 Phase III trials (including 1 extension part) and 3 clinical pharmacology trials.</w:t>
      </w:r>
    </w:p>
    <w:p w14:paraId="2FFEC6A9" w14:textId="29C25F0F" w:rsidR="009D1060" w:rsidRPr="00113BDB" w:rsidRDefault="009D1060" w:rsidP="009D1060">
      <w:pPr>
        <w:pStyle w:val="ListBullet"/>
      </w:pPr>
      <w:r w:rsidRPr="00113BDB">
        <w:t>Additional information submitted in December 2016; this was the interim data from the cardiovascular outcomes DEVOTE trial (Study EX1250-4080).</w:t>
      </w:r>
    </w:p>
    <w:p w14:paraId="5C1815EA" w14:textId="77777777" w:rsidR="009D1060" w:rsidRPr="00113BDB" w:rsidRDefault="009D1060" w:rsidP="009D1060">
      <w:r w:rsidRPr="00113BDB">
        <w:t>Other key documents included:</w:t>
      </w:r>
    </w:p>
    <w:p w14:paraId="230D87A7" w14:textId="526655E3" w:rsidR="009D1060" w:rsidRPr="00113BDB" w:rsidRDefault="009D1060" w:rsidP="009D1060">
      <w:pPr>
        <w:pStyle w:val="ListBullet"/>
      </w:pPr>
      <w:r w:rsidRPr="00113BDB">
        <w:t>A Periodic Safety Update Report (PSUR)/Periodic Benefit-Risk Evaluation Report (PBRER) for IDegAsp (dated 1 October 2014 to 30 September 2015).</w:t>
      </w:r>
    </w:p>
    <w:p w14:paraId="5919DCBF" w14:textId="77777777" w:rsidR="009D1060" w:rsidRPr="00113BDB" w:rsidRDefault="009D1060" w:rsidP="009D1060">
      <w:r w:rsidRPr="00113BDB">
        <w:t>The following documents were provided:</w:t>
      </w:r>
    </w:p>
    <w:p w14:paraId="50366560" w14:textId="76943309" w:rsidR="009D1060" w:rsidRPr="00113BDB" w:rsidRDefault="009D1060" w:rsidP="009D1060">
      <w:pPr>
        <w:pStyle w:val="ListBullet"/>
      </w:pPr>
      <w:r w:rsidRPr="00113BDB">
        <w:t>An Introduction</w:t>
      </w:r>
    </w:p>
    <w:p w14:paraId="51DBF37C" w14:textId="77777777" w:rsidR="009D1060" w:rsidRPr="00113BDB" w:rsidRDefault="009D1060" w:rsidP="009D1060">
      <w:pPr>
        <w:pStyle w:val="ListBullet"/>
      </w:pPr>
      <w:r w:rsidRPr="00113BDB">
        <w:t>Quality Overall Summaries</w:t>
      </w:r>
    </w:p>
    <w:p w14:paraId="7E18AD31" w14:textId="77777777" w:rsidR="009D1060" w:rsidRPr="00113BDB" w:rsidRDefault="009D1060" w:rsidP="009D1060">
      <w:pPr>
        <w:pStyle w:val="ListBullet"/>
      </w:pPr>
      <w:r w:rsidRPr="00113BDB">
        <w:t>Nonclinical overview for both IDegAsp and IAsp</w:t>
      </w:r>
    </w:p>
    <w:p w14:paraId="13B92624" w14:textId="77777777" w:rsidR="009D1060" w:rsidRPr="00113BDB" w:rsidRDefault="009D1060" w:rsidP="009D1060">
      <w:pPr>
        <w:pStyle w:val="ListBullet"/>
      </w:pPr>
      <w:r w:rsidRPr="00113BDB">
        <w:t>Clinical overview for IDegAsp, IDeg and IAsp</w:t>
      </w:r>
    </w:p>
    <w:p w14:paraId="40F8F7F0" w14:textId="77777777" w:rsidR="009D1060" w:rsidRPr="00113BDB" w:rsidRDefault="009D1060" w:rsidP="009D1060">
      <w:pPr>
        <w:pStyle w:val="ListBullet"/>
      </w:pPr>
      <w:r w:rsidRPr="00113BDB">
        <w:t>Nonclinical summaries for IDegAsp</w:t>
      </w:r>
    </w:p>
    <w:p w14:paraId="7B87983A" w14:textId="4B055A2F" w:rsidR="009D1060" w:rsidRPr="00113BDB" w:rsidRDefault="009D1060" w:rsidP="009D1060">
      <w:pPr>
        <w:pStyle w:val="ListBullet"/>
      </w:pPr>
      <w:r w:rsidRPr="00113BDB">
        <w:t xml:space="preserve">Clinical summaries for IDegAsp and IDeg (including Summary of </w:t>
      </w:r>
      <w:r w:rsidR="00EF2F80">
        <w:t>C</w:t>
      </w:r>
      <w:r w:rsidR="00EF2F80" w:rsidRPr="00113BDB">
        <w:t xml:space="preserve">linical </w:t>
      </w:r>
      <w:r w:rsidR="00EF2F80">
        <w:t>S</w:t>
      </w:r>
      <w:r w:rsidR="00EF2F80" w:rsidRPr="00113BDB">
        <w:t xml:space="preserve">afety </w:t>
      </w:r>
      <w:r w:rsidRPr="00113BDB">
        <w:t>addendum, IDegAsp).</w:t>
      </w:r>
    </w:p>
    <w:p w14:paraId="7EFEAA9D" w14:textId="77777777" w:rsidR="00605AD4" w:rsidRPr="00113BDB" w:rsidRDefault="00605AD4" w:rsidP="00605AD4">
      <w:pPr>
        <w:pStyle w:val="Heading4"/>
      </w:pPr>
      <w:r w:rsidRPr="00113BDB">
        <w:t>Paediatric data</w:t>
      </w:r>
    </w:p>
    <w:p w14:paraId="28D54378" w14:textId="11183CB8" w:rsidR="009D1060" w:rsidRPr="00113BDB" w:rsidRDefault="009D1060" w:rsidP="009D1060">
      <w:r w:rsidRPr="00113BDB">
        <w:t>No paediatric data was been submitted; as of 30 September, 2014, 1 paediatric trial was ongoing. No paediatric indication is being sought in Australia. Paediatric data is relevant for this medicine as diabetes also occurs in infants and children.</w:t>
      </w:r>
    </w:p>
    <w:p w14:paraId="0AE45262" w14:textId="77777777" w:rsidR="00605AD4" w:rsidRPr="00113BDB" w:rsidRDefault="00605AD4" w:rsidP="00605AD4">
      <w:pPr>
        <w:pStyle w:val="Heading4"/>
      </w:pPr>
      <w:r w:rsidRPr="00113BDB">
        <w:t>Good clinical practice</w:t>
      </w:r>
    </w:p>
    <w:p w14:paraId="4A4B859F" w14:textId="1C08DF5E" w:rsidR="009D1060" w:rsidRPr="00113BDB" w:rsidRDefault="009D1060" w:rsidP="009D1060">
      <w:r w:rsidRPr="00113BDB">
        <w:t>The newly submitted study synopses state the studies were conducted in accordance with the principles of Good Clinical Practice</w:t>
      </w:r>
      <w:r w:rsidR="00EF2F80">
        <w:t xml:space="preserve"> (GCP)</w:t>
      </w:r>
      <w:r w:rsidRPr="00113BDB">
        <w:t>.</w:t>
      </w:r>
    </w:p>
    <w:p w14:paraId="74392B20" w14:textId="77777777" w:rsidR="008E7846" w:rsidRPr="00113BDB" w:rsidRDefault="008E7846" w:rsidP="00605AD4">
      <w:pPr>
        <w:pStyle w:val="Heading3"/>
      </w:pPr>
      <w:bookmarkStart w:id="79" w:name="_Toc517697984"/>
      <w:r w:rsidRPr="00113BDB">
        <w:t>Pharmacokinetics</w:t>
      </w:r>
      <w:bookmarkEnd w:id="70"/>
      <w:bookmarkEnd w:id="76"/>
      <w:bookmarkEnd w:id="77"/>
      <w:bookmarkEnd w:id="78"/>
      <w:bookmarkEnd w:id="79"/>
    </w:p>
    <w:p w14:paraId="1FC5F46C" w14:textId="74193469" w:rsidR="00605AD4" w:rsidRPr="00113BDB" w:rsidRDefault="00605AD4" w:rsidP="00605AD4">
      <w:pPr>
        <w:pStyle w:val="Heading4"/>
      </w:pPr>
      <w:r w:rsidRPr="00113BDB">
        <w:t>Studies</w:t>
      </w:r>
      <w:r w:rsidR="00316B24" w:rsidRPr="00113BDB">
        <w:t xml:space="preserve"> providing pharmacokinetic data</w:t>
      </w:r>
    </w:p>
    <w:p w14:paraId="0407D541" w14:textId="5078E066" w:rsidR="00B44E03" w:rsidRPr="00113BDB" w:rsidRDefault="00B44E03" w:rsidP="00B44E03">
      <w:r w:rsidRPr="00113BDB">
        <w:t xml:space="preserve">The pharmacokinetic profile of IDegAsp has been determined in the original </w:t>
      </w:r>
      <w:r w:rsidR="00FE5229" w:rsidRPr="00113BDB">
        <w:t>withdrawn submission</w:t>
      </w:r>
      <w:r w:rsidRPr="00113BDB">
        <w:t>. The current dossier contai</w:t>
      </w:r>
      <w:r w:rsidR="00FE5229" w:rsidRPr="00113BDB">
        <w:t>ned synopses for 1 additional pharmacodynamic/pharmacokinetic</w:t>
      </w:r>
      <w:r w:rsidRPr="00113BDB">
        <w:t xml:space="preserve"> trial (Study</w:t>
      </w:r>
      <w:r w:rsidRPr="00113BDB">
        <w:rPr>
          <w:lang w:eastAsia="ja-JP"/>
        </w:rPr>
        <w:t xml:space="preserve"> </w:t>
      </w:r>
      <w:r w:rsidRPr="00113BDB">
        <w:t>NN5401-1979).</w:t>
      </w:r>
    </w:p>
    <w:p w14:paraId="083E97B9" w14:textId="77777777" w:rsidR="00605AD4" w:rsidRPr="00113BDB" w:rsidRDefault="00605AD4" w:rsidP="00605AD4">
      <w:pPr>
        <w:pStyle w:val="Heading4"/>
      </w:pPr>
      <w:r w:rsidRPr="00113BDB">
        <w:t>Evaluator’s conclusions on pharmacokinetics</w:t>
      </w:r>
    </w:p>
    <w:p w14:paraId="695F4D19" w14:textId="262BA3EC" w:rsidR="00B44E03" w:rsidRPr="00113BDB" w:rsidRDefault="00B44E03" w:rsidP="00B44E03">
      <w:r w:rsidRPr="00113BDB">
        <w:t xml:space="preserve">The pharmacokinetic characteristics of IDegAsp have been established in the </w:t>
      </w:r>
      <w:r w:rsidR="00FE5229" w:rsidRPr="00113BDB">
        <w:t>original withdrawn submission.</w:t>
      </w:r>
    </w:p>
    <w:p w14:paraId="726D6241" w14:textId="08AA32C7" w:rsidR="00B44E03" w:rsidRPr="00113BDB" w:rsidRDefault="00B44E03" w:rsidP="00B44E03">
      <w:r w:rsidRPr="00113BDB">
        <w:t xml:space="preserve">The issue of bioequivalence has been addressed </w:t>
      </w:r>
      <w:r w:rsidR="00FE5229" w:rsidRPr="00113BDB">
        <w:t>[see Attachment 2 for details]</w:t>
      </w:r>
      <w:r w:rsidRPr="00113BDB">
        <w:t xml:space="preserve">. It is recommended that the PI contain information as to the different pharmacokinetic parameters of IDegAsp compared to the </w:t>
      </w:r>
      <w:r w:rsidR="003A26B5">
        <w:t xml:space="preserve">individual </w:t>
      </w:r>
      <w:r w:rsidR="003A26B5" w:rsidRPr="00113BDB">
        <w:t>components</w:t>
      </w:r>
      <w:r w:rsidRPr="00113BDB">
        <w:t>.</w:t>
      </w:r>
    </w:p>
    <w:p w14:paraId="644F486E" w14:textId="77777777" w:rsidR="008E7846" w:rsidRPr="00113BDB" w:rsidRDefault="008E7846" w:rsidP="008E7846">
      <w:pPr>
        <w:pStyle w:val="Heading3"/>
      </w:pPr>
      <w:bookmarkStart w:id="80" w:name="_Toc196046481"/>
      <w:bookmarkStart w:id="81" w:name="_Toc247691520"/>
      <w:bookmarkStart w:id="82" w:name="_Toc314842503"/>
      <w:bookmarkStart w:id="83" w:name="_Toc517697985"/>
      <w:r w:rsidRPr="00113BDB">
        <w:lastRenderedPageBreak/>
        <w:t>Pharmacodynamics</w:t>
      </w:r>
      <w:bookmarkEnd w:id="71"/>
      <w:bookmarkEnd w:id="80"/>
      <w:bookmarkEnd w:id="81"/>
      <w:bookmarkEnd w:id="82"/>
      <w:bookmarkEnd w:id="83"/>
    </w:p>
    <w:p w14:paraId="509A94F4" w14:textId="77777777" w:rsidR="00605AD4" w:rsidRPr="00113BDB" w:rsidRDefault="00605AD4" w:rsidP="00605AD4">
      <w:pPr>
        <w:pStyle w:val="Heading4"/>
      </w:pPr>
      <w:r w:rsidRPr="00113BDB">
        <w:t>Studies providing pharmacodynamic data</w:t>
      </w:r>
    </w:p>
    <w:p w14:paraId="667ED125" w14:textId="1F8D1428" w:rsidR="00B44E03" w:rsidRPr="00113BDB" w:rsidRDefault="00B44E03" w:rsidP="00B44E03">
      <w:r w:rsidRPr="00113BDB">
        <w:t xml:space="preserve">The pharmacodynamic profile of IDegAsp has been described in the </w:t>
      </w:r>
      <w:r w:rsidR="00FE5229" w:rsidRPr="00113BDB">
        <w:t>original withdrawn</w:t>
      </w:r>
      <w:r w:rsidRPr="00113BDB">
        <w:t xml:space="preserve"> submission. The current submission included additional pharmacodynamic data for IDegAsp provided in Study NN5401-1979.</w:t>
      </w:r>
    </w:p>
    <w:p w14:paraId="55512B2F" w14:textId="77777777" w:rsidR="00605AD4" w:rsidRPr="00113BDB" w:rsidRDefault="00605AD4" w:rsidP="00605AD4">
      <w:pPr>
        <w:pStyle w:val="Heading4"/>
      </w:pPr>
      <w:r w:rsidRPr="00113BDB">
        <w:t>Evaluator’s conclusions on pharmacodynamics</w:t>
      </w:r>
    </w:p>
    <w:p w14:paraId="70EBF74B" w14:textId="046AC042" w:rsidR="00B44E03" w:rsidRPr="00113BDB" w:rsidRDefault="00B44E03" w:rsidP="00B44E03">
      <w:r w:rsidRPr="00113BDB">
        <w:t xml:space="preserve">The pharmacodynamic effect of IDegAsp </w:t>
      </w:r>
      <w:r w:rsidR="003A26B5">
        <w:t>was</w:t>
      </w:r>
      <w:r w:rsidRPr="00113BDB">
        <w:t xml:space="preserve"> determined in the </w:t>
      </w:r>
      <w:r w:rsidR="00E16BF9" w:rsidRPr="00113BDB">
        <w:t>original withdrawn</w:t>
      </w:r>
      <w:r w:rsidRPr="00113BDB">
        <w:t xml:space="preserve"> submission.</w:t>
      </w:r>
    </w:p>
    <w:p w14:paraId="01C4AB4A" w14:textId="0E5E4DCA" w:rsidR="00B44E03" w:rsidRPr="00113BDB" w:rsidRDefault="00B44E03" w:rsidP="00B44E03">
      <w:r w:rsidRPr="00113BDB">
        <w:t>The concern raised by the clinical evaluator of th</w:t>
      </w:r>
      <w:r w:rsidR="003A26B5">
        <w:t>e previous</w:t>
      </w:r>
      <w:r w:rsidRPr="00113BDB">
        <w:t xml:space="preserve"> submission regarding the effect during the first 2 hours of dosing with IDegAsp compared to separate injections of IDeg and IAsp is discussed in Attachment 2.</w:t>
      </w:r>
    </w:p>
    <w:p w14:paraId="628DA742" w14:textId="77777777" w:rsidR="008E7846" w:rsidRPr="00113BDB" w:rsidRDefault="008E7846" w:rsidP="008E7846">
      <w:pPr>
        <w:pStyle w:val="Heading3"/>
      </w:pPr>
      <w:bookmarkStart w:id="84" w:name="_Toc163441372"/>
      <w:bookmarkStart w:id="85" w:name="_Toc196046485"/>
      <w:bookmarkStart w:id="86" w:name="_Toc247691521"/>
      <w:bookmarkStart w:id="87" w:name="_Toc314842504"/>
      <w:bookmarkStart w:id="88" w:name="_Toc517697986"/>
      <w:r w:rsidRPr="00113BDB">
        <w:t>Efficacy</w:t>
      </w:r>
      <w:bookmarkEnd w:id="84"/>
      <w:bookmarkEnd w:id="85"/>
      <w:bookmarkEnd w:id="86"/>
      <w:bookmarkEnd w:id="87"/>
      <w:bookmarkEnd w:id="88"/>
    </w:p>
    <w:p w14:paraId="6F567314" w14:textId="77777777" w:rsidR="00605AD4" w:rsidRPr="00113BDB" w:rsidRDefault="00605AD4" w:rsidP="00605AD4">
      <w:pPr>
        <w:pStyle w:val="Heading4"/>
      </w:pPr>
      <w:bookmarkStart w:id="89" w:name="_Toc184439992"/>
      <w:bookmarkStart w:id="90" w:name="_Toc184440279"/>
      <w:bookmarkStart w:id="91" w:name="_Toc184444657"/>
      <w:bookmarkStart w:id="92" w:name="_Toc196046487"/>
      <w:r w:rsidRPr="00113BDB">
        <w:t>Studies providing efficacy data</w:t>
      </w:r>
    </w:p>
    <w:p w14:paraId="76798262" w14:textId="7668FDBF" w:rsidR="001B2E80" w:rsidRPr="00113BDB" w:rsidRDefault="001B2E80" w:rsidP="001B2E80">
      <w:r w:rsidRPr="00113BDB">
        <w:t xml:space="preserve">There were 5 therapeutic confirmatory trials of similar design submitted and evaluated in the </w:t>
      </w:r>
      <w:r w:rsidR="00E16BF9" w:rsidRPr="00113BDB">
        <w:t>original withdrawn submission</w:t>
      </w:r>
      <w:r w:rsidRPr="00113BDB">
        <w:t>. The purpose of this evaluation is to address issues identified by the clinical evaluator of this submission, and discuss new data provided with the current submission.</w:t>
      </w:r>
    </w:p>
    <w:p w14:paraId="4F4E0C2D" w14:textId="50F55F20" w:rsidR="001B2E80" w:rsidRPr="00113BDB" w:rsidRDefault="001B2E80" w:rsidP="001B2E80">
      <w:r w:rsidRPr="00113BDB">
        <w:t>The 5 therapeutic trials evaluated in the previous submission were:</w:t>
      </w:r>
    </w:p>
    <w:p w14:paraId="4B000D3B" w14:textId="7AD8B601" w:rsidR="004A776D" w:rsidRPr="00113BDB" w:rsidRDefault="004A776D" w:rsidP="004A776D">
      <w:pPr>
        <w:pStyle w:val="ListBullet"/>
      </w:pPr>
      <w:r w:rsidRPr="00113BDB">
        <w:t>1 study conducted in subjects with T1DM (Study NN5401-3594)</w:t>
      </w:r>
    </w:p>
    <w:p w14:paraId="4A2A39BA" w14:textId="364F0181" w:rsidR="001B2E80" w:rsidRPr="00113BDB" w:rsidRDefault="001B2E80" w:rsidP="004A776D">
      <w:pPr>
        <w:pStyle w:val="ListBullet"/>
      </w:pPr>
      <w:r w:rsidRPr="00113BDB">
        <w:t>4 studies in subjects with T2DM who were either insulin naïve (Study </w:t>
      </w:r>
      <w:r w:rsidR="004A776D" w:rsidRPr="00113BDB">
        <w:t>NN5401-</w:t>
      </w:r>
      <w:r w:rsidRPr="00113BDB">
        <w:t xml:space="preserve">3590) or insulin treated (Studies </w:t>
      </w:r>
      <w:r w:rsidR="004A776D" w:rsidRPr="00113BDB">
        <w:t>NN5401-</w:t>
      </w:r>
      <w:r w:rsidRPr="00113BDB">
        <w:t xml:space="preserve">3592, </w:t>
      </w:r>
      <w:r w:rsidR="004A776D" w:rsidRPr="00113BDB">
        <w:t>NN5401-</w:t>
      </w:r>
      <w:r w:rsidRPr="00113BDB">
        <w:t xml:space="preserve">3593, </w:t>
      </w:r>
      <w:r w:rsidR="004A776D" w:rsidRPr="00113BDB">
        <w:t>and NN5401-</w:t>
      </w:r>
      <w:r w:rsidRPr="00113BDB">
        <w:t>3597)</w:t>
      </w:r>
      <w:r w:rsidR="004A776D" w:rsidRPr="00113BDB">
        <w:t>.</w:t>
      </w:r>
    </w:p>
    <w:p w14:paraId="725D0AF0" w14:textId="35EB05D5" w:rsidR="001B2E80" w:rsidRPr="00113BDB" w:rsidRDefault="004A776D" w:rsidP="001B2E80">
      <w:r w:rsidRPr="00113BDB">
        <w:t>All studies were of 26 weeks duration, with 2 trials (Studies NN5401-3594 and NN540</w:t>
      </w:r>
      <w:r w:rsidR="0065309E" w:rsidRPr="00113BDB">
        <w:t>1</w:t>
      </w:r>
      <w:r w:rsidR="0065309E" w:rsidRPr="00113BDB">
        <w:noBreakHyphen/>
      </w:r>
      <w:r w:rsidRPr="00113BDB">
        <w:t>3590) extended by an additional 26 weeks to provide long term safety data.</w:t>
      </w:r>
    </w:p>
    <w:p w14:paraId="588167F8" w14:textId="451A63A7" w:rsidR="004A776D" w:rsidRPr="00113BDB" w:rsidRDefault="004A776D" w:rsidP="004A776D">
      <w:r w:rsidRPr="00113BDB">
        <w:t>Synopses for 7 new studies providing efficacy data for subjects with T2DM were provided in the current dossier. Although defined as safety endpoints, some of the hypoglycaemic parameters are included in the study summaries below to facilitate comparison with those results in ear</w:t>
      </w:r>
      <w:r w:rsidR="006F3040" w:rsidRPr="00113BDB">
        <w:t>lier studies. These studies were:</w:t>
      </w:r>
    </w:p>
    <w:p w14:paraId="7C5809EB" w14:textId="7836CD77" w:rsidR="004A776D" w:rsidRPr="00113BDB" w:rsidRDefault="007072E8" w:rsidP="006F3040">
      <w:pPr>
        <w:pStyle w:val="ListBullet"/>
      </w:pPr>
      <w:r w:rsidRPr="00113BDB">
        <w:t xml:space="preserve">Study NN5401-3726, </w:t>
      </w:r>
      <w:r w:rsidR="006F3040" w:rsidRPr="00113BDB">
        <w:t>the synopsis for the</w:t>
      </w:r>
      <w:r w:rsidR="004A776D" w:rsidRPr="00113BDB">
        <w:t xml:space="preserve"> 26 week extension of</w:t>
      </w:r>
      <w:r w:rsidR="006F3040" w:rsidRPr="00113BDB">
        <w:t xml:space="preserve"> pivotal</w:t>
      </w:r>
      <w:r w:rsidR="00AC43D9" w:rsidRPr="00113BDB">
        <w:t xml:space="preserve"> Study </w:t>
      </w:r>
      <w:r w:rsidR="0065309E" w:rsidRPr="00113BDB">
        <w:t>NN5401</w:t>
      </w:r>
      <w:r w:rsidR="0065309E" w:rsidRPr="00113BDB">
        <w:noBreakHyphen/>
      </w:r>
      <w:r w:rsidR="004A776D" w:rsidRPr="00113BDB">
        <w:t>3590</w:t>
      </w:r>
    </w:p>
    <w:p w14:paraId="09263C53" w14:textId="4E20721F" w:rsidR="007072E8" w:rsidRPr="00113BDB" w:rsidRDefault="006F3040" w:rsidP="001B2E80">
      <w:pPr>
        <w:pStyle w:val="ListBullet"/>
      </w:pPr>
      <w:r w:rsidRPr="00113BDB">
        <w:t>2 additional studies investigating once daily dosing of IDegAsp (Studies</w:t>
      </w:r>
      <w:r w:rsidR="007072E8" w:rsidRPr="00113BDB">
        <w:t xml:space="preserve"> NN5401-3844</w:t>
      </w:r>
      <w:r w:rsidRPr="00113BDB">
        <w:t xml:space="preserve"> and </w:t>
      </w:r>
      <w:r w:rsidR="007072E8" w:rsidRPr="00113BDB">
        <w:rPr>
          <w:lang w:eastAsia="ja-JP"/>
        </w:rPr>
        <w:t>NN5401-3896</w:t>
      </w:r>
      <w:r w:rsidRPr="00113BDB">
        <w:rPr>
          <w:lang w:eastAsia="ja-JP"/>
        </w:rPr>
        <w:t>)</w:t>
      </w:r>
    </w:p>
    <w:p w14:paraId="559C9E8C" w14:textId="1B6DDACA" w:rsidR="007072E8" w:rsidRPr="00113BDB" w:rsidRDefault="006F3040" w:rsidP="006F3040">
      <w:pPr>
        <w:pStyle w:val="ListBullet"/>
        <w:rPr>
          <w:lang w:eastAsia="ja-JP"/>
        </w:rPr>
      </w:pPr>
      <w:r w:rsidRPr="00113BDB">
        <w:rPr>
          <w:lang w:eastAsia="ja-JP"/>
        </w:rPr>
        <w:t>4 additional studies investigating twice daily dosing of IDegAsp (</w:t>
      </w:r>
      <w:r w:rsidR="007072E8" w:rsidRPr="00113BDB">
        <w:rPr>
          <w:lang w:eastAsia="ja-JP"/>
        </w:rPr>
        <w:t>Studies</w:t>
      </w:r>
      <w:r w:rsidR="0065309E" w:rsidRPr="00113BDB">
        <w:rPr>
          <w:lang w:eastAsia="ja-JP"/>
        </w:rPr>
        <w:t> NN5401</w:t>
      </w:r>
      <w:r w:rsidR="0065309E" w:rsidRPr="00113BDB">
        <w:rPr>
          <w:lang w:eastAsia="ja-JP"/>
        </w:rPr>
        <w:noBreakHyphen/>
      </w:r>
      <w:r w:rsidR="007072E8" w:rsidRPr="00113BDB">
        <w:rPr>
          <w:lang w:eastAsia="ja-JP"/>
        </w:rPr>
        <w:t>3940, NN5401-3996, NN5401-3941 and NN5401-4003</w:t>
      </w:r>
      <w:r w:rsidRPr="00113BDB">
        <w:rPr>
          <w:lang w:eastAsia="ja-JP"/>
        </w:rPr>
        <w:t>)</w:t>
      </w:r>
      <w:r w:rsidR="00EF2F80">
        <w:rPr>
          <w:lang w:eastAsia="ja-JP"/>
        </w:rPr>
        <w:t>.</w:t>
      </w:r>
    </w:p>
    <w:p w14:paraId="6289B9E1" w14:textId="77777777" w:rsidR="008E7846" w:rsidRPr="00113BDB" w:rsidRDefault="00605AD4" w:rsidP="00605AD4">
      <w:pPr>
        <w:pStyle w:val="Heading4"/>
      </w:pPr>
      <w:r w:rsidRPr="00113BDB">
        <w:t>Evaluator’s conclusions on efficacy</w:t>
      </w:r>
    </w:p>
    <w:p w14:paraId="1AF88C60" w14:textId="51B10847" w:rsidR="00350219" w:rsidRPr="00113BDB" w:rsidRDefault="00350219" w:rsidP="00350219">
      <w:r w:rsidRPr="00113BDB">
        <w:t xml:space="preserve">The efficacy of IDegAsp in terms of </w:t>
      </w:r>
      <w:r w:rsidR="00AC43D9" w:rsidRPr="00113BDB">
        <w:t>glycated haemoglobin (</w:t>
      </w:r>
      <w:r w:rsidRPr="00113BDB">
        <w:t>HbA1c</w:t>
      </w:r>
      <w:r w:rsidR="00AC43D9" w:rsidRPr="00113BDB">
        <w:t>)</w:t>
      </w:r>
      <w:r w:rsidRPr="00113BDB">
        <w:t xml:space="preserve"> reduction was demonstrated in the pivotal studies evaluated in the original </w:t>
      </w:r>
      <w:r w:rsidR="0065309E" w:rsidRPr="00113BDB">
        <w:t xml:space="preserve">withdrawn </w:t>
      </w:r>
      <w:r w:rsidRPr="00113BDB">
        <w:t xml:space="preserve">submission (with non-inferiority of IDegAsp to comparators in subjects with both T1DM and T2DM demonstrated. Additional 52 week data for subjects with T2DM provided in the synopsis for Study </w:t>
      </w:r>
      <w:r w:rsidR="0065309E" w:rsidRPr="00113BDB">
        <w:rPr>
          <w:lang w:eastAsia="ja-JP"/>
        </w:rPr>
        <w:t>NN5401</w:t>
      </w:r>
      <w:r w:rsidR="0065309E" w:rsidRPr="00113BDB">
        <w:rPr>
          <w:lang w:eastAsia="ja-JP"/>
        </w:rPr>
        <w:noBreakHyphen/>
      </w:r>
      <w:r w:rsidRPr="00113BDB">
        <w:t>3726 demonstrate maintenance of effe</w:t>
      </w:r>
      <w:r w:rsidR="0065309E" w:rsidRPr="00113BDB">
        <w:t>ct in terms of HbA1c reduction.</w:t>
      </w:r>
    </w:p>
    <w:p w14:paraId="4C2DF725" w14:textId="40DF28AC" w:rsidR="00350219" w:rsidRPr="00113BDB" w:rsidRDefault="00350219" w:rsidP="00350219">
      <w:r w:rsidRPr="00113BDB">
        <w:lastRenderedPageBreak/>
        <w:t xml:space="preserve">Outstanding issues regarding efficacy identified in the original submission are considered to have been adequately addressed, with particular regard to the efficacy of twice daily dosing of IDegAsp in subjects with T2DM. The synopses provided in the current dossier for an additional 4 studies comparing IDegAsp </w:t>
      </w:r>
      <w:r w:rsidR="0065309E" w:rsidRPr="00113BDB">
        <w:t xml:space="preserve">twice daily </w:t>
      </w:r>
      <w:r w:rsidRPr="00113BDB">
        <w:t xml:space="preserve">and </w:t>
      </w:r>
      <w:r w:rsidR="0030024A" w:rsidRPr="0030024A">
        <w:t xml:space="preserve">biphasic insulin aspart </w:t>
      </w:r>
      <w:r w:rsidR="0030024A">
        <w:t>(</w:t>
      </w:r>
      <w:r w:rsidRPr="00113BDB">
        <w:t>BIAsp</w:t>
      </w:r>
      <w:r w:rsidR="0030024A">
        <w:t>)</w:t>
      </w:r>
      <w:r w:rsidRPr="00113BDB">
        <w:t xml:space="preserve"> 30 </w:t>
      </w:r>
      <w:r w:rsidR="0065309E" w:rsidRPr="00113BDB">
        <w:t>twice daily</w:t>
      </w:r>
      <w:r w:rsidRPr="00113BDB">
        <w:t xml:space="preserve"> confirmed non-inferiority of IDegAsp to BIAsp 30 with respec</w:t>
      </w:r>
      <w:r w:rsidR="0065309E" w:rsidRPr="00113BDB">
        <w:t>t to reduction in HbA1c in 2 </w:t>
      </w:r>
      <w:r w:rsidRPr="00113BDB">
        <w:t xml:space="preserve">studies. A reduction in HbA1c was observed, although non-inferiority of IDegAsp </w:t>
      </w:r>
      <w:r w:rsidR="00AC43D9" w:rsidRPr="00113BDB">
        <w:t>twice daily</w:t>
      </w:r>
      <w:r w:rsidRPr="00113BDB">
        <w:t xml:space="preserve"> to BIAsp 30 </w:t>
      </w:r>
      <w:r w:rsidR="00AC43D9" w:rsidRPr="00113BDB">
        <w:t>twice daily</w:t>
      </w:r>
      <w:r w:rsidRPr="00113BDB">
        <w:t xml:space="preserve"> not confirmed, in </w:t>
      </w:r>
      <w:r w:rsidR="00AC43D9" w:rsidRPr="00113BDB">
        <w:t>1</w:t>
      </w:r>
      <w:r w:rsidRPr="00113BDB">
        <w:t xml:space="preserve"> study and the remaining study comprised a sample size too small to draw any meaningful conclusions. These findings need to be considered in accordance with safety data.</w:t>
      </w:r>
    </w:p>
    <w:p w14:paraId="2A9115A8" w14:textId="0EBAAEB2" w:rsidR="00350219" w:rsidRPr="00113BDB" w:rsidRDefault="00350219" w:rsidP="00350219">
      <w:r w:rsidRPr="00113BDB">
        <w:t xml:space="preserve">The external validity of the clinical trials is a major concern. The results of the clinical trials describe an average response for the population in terms of glycaemic control and hypoglycaemia. However, in clinical practice insulin doses are individualised based on type of diabetes, residual insulin secretion, insulin sensitivity, carbohydrate composition of meals, age and co-morbidities. Thus, the extrapolation of dosing </w:t>
      </w:r>
      <w:r w:rsidR="0065309E" w:rsidRPr="00113BDB">
        <w:t>regimens</w:t>
      </w:r>
      <w:r w:rsidRPr="00113BDB">
        <w:t xml:space="preserve"> and outcomes need to be interpreted with caution.</w:t>
      </w:r>
    </w:p>
    <w:p w14:paraId="58ACD111" w14:textId="77777777" w:rsidR="008E7846" w:rsidRPr="00113BDB" w:rsidRDefault="008E7846" w:rsidP="008E7846">
      <w:pPr>
        <w:pStyle w:val="Heading3"/>
      </w:pPr>
      <w:bookmarkStart w:id="93" w:name="_Toc163441378"/>
      <w:bookmarkStart w:id="94" w:name="_Toc196046495"/>
      <w:bookmarkStart w:id="95" w:name="_Toc247691522"/>
      <w:bookmarkStart w:id="96" w:name="_Toc314842505"/>
      <w:bookmarkStart w:id="97" w:name="_Toc517697987"/>
      <w:bookmarkEnd w:id="89"/>
      <w:bookmarkEnd w:id="90"/>
      <w:bookmarkEnd w:id="91"/>
      <w:bookmarkEnd w:id="92"/>
      <w:r w:rsidRPr="00113BDB">
        <w:t>Safety</w:t>
      </w:r>
      <w:bookmarkEnd w:id="93"/>
      <w:bookmarkEnd w:id="94"/>
      <w:bookmarkEnd w:id="95"/>
      <w:bookmarkEnd w:id="96"/>
      <w:bookmarkEnd w:id="97"/>
    </w:p>
    <w:p w14:paraId="78DD5B54" w14:textId="77777777" w:rsidR="00605AD4" w:rsidRPr="00113BDB" w:rsidRDefault="00605AD4" w:rsidP="00605AD4">
      <w:pPr>
        <w:pStyle w:val="Heading4"/>
      </w:pPr>
      <w:bookmarkStart w:id="98" w:name="_Toc247691524"/>
      <w:bookmarkStart w:id="99" w:name="_Toc314842508"/>
      <w:bookmarkStart w:id="100" w:name="_Toc196046504"/>
      <w:bookmarkStart w:id="101" w:name="_Toc163441390"/>
      <w:r w:rsidRPr="00113BDB">
        <w:t>Studies providing safety data</w:t>
      </w:r>
    </w:p>
    <w:p w14:paraId="0341F6D8" w14:textId="77777777" w:rsidR="00350219" w:rsidRPr="00113BDB" w:rsidRDefault="00350219" w:rsidP="00350219">
      <w:r w:rsidRPr="00113BDB">
        <w:t>Of the new studies which have been submitted, 2 have safety as the sole primary outcome:</w:t>
      </w:r>
    </w:p>
    <w:p w14:paraId="14A77B43" w14:textId="20B54336" w:rsidR="00350219" w:rsidRPr="00113BDB" w:rsidRDefault="0065309E" w:rsidP="00350219">
      <w:pPr>
        <w:pStyle w:val="ListBullet"/>
      </w:pPr>
      <w:r w:rsidRPr="00113BDB">
        <w:t>Study EX</w:t>
      </w:r>
      <w:r w:rsidR="00350219" w:rsidRPr="00113BDB">
        <w:t xml:space="preserve">1250-4080 (the DEVOTE trial), a dedicated cardiovascular outcomes study. This study randomised subjects to either IDeg or </w:t>
      </w:r>
      <w:r w:rsidR="0030024A" w:rsidRPr="00113BDB">
        <w:t xml:space="preserve">Insulin glargine </w:t>
      </w:r>
      <w:r w:rsidR="0030024A">
        <w:t>(</w:t>
      </w:r>
      <w:r w:rsidR="00350219" w:rsidRPr="00113BDB">
        <w:t>IGlar</w:t>
      </w:r>
      <w:r w:rsidR="0030024A">
        <w:t>)</w:t>
      </w:r>
      <w:r w:rsidR="00350219" w:rsidRPr="00113BDB">
        <w:t xml:space="preserve"> (an IDegAsp arm was not included).</w:t>
      </w:r>
      <w:r w:rsidRPr="00113BDB">
        <w:t xml:space="preserve"> See Attachment 2 for this submission, and for the Tresiba submission for further details.</w:t>
      </w:r>
      <w:r w:rsidRPr="00113BDB">
        <w:rPr>
          <w:highlight w:val="yellow"/>
          <w:vertAlign w:val="superscript"/>
        </w:rPr>
        <w:fldChar w:fldCharType="begin"/>
      </w:r>
      <w:r w:rsidRPr="00113BDB">
        <w:rPr>
          <w:vertAlign w:val="superscript"/>
        </w:rPr>
        <w:instrText xml:space="preserve"> NOTEREF _Ref511237953 \h </w:instrText>
      </w:r>
      <w:r w:rsidRPr="00113BDB">
        <w:rPr>
          <w:highlight w:val="yellow"/>
          <w:vertAlign w:val="superscript"/>
        </w:rPr>
        <w:instrText xml:space="preserve"> \* MERGEFORMAT </w:instrText>
      </w:r>
      <w:r w:rsidRPr="00113BDB">
        <w:rPr>
          <w:highlight w:val="yellow"/>
          <w:vertAlign w:val="superscript"/>
        </w:rPr>
      </w:r>
      <w:r w:rsidRPr="00113BDB">
        <w:rPr>
          <w:highlight w:val="yellow"/>
          <w:vertAlign w:val="superscript"/>
        </w:rPr>
        <w:fldChar w:fldCharType="separate"/>
      </w:r>
      <w:r w:rsidR="00EA37BD">
        <w:rPr>
          <w:vertAlign w:val="superscript"/>
        </w:rPr>
        <w:t>4</w:t>
      </w:r>
      <w:r w:rsidRPr="00113BDB">
        <w:rPr>
          <w:highlight w:val="yellow"/>
          <w:vertAlign w:val="superscript"/>
        </w:rPr>
        <w:fldChar w:fldCharType="end"/>
      </w:r>
    </w:p>
    <w:p w14:paraId="7830750F" w14:textId="422730C8" w:rsidR="00350219" w:rsidRPr="00113BDB" w:rsidRDefault="0065309E" w:rsidP="0065309E">
      <w:pPr>
        <w:pStyle w:val="ListBullet"/>
      </w:pPr>
      <w:r w:rsidRPr="00113BDB">
        <w:t>Study NN</w:t>
      </w:r>
      <w:r w:rsidR="00350219" w:rsidRPr="00113BDB">
        <w:t xml:space="preserve">5401-3726 (the BOOST: START1 trial), an extension study (26 weeks) which continued to follow subjects with T2DM who were in Study NN 5401-3509 who received IDegAsp or IGlar. </w:t>
      </w:r>
      <w:r w:rsidRPr="00113BDB">
        <w:t>See Attachment 2 for further details</w:t>
      </w:r>
    </w:p>
    <w:p w14:paraId="5A03E2BB" w14:textId="25F36E7E" w:rsidR="00985C26" w:rsidRPr="00113BDB" w:rsidRDefault="0065309E" w:rsidP="00985C26">
      <w:bookmarkStart w:id="102" w:name="_Toc421005277"/>
      <w:bookmarkStart w:id="103" w:name="_Toc432079159"/>
      <w:bookmarkStart w:id="104" w:name="_Toc432080732"/>
      <w:r w:rsidRPr="00113BDB">
        <w:t>In the clinical evaluation report for the withdrawn submission</w:t>
      </w:r>
      <w:r w:rsidR="00985C26" w:rsidRPr="00113BDB">
        <w:t xml:space="preserve">, 5 therapeutic confirmatory studies and 3 exploratory studies (completed as of 31 January 2011) and ongoing studies (with a </w:t>
      </w:r>
      <w:r w:rsidR="00F87754" w:rsidRPr="00113BDB">
        <w:t>cut-off</w:t>
      </w:r>
      <w:r w:rsidR="00985C26" w:rsidRPr="00113BDB">
        <w:t xml:space="preserve"> date as of 31 March 2011) provid</w:t>
      </w:r>
      <w:r w:rsidRPr="00113BDB">
        <w:t>ed evaluable safety data. The 5 </w:t>
      </w:r>
      <w:r w:rsidR="00985C26" w:rsidRPr="00113BDB">
        <w:t xml:space="preserve">pivotal/confirmatory studies counted for most of the overall exposure in the original submission. Of the additional data contained within this submission, </w:t>
      </w:r>
      <w:r w:rsidRPr="00113BDB">
        <w:t>1</w:t>
      </w:r>
      <w:r w:rsidR="00985C26" w:rsidRPr="00113BDB">
        <w:t xml:space="preserve"> extension trial (Study NN5401-3726) </w:t>
      </w:r>
      <w:r w:rsidRPr="00113BDB">
        <w:t xml:space="preserve">for </w:t>
      </w:r>
      <w:r w:rsidR="00985C26" w:rsidRPr="00113BDB">
        <w:t>the original pivotal Study NN5401-3590 is included.</w:t>
      </w:r>
    </w:p>
    <w:bookmarkEnd w:id="102"/>
    <w:bookmarkEnd w:id="103"/>
    <w:bookmarkEnd w:id="104"/>
    <w:p w14:paraId="621DF606" w14:textId="6DD04782" w:rsidR="00985C26" w:rsidRPr="00113BDB" w:rsidRDefault="00985C26" w:rsidP="00985C26">
      <w:r w:rsidRPr="00113BDB">
        <w:t xml:space="preserve">As of 30 September 2014, a total of 31 trials and extension trials have been completed with IDegAsp; one paediatric was trial ongoing, as shown below in </w:t>
      </w:r>
      <w:r w:rsidR="00A72756" w:rsidRPr="00113BDB">
        <w:t>Figure 5</w:t>
      </w:r>
      <w:r w:rsidRPr="00113BDB">
        <w:t>.</w:t>
      </w:r>
    </w:p>
    <w:p w14:paraId="1669FE7F" w14:textId="2761A0E2" w:rsidR="00985C26" w:rsidRPr="00113BDB" w:rsidRDefault="00985C26" w:rsidP="0065309E">
      <w:pPr>
        <w:pStyle w:val="FigureTitle"/>
      </w:pPr>
      <w:bookmarkStart w:id="105" w:name="_Ref479278764"/>
      <w:bookmarkStart w:id="106" w:name="_Ref479278758"/>
      <w:bookmarkStart w:id="107" w:name="_Toc487195108"/>
      <w:r w:rsidRPr="00113BDB">
        <w:lastRenderedPageBreak/>
        <w:t xml:space="preserve">Figure </w:t>
      </w:r>
      <w:bookmarkEnd w:id="105"/>
      <w:r w:rsidR="0065309E" w:rsidRPr="00113BDB">
        <w:t>5</w:t>
      </w:r>
      <w:r w:rsidR="00EF2F80">
        <w:t>:</w:t>
      </w:r>
      <w:r w:rsidR="00EF2F80" w:rsidRPr="00113BDB">
        <w:t xml:space="preserve"> </w:t>
      </w:r>
      <w:r w:rsidRPr="00113BDB">
        <w:t>IDegAsp clinical development program as of 30 September 2014</w:t>
      </w:r>
      <w:bookmarkEnd w:id="106"/>
      <w:bookmarkEnd w:id="107"/>
    </w:p>
    <w:p w14:paraId="7B55080E" w14:textId="77777777" w:rsidR="00985C26" w:rsidRPr="00113BDB" w:rsidRDefault="00985C26" w:rsidP="00985C26">
      <w:r w:rsidRPr="00113BDB">
        <w:rPr>
          <w:noProof/>
          <w:lang w:eastAsia="en-AU"/>
        </w:rPr>
        <w:drawing>
          <wp:inline distT="0" distB="0" distL="0" distR="0" wp14:anchorId="0822EA97" wp14:editId="61AC0CAD">
            <wp:extent cx="5076825" cy="3880909"/>
            <wp:effectExtent l="0" t="0" r="0" b="5715"/>
            <wp:docPr id="3" name="Picture 3" descr="Figure 5 is a flowchart image of : IDegAsp clinical development program as of 30 September 2014; indicating new trials. There is 1 Phase 3 trial in subjects with T1DM, 4 in T2DM and 7 trials with patients taking twice daily. There is 1 ongoing paediatric trial in T1DM (once a day dosing)." title="IDegAsp clinical development program as of 30 September 2014; indicating new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5094458" cy="3894389"/>
                    </a:xfrm>
                    <a:prstGeom prst="rect">
                      <a:avLst/>
                    </a:prstGeom>
                    <a:noFill/>
                    <a:ln>
                      <a:noFill/>
                    </a:ln>
                  </pic:spPr>
                </pic:pic>
              </a:graphicData>
            </a:graphic>
          </wp:inline>
        </w:drawing>
      </w:r>
    </w:p>
    <w:p w14:paraId="1949FF0D" w14:textId="603A0710" w:rsidR="00985C26" w:rsidRPr="00113BDB" w:rsidRDefault="00985C26" w:rsidP="00985C26">
      <w:pPr>
        <w:rPr>
          <w:lang w:eastAsia="ja-JP"/>
        </w:rPr>
      </w:pPr>
      <w:r w:rsidRPr="00113BDB">
        <w:rPr>
          <w:lang w:eastAsia="ja-JP"/>
        </w:rPr>
        <w:t xml:space="preserve">This safety evaluation is mainly based on the Phase III trials; a complete list of the completed Phase III trials as of 30 September 2014 can be found below in </w:t>
      </w:r>
      <w:r w:rsidR="00A72756" w:rsidRPr="00113BDB">
        <w:rPr>
          <w:lang w:eastAsia="ja-JP"/>
        </w:rPr>
        <w:t xml:space="preserve">Table </w:t>
      </w:r>
      <w:r w:rsidR="00825A1E">
        <w:rPr>
          <w:lang w:eastAsia="ja-JP"/>
        </w:rPr>
        <w:t>6</w:t>
      </w:r>
      <w:r w:rsidRPr="00113BDB">
        <w:rPr>
          <w:lang w:eastAsia="ja-JP"/>
        </w:rPr>
        <w:t>. I</w:t>
      </w:r>
      <w:r w:rsidR="00992D05" w:rsidRPr="00113BDB">
        <w:rPr>
          <w:lang w:eastAsia="ja-JP"/>
        </w:rPr>
        <w:t>t should be noted that Study EX</w:t>
      </w:r>
      <w:r w:rsidRPr="00113BDB">
        <w:rPr>
          <w:lang w:eastAsia="ja-JP"/>
        </w:rPr>
        <w:t>1250-4080 (the DEVOTE trial) is not included in this list since it is ongoing.</w:t>
      </w:r>
    </w:p>
    <w:p w14:paraId="46CA60E0" w14:textId="6765C67B" w:rsidR="00985C26" w:rsidRPr="00113BDB" w:rsidRDefault="00A72756" w:rsidP="00781AE3">
      <w:pPr>
        <w:pStyle w:val="Tabletitle0"/>
        <w:rPr>
          <w:lang w:eastAsia="ja-JP"/>
        </w:rPr>
      </w:pPr>
      <w:r w:rsidRPr="00113BDB">
        <w:rPr>
          <w:lang w:eastAsia="ja-JP"/>
        </w:rPr>
        <w:lastRenderedPageBreak/>
        <w:t xml:space="preserve">Table </w:t>
      </w:r>
      <w:r w:rsidR="00825A1E">
        <w:rPr>
          <w:lang w:eastAsia="ja-JP"/>
        </w:rPr>
        <w:t>6</w:t>
      </w:r>
      <w:r w:rsidR="00EF2F80">
        <w:rPr>
          <w:lang w:eastAsia="ja-JP"/>
        </w:rPr>
        <w:t>:</w:t>
      </w:r>
      <w:r w:rsidR="00985C26" w:rsidRPr="00113BDB">
        <w:rPr>
          <w:lang w:eastAsia="ja-JP"/>
        </w:rPr>
        <w:t xml:space="preserve"> Completed IDegAsp Phase III trials as of 30 September 2014</w:t>
      </w:r>
    </w:p>
    <w:p w14:paraId="1D2A8521" w14:textId="05576EF1" w:rsidR="00350219" w:rsidRPr="00113BDB" w:rsidRDefault="00985C26" w:rsidP="00350219">
      <w:pPr>
        <w:rPr>
          <w:b/>
          <w:lang w:eastAsia="ja-JP"/>
        </w:rPr>
      </w:pPr>
      <w:r w:rsidRPr="00113BDB" w:rsidDel="00282E26">
        <w:rPr>
          <w:b/>
          <w:noProof/>
          <w:lang w:eastAsia="en-AU"/>
        </w:rPr>
        <w:drawing>
          <wp:inline distT="0" distB="0" distL="0" distR="0" wp14:anchorId="7DAA625D" wp14:editId="337B6D21">
            <wp:extent cx="5038725" cy="4622482"/>
            <wp:effectExtent l="0" t="0" r="0" b="6985"/>
            <wp:docPr id="29" name="Picture 29" descr="Completed IDegAsp Phase III trials as of 30 September 2014" title="Completed IDegAsp Phase III trials as of 30 Septem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994" t="3548" r="6271" b="2895"/>
                    <a:stretch/>
                  </pic:blipFill>
                  <pic:spPr bwMode="auto">
                    <a:xfrm>
                      <a:off x="0" y="0"/>
                      <a:ext cx="5044370" cy="4627661"/>
                    </a:xfrm>
                    <a:prstGeom prst="rect">
                      <a:avLst/>
                    </a:prstGeom>
                    <a:noFill/>
                    <a:ln>
                      <a:noFill/>
                    </a:ln>
                    <a:extLst>
                      <a:ext uri="{53640926-AAD7-44D8-BBD7-CCE9431645EC}">
                        <a14:shadowObscured xmlns:a14="http://schemas.microsoft.com/office/drawing/2010/main"/>
                      </a:ext>
                    </a:extLst>
                  </pic:spPr>
                </pic:pic>
              </a:graphicData>
            </a:graphic>
          </wp:inline>
        </w:drawing>
      </w:r>
    </w:p>
    <w:p w14:paraId="5F05A3C5" w14:textId="77777777" w:rsidR="00605AD4" w:rsidRPr="00113BDB" w:rsidRDefault="00605AD4" w:rsidP="00605AD4">
      <w:pPr>
        <w:pStyle w:val="Heading4"/>
      </w:pPr>
      <w:r w:rsidRPr="00113BDB">
        <w:t>Patient exposure</w:t>
      </w:r>
    </w:p>
    <w:p w14:paraId="58F37226" w14:textId="3FCABC78" w:rsidR="00E216E7" w:rsidRPr="00113BDB" w:rsidRDefault="00E216E7" w:rsidP="00E216E7">
      <w:r w:rsidRPr="00113BDB">
        <w:t xml:space="preserve">The following integrated patient exposure data is taken from the Summary of Clinical Safety Addendum and the Safety Update </w:t>
      </w:r>
      <w:r w:rsidR="00A72756" w:rsidRPr="00113BDB">
        <w:t xml:space="preserve">for </w:t>
      </w:r>
      <w:r w:rsidRPr="00113BDB">
        <w:t>IDegAsp,</w:t>
      </w:r>
      <w:r w:rsidR="00A72756" w:rsidRPr="00113BDB">
        <w:t xml:space="preserve"> which contain data up until 30 </w:t>
      </w:r>
      <w:r w:rsidRPr="00113BDB">
        <w:t xml:space="preserve">September 2014. These 2 documents compare the updated data to data contained within the Integrated Safety Summary (ISS), with a </w:t>
      </w:r>
      <w:r w:rsidR="00F87754" w:rsidRPr="00113BDB">
        <w:t>cut-off</w:t>
      </w:r>
      <w:r w:rsidRPr="00113BDB">
        <w:t xml:space="preserve"> of 31 January 2011.</w:t>
      </w:r>
    </w:p>
    <w:p w14:paraId="0E6EF499" w14:textId="0711AFD3" w:rsidR="00E216E7" w:rsidRPr="00113BDB" w:rsidRDefault="00E216E7" w:rsidP="00E216E7">
      <w:r w:rsidRPr="00113BDB">
        <w:t>Per the Summary of Clinical S</w:t>
      </w:r>
      <w:r w:rsidR="00AC43D9" w:rsidRPr="00113BDB">
        <w:t xml:space="preserve">afety Addendum which has a </w:t>
      </w:r>
      <w:r w:rsidR="00F87754" w:rsidRPr="00113BDB">
        <w:t>cut-off</w:t>
      </w:r>
      <w:r w:rsidRPr="00113BDB">
        <w:t xml:space="preserve"> date of 30 September 2014:</w:t>
      </w:r>
    </w:p>
    <w:p w14:paraId="51AA4E6C" w14:textId="36887F0F" w:rsidR="00E216E7" w:rsidRPr="00113BDB" w:rsidRDefault="00E216E7" w:rsidP="00E216E7">
      <w:pPr>
        <w:numPr>
          <w:ilvl w:val="0"/>
          <w:numId w:val="3"/>
        </w:numPr>
      </w:pPr>
      <w:r w:rsidRPr="00113BDB">
        <w:t>3139 subjects have been exposed to IDegAsp in 31 completed clinical trials and extension trials, of which 10 trials have been complet</w:t>
      </w:r>
      <w:r w:rsidR="00A72756" w:rsidRPr="00113BDB">
        <w:t xml:space="preserve">ed </w:t>
      </w:r>
      <w:r w:rsidR="00AC43D9" w:rsidRPr="00113BDB">
        <w:t>since the 31 January 2011;</w:t>
      </w:r>
      <w:r w:rsidR="00A72756" w:rsidRPr="00113BDB">
        <w:t xml:space="preserve"> 7 </w:t>
      </w:r>
      <w:r w:rsidRPr="00113BDB">
        <w:t>Phase III trials al</w:t>
      </w:r>
      <w:r w:rsidR="00A72756" w:rsidRPr="00113BDB">
        <w:t>l in T2DM (1 extension part, 5 Phase III</w:t>
      </w:r>
      <w:r w:rsidRPr="00113BDB">
        <w:t xml:space="preserve"> trials) and 3 clinical pharmacology trials. This has resulted in a 1</w:t>
      </w:r>
      <w:r w:rsidR="00A72756" w:rsidRPr="00113BDB">
        <w:t>,</w:t>
      </w:r>
      <w:r w:rsidRPr="00113BDB">
        <w:t xml:space="preserve">100 additional subjects compared to the original </w:t>
      </w:r>
      <w:r w:rsidR="00AC43D9" w:rsidRPr="00113BDB">
        <w:t>ISS</w:t>
      </w:r>
      <w:r w:rsidRPr="00113BDB">
        <w:t xml:space="preserve"> (data up to 31 January 2011</w:t>
      </w:r>
      <w:r w:rsidR="00A72756" w:rsidRPr="00113BDB">
        <w:t>).</w:t>
      </w:r>
    </w:p>
    <w:p w14:paraId="0D8F71F5" w14:textId="77777777" w:rsidR="00E216E7" w:rsidRPr="00113BDB" w:rsidRDefault="00E216E7" w:rsidP="00E216E7">
      <w:pPr>
        <w:numPr>
          <w:ilvl w:val="0"/>
          <w:numId w:val="3"/>
        </w:numPr>
      </w:pPr>
      <w:r w:rsidRPr="00113BDB">
        <w:t>The only ongoing IDegAsp trial as of 30 September 2014 is a paediatric trial.</w:t>
      </w:r>
    </w:p>
    <w:p w14:paraId="3014763D" w14:textId="7943C5B7" w:rsidR="00E216E7" w:rsidRPr="00113BDB" w:rsidRDefault="00A72756" w:rsidP="00A72756">
      <w:pPr>
        <w:numPr>
          <w:ilvl w:val="0"/>
          <w:numId w:val="3"/>
        </w:numPr>
      </w:pPr>
      <w:r w:rsidRPr="00113BDB">
        <w:t>10,</w:t>
      </w:r>
      <w:r w:rsidR="00E216E7" w:rsidRPr="00113BDB">
        <w:t>773 subjects have been exposed to IDeg and/or IDegAsp in all completed IDeg/IDegAsp trials (a small number of subjects were exp</w:t>
      </w:r>
      <w:r w:rsidRPr="00113BDB">
        <w:t xml:space="preserve">osed to both IDeg and IDegAsp). </w:t>
      </w:r>
      <w:r w:rsidR="00E216E7" w:rsidRPr="00113BDB">
        <w:t>This includes an additional 167 subjects exposed in 6 Phase I trials completed with IDeg and IDegAsp since the ISS (data up to 31 January 2011).</w:t>
      </w:r>
    </w:p>
    <w:p w14:paraId="1C08E212" w14:textId="77777777" w:rsidR="00E216E7" w:rsidRPr="00113BDB" w:rsidRDefault="00E216E7" w:rsidP="00A72756">
      <w:pPr>
        <w:pStyle w:val="ListBullet"/>
      </w:pPr>
      <w:r w:rsidRPr="00113BDB">
        <w:t>Subjects participating in the main and extension parts of a trial were counted only once in the subject exposure calculation.</w:t>
      </w:r>
    </w:p>
    <w:p w14:paraId="1BD59333" w14:textId="3F50B5EA" w:rsidR="00E216E7" w:rsidRPr="00113BDB" w:rsidRDefault="00E216E7" w:rsidP="00E216E7">
      <w:r w:rsidRPr="00113BDB">
        <w:lastRenderedPageBreak/>
        <w:t xml:space="preserve">Table </w:t>
      </w:r>
      <w:r w:rsidR="00825A1E">
        <w:t>7</w:t>
      </w:r>
      <w:r w:rsidR="00A72756" w:rsidRPr="00113BDB">
        <w:t xml:space="preserve"> (shown below) </w:t>
      </w:r>
      <w:r w:rsidRPr="00113BDB">
        <w:t>is a summary of all subjects from completed trials for both IDeg and IDegAsp (from Summary of Cl</w:t>
      </w:r>
      <w:r w:rsidR="00A72756" w:rsidRPr="00113BDB">
        <w:t>inical Safety Addendum IDegAsp).</w:t>
      </w:r>
    </w:p>
    <w:p w14:paraId="6B7CCA04" w14:textId="467C485B" w:rsidR="00E216E7" w:rsidRPr="00113BDB" w:rsidRDefault="00A72756" w:rsidP="00A72756">
      <w:pPr>
        <w:pStyle w:val="Tabletitle0"/>
      </w:pPr>
      <w:bookmarkStart w:id="108" w:name="_Toc487195076"/>
      <w:r w:rsidRPr="00113BDB">
        <w:t xml:space="preserve">Table </w:t>
      </w:r>
      <w:r w:rsidR="00825A1E">
        <w:t>7</w:t>
      </w:r>
      <w:r w:rsidR="00AC60B3">
        <w:t>:</w:t>
      </w:r>
      <w:r w:rsidR="00E216E7" w:rsidRPr="00113BDB">
        <w:t xml:space="preserve"> Exposure in all completed trials (IDeg and IDegAsp)</w:t>
      </w:r>
      <w:bookmarkEnd w:id="108"/>
    </w:p>
    <w:p w14:paraId="2D5EE807" w14:textId="77777777" w:rsidR="00E216E7" w:rsidRPr="00113BDB" w:rsidRDefault="00E216E7" w:rsidP="00E216E7">
      <w:r w:rsidRPr="00113BDB">
        <w:rPr>
          <w:noProof/>
          <w:lang w:eastAsia="en-AU"/>
        </w:rPr>
        <w:drawing>
          <wp:inline distT="0" distB="0" distL="0" distR="0" wp14:anchorId="2CF80FAA" wp14:editId="5F20FB6C">
            <wp:extent cx="5619750" cy="4394205"/>
            <wp:effectExtent l="0" t="0" r="0" b="6350"/>
            <wp:docPr id="6" name="Picture 6" descr="Exposure in all completed trials (IDeg and IDegAsp)" title="Exposure in all completed trials (IDeg and IDeg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lum bright="-20000" contrast="40000"/>
                      <a:extLst>
                        <a:ext uri="{28A0092B-C50C-407E-A947-70E740481C1C}">
                          <a14:useLocalDpi xmlns:a14="http://schemas.microsoft.com/office/drawing/2010/main" val="0"/>
                        </a:ext>
                      </a:extLst>
                    </a:blip>
                    <a:srcRect l="2884" t="10463" r="2536"/>
                    <a:stretch/>
                  </pic:blipFill>
                  <pic:spPr bwMode="auto">
                    <a:xfrm>
                      <a:off x="0" y="0"/>
                      <a:ext cx="5629971" cy="4402197"/>
                    </a:xfrm>
                    <a:prstGeom prst="rect">
                      <a:avLst/>
                    </a:prstGeom>
                    <a:noFill/>
                    <a:ln>
                      <a:noFill/>
                    </a:ln>
                    <a:extLst>
                      <a:ext uri="{53640926-AAD7-44D8-BBD7-CCE9431645EC}">
                        <a14:shadowObscured xmlns:a14="http://schemas.microsoft.com/office/drawing/2010/main"/>
                      </a:ext>
                    </a:extLst>
                  </pic:spPr>
                </pic:pic>
              </a:graphicData>
            </a:graphic>
          </wp:inline>
        </w:drawing>
      </w:r>
    </w:p>
    <w:p w14:paraId="4590E62A" w14:textId="2E0004F6" w:rsidR="00985C26" w:rsidRPr="00113BDB" w:rsidRDefault="00985C26" w:rsidP="00985C26">
      <w:pPr>
        <w:rPr>
          <w:lang w:eastAsia="ja-JP"/>
        </w:rPr>
      </w:pPr>
      <w:r w:rsidRPr="00113BDB">
        <w:rPr>
          <w:lang w:eastAsia="ja-JP"/>
        </w:rPr>
        <w:t xml:space="preserve">Table </w:t>
      </w:r>
      <w:r w:rsidR="00825A1E">
        <w:rPr>
          <w:lang w:eastAsia="ja-JP"/>
        </w:rPr>
        <w:t>8</w:t>
      </w:r>
      <w:r w:rsidRPr="00113BDB">
        <w:rPr>
          <w:lang w:eastAsia="ja-JP"/>
        </w:rPr>
        <w:t xml:space="preserve"> (below) gives an indication of exposure to IDegAsp by exposure duration in the completed Phase III trials as of 30 September 2014.</w:t>
      </w:r>
    </w:p>
    <w:p w14:paraId="62DABF02" w14:textId="77C45EC3" w:rsidR="00985C26" w:rsidRPr="00113BDB" w:rsidRDefault="00985C26" w:rsidP="00A72756">
      <w:pPr>
        <w:pStyle w:val="Tabletitle0"/>
        <w:rPr>
          <w:lang w:eastAsia="ja-JP"/>
        </w:rPr>
      </w:pPr>
      <w:bookmarkStart w:id="109" w:name="_Ref478796088"/>
      <w:bookmarkStart w:id="110" w:name="_Ref478796071"/>
      <w:bookmarkStart w:id="111" w:name="_Ref478796072"/>
      <w:bookmarkStart w:id="112" w:name="_Ref478796077"/>
      <w:bookmarkStart w:id="113" w:name="_Toc487195077"/>
      <w:r w:rsidRPr="00113BDB">
        <w:rPr>
          <w:lang w:eastAsia="ja-JP"/>
        </w:rPr>
        <w:t xml:space="preserve">Table </w:t>
      </w:r>
      <w:bookmarkEnd w:id="109"/>
      <w:r w:rsidR="00825A1E">
        <w:rPr>
          <w:lang w:eastAsia="ja-JP"/>
        </w:rPr>
        <w:t>8</w:t>
      </w:r>
      <w:r w:rsidRPr="00113BDB">
        <w:rPr>
          <w:lang w:eastAsia="ja-JP"/>
        </w:rPr>
        <w:t>. Exposure to IDegAsp in completed Phase III trials</w:t>
      </w:r>
      <w:bookmarkEnd w:id="110"/>
      <w:bookmarkEnd w:id="111"/>
      <w:bookmarkEnd w:id="112"/>
      <w:bookmarkEnd w:id="113"/>
    </w:p>
    <w:tbl>
      <w:tblPr>
        <w:tblStyle w:val="TableTGAblue"/>
        <w:tblW w:w="9199" w:type="dxa"/>
        <w:tblLook w:val="04A0" w:firstRow="1" w:lastRow="0" w:firstColumn="1" w:lastColumn="0" w:noHBand="0" w:noVBand="1"/>
        <w:tblDescription w:val="Table 8. Exposure to IDegAsp in completed Phase III trials"/>
      </w:tblPr>
      <w:tblGrid>
        <w:gridCol w:w="2179"/>
        <w:gridCol w:w="1800"/>
        <w:gridCol w:w="1800"/>
        <w:gridCol w:w="1890"/>
        <w:gridCol w:w="1530"/>
      </w:tblGrid>
      <w:tr w:rsidR="00A72756" w:rsidRPr="00113BDB" w14:paraId="6E98EDFC" w14:textId="77777777" w:rsidTr="00AC43D9">
        <w:trPr>
          <w:cnfStyle w:val="100000000000" w:firstRow="1" w:lastRow="0" w:firstColumn="0" w:lastColumn="0" w:oddVBand="0" w:evenVBand="0" w:oddHBand="0" w:evenHBand="0" w:firstRowFirstColumn="0" w:firstRowLastColumn="0" w:lastRowFirstColumn="0" w:lastRowLastColumn="0"/>
          <w:trHeight w:val="1315"/>
        </w:trPr>
        <w:tc>
          <w:tcPr>
            <w:tcW w:w="2179" w:type="dxa"/>
          </w:tcPr>
          <w:p w14:paraId="7CDEA330" w14:textId="77777777" w:rsidR="00985C26" w:rsidRPr="00113BDB" w:rsidRDefault="00985C26" w:rsidP="004A4740">
            <w:pPr>
              <w:rPr>
                <w:szCs w:val="22"/>
                <w:lang w:eastAsia="ja-JP"/>
              </w:rPr>
            </w:pPr>
          </w:p>
        </w:tc>
        <w:tc>
          <w:tcPr>
            <w:tcW w:w="1800" w:type="dxa"/>
          </w:tcPr>
          <w:p w14:paraId="0427651F" w14:textId="77777777" w:rsidR="00985C26" w:rsidRPr="00113BDB" w:rsidRDefault="00985C26" w:rsidP="004A4740">
            <w:pPr>
              <w:ind w:left="0"/>
              <w:rPr>
                <w:szCs w:val="22"/>
                <w:lang w:eastAsia="ja-JP"/>
              </w:rPr>
            </w:pPr>
            <w:r w:rsidRPr="00113BDB">
              <w:rPr>
                <w:szCs w:val="22"/>
                <w:lang w:eastAsia="ja-JP"/>
              </w:rPr>
              <w:t>% of patients with any exposure (N)</w:t>
            </w:r>
          </w:p>
        </w:tc>
        <w:tc>
          <w:tcPr>
            <w:tcW w:w="1800" w:type="dxa"/>
          </w:tcPr>
          <w:p w14:paraId="765F1353" w14:textId="77777777" w:rsidR="00985C26" w:rsidRPr="00113BDB" w:rsidRDefault="00985C26" w:rsidP="004A4740">
            <w:pPr>
              <w:ind w:left="0"/>
              <w:rPr>
                <w:szCs w:val="22"/>
                <w:lang w:eastAsia="ja-JP"/>
              </w:rPr>
            </w:pPr>
            <w:r w:rsidRPr="00113BDB">
              <w:rPr>
                <w:szCs w:val="22"/>
                <w:lang w:eastAsia="ja-JP"/>
              </w:rPr>
              <w:t xml:space="preserve">% of patients with exposure ≥ 6 months </w:t>
            </w:r>
          </w:p>
        </w:tc>
        <w:tc>
          <w:tcPr>
            <w:tcW w:w="1890" w:type="dxa"/>
          </w:tcPr>
          <w:p w14:paraId="387558C7" w14:textId="77777777" w:rsidR="00985C26" w:rsidRPr="00113BDB" w:rsidRDefault="00985C26" w:rsidP="004A4740">
            <w:pPr>
              <w:ind w:left="0"/>
              <w:rPr>
                <w:szCs w:val="22"/>
                <w:lang w:eastAsia="ja-JP"/>
              </w:rPr>
            </w:pPr>
            <w:r w:rsidRPr="00113BDB">
              <w:rPr>
                <w:szCs w:val="22"/>
                <w:lang w:eastAsia="ja-JP"/>
              </w:rPr>
              <w:t>% of patients with exposure ≥ 12 months (N)</w:t>
            </w:r>
          </w:p>
        </w:tc>
        <w:tc>
          <w:tcPr>
            <w:tcW w:w="1530" w:type="dxa"/>
          </w:tcPr>
          <w:p w14:paraId="08DBAD6D" w14:textId="77777777" w:rsidR="00985C26" w:rsidRPr="00113BDB" w:rsidRDefault="00985C26" w:rsidP="004A4740">
            <w:pPr>
              <w:ind w:left="0"/>
              <w:rPr>
                <w:szCs w:val="22"/>
                <w:lang w:eastAsia="ja-JP"/>
              </w:rPr>
            </w:pPr>
            <w:r w:rsidRPr="00113BDB">
              <w:rPr>
                <w:szCs w:val="22"/>
                <w:lang w:eastAsia="ja-JP"/>
              </w:rPr>
              <w:t>Total exposure in subject years</w:t>
            </w:r>
          </w:p>
        </w:tc>
      </w:tr>
      <w:tr w:rsidR="00A72756" w:rsidRPr="00113BDB" w14:paraId="44200C3B" w14:textId="77777777" w:rsidTr="00A72756">
        <w:tc>
          <w:tcPr>
            <w:tcW w:w="2179" w:type="dxa"/>
          </w:tcPr>
          <w:p w14:paraId="7BEED002" w14:textId="77777777" w:rsidR="00985C26" w:rsidRPr="00113BDB" w:rsidRDefault="00985C26" w:rsidP="004A4740">
            <w:pPr>
              <w:rPr>
                <w:b/>
              </w:rPr>
            </w:pPr>
            <w:r w:rsidRPr="00113BDB">
              <w:rPr>
                <w:b/>
              </w:rPr>
              <w:t>All subjects</w:t>
            </w:r>
          </w:p>
        </w:tc>
        <w:tc>
          <w:tcPr>
            <w:tcW w:w="1800" w:type="dxa"/>
          </w:tcPr>
          <w:p w14:paraId="13AED97C" w14:textId="77777777" w:rsidR="00985C26" w:rsidRPr="00113BDB" w:rsidRDefault="00985C26" w:rsidP="004A4740"/>
        </w:tc>
        <w:tc>
          <w:tcPr>
            <w:tcW w:w="1800" w:type="dxa"/>
          </w:tcPr>
          <w:p w14:paraId="35DA2E28" w14:textId="77777777" w:rsidR="00985C26" w:rsidRPr="00113BDB" w:rsidRDefault="00985C26" w:rsidP="004A4740"/>
        </w:tc>
        <w:tc>
          <w:tcPr>
            <w:tcW w:w="1890" w:type="dxa"/>
          </w:tcPr>
          <w:p w14:paraId="0E2992A5" w14:textId="77777777" w:rsidR="00985C26" w:rsidRPr="00113BDB" w:rsidRDefault="00985C26" w:rsidP="004A4740"/>
        </w:tc>
        <w:tc>
          <w:tcPr>
            <w:tcW w:w="1530" w:type="dxa"/>
          </w:tcPr>
          <w:p w14:paraId="6BEB7CCF" w14:textId="77777777" w:rsidR="00985C26" w:rsidRPr="00113BDB" w:rsidRDefault="00985C26" w:rsidP="004A4740"/>
        </w:tc>
      </w:tr>
      <w:tr w:rsidR="00A72756" w:rsidRPr="00113BDB" w14:paraId="63D02688" w14:textId="77777777" w:rsidTr="00A72756">
        <w:tc>
          <w:tcPr>
            <w:tcW w:w="2179" w:type="dxa"/>
          </w:tcPr>
          <w:p w14:paraId="1C82172A" w14:textId="77777777" w:rsidR="00985C26" w:rsidRPr="00113BDB" w:rsidRDefault="00985C26" w:rsidP="004A4740">
            <w:r w:rsidRPr="00113BDB">
              <w:t>IDegAsp</w:t>
            </w:r>
          </w:p>
        </w:tc>
        <w:tc>
          <w:tcPr>
            <w:tcW w:w="1800" w:type="dxa"/>
          </w:tcPr>
          <w:p w14:paraId="45BF7708" w14:textId="77777777" w:rsidR="00985C26" w:rsidRPr="00113BDB" w:rsidRDefault="00985C26" w:rsidP="004A4740">
            <w:r w:rsidRPr="00113BDB">
              <w:t>100 (2382)</w:t>
            </w:r>
          </w:p>
        </w:tc>
        <w:tc>
          <w:tcPr>
            <w:tcW w:w="1800" w:type="dxa"/>
          </w:tcPr>
          <w:p w14:paraId="5D464067" w14:textId="77777777" w:rsidR="00985C26" w:rsidRPr="00113BDB" w:rsidRDefault="00985C26" w:rsidP="004A4740">
            <w:r w:rsidRPr="00113BDB">
              <w:t>88.6</w:t>
            </w:r>
          </w:p>
        </w:tc>
        <w:tc>
          <w:tcPr>
            <w:tcW w:w="1890" w:type="dxa"/>
          </w:tcPr>
          <w:p w14:paraId="6B2188BB" w14:textId="77777777" w:rsidR="00985C26" w:rsidRPr="00113BDB" w:rsidRDefault="00985C26" w:rsidP="004A4740">
            <w:r w:rsidRPr="00113BDB">
              <w:t>18.1 (431)</w:t>
            </w:r>
          </w:p>
        </w:tc>
        <w:tc>
          <w:tcPr>
            <w:tcW w:w="1530" w:type="dxa"/>
          </w:tcPr>
          <w:p w14:paraId="00875B8F" w14:textId="77777777" w:rsidR="00985C26" w:rsidRPr="00113BDB" w:rsidRDefault="00985C26" w:rsidP="004A4740">
            <w:r w:rsidRPr="00113BDB">
              <w:t>1340.3</w:t>
            </w:r>
          </w:p>
        </w:tc>
      </w:tr>
      <w:tr w:rsidR="00A72756" w:rsidRPr="00113BDB" w14:paraId="168EF5F6" w14:textId="77777777" w:rsidTr="00A72756">
        <w:tc>
          <w:tcPr>
            <w:tcW w:w="2179" w:type="dxa"/>
          </w:tcPr>
          <w:p w14:paraId="43632857" w14:textId="77777777" w:rsidR="00985C26" w:rsidRPr="00113BDB" w:rsidRDefault="00985C26" w:rsidP="004A4740">
            <w:r w:rsidRPr="00113BDB">
              <w:t>Comparators</w:t>
            </w:r>
          </w:p>
        </w:tc>
        <w:tc>
          <w:tcPr>
            <w:tcW w:w="1800" w:type="dxa"/>
          </w:tcPr>
          <w:p w14:paraId="4E0F7D5A" w14:textId="77777777" w:rsidR="00985C26" w:rsidRPr="00113BDB" w:rsidRDefault="00985C26" w:rsidP="004A4740">
            <w:r w:rsidRPr="00113BDB">
              <w:t>100 (1381)</w:t>
            </w:r>
          </w:p>
        </w:tc>
        <w:tc>
          <w:tcPr>
            <w:tcW w:w="1800" w:type="dxa"/>
          </w:tcPr>
          <w:p w14:paraId="4348C72D" w14:textId="77777777" w:rsidR="00985C26" w:rsidRPr="00113BDB" w:rsidRDefault="00985C26" w:rsidP="004A4740">
            <w:r w:rsidRPr="00113BDB">
              <w:t>89.1</w:t>
            </w:r>
          </w:p>
        </w:tc>
        <w:tc>
          <w:tcPr>
            <w:tcW w:w="1890" w:type="dxa"/>
          </w:tcPr>
          <w:p w14:paraId="5A0DEF40" w14:textId="77777777" w:rsidR="00985C26" w:rsidRPr="00113BDB" w:rsidRDefault="00985C26" w:rsidP="004A4740">
            <w:r w:rsidRPr="00113BDB">
              <w:t>23.7 (327)</w:t>
            </w:r>
          </w:p>
        </w:tc>
        <w:tc>
          <w:tcPr>
            <w:tcW w:w="1530" w:type="dxa"/>
          </w:tcPr>
          <w:p w14:paraId="63A04549" w14:textId="77777777" w:rsidR="00985C26" w:rsidRPr="00113BDB" w:rsidRDefault="00985C26" w:rsidP="004A4740">
            <w:r w:rsidRPr="00113BDB">
              <w:t>815.8</w:t>
            </w:r>
          </w:p>
        </w:tc>
      </w:tr>
      <w:tr w:rsidR="00A72756" w:rsidRPr="00113BDB" w14:paraId="6693AB23" w14:textId="77777777" w:rsidTr="00A72756">
        <w:tc>
          <w:tcPr>
            <w:tcW w:w="2179" w:type="dxa"/>
          </w:tcPr>
          <w:p w14:paraId="057E9C30" w14:textId="77777777" w:rsidR="00985C26" w:rsidRPr="00113BDB" w:rsidRDefault="00985C26" w:rsidP="004A4740">
            <w:pPr>
              <w:rPr>
                <w:b/>
              </w:rPr>
            </w:pPr>
            <w:r w:rsidRPr="00113BDB">
              <w:rPr>
                <w:b/>
              </w:rPr>
              <w:t>T1DM</w:t>
            </w:r>
          </w:p>
        </w:tc>
        <w:tc>
          <w:tcPr>
            <w:tcW w:w="1800" w:type="dxa"/>
          </w:tcPr>
          <w:p w14:paraId="653A8B4B" w14:textId="77777777" w:rsidR="00985C26" w:rsidRPr="00113BDB" w:rsidRDefault="00985C26" w:rsidP="004A4740"/>
        </w:tc>
        <w:tc>
          <w:tcPr>
            <w:tcW w:w="1800" w:type="dxa"/>
          </w:tcPr>
          <w:p w14:paraId="11FE9C62" w14:textId="77777777" w:rsidR="00985C26" w:rsidRPr="00113BDB" w:rsidRDefault="00985C26" w:rsidP="004A4740"/>
        </w:tc>
        <w:tc>
          <w:tcPr>
            <w:tcW w:w="1890" w:type="dxa"/>
          </w:tcPr>
          <w:p w14:paraId="6FC210CC" w14:textId="77777777" w:rsidR="00985C26" w:rsidRPr="00113BDB" w:rsidRDefault="00985C26" w:rsidP="004A4740"/>
        </w:tc>
        <w:tc>
          <w:tcPr>
            <w:tcW w:w="1530" w:type="dxa"/>
          </w:tcPr>
          <w:p w14:paraId="030B60F8" w14:textId="77777777" w:rsidR="00985C26" w:rsidRPr="00113BDB" w:rsidRDefault="00985C26" w:rsidP="004A4740"/>
        </w:tc>
      </w:tr>
      <w:tr w:rsidR="00A72756" w:rsidRPr="00113BDB" w14:paraId="3C12CBCA" w14:textId="77777777" w:rsidTr="00A72756">
        <w:tc>
          <w:tcPr>
            <w:tcW w:w="2179" w:type="dxa"/>
          </w:tcPr>
          <w:p w14:paraId="4A193B87" w14:textId="77777777" w:rsidR="00985C26" w:rsidRPr="00113BDB" w:rsidRDefault="00985C26" w:rsidP="004A4740">
            <w:r w:rsidRPr="00113BDB">
              <w:t>IDegAsp</w:t>
            </w:r>
          </w:p>
        </w:tc>
        <w:tc>
          <w:tcPr>
            <w:tcW w:w="1800" w:type="dxa"/>
          </w:tcPr>
          <w:p w14:paraId="450D8468" w14:textId="77777777" w:rsidR="00985C26" w:rsidRPr="00113BDB" w:rsidRDefault="00985C26" w:rsidP="004A4740">
            <w:r w:rsidRPr="00113BDB">
              <w:t>100 (362)</w:t>
            </w:r>
          </w:p>
        </w:tc>
        <w:tc>
          <w:tcPr>
            <w:tcW w:w="1800" w:type="dxa"/>
          </w:tcPr>
          <w:p w14:paraId="329D65DF" w14:textId="77777777" w:rsidR="00985C26" w:rsidRPr="00113BDB" w:rsidRDefault="00985C26" w:rsidP="004A4740">
            <w:r w:rsidRPr="00113BDB">
              <w:t>89.0</w:t>
            </w:r>
          </w:p>
        </w:tc>
        <w:tc>
          <w:tcPr>
            <w:tcW w:w="1890" w:type="dxa"/>
          </w:tcPr>
          <w:p w14:paraId="5B59D88D" w14:textId="77777777" w:rsidR="00985C26" w:rsidRPr="00113BDB" w:rsidRDefault="00985C26" w:rsidP="004A4740">
            <w:r w:rsidRPr="00113BDB">
              <w:t>64.9 (235)</w:t>
            </w:r>
          </w:p>
        </w:tc>
        <w:tc>
          <w:tcPr>
            <w:tcW w:w="1530" w:type="dxa"/>
          </w:tcPr>
          <w:p w14:paraId="20D59070" w14:textId="77777777" w:rsidR="00985C26" w:rsidRPr="00113BDB" w:rsidRDefault="00985C26" w:rsidP="004A4740">
            <w:r w:rsidRPr="00113BDB">
              <w:t>296.9</w:t>
            </w:r>
          </w:p>
        </w:tc>
      </w:tr>
      <w:tr w:rsidR="00A72756" w:rsidRPr="00113BDB" w14:paraId="71F55792" w14:textId="77777777" w:rsidTr="00A72756">
        <w:tc>
          <w:tcPr>
            <w:tcW w:w="2179" w:type="dxa"/>
          </w:tcPr>
          <w:p w14:paraId="3820D994" w14:textId="77777777" w:rsidR="00985C26" w:rsidRPr="00113BDB" w:rsidRDefault="00985C26" w:rsidP="004A4740">
            <w:r w:rsidRPr="00113BDB">
              <w:t>Comparators</w:t>
            </w:r>
          </w:p>
        </w:tc>
        <w:tc>
          <w:tcPr>
            <w:tcW w:w="1800" w:type="dxa"/>
          </w:tcPr>
          <w:p w14:paraId="5F47CA65" w14:textId="77777777" w:rsidR="00985C26" w:rsidRPr="00113BDB" w:rsidRDefault="00985C26" w:rsidP="004A4740">
            <w:r w:rsidRPr="00113BDB">
              <w:t>100 (180)</w:t>
            </w:r>
          </w:p>
        </w:tc>
        <w:tc>
          <w:tcPr>
            <w:tcW w:w="1800" w:type="dxa"/>
          </w:tcPr>
          <w:p w14:paraId="602C7768" w14:textId="77777777" w:rsidR="00985C26" w:rsidRPr="00113BDB" w:rsidRDefault="00985C26" w:rsidP="004A4740">
            <w:r w:rsidRPr="00113BDB">
              <w:t>87.2</w:t>
            </w:r>
          </w:p>
        </w:tc>
        <w:tc>
          <w:tcPr>
            <w:tcW w:w="1890" w:type="dxa"/>
          </w:tcPr>
          <w:p w14:paraId="24EDAE25" w14:textId="77777777" w:rsidR="00985C26" w:rsidRPr="00113BDB" w:rsidRDefault="00985C26" w:rsidP="004A4740">
            <w:r w:rsidRPr="00113BDB">
              <w:t>63.3 (114)</w:t>
            </w:r>
          </w:p>
        </w:tc>
        <w:tc>
          <w:tcPr>
            <w:tcW w:w="1530" w:type="dxa"/>
          </w:tcPr>
          <w:p w14:paraId="4D3E815B" w14:textId="77777777" w:rsidR="00985C26" w:rsidRPr="00113BDB" w:rsidRDefault="00985C26" w:rsidP="004A4740">
            <w:r w:rsidRPr="00113BDB">
              <w:t>145.5</w:t>
            </w:r>
          </w:p>
        </w:tc>
      </w:tr>
      <w:tr w:rsidR="00A72756" w:rsidRPr="00113BDB" w14:paraId="44BB927D" w14:textId="77777777" w:rsidTr="00A72756">
        <w:tc>
          <w:tcPr>
            <w:tcW w:w="2179" w:type="dxa"/>
          </w:tcPr>
          <w:p w14:paraId="6C2D823C" w14:textId="77777777" w:rsidR="00985C26" w:rsidRPr="00113BDB" w:rsidRDefault="00985C26" w:rsidP="004A4740">
            <w:pPr>
              <w:rPr>
                <w:b/>
              </w:rPr>
            </w:pPr>
            <w:r w:rsidRPr="00113BDB">
              <w:rPr>
                <w:b/>
              </w:rPr>
              <w:lastRenderedPageBreak/>
              <w:t>T2DM</w:t>
            </w:r>
          </w:p>
        </w:tc>
        <w:tc>
          <w:tcPr>
            <w:tcW w:w="1800" w:type="dxa"/>
          </w:tcPr>
          <w:p w14:paraId="28EA1DED" w14:textId="77777777" w:rsidR="00985C26" w:rsidRPr="00113BDB" w:rsidRDefault="00985C26" w:rsidP="004A4740"/>
        </w:tc>
        <w:tc>
          <w:tcPr>
            <w:tcW w:w="1800" w:type="dxa"/>
          </w:tcPr>
          <w:p w14:paraId="388AD6C1" w14:textId="77777777" w:rsidR="00985C26" w:rsidRPr="00113BDB" w:rsidRDefault="00985C26" w:rsidP="004A4740"/>
        </w:tc>
        <w:tc>
          <w:tcPr>
            <w:tcW w:w="1890" w:type="dxa"/>
          </w:tcPr>
          <w:p w14:paraId="415D72CB" w14:textId="77777777" w:rsidR="00985C26" w:rsidRPr="00113BDB" w:rsidRDefault="00985C26" w:rsidP="004A4740"/>
        </w:tc>
        <w:tc>
          <w:tcPr>
            <w:tcW w:w="1530" w:type="dxa"/>
          </w:tcPr>
          <w:p w14:paraId="3909B6EE" w14:textId="77777777" w:rsidR="00985C26" w:rsidRPr="00113BDB" w:rsidRDefault="00985C26" w:rsidP="004A4740"/>
        </w:tc>
      </w:tr>
      <w:tr w:rsidR="00A72756" w:rsidRPr="00113BDB" w14:paraId="18897166" w14:textId="77777777" w:rsidTr="00A72756">
        <w:tc>
          <w:tcPr>
            <w:tcW w:w="2179" w:type="dxa"/>
          </w:tcPr>
          <w:p w14:paraId="6AEFB0EE" w14:textId="77777777" w:rsidR="00985C26" w:rsidRPr="00113BDB" w:rsidRDefault="00985C26" w:rsidP="004A4740">
            <w:r w:rsidRPr="00113BDB">
              <w:t>IDegAsp</w:t>
            </w:r>
          </w:p>
        </w:tc>
        <w:tc>
          <w:tcPr>
            <w:tcW w:w="1800" w:type="dxa"/>
          </w:tcPr>
          <w:p w14:paraId="08638D68" w14:textId="77777777" w:rsidR="00985C26" w:rsidRPr="00113BDB" w:rsidRDefault="00985C26" w:rsidP="004A4740">
            <w:r w:rsidRPr="00113BDB">
              <w:t>100 (2020)</w:t>
            </w:r>
          </w:p>
        </w:tc>
        <w:tc>
          <w:tcPr>
            <w:tcW w:w="1800" w:type="dxa"/>
          </w:tcPr>
          <w:p w14:paraId="6E347478" w14:textId="77777777" w:rsidR="00985C26" w:rsidRPr="00113BDB" w:rsidRDefault="00985C26" w:rsidP="004A4740">
            <w:r w:rsidRPr="00113BDB">
              <w:t>88.6</w:t>
            </w:r>
          </w:p>
        </w:tc>
        <w:tc>
          <w:tcPr>
            <w:tcW w:w="1890" w:type="dxa"/>
          </w:tcPr>
          <w:p w14:paraId="6D650771" w14:textId="77777777" w:rsidR="00985C26" w:rsidRPr="00113BDB" w:rsidRDefault="00985C26" w:rsidP="004A4740">
            <w:r w:rsidRPr="00113BDB">
              <w:t>9.7 (196)</w:t>
            </w:r>
          </w:p>
        </w:tc>
        <w:tc>
          <w:tcPr>
            <w:tcW w:w="1530" w:type="dxa"/>
          </w:tcPr>
          <w:p w14:paraId="57DB70F6" w14:textId="77777777" w:rsidR="00985C26" w:rsidRPr="00113BDB" w:rsidRDefault="00985C26" w:rsidP="004A4740">
            <w:r w:rsidRPr="00113BDB">
              <w:t>1043.4</w:t>
            </w:r>
          </w:p>
        </w:tc>
      </w:tr>
      <w:tr w:rsidR="00A72756" w:rsidRPr="00113BDB" w14:paraId="75F491B4" w14:textId="77777777" w:rsidTr="00A72756">
        <w:tc>
          <w:tcPr>
            <w:tcW w:w="2179" w:type="dxa"/>
          </w:tcPr>
          <w:p w14:paraId="6BD01C56" w14:textId="77777777" w:rsidR="00985C26" w:rsidRPr="00113BDB" w:rsidRDefault="00985C26" w:rsidP="004A4740">
            <w:r w:rsidRPr="00113BDB">
              <w:t>Comparators</w:t>
            </w:r>
          </w:p>
        </w:tc>
        <w:tc>
          <w:tcPr>
            <w:tcW w:w="1800" w:type="dxa"/>
          </w:tcPr>
          <w:p w14:paraId="29DBF79E" w14:textId="77777777" w:rsidR="00985C26" w:rsidRPr="00113BDB" w:rsidRDefault="00985C26" w:rsidP="004A4740">
            <w:r w:rsidRPr="00113BDB">
              <w:t>100 (1201)</w:t>
            </w:r>
          </w:p>
        </w:tc>
        <w:tc>
          <w:tcPr>
            <w:tcW w:w="1800" w:type="dxa"/>
          </w:tcPr>
          <w:p w14:paraId="76B74349" w14:textId="77777777" w:rsidR="00985C26" w:rsidRPr="00113BDB" w:rsidRDefault="00985C26" w:rsidP="004A4740">
            <w:r w:rsidRPr="00113BDB">
              <w:t>89.4</w:t>
            </w:r>
          </w:p>
        </w:tc>
        <w:tc>
          <w:tcPr>
            <w:tcW w:w="1890" w:type="dxa"/>
          </w:tcPr>
          <w:p w14:paraId="6F9D2E05" w14:textId="77777777" w:rsidR="00985C26" w:rsidRPr="00113BDB" w:rsidRDefault="00985C26" w:rsidP="004A4740">
            <w:r w:rsidRPr="00113BDB">
              <w:t>17.7 (213)</w:t>
            </w:r>
          </w:p>
        </w:tc>
        <w:tc>
          <w:tcPr>
            <w:tcW w:w="1530" w:type="dxa"/>
          </w:tcPr>
          <w:p w14:paraId="7BFB623C" w14:textId="77777777" w:rsidR="00985C26" w:rsidRPr="00113BDB" w:rsidRDefault="00985C26" w:rsidP="004A4740">
            <w:r w:rsidRPr="00113BDB">
              <w:t>670.3</w:t>
            </w:r>
          </w:p>
        </w:tc>
      </w:tr>
      <w:tr w:rsidR="00A72756" w:rsidRPr="00113BDB" w14:paraId="506DED8C" w14:textId="77777777" w:rsidTr="00A72756">
        <w:tc>
          <w:tcPr>
            <w:tcW w:w="2179" w:type="dxa"/>
          </w:tcPr>
          <w:p w14:paraId="4286949C" w14:textId="77777777" w:rsidR="00985C26" w:rsidRPr="00113BDB" w:rsidRDefault="00985C26" w:rsidP="004A4740">
            <w:pPr>
              <w:rPr>
                <w:b/>
              </w:rPr>
            </w:pPr>
            <w:r w:rsidRPr="00113BDB">
              <w:rPr>
                <w:b/>
              </w:rPr>
              <w:t>Insulin naive T2DM</w:t>
            </w:r>
          </w:p>
        </w:tc>
        <w:tc>
          <w:tcPr>
            <w:tcW w:w="1800" w:type="dxa"/>
          </w:tcPr>
          <w:p w14:paraId="40000601" w14:textId="77777777" w:rsidR="00985C26" w:rsidRPr="00113BDB" w:rsidRDefault="00985C26" w:rsidP="004A4740"/>
        </w:tc>
        <w:tc>
          <w:tcPr>
            <w:tcW w:w="1800" w:type="dxa"/>
          </w:tcPr>
          <w:p w14:paraId="5BF32C54" w14:textId="77777777" w:rsidR="00985C26" w:rsidRPr="00113BDB" w:rsidRDefault="00985C26" w:rsidP="004A4740"/>
        </w:tc>
        <w:tc>
          <w:tcPr>
            <w:tcW w:w="1890" w:type="dxa"/>
          </w:tcPr>
          <w:p w14:paraId="1AF875CC" w14:textId="77777777" w:rsidR="00985C26" w:rsidRPr="00113BDB" w:rsidRDefault="00985C26" w:rsidP="004A4740"/>
        </w:tc>
        <w:tc>
          <w:tcPr>
            <w:tcW w:w="1530" w:type="dxa"/>
          </w:tcPr>
          <w:p w14:paraId="48CBE06F" w14:textId="77777777" w:rsidR="00985C26" w:rsidRPr="00113BDB" w:rsidRDefault="00985C26" w:rsidP="004A4740"/>
        </w:tc>
      </w:tr>
      <w:tr w:rsidR="00A72756" w:rsidRPr="00113BDB" w14:paraId="2E0FCC2F" w14:textId="77777777" w:rsidTr="00A72756">
        <w:tc>
          <w:tcPr>
            <w:tcW w:w="2179" w:type="dxa"/>
          </w:tcPr>
          <w:p w14:paraId="243EEAEE" w14:textId="77777777" w:rsidR="00985C26" w:rsidRPr="00113BDB" w:rsidRDefault="00985C26" w:rsidP="004A4740">
            <w:r w:rsidRPr="00113BDB">
              <w:t>IDegAsp</w:t>
            </w:r>
          </w:p>
        </w:tc>
        <w:tc>
          <w:tcPr>
            <w:tcW w:w="1800" w:type="dxa"/>
          </w:tcPr>
          <w:p w14:paraId="1CC7627D" w14:textId="77777777" w:rsidR="00985C26" w:rsidRPr="00113BDB" w:rsidRDefault="00985C26" w:rsidP="004A4740">
            <w:r w:rsidRPr="00113BDB">
              <w:t>100 (882)</w:t>
            </w:r>
          </w:p>
        </w:tc>
        <w:tc>
          <w:tcPr>
            <w:tcW w:w="1800" w:type="dxa"/>
          </w:tcPr>
          <w:p w14:paraId="281A0777" w14:textId="77777777" w:rsidR="00985C26" w:rsidRPr="00113BDB" w:rsidRDefault="00985C26" w:rsidP="004A4740">
            <w:r w:rsidRPr="00113BDB">
              <w:t>91.0</w:t>
            </w:r>
          </w:p>
        </w:tc>
        <w:tc>
          <w:tcPr>
            <w:tcW w:w="1890" w:type="dxa"/>
          </w:tcPr>
          <w:p w14:paraId="099D2099" w14:textId="77777777" w:rsidR="00985C26" w:rsidRPr="00113BDB" w:rsidRDefault="00985C26" w:rsidP="004A4740">
            <w:r w:rsidRPr="00113BDB">
              <w:t>20.5 (181)</w:t>
            </w:r>
          </w:p>
        </w:tc>
        <w:tc>
          <w:tcPr>
            <w:tcW w:w="1530" w:type="dxa"/>
          </w:tcPr>
          <w:p w14:paraId="6BF8422E" w14:textId="77777777" w:rsidR="00985C26" w:rsidRPr="00113BDB" w:rsidRDefault="00985C26" w:rsidP="004A4740">
            <w:r w:rsidRPr="00113BDB">
              <w:t>514.1</w:t>
            </w:r>
          </w:p>
        </w:tc>
      </w:tr>
      <w:tr w:rsidR="00A72756" w:rsidRPr="00113BDB" w14:paraId="6E328963" w14:textId="77777777" w:rsidTr="00A72756">
        <w:trPr>
          <w:trHeight w:val="520"/>
        </w:trPr>
        <w:tc>
          <w:tcPr>
            <w:tcW w:w="2179" w:type="dxa"/>
          </w:tcPr>
          <w:p w14:paraId="2F18E916" w14:textId="77777777" w:rsidR="00985C26" w:rsidRPr="00113BDB" w:rsidRDefault="00985C26" w:rsidP="004A4740">
            <w:r w:rsidRPr="00113BDB">
              <w:t>Comparators</w:t>
            </w:r>
          </w:p>
        </w:tc>
        <w:tc>
          <w:tcPr>
            <w:tcW w:w="1800" w:type="dxa"/>
          </w:tcPr>
          <w:p w14:paraId="69B2CBCE" w14:textId="77777777" w:rsidR="00985C26" w:rsidRPr="00113BDB" w:rsidRDefault="00985C26" w:rsidP="004A4740">
            <w:r w:rsidRPr="00113BDB">
              <w:t>100 (605)</w:t>
            </w:r>
          </w:p>
        </w:tc>
        <w:tc>
          <w:tcPr>
            <w:tcW w:w="1800" w:type="dxa"/>
          </w:tcPr>
          <w:p w14:paraId="0B417D60" w14:textId="77777777" w:rsidR="00985C26" w:rsidRPr="00113BDB" w:rsidRDefault="00985C26" w:rsidP="004A4740">
            <w:r w:rsidRPr="00113BDB">
              <w:t>91.4</w:t>
            </w:r>
          </w:p>
        </w:tc>
        <w:tc>
          <w:tcPr>
            <w:tcW w:w="1890" w:type="dxa"/>
          </w:tcPr>
          <w:p w14:paraId="6A736FB0" w14:textId="77777777" w:rsidR="00985C26" w:rsidRPr="00113BDB" w:rsidRDefault="00985C26" w:rsidP="004A4740">
            <w:r w:rsidRPr="00113BDB">
              <w:t>35.2 (213)</w:t>
            </w:r>
          </w:p>
        </w:tc>
        <w:tc>
          <w:tcPr>
            <w:tcW w:w="1530" w:type="dxa"/>
          </w:tcPr>
          <w:p w14:paraId="6990AC65" w14:textId="77777777" w:rsidR="00985C26" w:rsidRPr="00113BDB" w:rsidRDefault="00985C26" w:rsidP="004A4740">
            <w:r w:rsidRPr="00113BDB">
              <w:t>398.9</w:t>
            </w:r>
          </w:p>
        </w:tc>
      </w:tr>
      <w:tr w:rsidR="00A72756" w:rsidRPr="00113BDB" w14:paraId="233507A7" w14:textId="77777777" w:rsidTr="00A72756">
        <w:tc>
          <w:tcPr>
            <w:tcW w:w="2179" w:type="dxa"/>
          </w:tcPr>
          <w:p w14:paraId="23CD8DFB" w14:textId="77777777" w:rsidR="00985C26" w:rsidRPr="00113BDB" w:rsidRDefault="00985C26" w:rsidP="004A4740">
            <w:pPr>
              <w:rPr>
                <w:b/>
              </w:rPr>
            </w:pPr>
            <w:r w:rsidRPr="00113BDB">
              <w:rPr>
                <w:b/>
              </w:rPr>
              <w:t>Insulin treated T2DM</w:t>
            </w:r>
          </w:p>
        </w:tc>
        <w:tc>
          <w:tcPr>
            <w:tcW w:w="1800" w:type="dxa"/>
          </w:tcPr>
          <w:p w14:paraId="1FCCA922" w14:textId="77777777" w:rsidR="00985C26" w:rsidRPr="00113BDB" w:rsidRDefault="00985C26" w:rsidP="004A4740"/>
        </w:tc>
        <w:tc>
          <w:tcPr>
            <w:tcW w:w="1800" w:type="dxa"/>
          </w:tcPr>
          <w:p w14:paraId="098133C1" w14:textId="77777777" w:rsidR="00985C26" w:rsidRPr="00113BDB" w:rsidRDefault="00985C26" w:rsidP="004A4740"/>
        </w:tc>
        <w:tc>
          <w:tcPr>
            <w:tcW w:w="1890" w:type="dxa"/>
          </w:tcPr>
          <w:p w14:paraId="3CAB21A5" w14:textId="77777777" w:rsidR="00985C26" w:rsidRPr="00113BDB" w:rsidRDefault="00985C26" w:rsidP="004A4740"/>
        </w:tc>
        <w:tc>
          <w:tcPr>
            <w:tcW w:w="1530" w:type="dxa"/>
          </w:tcPr>
          <w:p w14:paraId="0C368911" w14:textId="77777777" w:rsidR="00985C26" w:rsidRPr="00113BDB" w:rsidRDefault="00985C26" w:rsidP="004A4740"/>
        </w:tc>
      </w:tr>
      <w:tr w:rsidR="00A72756" w:rsidRPr="00113BDB" w14:paraId="69C932BB" w14:textId="77777777" w:rsidTr="00A72756">
        <w:tc>
          <w:tcPr>
            <w:tcW w:w="2179" w:type="dxa"/>
          </w:tcPr>
          <w:p w14:paraId="4473472B" w14:textId="77777777" w:rsidR="00985C26" w:rsidRPr="00113BDB" w:rsidRDefault="00985C26" w:rsidP="004A4740">
            <w:r w:rsidRPr="00113BDB">
              <w:t>IDegAsp</w:t>
            </w:r>
          </w:p>
        </w:tc>
        <w:tc>
          <w:tcPr>
            <w:tcW w:w="1800" w:type="dxa"/>
          </w:tcPr>
          <w:p w14:paraId="157E0AA0" w14:textId="77777777" w:rsidR="00985C26" w:rsidRPr="00113BDB" w:rsidRDefault="00985C26" w:rsidP="004A4740">
            <w:r w:rsidRPr="00113BDB">
              <w:t>100 (1138)</w:t>
            </w:r>
          </w:p>
        </w:tc>
        <w:tc>
          <w:tcPr>
            <w:tcW w:w="1800" w:type="dxa"/>
          </w:tcPr>
          <w:p w14:paraId="1F6A52FA" w14:textId="77777777" w:rsidR="00985C26" w:rsidRPr="00113BDB" w:rsidRDefault="00985C26" w:rsidP="004A4740">
            <w:r w:rsidRPr="00113BDB">
              <w:t>86.6</w:t>
            </w:r>
          </w:p>
        </w:tc>
        <w:tc>
          <w:tcPr>
            <w:tcW w:w="1890" w:type="dxa"/>
          </w:tcPr>
          <w:p w14:paraId="4CFDF2CC" w14:textId="77777777" w:rsidR="00985C26" w:rsidRPr="00113BDB" w:rsidRDefault="00985C26" w:rsidP="004A4740">
            <w:r w:rsidRPr="00113BDB">
              <w:t>1.3 (15)</w:t>
            </w:r>
          </w:p>
        </w:tc>
        <w:tc>
          <w:tcPr>
            <w:tcW w:w="1530" w:type="dxa"/>
          </w:tcPr>
          <w:p w14:paraId="45585BDE" w14:textId="77777777" w:rsidR="00985C26" w:rsidRPr="00113BDB" w:rsidRDefault="00985C26" w:rsidP="004A4740">
            <w:r w:rsidRPr="00113BDB">
              <w:t>529.3</w:t>
            </w:r>
          </w:p>
        </w:tc>
      </w:tr>
      <w:tr w:rsidR="00A72756" w:rsidRPr="00113BDB" w14:paraId="3798680C" w14:textId="77777777" w:rsidTr="00A72756">
        <w:tc>
          <w:tcPr>
            <w:tcW w:w="2179" w:type="dxa"/>
          </w:tcPr>
          <w:p w14:paraId="66AC1D07" w14:textId="77777777" w:rsidR="00985C26" w:rsidRPr="00113BDB" w:rsidRDefault="00985C26" w:rsidP="004A4740">
            <w:r w:rsidRPr="00113BDB">
              <w:t>Comparators</w:t>
            </w:r>
          </w:p>
        </w:tc>
        <w:tc>
          <w:tcPr>
            <w:tcW w:w="1800" w:type="dxa"/>
          </w:tcPr>
          <w:p w14:paraId="73E2815D" w14:textId="77777777" w:rsidR="00985C26" w:rsidRPr="00113BDB" w:rsidRDefault="00985C26" w:rsidP="004A4740">
            <w:r w:rsidRPr="00113BDB">
              <w:t>100 (596)</w:t>
            </w:r>
          </w:p>
        </w:tc>
        <w:tc>
          <w:tcPr>
            <w:tcW w:w="1800" w:type="dxa"/>
          </w:tcPr>
          <w:p w14:paraId="5389B53C" w14:textId="77777777" w:rsidR="00985C26" w:rsidRPr="00113BDB" w:rsidRDefault="00985C26" w:rsidP="004A4740">
            <w:r w:rsidRPr="00113BDB">
              <w:t>87.4</w:t>
            </w:r>
          </w:p>
        </w:tc>
        <w:tc>
          <w:tcPr>
            <w:tcW w:w="1890" w:type="dxa"/>
          </w:tcPr>
          <w:p w14:paraId="64FAA0BA" w14:textId="77777777" w:rsidR="00985C26" w:rsidRPr="00113BDB" w:rsidRDefault="00985C26" w:rsidP="004A4740">
            <w:r w:rsidRPr="00113BDB">
              <w:t>0</w:t>
            </w:r>
          </w:p>
        </w:tc>
        <w:tc>
          <w:tcPr>
            <w:tcW w:w="1530" w:type="dxa"/>
          </w:tcPr>
          <w:p w14:paraId="7DF4E8EB" w14:textId="77777777" w:rsidR="00985C26" w:rsidRPr="00113BDB" w:rsidRDefault="00985C26" w:rsidP="004A4740">
            <w:r w:rsidRPr="00113BDB">
              <w:t>271.4</w:t>
            </w:r>
          </w:p>
        </w:tc>
      </w:tr>
    </w:tbl>
    <w:p w14:paraId="3CDEAC9D" w14:textId="4870388A" w:rsidR="00985C26" w:rsidRPr="00113BDB" w:rsidRDefault="00985C26" w:rsidP="00985C26">
      <w:pPr>
        <w:pStyle w:val="TableDescription"/>
        <w:rPr>
          <w:lang w:eastAsia="ja-JP"/>
        </w:rPr>
      </w:pPr>
      <w:r w:rsidRPr="00113BDB">
        <w:rPr>
          <w:lang w:eastAsia="ja-JP"/>
        </w:rPr>
        <w:t xml:space="preserve">N = number of patients. Reference: Safety update IDegAsp (16 December 2014), includes </w:t>
      </w:r>
      <w:r w:rsidR="00992D05" w:rsidRPr="00113BDB">
        <w:rPr>
          <w:lang w:eastAsia="ja-JP"/>
        </w:rPr>
        <w:t>Studies NN5401</w:t>
      </w:r>
      <w:r w:rsidRPr="00113BDB">
        <w:rPr>
          <w:lang w:eastAsia="ja-JP"/>
        </w:rPr>
        <w:t xml:space="preserve"> 3590-3726, 3592, 3593, 3594-3645, 3597, 3844,</w:t>
      </w:r>
      <w:r w:rsidR="00992D05" w:rsidRPr="00113BDB">
        <w:rPr>
          <w:lang w:eastAsia="ja-JP"/>
        </w:rPr>
        <w:t xml:space="preserve"> 3896, 3940, 3941, 3996 and</w:t>
      </w:r>
      <w:r w:rsidRPr="00113BDB">
        <w:rPr>
          <w:lang w:eastAsia="ja-JP"/>
        </w:rPr>
        <w:t xml:space="preserve"> 4003</w:t>
      </w:r>
      <w:r w:rsidR="00992D05" w:rsidRPr="00113BDB">
        <w:rPr>
          <w:lang w:eastAsia="ja-JP"/>
        </w:rPr>
        <w:t>.</w:t>
      </w:r>
    </w:p>
    <w:p w14:paraId="505485AF" w14:textId="77777777" w:rsidR="00E216E7" w:rsidRPr="00113BDB" w:rsidRDefault="00E216E7" w:rsidP="00E216E7">
      <w:r w:rsidRPr="00113BDB">
        <w:t>It is also noted that some trials included only IDeg and IDegAsp and no other comparator.</w:t>
      </w:r>
    </w:p>
    <w:p w14:paraId="55997366" w14:textId="38114FD2" w:rsidR="00E216E7" w:rsidRPr="00113BDB" w:rsidRDefault="00E216E7" w:rsidP="00E216E7">
      <w:r w:rsidRPr="00113BDB">
        <w:t>Compared to the ISS (</w:t>
      </w:r>
      <w:r w:rsidR="00F87754" w:rsidRPr="00113BDB">
        <w:t>cut-off</w:t>
      </w:r>
      <w:r w:rsidRPr="00113BDB">
        <w:t xml:space="preserve"> date of 31 January 2011), an additional 930 subjects have been exposed to IDegAsp for 6 months, and additional 196 subjects for 12 months or more. The additional subjects who have been exposed for more than 6 months were enrolled on extension </w:t>
      </w:r>
      <w:r w:rsidR="00992D05" w:rsidRPr="00113BDB">
        <w:t>Study</w:t>
      </w:r>
      <w:r w:rsidRPr="00113BDB">
        <w:t xml:space="preserve"> NN5401-3726 and therefore were all insulin naïve T2DM subjects receiving daily IDegAsp. It is noted that the maximum dura</w:t>
      </w:r>
      <w:r w:rsidR="00992D05" w:rsidRPr="00113BDB">
        <w:t>tion of the trials (per Figure 5</w:t>
      </w:r>
      <w:r w:rsidRPr="00113BDB">
        <w:t>, above) is 52 weeks therefore, even though a sizable proportion of the T1DM population and less percentages of the T2DM population are reported to have been exposed for ≥ 12 months, it is not expected that the subjects would have been exposed for any longer than 12 months. It is also noted that a very small number of insulin treated T2DM subjects have been treated for 12 months or more; the reason for this is not clear. Furthermore, of the subjects with T2DM who have been exposed for 12 months or more, the majority of these are in the comparator group. However, it is not clear why there is such a large difference in terms of those who have been exposed for ≥</w:t>
      </w:r>
      <w:r w:rsidR="00992D05" w:rsidRPr="00113BDB">
        <w:t xml:space="preserve"> 12 months (9.7% </w:t>
      </w:r>
      <w:r w:rsidRPr="00113BDB">
        <w:t>IDegAsp compared to 17.7% comparator) and this is not reflected as clearly in terms of completion of extension trials which showed that 92.4% of subjects completed the extension trials in the IDegAsp group compared to 93.9% of those in the comparator group. A question will be asked of the sponsor to clarify this.</w:t>
      </w:r>
    </w:p>
    <w:p w14:paraId="7AECEE50" w14:textId="306581CB" w:rsidR="00E216E7" w:rsidRPr="00113BDB" w:rsidRDefault="00E216E7" w:rsidP="00E216E7">
      <w:r w:rsidRPr="00113BDB">
        <w:t>In terms of subjec</w:t>
      </w:r>
      <w:r w:rsidR="00992D05" w:rsidRPr="00113BDB">
        <w:t>t disposition in the completed P</w:t>
      </w:r>
      <w:r w:rsidRPr="00113BDB">
        <w:t xml:space="preserve">hase </w:t>
      </w:r>
      <w:r w:rsidR="00992D05" w:rsidRPr="00113BDB">
        <w:t>III</w:t>
      </w:r>
      <w:r w:rsidRPr="00113BDB">
        <w:t xml:space="preserve"> trials for IDegAsp, 87.5% of subjects on the IDegAsp group completed the main trials compared with 88.3% on the comparator group; the most common reason for withdrawal on the IDegAsp arm was ‘other’ (5.65%), Fulfilling withdrawal criteria (4.2%) and adverse events (1.4%). Similar rates were seen on the comparator arm except there were fewer (2.7%) withdrawing due to ‘fulfilling withdrawal criteria’. Of the subjects included in the extension trials (446 on the IDegAsp, 343 on comparator arms), 92.4% completed the trial on IDegAsp and a slightly higher number on the comparator arm (93.9%). The most common reason for </w:t>
      </w:r>
      <w:r w:rsidRPr="00113BDB">
        <w:lastRenderedPageBreak/>
        <w:t>withdrawal was ‘other’ (4% for IDegAsp and 3% for comparators); 1.3% withdrew due to adverse events on the IDegAsp compared to 0.9% on the comparator arm. It is noted that the sponsor has indicated that in some of the new completed trials, new withdrawal criteria have been included and this may have resulted in disproportionate reporting of withdrawals on the IDegAsp group since several trials had IDegAsp in both arms and there were no ‘comparator’ groups.</w:t>
      </w:r>
    </w:p>
    <w:p w14:paraId="5F68BE2C" w14:textId="12AE604C" w:rsidR="00E216E7" w:rsidRPr="00113BDB" w:rsidRDefault="00E216E7" w:rsidP="00E216E7">
      <w:r w:rsidRPr="00113BDB">
        <w:t>No new information was included regarding demographic characteristics in the Summary of Clinical Safety Addendum for IDegAsp.</w:t>
      </w:r>
    </w:p>
    <w:p w14:paraId="766898F3" w14:textId="77777777" w:rsidR="00605AD4" w:rsidRPr="00113BDB" w:rsidRDefault="00605AD4" w:rsidP="00605AD4">
      <w:pPr>
        <w:pStyle w:val="Heading4"/>
      </w:pPr>
      <w:r w:rsidRPr="00113BDB">
        <w:t>Safety issues with the potential for major regulatory impact</w:t>
      </w:r>
    </w:p>
    <w:p w14:paraId="09C483C3" w14:textId="7B38A5AB" w:rsidR="001A785B" w:rsidRPr="00113BDB" w:rsidRDefault="001A785B" w:rsidP="001A785B">
      <w:r w:rsidRPr="00113BDB">
        <w:t>The focus of this resubmission is CV safet</w:t>
      </w:r>
      <w:r w:rsidR="00087863" w:rsidRPr="00113BDB">
        <w:t>y</w:t>
      </w:r>
      <w:r w:rsidRPr="00113BDB">
        <w:t>. This is discussed in the benefit-risk assessments and Delegate’s overview (below) and further evaluated in detail in Attachment 2.</w:t>
      </w:r>
    </w:p>
    <w:p w14:paraId="25C0A10F" w14:textId="77777777" w:rsidR="00605AD4" w:rsidRPr="00113BDB" w:rsidRDefault="00605AD4" w:rsidP="00605AD4">
      <w:pPr>
        <w:pStyle w:val="Heading4"/>
      </w:pPr>
      <w:r w:rsidRPr="00113BDB">
        <w:t>Postmarketing data</w:t>
      </w:r>
    </w:p>
    <w:p w14:paraId="4DA9A1D3" w14:textId="1FFAFBC7" w:rsidR="00EF425E" w:rsidRPr="00113BDB" w:rsidRDefault="00EF425E" w:rsidP="00EF425E">
      <w:r w:rsidRPr="00113BDB">
        <w:t xml:space="preserve">The following summary </w:t>
      </w:r>
      <w:r w:rsidR="0059354F" w:rsidRPr="00113BDB">
        <w:t xml:space="preserve">is </w:t>
      </w:r>
      <w:r w:rsidRPr="00113BDB">
        <w:t>taken from the clinical evaluation report regarding postmarketing exposure and data; for further details, see Attachment 2.</w:t>
      </w:r>
    </w:p>
    <w:p w14:paraId="0B4836D5" w14:textId="49A6B2AA" w:rsidR="00EE4EFD" w:rsidRPr="00113BDB" w:rsidRDefault="006C58F0" w:rsidP="00EE4EFD">
      <w:pPr>
        <w:tabs>
          <w:tab w:val="num" w:pos="1134"/>
        </w:tabs>
        <w:rPr>
          <w:bCs/>
        </w:rPr>
      </w:pPr>
      <w:r w:rsidRPr="00113BDB">
        <w:rPr>
          <w:bCs/>
        </w:rPr>
        <w:t>D</w:t>
      </w:r>
      <w:r w:rsidR="00EE4EFD" w:rsidRPr="00113BDB">
        <w:rPr>
          <w:bCs/>
        </w:rPr>
        <w:t xml:space="preserve">erived from the </w:t>
      </w:r>
      <w:r w:rsidR="00565674" w:rsidRPr="00113BDB">
        <w:rPr>
          <w:bCs/>
        </w:rPr>
        <w:t>IDegAsp</w:t>
      </w:r>
      <w:r w:rsidR="00EE4EFD" w:rsidRPr="00113BDB">
        <w:rPr>
          <w:bCs/>
        </w:rPr>
        <w:t xml:space="preserve"> PSUR/PBRER </w:t>
      </w:r>
      <w:r w:rsidRPr="00113BDB">
        <w:rPr>
          <w:bCs/>
        </w:rPr>
        <w:t>(</w:t>
      </w:r>
      <w:r w:rsidR="00EE4EFD" w:rsidRPr="00113BDB">
        <w:t>dated 1 </w:t>
      </w:r>
      <w:r w:rsidRPr="00113BDB">
        <w:t xml:space="preserve">October 2014 to 30 </w:t>
      </w:r>
      <w:r w:rsidR="00EE4EFD" w:rsidRPr="00113BDB">
        <w:t>September 2015</w:t>
      </w:r>
      <w:r w:rsidRPr="00113BDB">
        <w:t>), with a</w:t>
      </w:r>
      <w:r w:rsidR="00EE4EFD" w:rsidRPr="00113BDB">
        <w:rPr>
          <w:bCs/>
        </w:rPr>
        <w:t xml:space="preserve"> </w:t>
      </w:r>
      <w:r w:rsidR="00EE4EFD" w:rsidRPr="00113BDB">
        <w:t xml:space="preserve">start date immediately following the </w:t>
      </w:r>
      <w:r w:rsidR="00F87754" w:rsidRPr="00113BDB">
        <w:t>cut-off</w:t>
      </w:r>
      <w:r w:rsidR="00EE4EFD" w:rsidRPr="00113BDB">
        <w:t xml:space="preserve"> date for the Summary of Clinical Safety Addendum and there</w:t>
      </w:r>
      <w:r w:rsidRPr="00113BDB">
        <w:t>fore contains more updated data:</w:t>
      </w:r>
    </w:p>
    <w:p w14:paraId="140B4B34" w14:textId="77777777" w:rsidR="0059354F" w:rsidRPr="00113BDB" w:rsidRDefault="00EE4EFD" w:rsidP="005F69E6">
      <w:pPr>
        <w:pStyle w:val="ListBullet"/>
        <w:rPr>
          <w:lang w:eastAsia="ja-JP"/>
        </w:rPr>
      </w:pPr>
      <w:r w:rsidRPr="00113BDB">
        <w:rPr>
          <w:lang w:eastAsia="ja-JP"/>
        </w:rPr>
        <w:t>IDegAsp has been approved in more than 55 countries and marketed in 5 countries (Denmark, Switzerland, India, Bangladesh and Mexico).</w:t>
      </w:r>
    </w:p>
    <w:p w14:paraId="43FC4911" w14:textId="1050CD2E" w:rsidR="005F69E6" w:rsidRPr="00113BDB" w:rsidRDefault="005F69E6" w:rsidP="005F69E6">
      <w:pPr>
        <w:pStyle w:val="ListBullet"/>
        <w:rPr>
          <w:lang w:eastAsia="ja-JP"/>
        </w:rPr>
      </w:pPr>
      <w:r w:rsidRPr="00113BDB">
        <w:t>Regulatory actions of note in the PSUR/PBRER period:</w:t>
      </w:r>
    </w:p>
    <w:p w14:paraId="408BEF10" w14:textId="77777777" w:rsidR="005F69E6" w:rsidRPr="00113BDB" w:rsidRDefault="005F69E6" w:rsidP="0059354F">
      <w:pPr>
        <w:pStyle w:val="ListBullet2"/>
      </w:pPr>
      <w:r w:rsidRPr="00113BDB">
        <w:t>Singapore: marketing application for IDeg was withdrawn by sponsor, as the regulatory authority decided to wait for the results of the DEVOTE trial before making a final decision regarding the marketing application.</w:t>
      </w:r>
    </w:p>
    <w:p w14:paraId="535F0324" w14:textId="77777777" w:rsidR="005F69E6" w:rsidRPr="00113BDB" w:rsidRDefault="005F69E6" w:rsidP="0059354F">
      <w:pPr>
        <w:pStyle w:val="ListBullet2"/>
      </w:pPr>
      <w:r w:rsidRPr="00113BDB">
        <w:t>Malaysia: rejection (following appeals process) for IDegAsp; DEVOTE trial results are required to confirm the cardiovascular safety of the products.</w:t>
      </w:r>
    </w:p>
    <w:p w14:paraId="247C30CC" w14:textId="01FCD9CE" w:rsidR="005F69E6" w:rsidRPr="00113BDB" w:rsidRDefault="005F69E6" w:rsidP="005F69E6">
      <w:pPr>
        <w:pStyle w:val="ListBullet"/>
      </w:pPr>
      <w:r w:rsidRPr="00113BDB">
        <w:t>It is estimated that there has been 12,902 patient years of exposure to IDegAsp until 30 September 2015 (‘cumulative exposure’) and of these, 11,644 patient years of exposure have occurred during the current PSUR reporting period.</w:t>
      </w:r>
    </w:p>
    <w:p w14:paraId="4B68C791" w14:textId="77777777" w:rsidR="005F69E6" w:rsidRPr="00113BDB" w:rsidRDefault="005F69E6" w:rsidP="005F69E6">
      <w:pPr>
        <w:numPr>
          <w:ilvl w:val="0"/>
          <w:numId w:val="3"/>
        </w:numPr>
      </w:pPr>
      <w:r w:rsidRPr="00113BDB">
        <w:t>Cumulatively, 91 adverse drug reactions have been reported in 41 spontaneous case reports, of which 4 reports were serious. 79 adverse drug reactions were reported in this PSUR period.</w:t>
      </w:r>
    </w:p>
    <w:p w14:paraId="0DBCEE21" w14:textId="056D0FFC" w:rsidR="005F69E6" w:rsidRPr="00113BDB" w:rsidRDefault="006C58F0" w:rsidP="005F69E6">
      <w:pPr>
        <w:numPr>
          <w:ilvl w:val="0"/>
          <w:numId w:val="3"/>
        </w:numPr>
      </w:pPr>
      <w:r w:rsidRPr="00113BDB">
        <w:t xml:space="preserve">1 </w:t>
      </w:r>
      <w:r w:rsidR="005F69E6" w:rsidRPr="00113BDB">
        <w:t>serious event of hypoglycaemia was receiv</w:t>
      </w:r>
      <w:r w:rsidRPr="00113BDB">
        <w:t>ed from non-interventional post</w:t>
      </w:r>
      <w:r w:rsidR="005F69E6" w:rsidRPr="00113BDB">
        <w:t>marketing studies and other solicited sources and is included as an adverse drug reaction.</w:t>
      </w:r>
    </w:p>
    <w:p w14:paraId="24082369" w14:textId="04EAA29B" w:rsidR="005F69E6" w:rsidRPr="00113BDB" w:rsidRDefault="005F69E6" w:rsidP="005F69E6">
      <w:pPr>
        <w:numPr>
          <w:ilvl w:val="0"/>
          <w:numId w:val="3"/>
        </w:numPr>
      </w:pPr>
      <w:r w:rsidRPr="00113BDB">
        <w:t>Most frequently reported events (5 events each) were injection site reactions (</w:t>
      </w:r>
      <w:r w:rsidR="003C3E19" w:rsidRPr="00113BDB">
        <w:t>S</w:t>
      </w:r>
      <w:r w:rsidR="00324F20" w:rsidRPr="00113BDB">
        <w:t xml:space="preserve">ystem </w:t>
      </w:r>
      <w:r w:rsidR="00876EA9" w:rsidRPr="00113BDB">
        <w:t>O</w:t>
      </w:r>
      <w:r w:rsidR="00324F20" w:rsidRPr="00113BDB">
        <w:t xml:space="preserve">rgan </w:t>
      </w:r>
      <w:r w:rsidR="00876EA9" w:rsidRPr="00113BDB">
        <w:t>C</w:t>
      </w:r>
      <w:r w:rsidR="00324F20" w:rsidRPr="00113BDB">
        <w:t>lass</w:t>
      </w:r>
      <w:r w:rsidR="003C3E19" w:rsidRPr="00113BDB">
        <w:t xml:space="preserve"> (SOC)</w:t>
      </w:r>
      <w:r w:rsidR="00324F20" w:rsidRPr="00113BDB">
        <w:t>:</w:t>
      </w:r>
      <w:r w:rsidRPr="00113BDB">
        <w:t xml:space="preserve"> general disorders and administration site conditions), hypoglycaemia, hyperglycaemia (both of SOC Metabolism and nutrition disorder) and blood glucose increased (</w:t>
      </w:r>
      <w:r w:rsidR="003C3E19" w:rsidRPr="00113BDB">
        <w:t>SOC</w:t>
      </w:r>
      <w:r w:rsidR="00324F20" w:rsidRPr="00113BDB">
        <w:t>:</w:t>
      </w:r>
      <w:r w:rsidRPr="00113BDB">
        <w:t xml:space="preserve"> investigations).</w:t>
      </w:r>
    </w:p>
    <w:p w14:paraId="67432831" w14:textId="01FD2CED" w:rsidR="005F69E6" w:rsidRPr="00113BDB" w:rsidRDefault="005F69E6" w:rsidP="005F69E6">
      <w:pPr>
        <w:numPr>
          <w:ilvl w:val="0"/>
          <w:numId w:val="3"/>
        </w:numPr>
      </w:pPr>
      <w:r w:rsidRPr="00113BDB">
        <w:t xml:space="preserve">No cases of </w:t>
      </w:r>
      <w:r w:rsidR="00876EA9" w:rsidRPr="00113BDB">
        <w:t>major adverse cardiovascular event (</w:t>
      </w:r>
      <w:r w:rsidRPr="00113BDB">
        <w:t>MACE</w:t>
      </w:r>
      <w:r w:rsidR="00876EA9" w:rsidRPr="00113BDB">
        <w:t>)</w:t>
      </w:r>
      <w:r w:rsidRPr="00113BDB">
        <w:t xml:space="preserve"> or neoplasms have been reported.</w:t>
      </w:r>
    </w:p>
    <w:p w14:paraId="1669D0B8" w14:textId="77777777" w:rsidR="005F69E6" w:rsidRPr="00113BDB" w:rsidRDefault="005F69E6" w:rsidP="005F69E6">
      <w:pPr>
        <w:numPr>
          <w:ilvl w:val="0"/>
          <w:numId w:val="3"/>
        </w:numPr>
      </w:pPr>
      <w:r w:rsidRPr="00113BDB">
        <w:t>No fatal cases have been reported.</w:t>
      </w:r>
    </w:p>
    <w:p w14:paraId="7478F26A" w14:textId="4564B4EF" w:rsidR="005F69E6" w:rsidRPr="00113BDB" w:rsidRDefault="005F69E6" w:rsidP="005F69E6">
      <w:pPr>
        <w:numPr>
          <w:ilvl w:val="0"/>
          <w:numId w:val="3"/>
        </w:numPr>
      </w:pPr>
      <w:r w:rsidRPr="00113BDB">
        <w:t xml:space="preserve">Lack of efficacy: </w:t>
      </w:r>
      <w:r w:rsidR="00324F20" w:rsidRPr="00113BDB">
        <w:t xml:space="preserve">3 </w:t>
      </w:r>
      <w:r w:rsidRPr="00113BDB">
        <w:t>reports were reported and all of these cases were associated with non-serious events of blood glucose increased or hyperglycaemia.</w:t>
      </w:r>
    </w:p>
    <w:p w14:paraId="5EF8C8F6" w14:textId="77777777" w:rsidR="005F69E6" w:rsidRPr="00113BDB" w:rsidRDefault="005F69E6" w:rsidP="005F69E6">
      <w:pPr>
        <w:numPr>
          <w:ilvl w:val="0"/>
          <w:numId w:val="3"/>
        </w:numPr>
      </w:pPr>
      <w:r w:rsidRPr="00113BDB">
        <w:lastRenderedPageBreak/>
        <w:t>Allergic reactions: 4 cases with 7 non-serious allergic reactions in the cumulative period; 4 events from this reporting period.</w:t>
      </w:r>
    </w:p>
    <w:p w14:paraId="55D28C18" w14:textId="77777777" w:rsidR="00324F20" w:rsidRPr="00113BDB" w:rsidRDefault="005F69E6" w:rsidP="005F69E6">
      <w:pPr>
        <w:numPr>
          <w:ilvl w:val="0"/>
          <w:numId w:val="3"/>
        </w:numPr>
      </w:pPr>
      <w:r w:rsidRPr="00113BDB">
        <w:t>Medication errors: 8 case reports with 9 non-serious events; 7 events (6 reports) from this reporting period: multiple use of single use product, wrong technique in administration (4 events), drug dose omission and incorrect storage o</w:t>
      </w:r>
      <w:r w:rsidR="00324F20" w:rsidRPr="00113BDB">
        <w:t xml:space="preserve">f the product. No case of a mix </w:t>
      </w:r>
      <w:r w:rsidRPr="00113BDB">
        <w:t>up of bolus insulin with IDegAsp was reported in this reporting period; one has been reported cumulatively.</w:t>
      </w:r>
    </w:p>
    <w:p w14:paraId="29D7FA9B" w14:textId="77777777" w:rsidR="00324F20" w:rsidRPr="00113BDB" w:rsidRDefault="005F69E6" w:rsidP="005F69E6">
      <w:pPr>
        <w:numPr>
          <w:ilvl w:val="0"/>
          <w:numId w:val="3"/>
        </w:numPr>
      </w:pPr>
      <w:r w:rsidRPr="00113BDB">
        <w:t xml:space="preserve">The PSUR/PBRER states that </w:t>
      </w:r>
      <w:r w:rsidRPr="00113BDB">
        <w:rPr>
          <w:i/>
        </w:rPr>
        <w:t>‘no specific pattern or clustering of events was observed…. single or few events (by preferred term) were reported’</w:t>
      </w:r>
      <w:r w:rsidRPr="00113BDB">
        <w:t xml:space="preserve"> and</w:t>
      </w:r>
      <w:r w:rsidRPr="00113BDB">
        <w:rPr>
          <w:i/>
        </w:rPr>
        <w:t xml:space="preserve"> ‘overall, no significant new safety concerns were identified with Ryzodeg from marketing experience, up until 30 Sep 2015.’</w:t>
      </w:r>
    </w:p>
    <w:p w14:paraId="2122D1BD" w14:textId="5F759808" w:rsidR="00324F20" w:rsidRPr="00113BDB" w:rsidRDefault="005F69E6" w:rsidP="005F69E6">
      <w:pPr>
        <w:numPr>
          <w:ilvl w:val="0"/>
          <w:numId w:val="3"/>
        </w:numPr>
      </w:pPr>
      <w:r w:rsidRPr="00113BDB">
        <w:t>Off label use:</w:t>
      </w:r>
      <w:r w:rsidR="00324F20" w:rsidRPr="00113BDB">
        <w:t xml:space="preserve"> </w:t>
      </w:r>
      <w:r w:rsidRPr="00113BDB">
        <w:t xml:space="preserve">Cumulatively, 6 case reports have been received relating to the use of IDegAsp in children, all of which are from this reporting period. One report was associated with an event of ‘blood glucose </w:t>
      </w:r>
      <w:r w:rsidR="00F87754" w:rsidRPr="00113BDB">
        <w:t>abnormal’;</w:t>
      </w:r>
      <w:r w:rsidRPr="00113BDB">
        <w:t xml:space="preserve"> the others had no adverse event reported. There are no reported post marketing cases of IDegAsp use in pregnant or lactating women.</w:t>
      </w:r>
    </w:p>
    <w:p w14:paraId="7D72E909" w14:textId="4FD4FC47" w:rsidR="005F69E6" w:rsidRPr="00113BDB" w:rsidRDefault="005F69E6" w:rsidP="005F69E6">
      <w:pPr>
        <w:numPr>
          <w:ilvl w:val="0"/>
          <w:numId w:val="3"/>
        </w:numPr>
      </w:pPr>
      <w:r w:rsidRPr="00113BDB">
        <w:t>Data relating to IDegAsp components:</w:t>
      </w:r>
    </w:p>
    <w:p w14:paraId="3C62E78B" w14:textId="2A4DC2DC" w:rsidR="005F69E6" w:rsidRPr="00113BDB" w:rsidRDefault="00324F20" w:rsidP="00324F20">
      <w:pPr>
        <w:pStyle w:val="ListBullet2"/>
      </w:pPr>
      <w:r w:rsidRPr="00113BDB">
        <w:t>A discussion of the IDeg component is available in</w:t>
      </w:r>
      <w:r w:rsidR="00A41590" w:rsidRPr="00113BDB">
        <w:t xml:space="preserve"> Attachment 2 for</w:t>
      </w:r>
      <w:r w:rsidRPr="00113BDB">
        <w:t xml:space="preserve"> Tresiba.</w:t>
      </w:r>
      <w:r w:rsidRPr="00113BDB">
        <w:rPr>
          <w:vertAlign w:val="superscript"/>
        </w:rPr>
        <w:fldChar w:fldCharType="begin"/>
      </w:r>
      <w:r w:rsidRPr="00113BDB">
        <w:rPr>
          <w:vertAlign w:val="superscript"/>
        </w:rPr>
        <w:instrText xml:space="preserve"> NOTEREF _Ref511237953 \h  \* MERGEFORMAT </w:instrText>
      </w:r>
      <w:r w:rsidRPr="00113BDB">
        <w:rPr>
          <w:vertAlign w:val="superscript"/>
        </w:rPr>
      </w:r>
      <w:r w:rsidRPr="00113BDB">
        <w:rPr>
          <w:vertAlign w:val="superscript"/>
        </w:rPr>
        <w:fldChar w:fldCharType="separate"/>
      </w:r>
      <w:r w:rsidR="00EA37BD">
        <w:rPr>
          <w:vertAlign w:val="superscript"/>
        </w:rPr>
        <w:t>4</w:t>
      </w:r>
      <w:r w:rsidRPr="00113BDB">
        <w:rPr>
          <w:vertAlign w:val="superscript"/>
        </w:rPr>
        <w:fldChar w:fldCharType="end"/>
      </w:r>
    </w:p>
    <w:p w14:paraId="3959A147" w14:textId="4D205049" w:rsidR="005F69E6" w:rsidRPr="00113BDB" w:rsidRDefault="005F69E6" w:rsidP="00A41590">
      <w:pPr>
        <w:pStyle w:val="ListBullet2"/>
        <w:rPr>
          <w:i/>
        </w:rPr>
      </w:pPr>
      <w:r w:rsidRPr="00113BDB">
        <w:t>The most recent PSUR for IAsp w</w:t>
      </w:r>
      <w:r w:rsidR="00A41590" w:rsidRPr="00113BDB">
        <w:t>as</w:t>
      </w:r>
      <w:r w:rsidRPr="00113BDB">
        <w:t xml:space="preserve"> for the per</w:t>
      </w:r>
      <w:r w:rsidR="00A41590" w:rsidRPr="00113BDB">
        <w:t xml:space="preserve">iod of 1 October 2014 to 30 September </w:t>
      </w:r>
      <w:r w:rsidRPr="00113BDB">
        <w:t>2015. According to the sponsor</w:t>
      </w:r>
      <w:r w:rsidR="00A41590" w:rsidRPr="00113BDB">
        <w:t>:</w:t>
      </w:r>
      <w:r w:rsidRPr="00113BDB">
        <w:t xml:space="preserve"> </w:t>
      </w:r>
      <w:r w:rsidRPr="00113BDB">
        <w:rPr>
          <w:i/>
        </w:rPr>
        <w:t>‘Overall, the clinical trial safety data for IAsp remain in accordance with the cumulative experience as described in the current reference safety information. No reasons for new safety concerns were identified in connection with the administration of IAsp in clinical trials in the reporting period. No change was made to the existing safety concerns for IAsp.’</w:t>
      </w:r>
    </w:p>
    <w:p w14:paraId="3E8CFC35" w14:textId="6E2EF906" w:rsidR="005F69E6" w:rsidRPr="00113BDB" w:rsidRDefault="005F69E6" w:rsidP="00A41590">
      <w:pPr>
        <w:pStyle w:val="ListBullet"/>
      </w:pPr>
      <w:r w:rsidRPr="00113BDB">
        <w:t>Other safety information; the PSUR states that:</w:t>
      </w:r>
    </w:p>
    <w:p w14:paraId="41B447CF" w14:textId="77777777" w:rsidR="005F69E6" w:rsidRPr="00113BDB" w:rsidRDefault="005F69E6" w:rsidP="00A41590">
      <w:pPr>
        <w:pStyle w:val="ListBullet2"/>
        <w:rPr>
          <w:i/>
        </w:rPr>
      </w:pPr>
      <w:r w:rsidRPr="00113BDB">
        <w:rPr>
          <w:i/>
        </w:rPr>
        <w:t>‘No new nonclinical safety findings were reported during the period of this PSUR for Ryzodeg.’</w:t>
      </w:r>
    </w:p>
    <w:p w14:paraId="0F942395" w14:textId="77777777" w:rsidR="00A41590" w:rsidRPr="00113BDB" w:rsidRDefault="005F69E6" w:rsidP="005F69E6">
      <w:pPr>
        <w:pStyle w:val="ListBullet2"/>
        <w:rPr>
          <w:i/>
        </w:rPr>
      </w:pPr>
      <w:r w:rsidRPr="00113BDB">
        <w:rPr>
          <w:i/>
        </w:rPr>
        <w:t>‘No new significant safety findings or concerns specifically for Ryzodeg were identified based on the results of the review of the scientific literature’.</w:t>
      </w:r>
    </w:p>
    <w:p w14:paraId="56FB9365" w14:textId="77777777" w:rsidR="00A41590" w:rsidRPr="00113BDB" w:rsidRDefault="005F69E6" w:rsidP="00A41590">
      <w:pPr>
        <w:pStyle w:val="ListBullet"/>
        <w:rPr>
          <w:i/>
        </w:rPr>
      </w:pPr>
      <w:r w:rsidRPr="00113BDB">
        <w:t>It is noted that no non-interventional studies were initiated or completed for IDegAsp in this reporting period.</w:t>
      </w:r>
    </w:p>
    <w:p w14:paraId="6F2C8F61" w14:textId="0C527A03" w:rsidR="005F69E6" w:rsidRPr="00113BDB" w:rsidRDefault="005F69E6" w:rsidP="00A41590">
      <w:pPr>
        <w:pStyle w:val="ListBullet"/>
        <w:rPr>
          <w:i/>
        </w:rPr>
      </w:pPr>
      <w:r w:rsidRPr="00113BDB">
        <w:rPr>
          <w:bCs/>
        </w:rPr>
        <w:t>Signal review and Evaluation of Authority Request:</w:t>
      </w:r>
    </w:p>
    <w:p w14:paraId="1B857CD1" w14:textId="3B6220DA" w:rsidR="005F69E6" w:rsidRPr="00113BDB" w:rsidRDefault="00A41590" w:rsidP="00A41590">
      <w:pPr>
        <w:pStyle w:val="ListBullet2"/>
      </w:pPr>
      <w:r w:rsidRPr="00113BDB">
        <w:t xml:space="preserve">1 </w:t>
      </w:r>
      <w:r w:rsidR="005F69E6" w:rsidRPr="00113BDB">
        <w:t>signal review of MACE</w:t>
      </w:r>
      <w:r w:rsidRPr="00113BDB">
        <w:t xml:space="preserve"> </w:t>
      </w:r>
      <w:r w:rsidR="005F69E6" w:rsidRPr="00113BDB">
        <w:t xml:space="preserve">is ongoing; MACE data from the dedicated </w:t>
      </w:r>
      <w:r w:rsidRPr="00113BDB">
        <w:t>CV</w:t>
      </w:r>
      <w:r w:rsidR="005F69E6" w:rsidRPr="00113BDB">
        <w:t xml:space="preserve"> outcomes trial,</w:t>
      </w:r>
      <w:r w:rsidRPr="00113BDB">
        <w:t xml:space="preserve"> other clinical trials and post</w:t>
      </w:r>
      <w:r w:rsidR="005F69E6" w:rsidRPr="00113BDB">
        <w:t>marketing sources is included.</w:t>
      </w:r>
    </w:p>
    <w:p w14:paraId="6B122C13" w14:textId="5C3C6477" w:rsidR="005F69E6" w:rsidRPr="00113BDB" w:rsidRDefault="005F69E6" w:rsidP="00A41590">
      <w:pPr>
        <w:pStyle w:val="ListBullet2"/>
      </w:pPr>
      <w:r w:rsidRPr="00113BDB">
        <w:t xml:space="preserve">An Evaluation of Authority Request is ongoing of neoplasms and colon cancer as requested by </w:t>
      </w:r>
      <w:r w:rsidR="00CC0FE1" w:rsidRPr="00113BDB">
        <w:t>Swiss</w:t>
      </w:r>
      <w:r w:rsidR="00CC0FE1">
        <w:t>M</w:t>
      </w:r>
      <w:r w:rsidR="00CC0FE1" w:rsidRPr="00113BDB">
        <w:t xml:space="preserve">edic </w:t>
      </w:r>
      <w:r w:rsidRPr="00113BDB">
        <w:t>and EMA’s Committee for Medicinal Products for Human Use respectively. All potential events of neoplasms from all completed Phase IIIa and IIIb IDegAsp trials were sent to an external, independent and blinded consultant for classification into malignant, benign and unclassifiable neoplasms and post marketing data was analysed.</w:t>
      </w:r>
    </w:p>
    <w:p w14:paraId="3331C00D" w14:textId="49026C9F" w:rsidR="005F69E6" w:rsidRPr="00113BDB" w:rsidRDefault="005F69E6" w:rsidP="005F69E6">
      <w:pPr>
        <w:tabs>
          <w:tab w:val="num" w:pos="1134"/>
        </w:tabs>
        <w:rPr>
          <w:bCs/>
        </w:rPr>
      </w:pPr>
      <w:r w:rsidRPr="00113BDB">
        <w:rPr>
          <w:bCs/>
        </w:rPr>
        <w:t>Summaries of safety concerns:</w:t>
      </w:r>
    </w:p>
    <w:p w14:paraId="15526160" w14:textId="772644C9" w:rsidR="00EE4EFD" w:rsidRPr="00113BDB" w:rsidRDefault="005F69E6" w:rsidP="00EE4EFD">
      <w:pPr>
        <w:pStyle w:val="ListBullet"/>
      </w:pPr>
      <w:r w:rsidRPr="00113BDB">
        <w:t>No new potential or important risks have been identified in this PSUR period.</w:t>
      </w:r>
    </w:p>
    <w:p w14:paraId="69EF7CCF" w14:textId="77777777" w:rsidR="00605AD4" w:rsidRPr="00113BDB" w:rsidRDefault="00605AD4" w:rsidP="00605AD4">
      <w:pPr>
        <w:pStyle w:val="Heading4"/>
      </w:pPr>
      <w:r w:rsidRPr="00113BDB">
        <w:t>Evaluator’s conclusions on safety</w:t>
      </w:r>
    </w:p>
    <w:p w14:paraId="0AAADC3B" w14:textId="6F30E017" w:rsidR="00195CF6" w:rsidRPr="00113BDB" w:rsidRDefault="00195CF6" w:rsidP="00195CF6">
      <w:pPr>
        <w:rPr>
          <w:lang w:eastAsia="ja-JP"/>
        </w:rPr>
      </w:pPr>
      <w:r w:rsidRPr="00113BDB">
        <w:rPr>
          <w:lang w:eastAsia="ja-JP"/>
        </w:rPr>
        <w:t>The important identified risks of IDeg Asp as noted in the PSUR/PBRER are hypoglycaemia and immunogenicity</w:t>
      </w:r>
      <w:r w:rsidR="00876EA9" w:rsidRPr="00113BDB">
        <w:rPr>
          <w:lang w:eastAsia="ja-JP"/>
        </w:rPr>
        <w:t xml:space="preserve"> </w:t>
      </w:r>
      <w:r w:rsidRPr="00113BDB">
        <w:rPr>
          <w:lang w:eastAsia="ja-JP"/>
        </w:rPr>
        <w:t xml:space="preserve">related events (allergic reactions). A safety concern </w:t>
      </w:r>
      <w:r w:rsidRPr="00113BDB">
        <w:rPr>
          <w:lang w:eastAsia="ja-JP"/>
        </w:rPr>
        <w:lastRenderedPageBreak/>
        <w:t xml:space="preserve">arising from the original </w:t>
      </w:r>
      <w:r w:rsidR="00A41590" w:rsidRPr="00113BDB">
        <w:rPr>
          <w:lang w:eastAsia="ja-JP"/>
        </w:rPr>
        <w:t xml:space="preserve">withdrawn </w:t>
      </w:r>
      <w:r w:rsidRPr="00113BDB">
        <w:rPr>
          <w:lang w:eastAsia="ja-JP"/>
        </w:rPr>
        <w:t xml:space="preserve">submission for IDegAsp related to </w:t>
      </w:r>
      <w:r w:rsidR="00A41590" w:rsidRPr="00113BDB">
        <w:rPr>
          <w:lang w:eastAsia="ja-JP"/>
        </w:rPr>
        <w:t>CV</w:t>
      </w:r>
      <w:r w:rsidRPr="00113BDB">
        <w:rPr>
          <w:lang w:eastAsia="ja-JP"/>
        </w:rPr>
        <w:t xml:space="preserve"> outcomes and a core component of the safety data submitted in this resubmission of IDegAsp was the </w:t>
      </w:r>
      <w:r w:rsidR="00A41590" w:rsidRPr="00113BDB">
        <w:rPr>
          <w:lang w:eastAsia="ja-JP"/>
        </w:rPr>
        <w:t>CV outcomes DEVOTE trial</w:t>
      </w:r>
      <w:r w:rsidRPr="00113BDB">
        <w:rPr>
          <w:lang w:eastAsia="ja-JP"/>
        </w:rPr>
        <w:t>. This trial was of robust design and the primar</w:t>
      </w:r>
      <w:r w:rsidR="00A41590" w:rsidRPr="00113BDB">
        <w:rPr>
          <w:lang w:eastAsia="ja-JP"/>
        </w:rPr>
        <w:t>y endpoint compari</w:t>
      </w:r>
      <w:r w:rsidR="00876EA9" w:rsidRPr="00113BDB">
        <w:rPr>
          <w:lang w:eastAsia="ja-JP"/>
        </w:rPr>
        <w:t>ng IDeg with insulin glargine (I</w:t>
      </w:r>
      <w:r w:rsidRPr="00113BDB">
        <w:rPr>
          <w:lang w:eastAsia="ja-JP"/>
        </w:rPr>
        <w:t>Glar</w:t>
      </w:r>
      <w:r w:rsidR="00A41590" w:rsidRPr="00113BDB">
        <w:rPr>
          <w:lang w:eastAsia="ja-JP"/>
        </w:rPr>
        <w:t>)</w:t>
      </w:r>
      <w:r w:rsidRPr="00113BDB">
        <w:rPr>
          <w:lang w:eastAsia="ja-JP"/>
        </w:rPr>
        <w:t xml:space="preserve"> was met for non-inferiority in an interim analysis; therefore the cardiovascular signal detected in the Phase III development program in the original submission was not supported. Nevertheless, it is noted that only interim results are presented and final results will provide stronger evidence. Further it is noted that DEVOTE</w:t>
      </w:r>
      <w:r w:rsidR="00A41590" w:rsidRPr="00113BDB">
        <w:rPr>
          <w:lang w:eastAsia="ja-JP"/>
        </w:rPr>
        <w:t xml:space="preserve"> trial</w:t>
      </w:r>
      <w:r w:rsidRPr="00113BDB">
        <w:rPr>
          <w:lang w:eastAsia="ja-JP"/>
        </w:rPr>
        <w:t xml:space="preserve"> does not provide data specific either to the T1DM population or pati</w:t>
      </w:r>
      <w:r w:rsidR="00A41590" w:rsidRPr="00113BDB">
        <w:rPr>
          <w:lang w:eastAsia="ja-JP"/>
        </w:rPr>
        <w:t>ents receiving IDegAsp.</w:t>
      </w:r>
    </w:p>
    <w:p w14:paraId="57CF8691" w14:textId="12961F7F" w:rsidR="00195CF6" w:rsidRPr="00113BDB" w:rsidRDefault="00195CF6" w:rsidP="00195CF6">
      <w:pPr>
        <w:rPr>
          <w:lang w:eastAsia="ja-JP"/>
        </w:rPr>
      </w:pPr>
      <w:r w:rsidRPr="00113BDB">
        <w:rPr>
          <w:lang w:eastAsia="ja-JP"/>
        </w:rPr>
        <w:t xml:space="preserve">New integrated safety data with </w:t>
      </w:r>
      <w:r w:rsidR="00F87754" w:rsidRPr="00113BDB">
        <w:rPr>
          <w:lang w:eastAsia="ja-JP"/>
        </w:rPr>
        <w:t>cut-off</w:t>
      </w:r>
      <w:r w:rsidRPr="00113BDB">
        <w:rPr>
          <w:lang w:eastAsia="ja-JP"/>
        </w:rPr>
        <w:t xml:space="preserve"> date of 30 September 2014 has been presented for IDegAsp in the current submission. This data has been compared in the submission documents to</w:t>
      </w:r>
      <w:r w:rsidR="00A41590" w:rsidRPr="00113BDB">
        <w:rPr>
          <w:lang w:eastAsia="ja-JP"/>
        </w:rPr>
        <w:t xml:space="preserve"> the Integrated Safety Summary with </w:t>
      </w:r>
      <w:r w:rsidR="00F87754" w:rsidRPr="00113BDB">
        <w:rPr>
          <w:lang w:eastAsia="ja-JP"/>
        </w:rPr>
        <w:t>cut-off</w:t>
      </w:r>
      <w:r w:rsidRPr="00113BDB">
        <w:rPr>
          <w:lang w:eastAsia="ja-JP"/>
        </w:rPr>
        <w:t xml:space="preserve"> of 31 January 2011 from the FDA dossier. The evaluator has assumed that this data is the same as that in the original Australian dossier.</w:t>
      </w:r>
    </w:p>
    <w:p w14:paraId="4F6A5F49" w14:textId="411DBBB0" w:rsidR="00195CF6" w:rsidRPr="00113BDB" w:rsidRDefault="00195CF6" w:rsidP="00195CF6">
      <w:pPr>
        <w:rPr>
          <w:lang w:eastAsia="ja-JP"/>
        </w:rPr>
      </w:pPr>
      <w:r w:rsidRPr="00113BDB">
        <w:rPr>
          <w:lang w:eastAsia="ja-JP"/>
        </w:rPr>
        <w:t xml:space="preserve">The updated dataset contained 10 new completed trials, of which 7 were Phase III trials, resulting in exposure of an additional 1100 subjects. There were no new Phase III data for T1DM (neither new nor ongoing patients). Of the Phase III trials relating to T2DM, </w:t>
      </w:r>
      <w:r w:rsidR="00A41590" w:rsidRPr="00113BDB">
        <w:rPr>
          <w:lang w:eastAsia="ja-JP"/>
        </w:rPr>
        <w:t>7</w:t>
      </w:r>
      <w:r w:rsidRPr="00113BDB">
        <w:rPr>
          <w:lang w:eastAsia="ja-JP"/>
        </w:rPr>
        <w:t xml:space="preserve"> were new trials and </w:t>
      </w:r>
      <w:r w:rsidR="00367E9C" w:rsidRPr="00113BDB">
        <w:rPr>
          <w:lang w:eastAsia="ja-JP"/>
        </w:rPr>
        <w:t xml:space="preserve">one </w:t>
      </w:r>
      <w:r w:rsidR="00A41590" w:rsidRPr="00113BDB">
        <w:rPr>
          <w:lang w:eastAsia="ja-JP"/>
        </w:rPr>
        <w:t>trial</w:t>
      </w:r>
      <w:r w:rsidRPr="00113BDB">
        <w:rPr>
          <w:lang w:eastAsia="ja-JP"/>
        </w:rPr>
        <w:t xml:space="preserve"> (a paediatric trial) was ongoing. In total, 3139 subjects have been exposed to IDegAsp in completed clinical trials as of 30 September 2014. It is noted that there were a variety of patient types included in this integrated dataset; subjects with T1DM and T2DM, and within the T2DM subset, subjects were either insulin naïve or insulin treated and received either a daily or twice daily dose. Similarly, the comparator group was an amalgamation of all comparators across a number of trials and patient populations. Therefore, as with all analyses of integrated data, data should be interpreted with some caution given that the population is a somewhat heterogeneous group. Nevertheless, this integrated data has the benefit of bringing together a large number of subjects who have received IDegAsp.</w:t>
      </w:r>
    </w:p>
    <w:p w14:paraId="3ED661F7" w14:textId="77777777" w:rsidR="00195CF6" w:rsidRPr="00113BDB" w:rsidRDefault="00195CF6" w:rsidP="00195CF6">
      <w:pPr>
        <w:rPr>
          <w:lang w:eastAsia="ja-JP"/>
        </w:rPr>
      </w:pPr>
      <w:r w:rsidRPr="00113BDB">
        <w:rPr>
          <w:lang w:eastAsia="ja-JP"/>
        </w:rPr>
        <w:t>Based on the updated data presented, there do not appear to be any new significant safety signals that have emerged since the previous submission in terms of integrated safety data. Hypoglycaemia related adverse events continue to be the most frequently occurring possibly or probably related to study drug adverse events, serious adverse events and adverse event (preferred term) leading to withdrawal on the IDegAsp arm. This is not surprising, given the therapeutic action of IDegAsp; prescriber and patient education is important to ensure appropriate use. In general, the rate of hypoglycaemic events tended to be relatively similar in the IDegAsp group compared to the comparator group although there were some exceptions:</w:t>
      </w:r>
    </w:p>
    <w:p w14:paraId="41791088" w14:textId="5DC4D687" w:rsidR="00195CF6" w:rsidRPr="00113BDB" w:rsidRDefault="00367E9C" w:rsidP="00195CF6">
      <w:pPr>
        <w:pStyle w:val="ListBullet"/>
        <w:numPr>
          <w:ilvl w:val="0"/>
          <w:numId w:val="3"/>
        </w:numPr>
        <w:rPr>
          <w:lang w:eastAsia="ja-JP"/>
        </w:rPr>
      </w:pPr>
      <w:r w:rsidRPr="00113BDB">
        <w:rPr>
          <w:lang w:eastAsia="ja-JP"/>
        </w:rPr>
        <w:t>preferred t</w:t>
      </w:r>
      <w:r w:rsidR="00195CF6" w:rsidRPr="00113BDB">
        <w:rPr>
          <w:lang w:eastAsia="ja-JP"/>
        </w:rPr>
        <w:t>erm of hypoglycaemia leading to withdrawal (although the rates are low, therefore the significance is unclear) was higher in the IDegAsp group.</w:t>
      </w:r>
    </w:p>
    <w:p w14:paraId="5C7BF60A" w14:textId="3BA14284" w:rsidR="00195CF6" w:rsidRPr="00113BDB" w:rsidRDefault="00F87754" w:rsidP="00195CF6">
      <w:pPr>
        <w:pStyle w:val="ListBullet"/>
        <w:numPr>
          <w:ilvl w:val="0"/>
          <w:numId w:val="3"/>
        </w:numPr>
        <w:rPr>
          <w:lang w:eastAsia="ja-JP"/>
        </w:rPr>
      </w:pPr>
      <w:r>
        <w:rPr>
          <w:lang w:eastAsia="ja-JP"/>
        </w:rPr>
        <w:t>i</w:t>
      </w:r>
      <w:r w:rsidR="00195CF6" w:rsidRPr="00113BDB">
        <w:rPr>
          <w:lang w:eastAsia="ja-JP"/>
        </w:rPr>
        <w:t>n terms of the specific hypoglycaemic analysis, confirmed hypoglycaemia episodes over 24 hours for T2DM insulin naïve, confirmed</w:t>
      </w:r>
      <w:r w:rsidR="00367E9C" w:rsidRPr="00113BDB">
        <w:rPr>
          <w:lang w:eastAsia="ja-JP"/>
        </w:rPr>
        <w:t xml:space="preserve"> hypoglycaemia episodes over 24 </w:t>
      </w:r>
      <w:r w:rsidR="00195CF6" w:rsidRPr="00113BDB">
        <w:rPr>
          <w:lang w:eastAsia="ja-JP"/>
        </w:rPr>
        <w:t>hours in insulin treated subjects and documented symptomatic hypoglycaemic episodes over 24 hours for T2DM insulin naïve subjects were al</w:t>
      </w:r>
      <w:r w:rsidR="00367E9C" w:rsidRPr="00113BDB">
        <w:rPr>
          <w:lang w:eastAsia="ja-JP"/>
        </w:rPr>
        <w:t xml:space="preserve">l higher in the IDegAsp group, </w:t>
      </w:r>
      <w:r w:rsidR="00195CF6" w:rsidRPr="00113BDB">
        <w:rPr>
          <w:lang w:eastAsia="ja-JP"/>
        </w:rPr>
        <w:t>all only in the group of subjects who received daily insulin.</w:t>
      </w:r>
    </w:p>
    <w:p w14:paraId="1A9AC629" w14:textId="77777777" w:rsidR="00195CF6" w:rsidRPr="00113BDB" w:rsidRDefault="00195CF6" w:rsidP="00195CF6">
      <w:pPr>
        <w:rPr>
          <w:lang w:eastAsia="ja-JP"/>
        </w:rPr>
      </w:pPr>
      <w:r w:rsidRPr="00113BDB">
        <w:rPr>
          <w:lang w:eastAsia="ja-JP"/>
        </w:rPr>
        <w:t>In terms of nocturnal confirmed hypoglycaemia, IDegAsp had lower rates compared to the comparator group in all disease and dosing subgroups.</w:t>
      </w:r>
    </w:p>
    <w:p w14:paraId="3EB0D548" w14:textId="607EE861" w:rsidR="00195CF6" w:rsidRPr="00113BDB" w:rsidRDefault="00195CF6" w:rsidP="00195CF6">
      <w:pPr>
        <w:rPr>
          <w:i/>
          <w:lang w:eastAsia="ja-JP"/>
        </w:rPr>
      </w:pPr>
      <w:r w:rsidRPr="00113BDB">
        <w:rPr>
          <w:lang w:eastAsia="ja-JP"/>
        </w:rPr>
        <w:t xml:space="preserve">Subset analyses for T2DM are reported, although the T1DM dataset has not been updated. Overall, the rates seen for </w:t>
      </w:r>
      <w:r w:rsidR="00367E9C" w:rsidRPr="00113BDB">
        <w:rPr>
          <w:lang w:eastAsia="ja-JP"/>
        </w:rPr>
        <w:t>adverse event</w:t>
      </w:r>
      <w:r w:rsidRPr="00113BDB">
        <w:rPr>
          <w:lang w:eastAsia="ja-JP"/>
        </w:rPr>
        <w:t xml:space="preserve">s, overall </w:t>
      </w:r>
      <w:r w:rsidR="00367E9C" w:rsidRPr="00113BDB">
        <w:rPr>
          <w:lang w:eastAsia="ja-JP"/>
        </w:rPr>
        <w:t>serious adverse events</w:t>
      </w:r>
      <w:r w:rsidRPr="00113BDB">
        <w:rPr>
          <w:lang w:eastAsia="ja-JP"/>
        </w:rPr>
        <w:t xml:space="preserve">, possibly/probably related </w:t>
      </w:r>
      <w:r w:rsidR="00367E9C" w:rsidRPr="00113BDB">
        <w:rPr>
          <w:lang w:eastAsia="ja-JP"/>
        </w:rPr>
        <w:t>serious adverse events</w:t>
      </w:r>
      <w:r w:rsidRPr="00113BDB">
        <w:rPr>
          <w:lang w:eastAsia="ja-JP"/>
        </w:rPr>
        <w:t xml:space="preserve"> and hypoglycaemic events were consistent with those seen in the overall population. It is noted that the proportion of subjects with the event of death was slightly higher on the T2DM IDegAsp arm compared </w:t>
      </w:r>
      <w:r w:rsidRPr="00113BDB">
        <w:rPr>
          <w:lang w:eastAsia="ja-JP"/>
        </w:rPr>
        <w:lastRenderedPageBreak/>
        <w:t>to the IDegAsp a</w:t>
      </w:r>
      <w:r w:rsidR="00367E9C" w:rsidRPr="00113BDB">
        <w:rPr>
          <w:lang w:eastAsia="ja-JP"/>
        </w:rPr>
        <w:t>rm in the overall population; t</w:t>
      </w:r>
      <w:r w:rsidRPr="00113BDB">
        <w:rPr>
          <w:lang w:eastAsia="ja-JP"/>
        </w:rPr>
        <w:t>his is because all of the deaths that have occurred in IDegAsp trials have occurred in the T2DM population.</w:t>
      </w:r>
    </w:p>
    <w:p w14:paraId="20F30273" w14:textId="77777777" w:rsidR="00195CF6" w:rsidRPr="00113BDB" w:rsidRDefault="00195CF6" w:rsidP="00195CF6">
      <w:pPr>
        <w:rPr>
          <w:i/>
          <w:lang w:eastAsia="ja-JP"/>
        </w:rPr>
      </w:pPr>
      <w:r w:rsidRPr="00113BDB">
        <w:rPr>
          <w:lang w:eastAsia="ja-JP"/>
        </w:rPr>
        <w:t>It is noted that in the updated data set, there is additional data with longer follow up (up to 52 weeks) than was available in the original submission. However, the proportion of subjects with T2DM in particular with data for 12 months remains limited and</w:t>
      </w:r>
      <w:r w:rsidRPr="00113BDB">
        <w:rPr>
          <w:i/>
          <w:lang w:eastAsia="ja-JP"/>
        </w:rPr>
        <w:t xml:space="preserve"> </w:t>
      </w:r>
      <w:r w:rsidRPr="00113BDB">
        <w:rPr>
          <w:lang w:eastAsia="ja-JP"/>
        </w:rPr>
        <w:t>the majority of these are in the comparator group, although the reason for this discrepancy is not clear. More specifically, there are very few insulin treated subjects with T2DM were followed up for 12 months or more. Long term data is of relevance given that the use of IDegAsp in this population is expected to be administered for years rather than months in this population and highlights the importance of post marketing monitoring.</w:t>
      </w:r>
    </w:p>
    <w:p w14:paraId="25B1C0B5" w14:textId="647F87FC" w:rsidR="00195CF6" w:rsidRPr="00113BDB" w:rsidRDefault="00195CF6" w:rsidP="00195CF6">
      <w:pPr>
        <w:rPr>
          <w:lang w:eastAsia="ja-JP"/>
        </w:rPr>
      </w:pPr>
      <w:r w:rsidRPr="00113BDB">
        <w:rPr>
          <w:lang w:eastAsia="ja-JP"/>
        </w:rPr>
        <w:t>A number of specific analyses made by the sponsor such as immunological, MACE and neoplastic related events have no</w:t>
      </w:r>
      <w:r w:rsidR="00367E9C" w:rsidRPr="00113BDB">
        <w:rPr>
          <w:lang w:eastAsia="ja-JP"/>
        </w:rPr>
        <w:t>t been discussed in detail the clinical evaluation report for this submission</w:t>
      </w:r>
      <w:r w:rsidRPr="00113BDB">
        <w:rPr>
          <w:lang w:eastAsia="ja-JP"/>
        </w:rPr>
        <w:t xml:space="preserve"> as only pooled data (IDegAsp + IDeg) was presented and this is presented in </w:t>
      </w:r>
      <w:r w:rsidR="00367E9C" w:rsidRPr="00113BDB">
        <w:rPr>
          <w:lang w:eastAsia="ja-JP"/>
        </w:rPr>
        <w:t xml:space="preserve">the IDeg </w:t>
      </w:r>
      <w:r w:rsidRPr="00113BDB">
        <w:rPr>
          <w:lang w:eastAsia="ja-JP"/>
        </w:rPr>
        <w:t>clinical evaluation report</w:t>
      </w:r>
      <w:r w:rsidR="00367E9C" w:rsidRPr="00113BDB">
        <w:rPr>
          <w:lang w:eastAsia="ja-JP"/>
        </w:rPr>
        <w:t xml:space="preserve"> [see Attachment 2 for Tresiba]</w:t>
      </w:r>
      <w:r w:rsidRPr="00113BDB">
        <w:rPr>
          <w:lang w:eastAsia="ja-JP"/>
        </w:rPr>
        <w:t>.</w:t>
      </w:r>
      <w:r w:rsidR="00367E9C" w:rsidRPr="00113BDB">
        <w:rPr>
          <w:vertAlign w:val="superscript"/>
          <w:lang w:eastAsia="ja-JP"/>
        </w:rPr>
        <w:fldChar w:fldCharType="begin"/>
      </w:r>
      <w:r w:rsidR="00367E9C" w:rsidRPr="00113BDB">
        <w:rPr>
          <w:vertAlign w:val="superscript"/>
          <w:lang w:eastAsia="ja-JP"/>
        </w:rPr>
        <w:instrText xml:space="preserve"> NOTEREF _Ref511237953 \h </w:instrText>
      </w:r>
      <w:r w:rsidR="00367E9C" w:rsidRPr="00113BDB">
        <w:rPr>
          <w:vertAlign w:val="superscript"/>
          <w:lang w:eastAsia="ja-JP"/>
        </w:rPr>
      </w:r>
      <w:r w:rsidR="00367E9C" w:rsidRPr="00113BDB">
        <w:rPr>
          <w:vertAlign w:val="superscript"/>
          <w:lang w:eastAsia="ja-JP"/>
        </w:rPr>
        <w:fldChar w:fldCharType="separate"/>
      </w:r>
      <w:r w:rsidR="00EA37BD">
        <w:rPr>
          <w:vertAlign w:val="superscript"/>
          <w:lang w:eastAsia="ja-JP"/>
        </w:rPr>
        <w:t>4</w:t>
      </w:r>
      <w:r w:rsidR="00367E9C" w:rsidRPr="00113BDB">
        <w:rPr>
          <w:vertAlign w:val="superscript"/>
          <w:lang w:eastAsia="ja-JP"/>
        </w:rPr>
        <w:fldChar w:fldCharType="end"/>
      </w:r>
      <w:r w:rsidRPr="00113BDB">
        <w:rPr>
          <w:lang w:eastAsia="ja-JP"/>
        </w:rPr>
        <w:t xml:space="preserve"> Although reference was made to IDegAsp only data for MACE and neoplastic events, no data for IDegAsp relating to immunological events was presented for review.</w:t>
      </w:r>
    </w:p>
    <w:p w14:paraId="2F3AABCF" w14:textId="169D3685" w:rsidR="00195CF6" w:rsidRPr="00113BDB" w:rsidRDefault="00367E9C" w:rsidP="00195CF6">
      <w:pPr>
        <w:rPr>
          <w:lang w:eastAsia="ja-JP"/>
        </w:rPr>
      </w:pPr>
      <w:r w:rsidRPr="00113BDB">
        <w:rPr>
          <w:lang w:eastAsia="ja-JP"/>
        </w:rPr>
        <w:t>Post</w:t>
      </w:r>
      <w:r w:rsidR="00195CF6" w:rsidRPr="00113BDB">
        <w:rPr>
          <w:lang w:eastAsia="ja-JP"/>
        </w:rPr>
        <w:t>marketing experience is somewhat limited; the majority of the cumulative post marketing reports have been submitted in the year of the PSUR report. The paediatric study is noted and would be of interest for Australia in view of the relatively high prevalence of T1DM in children. It is also noted that there are two ongoing safety signal evaluations as detailed in the PSUR:</w:t>
      </w:r>
    </w:p>
    <w:p w14:paraId="78DDE5AF" w14:textId="06B83CEA" w:rsidR="00195CF6" w:rsidRPr="00113BDB" w:rsidRDefault="00195CF6" w:rsidP="00195CF6">
      <w:pPr>
        <w:pStyle w:val="Numberbullet0"/>
        <w:numPr>
          <w:ilvl w:val="0"/>
          <w:numId w:val="26"/>
        </w:numPr>
        <w:rPr>
          <w:lang w:eastAsia="ja-JP"/>
        </w:rPr>
      </w:pPr>
      <w:r w:rsidRPr="00113BDB">
        <w:rPr>
          <w:lang w:eastAsia="ja-JP"/>
        </w:rPr>
        <w:t xml:space="preserve">Neoplasms/colon cancer: </w:t>
      </w:r>
      <w:r w:rsidR="00367E9C" w:rsidRPr="00113BDB">
        <w:rPr>
          <w:lang w:eastAsia="ja-JP"/>
        </w:rPr>
        <w:t xml:space="preserve">See Attachment 2 for </w:t>
      </w:r>
      <w:r w:rsidR="00876EA9" w:rsidRPr="00113BDB">
        <w:rPr>
          <w:lang w:eastAsia="ja-JP"/>
        </w:rPr>
        <w:t xml:space="preserve">the </w:t>
      </w:r>
      <w:r w:rsidR="00367E9C" w:rsidRPr="00113BDB">
        <w:rPr>
          <w:lang w:eastAsia="ja-JP"/>
        </w:rPr>
        <w:t>Tresiba</w:t>
      </w:r>
      <w:r w:rsidR="00876EA9" w:rsidRPr="00113BDB">
        <w:rPr>
          <w:lang w:eastAsia="ja-JP"/>
        </w:rPr>
        <w:t xml:space="preserve"> submission</w:t>
      </w:r>
      <w:r w:rsidR="00367E9C" w:rsidRPr="00113BDB">
        <w:rPr>
          <w:lang w:eastAsia="ja-JP"/>
        </w:rPr>
        <w:t xml:space="preserve"> </w:t>
      </w:r>
      <w:r w:rsidRPr="00113BDB">
        <w:rPr>
          <w:lang w:eastAsia="ja-JP"/>
        </w:rPr>
        <w:t>for specific discussion relating to pooled data.</w:t>
      </w:r>
      <w:r w:rsidR="00566F14" w:rsidRPr="00113BDB">
        <w:rPr>
          <w:vertAlign w:val="superscript"/>
          <w:lang w:eastAsia="ja-JP"/>
        </w:rPr>
        <w:fldChar w:fldCharType="begin"/>
      </w:r>
      <w:r w:rsidR="00566F14" w:rsidRPr="00113BDB">
        <w:rPr>
          <w:vertAlign w:val="superscript"/>
          <w:lang w:eastAsia="ja-JP"/>
        </w:rPr>
        <w:instrText xml:space="preserve"> NOTEREF _Ref511237953 \h  \* MERGEFORMAT </w:instrText>
      </w:r>
      <w:r w:rsidR="00566F14" w:rsidRPr="00113BDB">
        <w:rPr>
          <w:vertAlign w:val="superscript"/>
          <w:lang w:eastAsia="ja-JP"/>
        </w:rPr>
      </w:r>
      <w:r w:rsidR="00566F14" w:rsidRPr="00113BDB">
        <w:rPr>
          <w:vertAlign w:val="superscript"/>
          <w:lang w:eastAsia="ja-JP"/>
        </w:rPr>
        <w:fldChar w:fldCharType="separate"/>
      </w:r>
      <w:r w:rsidR="00EA37BD">
        <w:rPr>
          <w:vertAlign w:val="superscript"/>
          <w:lang w:eastAsia="ja-JP"/>
        </w:rPr>
        <w:t>4</w:t>
      </w:r>
      <w:r w:rsidR="00566F14" w:rsidRPr="00113BDB">
        <w:rPr>
          <w:vertAlign w:val="superscript"/>
          <w:lang w:eastAsia="ja-JP"/>
        </w:rPr>
        <w:fldChar w:fldCharType="end"/>
      </w:r>
      <w:r w:rsidRPr="00113BDB">
        <w:rPr>
          <w:lang w:eastAsia="ja-JP"/>
        </w:rPr>
        <w:t xml:space="preserve"> Ongoing monitoring should be maintained.</w:t>
      </w:r>
    </w:p>
    <w:p w14:paraId="73C16155" w14:textId="7BE8E82E" w:rsidR="00195CF6" w:rsidRPr="00113BDB" w:rsidRDefault="00195CF6" w:rsidP="00195CF6">
      <w:pPr>
        <w:pStyle w:val="Numberbullet0"/>
        <w:numPr>
          <w:ilvl w:val="0"/>
          <w:numId w:val="25"/>
        </w:numPr>
        <w:rPr>
          <w:lang w:eastAsia="ja-JP"/>
        </w:rPr>
      </w:pPr>
      <w:r w:rsidRPr="00113BDB">
        <w:rPr>
          <w:lang w:eastAsia="ja-JP"/>
        </w:rPr>
        <w:t>C</w:t>
      </w:r>
      <w:r w:rsidR="00566F14" w:rsidRPr="00113BDB">
        <w:rPr>
          <w:lang w:eastAsia="ja-JP"/>
        </w:rPr>
        <w:t>V</w:t>
      </w:r>
      <w:r w:rsidRPr="00113BDB">
        <w:rPr>
          <w:lang w:eastAsia="ja-JP"/>
        </w:rPr>
        <w:t xml:space="preserve"> events: as previously discussed.</w:t>
      </w:r>
    </w:p>
    <w:p w14:paraId="23941287" w14:textId="4B5A0FD7" w:rsidR="00605AD4" w:rsidRPr="00113BDB" w:rsidRDefault="00195CF6" w:rsidP="00605AD4">
      <w:pPr>
        <w:rPr>
          <w:lang w:eastAsia="ja-JP"/>
        </w:rPr>
      </w:pPr>
      <w:r w:rsidRPr="00113BDB">
        <w:rPr>
          <w:lang w:eastAsia="ja-JP"/>
        </w:rPr>
        <w:t>It has also been noted that medication errors due to a mix up with IDegAsp and bolus insulin is an Important potential risk, however several related cases have been reported, especially in the T2DM population.</w:t>
      </w:r>
    </w:p>
    <w:p w14:paraId="02978C27" w14:textId="77777777" w:rsidR="00605AD4" w:rsidRPr="00113BDB" w:rsidRDefault="00605AD4" w:rsidP="00605AD4">
      <w:pPr>
        <w:pStyle w:val="Heading3"/>
        <w:rPr>
          <w:rFonts w:eastAsia="Cambria"/>
        </w:rPr>
      </w:pPr>
      <w:bookmarkStart w:id="114" w:name="_Toc517697988"/>
      <w:r w:rsidRPr="00113BDB">
        <w:rPr>
          <w:rFonts w:eastAsia="Cambria"/>
        </w:rPr>
        <w:t>First Round Benefit-Risk Assessment</w:t>
      </w:r>
      <w:bookmarkEnd w:id="114"/>
    </w:p>
    <w:p w14:paraId="0AE8761C" w14:textId="77777777" w:rsidR="00605AD4" w:rsidRPr="00113BDB" w:rsidRDefault="00605AD4" w:rsidP="00605AD4">
      <w:pPr>
        <w:pStyle w:val="Heading4"/>
      </w:pPr>
      <w:r w:rsidRPr="00113BDB">
        <w:t>First round assessment of benefits</w:t>
      </w:r>
    </w:p>
    <w:p w14:paraId="292772D7" w14:textId="621B9E6B" w:rsidR="00195CF6" w:rsidRPr="00113BDB" w:rsidRDefault="00566F14" w:rsidP="00195CF6">
      <w:pPr>
        <w:rPr>
          <w:lang w:eastAsia="ja-JP"/>
        </w:rPr>
      </w:pPr>
      <w:r w:rsidRPr="00113BDB">
        <w:rPr>
          <w:lang w:eastAsia="ja-JP"/>
        </w:rPr>
        <w:t xml:space="preserve">Table </w:t>
      </w:r>
      <w:r w:rsidR="00825A1E">
        <w:rPr>
          <w:lang w:eastAsia="ja-JP"/>
        </w:rPr>
        <w:t>9</w:t>
      </w:r>
      <w:r w:rsidRPr="00113BDB">
        <w:rPr>
          <w:lang w:eastAsia="ja-JP"/>
        </w:rPr>
        <w:t xml:space="preserve"> (below)</w:t>
      </w:r>
      <w:r w:rsidR="00195CF6" w:rsidRPr="00113BDB">
        <w:rPr>
          <w:lang w:eastAsia="ja-JP"/>
        </w:rPr>
        <w:t xml:space="preserve"> summarises the assessment of benefits at the first round.</w:t>
      </w:r>
    </w:p>
    <w:p w14:paraId="696D646A" w14:textId="0C1F98F0" w:rsidR="00195CF6" w:rsidRPr="00113BDB" w:rsidRDefault="00195CF6" w:rsidP="00566F14">
      <w:pPr>
        <w:pStyle w:val="Tabletitle0"/>
        <w:rPr>
          <w:lang w:eastAsia="ja-JP"/>
        </w:rPr>
      </w:pPr>
      <w:bookmarkStart w:id="115" w:name="_Toc487195085"/>
      <w:r w:rsidRPr="00113BDB">
        <w:rPr>
          <w:lang w:eastAsia="ja-JP"/>
        </w:rPr>
        <w:t xml:space="preserve">Table </w:t>
      </w:r>
      <w:r w:rsidR="00825A1E">
        <w:rPr>
          <w:lang w:eastAsia="ja-JP"/>
        </w:rPr>
        <w:t>9</w:t>
      </w:r>
      <w:r w:rsidRPr="00113BDB">
        <w:rPr>
          <w:lang w:eastAsia="ja-JP"/>
        </w:rPr>
        <w:t>. First round assessment of benefits</w:t>
      </w:r>
      <w:bookmarkEnd w:id="115"/>
    </w:p>
    <w:tbl>
      <w:tblPr>
        <w:tblStyle w:val="TableTGAblue"/>
        <w:tblW w:w="9198" w:type="dxa"/>
        <w:tblLook w:val="04A0" w:firstRow="1" w:lastRow="0" w:firstColumn="1" w:lastColumn="0" w:noHBand="0" w:noVBand="1"/>
        <w:tblDescription w:val="Table 9. First round assessment of benefits"/>
      </w:tblPr>
      <w:tblGrid>
        <w:gridCol w:w="4695"/>
        <w:gridCol w:w="4503"/>
      </w:tblGrid>
      <w:tr w:rsidR="00191B19" w:rsidRPr="00113BDB" w14:paraId="630157A8" w14:textId="77777777" w:rsidTr="00191B19">
        <w:trPr>
          <w:cnfStyle w:val="100000000000" w:firstRow="1" w:lastRow="0" w:firstColumn="0" w:lastColumn="0" w:oddVBand="0" w:evenVBand="0" w:oddHBand="0" w:evenHBand="0" w:firstRowFirstColumn="0" w:firstRowLastColumn="0" w:lastRowFirstColumn="0" w:lastRowLastColumn="0"/>
        </w:trPr>
        <w:tc>
          <w:tcPr>
            <w:tcW w:w="4695" w:type="dxa"/>
          </w:tcPr>
          <w:p w14:paraId="24B22D32" w14:textId="77777777" w:rsidR="00195CF6" w:rsidRPr="00113BDB" w:rsidRDefault="00195CF6" w:rsidP="004A4740">
            <w:r w:rsidRPr="00113BDB">
              <w:t>Benefits</w:t>
            </w:r>
          </w:p>
        </w:tc>
        <w:tc>
          <w:tcPr>
            <w:tcW w:w="4503" w:type="dxa"/>
          </w:tcPr>
          <w:p w14:paraId="627CA636" w14:textId="77777777" w:rsidR="00195CF6" w:rsidRPr="00113BDB" w:rsidRDefault="00195CF6" w:rsidP="004A4740">
            <w:r w:rsidRPr="00113BDB">
              <w:t>Uncertainties</w:t>
            </w:r>
          </w:p>
        </w:tc>
      </w:tr>
      <w:tr w:rsidR="00191B19" w:rsidRPr="00113BDB" w14:paraId="317F1261" w14:textId="77777777" w:rsidTr="00191B19">
        <w:tc>
          <w:tcPr>
            <w:tcW w:w="4695" w:type="dxa"/>
          </w:tcPr>
          <w:p w14:paraId="458CB367" w14:textId="4588B8A8" w:rsidR="00195CF6" w:rsidRPr="00113BDB" w:rsidRDefault="00195CF6" w:rsidP="004A4740">
            <w:pPr>
              <w:ind w:left="0"/>
              <w:rPr>
                <w:sz w:val="21"/>
              </w:rPr>
            </w:pPr>
            <w:r w:rsidRPr="00113BDB">
              <w:rPr>
                <w:sz w:val="21"/>
              </w:rPr>
              <w:t>Overall, non-inferior efficacy for glycaemic control compared to IDet, IGlar and BIAsp30</w:t>
            </w:r>
            <w:r w:rsidR="00566F14" w:rsidRPr="00113BDB">
              <w:rPr>
                <w:sz w:val="21"/>
              </w:rPr>
              <w:t>.</w:t>
            </w:r>
          </w:p>
        </w:tc>
        <w:tc>
          <w:tcPr>
            <w:tcW w:w="4503" w:type="dxa"/>
          </w:tcPr>
          <w:p w14:paraId="41CB5B6C" w14:textId="47554295" w:rsidR="00195CF6" w:rsidRPr="00113BDB" w:rsidRDefault="00195CF6" w:rsidP="00191B19">
            <w:pPr>
              <w:ind w:left="0"/>
              <w:rPr>
                <w:sz w:val="21"/>
              </w:rPr>
            </w:pPr>
            <w:r w:rsidRPr="00113BDB">
              <w:rPr>
                <w:sz w:val="21"/>
              </w:rPr>
              <w:t xml:space="preserve">The recommended dosing algorithm based on </w:t>
            </w:r>
            <w:r w:rsidR="00191B19" w:rsidRPr="00113BDB">
              <w:rPr>
                <w:sz w:val="21"/>
              </w:rPr>
              <w:t>fasting plasma glucose</w:t>
            </w:r>
            <w:r w:rsidRPr="00113BDB">
              <w:rPr>
                <w:sz w:val="21"/>
              </w:rPr>
              <w:t xml:space="preserve"> only ignores the impact of the aspart component on post prandial </w:t>
            </w:r>
            <w:r w:rsidR="00191B19" w:rsidRPr="00113BDB">
              <w:rPr>
                <w:sz w:val="21"/>
              </w:rPr>
              <w:t>blood glucose level</w:t>
            </w:r>
            <w:r w:rsidRPr="00113BDB">
              <w:rPr>
                <w:sz w:val="21"/>
              </w:rPr>
              <w:t xml:space="preserve">s. Although </w:t>
            </w:r>
            <w:r w:rsidR="00191B19" w:rsidRPr="00113BDB">
              <w:rPr>
                <w:sz w:val="21"/>
              </w:rPr>
              <w:t>fasting plasma glucose</w:t>
            </w:r>
            <w:r w:rsidRPr="00113BDB">
              <w:rPr>
                <w:sz w:val="21"/>
              </w:rPr>
              <w:t xml:space="preserve"> is the most important parameter, dosing considerations for the prandial component should also be considered.</w:t>
            </w:r>
          </w:p>
        </w:tc>
      </w:tr>
      <w:tr w:rsidR="00191B19" w:rsidRPr="00113BDB" w14:paraId="5978BCA2" w14:textId="77777777" w:rsidTr="00191B19">
        <w:trPr>
          <w:cantSplit/>
        </w:trPr>
        <w:tc>
          <w:tcPr>
            <w:tcW w:w="4695" w:type="dxa"/>
          </w:tcPr>
          <w:p w14:paraId="72F0EC66" w14:textId="77777777" w:rsidR="00195CF6" w:rsidRPr="00113BDB" w:rsidRDefault="00195CF6" w:rsidP="004A4740">
            <w:pPr>
              <w:ind w:left="0"/>
              <w:rPr>
                <w:sz w:val="21"/>
              </w:rPr>
            </w:pPr>
            <w:r w:rsidRPr="00113BDB">
              <w:rPr>
                <w:sz w:val="21"/>
              </w:rPr>
              <w:lastRenderedPageBreak/>
              <w:t>The sponsor has proposed flexible dosing as a benefit. Although the glycaemic control in a clinical trial setting is similar for such a dosing regimen, the ability to extrapolate this to real life setting is unknown (see also risks).</w:t>
            </w:r>
          </w:p>
        </w:tc>
        <w:tc>
          <w:tcPr>
            <w:tcW w:w="4503" w:type="dxa"/>
          </w:tcPr>
          <w:p w14:paraId="1FAA0B1B" w14:textId="77777777" w:rsidR="00195CF6" w:rsidRPr="00113BDB" w:rsidRDefault="00195CF6" w:rsidP="004A4740">
            <w:pPr>
              <w:ind w:left="0"/>
              <w:rPr>
                <w:sz w:val="21"/>
              </w:rPr>
            </w:pPr>
            <w:r w:rsidRPr="00113BDB">
              <w:rPr>
                <w:sz w:val="21"/>
              </w:rPr>
              <w:t xml:space="preserve">Flexible dosing has potential to be of benefit if a dose is forgotten. </w:t>
            </w:r>
          </w:p>
        </w:tc>
      </w:tr>
      <w:tr w:rsidR="00191B19" w:rsidRPr="00113BDB" w14:paraId="63CE1690" w14:textId="77777777" w:rsidTr="00191B19">
        <w:tc>
          <w:tcPr>
            <w:tcW w:w="4695" w:type="dxa"/>
          </w:tcPr>
          <w:p w14:paraId="07E98B0A" w14:textId="77777777" w:rsidR="00195CF6" w:rsidRPr="00113BDB" w:rsidRDefault="00195CF6" w:rsidP="004A4740">
            <w:pPr>
              <w:ind w:left="0"/>
              <w:rPr>
                <w:sz w:val="21"/>
              </w:rPr>
            </w:pPr>
            <w:r w:rsidRPr="00113BDB">
              <w:rPr>
                <w:sz w:val="21"/>
              </w:rPr>
              <w:t xml:space="preserve">Rate of nocturnal hypoglycaemia generally lower compared to comparators </w:t>
            </w:r>
          </w:p>
        </w:tc>
        <w:tc>
          <w:tcPr>
            <w:tcW w:w="4503" w:type="dxa"/>
          </w:tcPr>
          <w:p w14:paraId="2587BF99" w14:textId="77777777" w:rsidR="00195CF6" w:rsidRPr="00113BDB" w:rsidRDefault="00195CF6" w:rsidP="004A4740">
            <w:pPr>
              <w:ind w:left="0"/>
              <w:rPr>
                <w:sz w:val="21"/>
              </w:rPr>
            </w:pPr>
          </w:p>
        </w:tc>
      </w:tr>
      <w:tr w:rsidR="00191B19" w:rsidRPr="00113BDB" w14:paraId="775D69F9" w14:textId="77777777" w:rsidTr="00191B19">
        <w:tc>
          <w:tcPr>
            <w:tcW w:w="4695" w:type="dxa"/>
          </w:tcPr>
          <w:p w14:paraId="7444852D" w14:textId="042C5AEC" w:rsidR="00195CF6" w:rsidRPr="00113BDB" w:rsidRDefault="00191B19" w:rsidP="004A4740">
            <w:pPr>
              <w:ind w:left="0"/>
              <w:rPr>
                <w:sz w:val="21"/>
              </w:rPr>
            </w:pPr>
            <w:r w:rsidRPr="00113BDB">
              <w:rPr>
                <w:sz w:val="21"/>
              </w:rPr>
              <w:t>Interim analysis of the DEVOTE</w:t>
            </w:r>
            <w:r w:rsidR="00195CF6" w:rsidRPr="00113BDB">
              <w:rPr>
                <w:sz w:val="21"/>
              </w:rPr>
              <w:t xml:space="preserve"> trial provided supportive evidence for non-inferiority of CV endpoints</w:t>
            </w:r>
          </w:p>
        </w:tc>
        <w:tc>
          <w:tcPr>
            <w:tcW w:w="4503" w:type="dxa"/>
          </w:tcPr>
          <w:p w14:paraId="03B5FAA6" w14:textId="77777777" w:rsidR="00195CF6" w:rsidRPr="00113BDB" w:rsidRDefault="00195CF6" w:rsidP="004A4740">
            <w:pPr>
              <w:ind w:left="0"/>
              <w:rPr>
                <w:sz w:val="21"/>
              </w:rPr>
            </w:pPr>
          </w:p>
        </w:tc>
      </w:tr>
    </w:tbl>
    <w:p w14:paraId="1307BDA9" w14:textId="77777777" w:rsidR="00605AD4" w:rsidRPr="00113BDB" w:rsidRDefault="00605AD4" w:rsidP="00605AD4">
      <w:pPr>
        <w:pStyle w:val="Heading4"/>
      </w:pPr>
      <w:r w:rsidRPr="00113BDB">
        <w:t>First round assessment of risks</w:t>
      </w:r>
    </w:p>
    <w:p w14:paraId="1E267CA6" w14:textId="02C67BD8" w:rsidR="00566F14" w:rsidRPr="00113BDB" w:rsidRDefault="00825A1E" w:rsidP="00566F14">
      <w:pPr>
        <w:rPr>
          <w:lang w:eastAsia="ja-JP"/>
        </w:rPr>
      </w:pPr>
      <w:r>
        <w:rPr>
          <w:lang w:eastAsia="ja-JP"/>
        </w:rPr>
        <w:t>Table 10</w:t>
      </w:r>
      <w:r w:rsidR="00191B19" w:rsidRPr="00113BDB">
        <w:rPr>
          <w:lang w:eastAsia="ja-JP"/>
        </w:rPr>
        <w:t xml:space="preserve"> (below) summarises the assessment of benefits at the first round.</w:t>
      </w:r>
    </w:p>
    <w:p w14:paraId="0BF4F299" w14:textId="27B8CA36" w:rsidR="00191B19" w:rsidRPr="00113BDB" w:rsidRDefault="00191B19" w:rsidP="00191B19">
      <w:pPr>
        <w:pStyle w:val="Tabletitle0"/>
        <w:rPr>
          <w:lang w:eastAsia="ja-JP"/>
        </w:rPr>
      </w:pPr>
      <w:r w:rsidRPr="00113BDB">
        <w:rPr>
          <w:lang w:eastAsia="ja-JP"/>
        </w:rPr>
        <w:t xml:space="preserve">Table </w:t>
      </w:r>
      <w:r w:rsidR="00825A1E">
        <w:rPr>
          <w:lang w:eastAsia="ja-JP"/>
        </w:rPr>
        <w:t>10</w:t>
      </w:r>
      <w:r w:rsidRPr="00113BDB">
        <w:rPr>
          <w:lang w:eastAsia="ja-JP"/>
        </w:rPr>
        <w:t>. First round assessment of risks</w:t>
      </w:r>
    </w:p>
    <w:tbl>
      <w:tblPr>
        <w:tblStyle w:val="TableTGAblue"/>
        <w:tblW w:w="9198" w:type="dxa"/>
        <w:tblLook w:val="04A0" w:firstRow="1" w:lastRow="0" w:firstColumn="1" w:lastColumn="0" w:noHBand="0" w:noVBand="1"/>
        <w:tblDescription w:val="Table 10. First round assessment of risks"/>
      </w:tblPr>
      <w:tblGrid>
        <w:gridCol w:w="4698"/>
        <w:gridCol w:w="4500"/>
      </w:tblGrid>
      <w:tr w:rsidR="00195CF6" w:rsidRPr="00113BDB" w14:paraId="47D977E2" w14:textId="77777777" w:rsidTr="004A4740">
        <w:trPr>
          <w:cnfStyle w:val="100000000000" w:firstRow="1" w:lastRow="0" w:firstColumn="0" w:lastColumn="0" w:oddVBand="0" w:evenVBand="0" w:oddHBand="0" w:evenHBand="0" w:firstRowFirstColumn="0" w:firstRowLastColumn="0" w:lastRowFirstColumn="0" w:lastRowLastColumn="0"/>
          <w:cantSplit/>
        </w:trPr>
        <w:tc>
          <w:tcPr>
            <w:tcW w:w="4698" w:type="dxa"/>
          </w:tcPr>
          <w:p w14:paraId="319D88FF" w14:textId="77777777" w:rsidR="00195CF6" w:rsidRPr="00113BDB" w:rsidRDefault="00195CF6" w:rsidP="004A4740">
            <w:pPr>
              <w:rPr>
                <w:szCs w:val="22"/>
                <w:lang w:eastAsia="ja-JP"/>
              </w:rPr>
            </w:pPr>
            <w:r w:rsidRPr="00113BDB">
              <w:rPr>
                <w:szCs w:val="22"/>
                <w:lang w:eastAsia="ja-JP"/>
              </w:rPr>
              <w:t>Risks</w:t>
            </w:r>
          </w:p>
        </w:tc>
        <w:tc>
          <w:tcPr>
            <w:tcW w:w="4500" w:type="dxa"/>
          </w:tcPr>
          <w:p w14:paraId="039D6287" w14:textId="77777777" w:rsidR="00195CF6" w:rsidRPr="00113BDB" w:rsidRDefault="00195CF6" w:rsidP="004A4740">
            <w:pPr>
              <w:rPr>
                <w:szCs w:val="22"/>
                <w:lang w:eastAsia="ja-JP"/>
              </w:rPr>
            </w:pPr>
            <w:r w:rsidRPr="00113BDB">
              <w:rPr>
                <w:szCs w:val="22"/>
                <w:lang w:eastAsia="ja-JP"/>
              </w:rPr>
              <w:t>Uncertainties</w:t>
            </w:r>
          </w:p>
        </w:tc>
      </w:tr>
      <w:tr w:rsidR="00195CF6" w:rsidRPr="00113BDB" w14:paraId="5A82623B" w14:textId="77777777" w:rsidTr="004A4740">
        <w:trPr>
          <w:cantSplit/>
        </w:trPr>
        <w:tc>
          <w:tcPr>
            <w:tcW w:w="4698" w:type="dxa"/>
          </w:tcPr>
          <w:p w14:paraId="7CD904B2" w14:textId="77777777" w:rsidR="00195CF6" w:rsidRPr="00113BDB" w:rsidRDefault="00195CF6" w:rsidP="004A4740">
            <w:pPr>
              <w:ind w:left="0"/>
              <w:rPr>
                <w:sz w:val="21"/>
                <w:szCs w:val="22"/>
                <w:lang w:eastAsia="ja-JP"/>
              </w:rPr>
            </w:pPr>
            <w:r w:rsidRPr="00113BDB">
              <w:rPr>
                <w:sz w:val="21"/>
                <w:szCs w:val="22"/>
                <w:lang w:eastAsia="ja-JP"/>
              </w:rPr>
              <w:t>Hypoglycaemia: Hypoglycaemia, and events related to hypoglycaemia, commonly occurred with the use of IDegAsp in the clinical trials. It is recognised that hypoglycaemia is an inherent risk associated with all insulins, however due to the ‘ultra long’ action, the period following a single dose in which hypoglycaemia may occur is longer than other insulins.</w:t>
            </w:r>
          </w:p>
          <w:p w14:paraId="2C961A93" w14:textId="77777777" w:rsidR="00195CF6" w:rsidRPr="00113BDB" w:rsidRDefault="00195CF6" w:rsidP="004A4740">
            <w:pPr>
              <w:ind w:left="0"/>
              <w:rPr>
                <w:sz w:val="21"/>
                <w:szCs w:val="22"/>
                <w:lang w:eastAsia="ja-JP"/>
              </w:rPr>
            </w:pPr>
            <w:r w:rsidRPr="00113BDB">
              <w:rPr>
                <w:sz w:val="21"/>
                <w:szCs w:val="22"/>
                <w:lang w:eastAsia="ja-JP"/>
              </w:rPr>
              <w:t>However, it is also acknowledged that the aetiology of hypoglycaemia is multifactorial and the type of insulin used is only one important component. Thus education of prescribers and patients again will play an important part in mitigating this risk.</w:t>
            </w:r>
          </w:p>
        </w:tc>
        <w:tc>
          <w:tcPr>
            <w:tcW w:w="4500" w:type="dxa"/>
          </w:tcPr>
          <w:p w14:paraId="15864143" w14:textId="77777777" w:rsidR="00195CF6" w:rsidRPr="00113BDB" w:rsidRDefault="00195CF6" w:rsidP="004A4740">
            <w:pPr>
              <w:ind w:left="0"/>
              <w:rPr>
                <w:sz w:val="21"/>
                <w:szCs w:val="22"/>
                <w:lang w:eastAsia="ja-JP"/>
              </w:rPr>
            </w:pPr>
          </w:p>
        </w:tc>
      </w:tr>
      <w:tr w:rsidR="00195CF6" w:rsidRPr="00113BDB" w14:paraId="621DD3DB" w14:textId="77777777" w:rsidTr="004A4740">
        <w:trPr>
          <w:cantSplit/>
        </w:trPr>
        <w:tc>
          <w:tcPr>
            <w:tcW w:w="4698" w:type="dxa"/>
          </w:tcPr>
          <w:p w14:paraId="56FF68CB" w14:textId="77777777" w:rsidR="00195CF6" w:rsidRPr="00113BDB" w:rsidRDefault="00195CF6" w:rsidP="004A4740">
            <w:pPr>
              <w:ind w:left="0"/>
              <w:rPr>
                <w:sz w:val="21"/>
                <w:szCs w:val="22"/>
                <w:lang w:eastAsia="ja-JP"/>
              </w:rPr>
            </w:pPr>
            <w:r w:rsidRPr="00113BDB">
              <w:rPr>
                <w:sz w:val="21"/>
                <w:szCs w:val="22"/>
                <w:lang w:eastAsia="ja-JP"/>
              </w:rPr>
              <w:t xml:space="preserve">Exclusion of some oral anti-diabetic drugs in Phase III trials </w:t>
            </w:r>
          </w:p>
        </w:tc>
        <w:tc>
          <w:tcPr>
            <w:tcW w:w="4500" w:type="dxa"/>
          </w:tcPr>
          <w:p w14:paraId="1F641B26" w14:textId="517DA564" w:rsidR="00195CF6" w:rsidRPr="00113BDB" w:rsidRDefault="00195CF6" w:rsidP="004A4740">
            <w:pPr>
              <w:ind w:left="0"/>
              <w:rPr>
                <w:sz w:val="21"/>
                <w:szCs w:val="22"/>
                <w:lang w:eastAsia="ja-JP"/>
              </w:rPr>
            </w:pPr>
            <w:r w:rsidRPr="00113BDB">
              <w:rPr>
                <w:sz w:val="21"/>
                <w:szCs w:val="22"/>
                <w:lang w:eastAsia="ja-JP"/>
              </w:rPr>
              <w:t xml:space="preserve">There is uncertainty regarding the use of some oral anti-diabetic drugs in combination with IDegAsp since </w:t>
            </w:r>
            <w:r w:rsidR="00191B19" w:rsidRPr="00113BDB">
              <w:rPr>
                <w:sz w:val="21"/>
                <w:szCs w:val="22"/>
                <w:lang w:eastAsia="ja-JP"/>
              </w:rPr>
              <w:t>glucagon like peptide-1 (</w:t>
            </w:r>
            <w:r w:rsidRPr="00113BDB">
              <w:rPr>
                <w:sz w:val="21"/>
                <w:szCs w:val="22"/>
                <w:lang w:eastAsia="ja-JP"/>
              </w:rPr>
              <w:t>GLP-1</w:t>
            </w:r>
            <w:r w:rsidR="00191B19" w:rsidRPr="00113BDB">
              <w:rPr>
                <w:sz w:val="21"/>
                <w:szCs w:val="22"/>
                <w:lang w:eastAsia="ja-JP"/>
              </w:rPr>
              <w:t>)</w:t>
            </w:r>
            <w:r w:rsidRPr="00113BDB">
              <w:rPr>
                <w:sz w:val="21"/>
                <w:szCs w:val="22"/>
                <w:lang w:eastAsia="ja-JP"/>
              </w:rPr>
              <w:t xml:space="preserve"> receptor agonists, sulfonylureas, glinides and alpha glucosidase inhibitors were excluded from the Phase III trials. There were no studies with </w:t>
            </w:r>
            <w:r w:rsidR="00876EA9" w:rsidRPr="00113BDB">
              <w:rPr>
                <w:sz w:val="21"/>
                <w:szCs w:val="22"/>
                <w:lang w:eastAsia="ja-JP"/>
              </w:rPr>
              <w:t>sodium-glucose cotransporter-</w:t>
            </w:r>
            <w:r w:rsidR="00191B19" w:rsidRPr="00113BDB">
              <w:rPr>
                <w:sz w:val="21"/>
                <w:szCs w:val="22"/>
                <w:lang w:eastAsia="ja-JP"/>
              </w:rPr>
              <w:t>2 (</w:t>
            </w:r>
            <w:r w:rsidRPr="00113BDB">
              <w:rPr>
                <w:sz w:val="21"/>
                <w:szCs w:val="22"/>
                <w:lang w:eastAsia="ja-JP"/>
              </w:rPr>
              <w:t>SGLT-2</w:t>
            </w:r>
            <w:r w:rsidR="00191B19" w:rsidRPr="00113BDB">
              <w:rPr>
                <w:sz w:val="21"/>
                <w:szCs w:val="22"/>
                <w:lang w:eastAsia="ja-JP"/>
              </w:rPr>
              <w:t>)</w:t>
            </w:r>
            <w:r w:rsidRPr="00113BDB">
              <w:rPr>
                <w:sz w:val="21"/>
                <w:szCs w:val="22"/>
                <w:lang w:eastAsia="ja-JP"/>
              </w:rPr>
              <w:t xml:space="preserve"> inhibitors.</w:t>
            </w:r>
          </w:p>
          <w:p w14:paraId="5E724DC1" w14:textId="7F7F4590" w:rsidR="00195CF6" w:rsidRPr="00113BDB" w:rsidRDefault="00195CF6" w:rsidP="00191B19">
            <w:pPr>
              <w:ind w:left="0"/>
              <w:rPr>
                <w:sz w:val="21"/>
                <w:szCs w:val="22"/>
                <w:lang w:eastAsia="ja-JP"/>
              </w:rPr>
            </w:pPr>
            <w:r w:rsidRPr="00113BDB">
              <w:rPr>
                <w:sz w:val="21"/>
                <w:szCs w:val="22"/>
                <w:lang w:eastAsia="ja-JP"/>
              </w:rPr>
              <w:t xml:space="preserve">This should be also noted in the </w:t>
            </w:r>
            <w:r w:rsidR="00191B19" w:rsidRPr="00113BDB">
              <w:rPr>
                <w:sz w:val="21"/>
                <w:szCs w:val="22"/>
                <w:lang w:eastAsia="ja-JP"/>
              </w:rPr>
              <w:t>PI.</w:t>
            </w:r>
          </w:p>
        </w:tc>
      </w:tr>
      <w:tr w:rsidR="00195CF6" w:rsidRPr="00113BDB" w14:paraId="6937FEEF" w14:textId="77777777" w:rsidTr="004A4740">
        <w:trPr>
          <w:cantSplit/>
        </w:trPr>
        <w:tc>
          <w:tcPr>
            <w:tcW w:w="4698" w:type="dxa"/>
          </w:tcPr>
          <w:p w14:paraId="2D55643B" w14:textId="77777777" w:rsidR="00195CF6" w:rsidRPr="00113BDB" w:rsidRDefault="00195CF6" w:rsidP="004A4740">
            <w:pPr>
              <w:ind w:left="0"/>
              <w:rPr>
                <w:sz w:val="21"/>
                <w:szCs w:val="22"/>
                <w:lang w:eastAsia="ja-JP"/>
              </w:rPr>
            </w:pPr>
            <w:r w:rsidRPr="00113BDB">
              <w:rPr>
                <w:sz w:val="21"/>
                <w:szCs w:val="22"/>
                <w:lang w:eastAsia="ja-JP"/>
              </w:rPr>
              <w:t>Routine use of flexible dosing is not consistent to overall approach to diabetes management and applicability into the ‘real world’ setting in unclear (see also benefits above).</w:t>
            </w:r>
          </w:p>
        </w:tc>
        <w:tc>
          <w:tcPr>
            <w:tcW w:w="4500" w:type="dxa"/>
          </w:tcPr>
          <w:p w14:paraId="3FF305F3" w14:textId="77777777" w:rsidR="00195CF6" w:rsidRPr="00113BDB" w:rsidRDefault="00195CF6" w:rsidP="004A4740">
            <w:pPr>
              <w:ind w:left="0"/>
              <w:rPr>
                <w:sz w:val="21"/>
                <w:szCs w:val="22"/>
                <w:lang w:eastAsia="ja-JP"/>
              </w:rPr>
            </w:pPr>
          </w:p>
        </w:tc>
      </w:tr>
      <w:tr w:rsidR="00195CF6" w:rsidRPr="00113BDB" w14:paraId="706398F7" w14:textId="77777777" w:rsidTr="004A4740">
        <w:trPr>
          <w:cantSplit/>
        </w:trPr>
        <w:tc>
          <w:tcPr>
            <w:tcW w:w="4698" w:type="dxa"/>
          </w:tcPr>
          <w:p w14:paraId="243C17DA" w14:textId="186D2AF6" w:rsidR="00195CF6" w:rsidRPr="00113BDB" w:rsidRDefault="00195CF6" w:rsidP="00191B19">
            <w:pPr>
              <w:ind w:left="0"/>
              <w:rPr>
                <w:sz w:val="21"/>
                <w:szCs w:val="22"/>
                <w:lang w:eastAsia="ja-JP"/>
              </w:rPr>
            </w:pPr>
            <w:r w:rsidRPr="00113BDB">
              <w:rPr>
                <w:sz w:val="21"/>
                <w:szCs w:val="22"/>
                <w:lang w:eastAsia="ja-JP"/>
              </w:rPr>
              <w:lastRenderedPageBreak/>
              <w:t>C</w:t>
            </w:r>
            <w:r w:rsidR="00191B19" w:rsidRPr="00113BDB">
              <w:rPr>
                <w:sz w:val="21"/>
                <w:szCs w:val="22"/>
                <w:lang w:eastAsia="ja-JP"/>
              </w:rPr>
              <w:t>V</w:t>
            </w:r>
            <w:r w:rsidRPr="00113BDB">
              <w:rPr>
                <w:sz w:val="21"/>
                <w:szCs w:val="22"/>
                <w:lang w:eastAsia="ja-JP"/>
              </w:rPr>
              <w:t xml:space="preserve"> events (MACE): Although the outcomes o</w:t>
            </w:r>
            <w:r w:rsidR="00191B19" w:rsidRPr="00113BDB">
              <w:rPr>
                <w:sz w:val="21"/>
                <w:szCs w:val="22"/>
                <w:lang w:eastAsia="ja-JP"/>
              </w:rPr>
              <w:t>f the interim analysis for the DEVOTE</w:t>
            </w:r>
            <w:r w:rsidRPr="00113BDB">
              <w:rPr>
                <w:sz w:val="21"/>
                <w:szCs w:val="22"/>
                <w:lang w:eastAsia="ja-JP"/>
              </w:rPr>
              <w:t xml:space="preserve"> trials are reassuring with respect to the signal detected in the original evaluation, the final results from this study will allow more robust conclusions and provide long term data. Further monitoring should be continued (including </w:t>
            </w:r>
            <w:r w:rsidR="00191B19" w:rsidRPr="00113BDB">
              <w:rPr>
                <w:sz w:val="21"/>
                <w:szCs w:val="22"/>
                <w:lang w:eastAsia="ja-JP"/>
              </w:rPr>
              <w:t xml:space="preserve">the DEVOTE trial </w:t>
            </w:r>
            <w:r w:rsidRPr="00113BDB">
              <w:rPr>
                <w:sz w:val="21"/>
                <w:szCs w:val="22"/>
                <w:lang w:eastAsia="ja-JP"/>
              </w:rPr>
              <w:t>and the ongoing signal review).</w:t>
            </w:r>
          </w:p>
        </w:tc>
        <w:tc>
          <w:tcPr>
            <w:tcW w:w="4500" w:type="dxa"/>
          </w:tcPr>
          <w:p w14:paraId="306BD7CB" w14:textId="0511F1E6" w:rsidR="00195CF6" w:rsidRPr="00113BDB" w:rsidRDefault="00195CF6" w:rsidP="004A4740">
            <w:pPr>
              <w:ind w:left="0"/>
              <w:rPr>
                <w:sz w:val="21"/>
                <w:szCs w:val="22"/>
                <w:lang w:eastAsia="ja-JP"/>
              </w:rPr>
            </w:pPr>
            <w:r w:rsidRPr="00113BDB">
              <w:rPr>
                <w:sz w:val="21"/>
                <w:szCs w:val="22"/>
                <w:lang w:eastAsia="ja-JP"/>
              </w:rPr>
              <w:t>I</w:t>
            </w:r>
            <w:r w:rsidR="00E27C29" w:rsidRPr="00113BDB">
              <w:rPr>
                <w:sz w:val="21"/>
                <w:szCs w:val="22"/>
                <w:lang w:eastAsia="ja-JP"/>
              </w:rPr>
              <w:t>DegAsp was not used in the DEVOTE</w:t>
            </w:r>
            <w:r w:rsidRPr="00113BDB">
              <w:rPr>
                <w:sz w:val="21"/>
                <w:szCs w:val="22"/>
                <w:lang w:eastAsia="ja-JP"/>
              </w:rPr>
              <w:t xml:space="preserve"> trial and therefore the specific cardiovascular risk in patients receiving IDegAsp is unknown and can only be extrapolated from the IDeg data.</w:t>
            </w:r>
          </w:p>
          <w:p w14:paraId="3442592B" w14:textId="1D65A7BD" w:rsidR="00195CF6" w:rsidRPr="00113BDB" w:rsidRDefault="00E27C29" w:rsidP="004A4740">
            <w:pPr>
              <w:ind w:left="0"/>
              <w:rPr>
                <w:sz w:val="21"/>
                <w:szCs w:val="22"/>
                <w:lang w:eastAsia="ja-JP"/>
              </w:rPr>
            </w:pPr>
            <w:r w:rsidRPr="00113BDB">
              <w:rPr>
                <w:sz w:val="21"/>
                <w:szCs w:val="22"/>
                <w:lang w:eastAsia="ja-JP"/>
              </w:rPr>
              <w:t>The DEVOTE</w:t>
            </w:r>
            <w:r w:rsidR="00195CF6" w:rsidRPr="00113BDB">
              <w:rPr>
                <w:sz w:val="21"/>
                <w:szCs w:val="22"/>
                <w:lang w:eastAsia="ja-JP"/>
              </w:rPr>
              <w:t xml:space="preserve"> trial did not include patients with T1DM and therefore the specific cardiovascular risk in this disease subset is unknown and can only be extrapolated from the T2DM data.</w:t>
            </w:r>
          </w:p>
        </w:tc>
      </w:tr>
      <w:tr w:rsidR="00195CF6" w:rsidRPr="00113BDB" w14:paraId="16B27BEB" w14:textId="77777777" w:rsidTr="004A4740">
        <w:trPr>
          <w:cantSplit/>
        </w:trPr>
        <w:tc>
          <w:tcPr>
            <w:tcW w:w="4698" w:type="dxa"/>
          </w:tcPr>
          <w:p w14:paraId="37F02D79" w14:textId="77777777" w:rsidR="00195CF6" w:rsidRPr="00113BDB" w:rsidRDefault="00195CF6" w:rsidP="004A4740">
            <w:pPr>
              <w:ind w:left="0"/>
              <w:rPr>
                <w:sz w:val="21"/>
                <w:szCs w:val="22"/>
                <w:lang w:eastAsia="ja-JP"/>
              </w:rPr>
            </w:pPr>
            <w:r w:rsidRPr="00113BDB">
              <w:rPr>
                <w:sz w:val="21"/>
                <w:szCs w:val="22"/>
                <w:lang w:eastAsia="ja-JP"/>
              </w:rPr>
              <w:t>Dosing errors related to mixing basal and bolus insulin.</w:t>
            </w:r>
          </w:p>
          <w:p w14:paraId="140D4A9C" w14:textId="77777777" w:rsidR="00195CF6" w:rsidRPr="00113BDB" w:rsidRDefault="00195CF6" w:rsidP="004A4740">
            <w:pPr>
              <w:ind w:left="0"/>
              <w:rPr>
                <w:sz w:val="21"/>
                <w:szCs w:val="22"/>
                <w:lang w:eastAsia="ja-JP"/>
              </w:rPr>
            </w:pPr>
            <w:r w:rsidRPr="00113BDB">
              <w:rPr>
                <w:sz w:val="21"/>
                <w:szCs w:val="22"/>
                <w:lang w:eastAsia="ja-JP"/>
              </w:rPr>
              <w:t xml:space="preserve">It is noted that the dosing errors due to mixing basal and bolus insulin is an important potential risk, however there are a number of adverse events that have been reported relating to this in clinical trials. </w:t>
            </w:r>
          </w:p>
        </w:tc>
        <w:tc>
          <w:tcPr>
            <w:tcW w:w="4500" w:type="dxa"/>
          </w:tcPr>
          <w:p w14:paraId="5CF3F95E" w14:textId="77777777" w:rsidR="00195CF6" w:rsidRPr="00113BDB" w:rsidRDefault="00195CF6" w:rsidP="004A4740">
            <w:pPr>
              <w:ind w:left="0"/>
              <w:rPr>
                <w:sz w:val="21"/>
                <w:szCs w:val="22"/>
                <w:lang w:eastAsia="ja-JP"/>
              </w:rPr>
            </w:pPr>
          </w:p>
        </w:tc>
      </w:tr>
      <w:tr w:rsidR="00195CF6" w:rsidRPr="00113BDB" w14:paraId="304DBA97" w14:textId="77777777" w:rsidTr="004A4740">
        <w:trPr>
          <w:cantSplit/>
        </w:trPr>
        <w:tc>
          <w:tcPr>
            <w:tcW w:w="4698" w:type="dxa"/>
          </w:tcPr>
          <w:p w14:paraId="5848A802" w14:textId="77777777" w:rsidR="00195CF6" w:rsidRPr="00113BDB" w:rsidRDefault="00195CF6" w:rsidP="004A4740">
            <w:pPr>
              <w:ind w:left="0"/>
              <w:rPr>
                <w:sz w:val="21"/>
                <w:szCs w:val="22"/>
                <w:lang w:eastAsia="ja-JP"/>
              </w:rPr>
            </w:pPr>
          </w:p>
        </w:tc>
        <w:tc>
          <w:tcPr>
            <w:tcW w:w="4500" w:type="dxa"/>
          </w:tcPr>
          <w:p w14:paraId="7662330F" w14:textId="13E6FEA7" w:rsidR="00195CF6" w:rsidRPr="00113BDB" w:rsidRDefault="00195CF6" w:rsidP="00CC0FE1">
            <w:pPr>
              <w:ind w:left="0"/>
              <w:rPr>
                <w:sz w:val="21"/>
                <w:szCs w:val="22"/>
                <w:lang w:eastAsia="ja-JP"/>
              </w:rPr>
            </w:pPr>
            <w:r w:rsidRPr="00113BDB">
              <w:rPr>
                <w:sz w:val="21"/>
                <w:szCs w:val="22"/>
                <w:lang w:eastAsia="ja-JP"/>
              </w:rPr>
              <w:t xml:space="preserve">Neoplasms/colon cancer: Neoplasms and colon cancer are the subject of an ongoing review as requested by </w:t>
            </w:r>
            <w:r w:rsidR="00CC0FE1" w:rsidRPr="00113BDB">
              <w:rPr>
                <w:sz w:val="21"/>
                <w:szCs w:val="22"/>
                <w:lang w:eastAsia="ja-JP"/>
              </w:rPr>
              <w:t>Swiss</w:t>
            </w:r>
            <w:r w:rsidR="00CC0FE1">
              <w:rPr>
                <w:sz w:val="21"/>
                <w:szCs w:val="22"/>
                <w:lang w:eastAsia="ja-JP"/>
              </w:rPr>
              <w:t>M</w:t>
            </w:r>
            <w:r w:rsidR="00CC0FE1" w:rsidRPr="00113BDB">
              <w:rPr>
                <w:sz w:val="21"/>
                <w:szCs w:val="22"/>
                <w:lang w:eastAsia="ja-JP"/>
              </w:rPr>
              <w:t xml:space="preserve">edic </w:t>
            </w:r>
            <w:r w:rsidRPr="00113BDB">
              <w:rPr>
                <w:sz w:val="21"/>
                <w:szCs w:val="22"/>
                <w:lang w:eastAsia="ja-JP"/>
              </w:rPr>
              <w:t>and the EMA respectively. Further monitoring should be continued.</w:t>
            </w:r>
          </w:p>
        </w:tc>
      </w:tr>
    </w:tbl>
    <w:p w14:paraId="2B03AA51" w14:textId="77777777" w:rsidR="00605AD4" w:rsidRPr="00113BDB" w:rsidRDefault="00605AD4" w:rsidP="00605AD4">
      <w:pPr>
        <w:pStyle w:val="Heading4"/>
      </w:pPr>
      <w:r w:rsidRPr="00113BDB">
        <w:t>First round assessment of benefit-risk balance</w:t>
      </w:r>
    </w:p>
    <w:p w14:paraId="46A9BD47" w14:textId="1FC419D9" w:rsidR="00605AD4" w:rsidRPr="00113BDB" w:rsidRDefault="00195CF6" w:rsidP="00605AD4">
      <w:r w:rsidRPr="00113BDB">
        <w:t>Overall, the benefit-risk balance is positive for IDegAsp provided appropriate steps for education of prescribers and patients are undertaken</w:t>
      </w:r>
      <w:r w:rsidR="00CC0FE1">
        <w:t xml:space="preserve"> and</w:t>
      </w:r>
      <w:r w:rsidRPr="00113BDB">
        <w:t xml:space="preserve"> consideration of the upgrade from important potential risk to identified risk should be made for dosing errors related to mixing basal and bolus insulin, as well as active ongoing monitoring for detected signals.</w:t>
      </w:r>
    </w:p>
    <w:p w14:paraId="78CF38CD" w14:textId="77777777" w:rsidR="00605AD4" w:rsidRPr="00113BDB" w:rsidRDefault="00605AD4" w:rsidP="00605AD4">
      <w:pPr>
        <w:pStyle w:val="Heading3"/>
        <w:rPr>
          <w:rFonts w:eastAsia="Cambria"/>
        </w:rPr>
      </w:pPr>
      <w:bookmarkStart w:id="116" w:name="_Toc517697989"/>
      <w:r w:rsidRPr="00113BDB">
        <w:rPr>
          <w:rFonts w:eastAsia="Cambria"/>
        </w:rPr>
        <w:t>First Round Recommendation Regarding Authorisation</w:t>
      </w:r>
      <w:bookmarkEnd w:id="116"/>
    </w:p>
    <w:p w14:paraId="40C2F720" w14:textId="01CFDC87" w:rsidR="00605AD4" w:rsidRPr="00113BDB" w:rsidRDefault="00195CF6" w:rsidP="00605AD4">
      <w:pPr>
        <w:rPr>
          <w:lang w:eastAsia="ja-JP"/>
        </w:rPr>
      </w:pPr>
      <w:r w:rsidRPr="00113BDB">
        <w:rPr>
          <w:lang w:eastAsia="ja-JP"/>
        </w:rPr>
        <w:t xml:space="preserve">At this stage, the clinical evaluator has no major concerns for the approval of the registration of IDegAsp for the treatment of diabetes, providing the sponsor provide a suitable response to the questions and comments regarding the PI and </w:t>
      </w:r>
      <w:r w:rsidR="00E27C29" w:rsidRPr="00113BDB">
        <w:rPr>
          <w:lang w:eastAsia="ja-JP"/>
        </w:rPr>
        <w:t>the risk management plan (</w:t>
      </w:r>
      <w:r w:rsidRPr="00113BDB">
        <w:rPr>
          <w:lang w:eastAsia="ja-JP"/>
        </w:rPr>
        <w:t>RMP</w:t>
      </w:r>
      <w:r w:rsidR="00E27C29" w:rsidRPr="00113BDB">
        <w:rPr>
          <w:lang w:eastAsia="ja-JP"/>
        </w:rPr>
        <w:t>)</w:t>
      </w:r>
      <w:r w:rsidRPr="00113BDB">
        <w:rPr>
          <w:lang w:eastAsia="ja-JP"/>
        </w:rPr>
        <w:t>.</w:t>
      </w:r>
    </w:p>
    <w:p w14:paraId="5180B59E" w14:textId="1AB337D9" w:rsidR="00605AD4" w:rsidRPr="00113BDB" w:rsidRDefault="00316B24" w:rsidP="00605AD4">
      <w:pPr>
        <w:pStyle w:val="Heading3"/>
        <w:rPr>
          <w:rFonts w:eastAsia="Cambria"/>
        </w:rPr>
      </w:pPr>
      <w:bookmarkStart w:id="117" w:name="_Toc517697990"/>
      <w:r w:rsidRPr="00113BDB">
        <w:rPr>
          <w:rFonts w:eastAsia="Cambria"/>
        </w:rPr>
        <w:t xml:space="preserve">Clinical Questions and </w:t>
      </w:r>
      <w:r w:rsidR="00605AD4" w:rsidRPr="00113BDB">
        <w:rPr>
          <w:rFonts w:eastAsia="Cambria"/>
        </w:rPr>
        <w:t>Second Round Evaluation of clinical data submitted in response to questions</w:t>
      </w:r>
      <w:bookmarkEnd w:id="117"/>
    </w:p>
    <w:p w14:paraId="51C44683" w14:textId="68723840" w:rsidR="006136D7" w:rsidRPr="00113BDB" w:rsidRDefault="006136D7" w:rsidP="006136D7">
      <w:r w:rsidRPr="00113BDB">
        <w:t>For details of the</w:t>
      </w:r>
      <w:r w:rsidR="00316B24" w:rsidRPr="00113BDB">
        <w:t xml:space="preserve"> clinical questions,</w:t>
      </w:r>
      <w:r w:rsidRPr="00113BDB">
        <w:t xml:space="preserve"> sponsor’s responses and the evaluation of these responses please see Attachment 2.</w:t>
      </w:r>
    </w:p>
    <w:p w14:paraId="71D200CE" w14:textId="77777777" w:rsidR="00605AD4" w:rsidRPr="00113BDB" w:rsidRDefault="00605AD4" w:rsidP="00546154">
      <w:pPr>
        <w:pStyle w:val="Heading3"/>
        <w:rPr>
          <w:rFonts w:eastAsia="Cambria"/>
        </w:rPr>
      </w:pPr>
      <w:bookmarkStart w:id="118" w:name="_Toc517697991"/>
      <w:r w:rsidRPr="00113BDB">
        <w:rPr>
          <w:rFonts w:eastAsia="Cambria"/>
        </w:rPr>
        <w:t>Second Round Benefit-Risk Assessment</w:t>
      </w:r>
      <w:bookmarkEnd w:id="118"/>
    </w:p>
    <w:p w14:paraId="6D1F84F1" w14:textId="77777777" w:rsidR="00195CF6" w:rsidRPr="00113BDB" w:rsidRDefault="00195CF6" w:rsidP="00195CF6">
      <w:pPr>
        <w:pStyle w:val="Heading3"/>
        <w:rPr>
          <w:rFonts w:eastAsia="Cambria"/>
        </w:rPr>
      </w:pPr>
      <w:bookmarkStart w:id="119" w:name="_Toc272414709"/>
      <w:bookmarkStart w:id="120" w:name="_Toc290888575"/>
      <w:bookmarkStart w:id="121" w:name="_Toc416353792"/>
      <w:bookmarkStart w:id="122" w:name="_Toc421005334"/>
      <w:bookmarkStart w:id="123" w:name="_Toc432079207"/>
      <w:bookmarkStart w:id="124" w:name="_Toc432080780"/>
      <w:bookmarkStart w:id="125" w:name="_Toc478469718"/>
      <w:bookmarkStart w:id="126" w:name="_Toc487202417"/>
      <w:bookmarkStart w:id="127" w:name="_Toc517697992"/>
      <w:r w:rsidRPr="00113BDB">
        <w:rPr>
          <w:rFonts w:eastAsia="Cambria"/>
        </w:rPr>
        <w:t>Second round assessment of benefits</w:t>
      </w:r>
      <w:bookmarkEnd w:id="119"/>
      <w:bookmarkEnd w:id="120"/>
      <w:bookmarkEnd w:id="121"/>
      <w:bookmarkEnd w:id="122"/>
      <w:bookmarkEnd w:id="123"/>
      <w:bookmarkEnd w:id="124"/>
      <w:bookmarkEnd w:id="125"/>
      <w:bookmarkEnd w:id="126"/>
      <w:bookmarkEnd w:id="127"/>
    </w:p>
    <w:p w14:paraId="6D3BF32E" w14:textId="5BBF1A77" w:rsidR="00195CF6" w:rsidRPr="00113BDB" w:rsidRDefault="00195CF6" w:rsidP="00195CF6">
      <w:pPr>
        <w:rPr>
          <w:lang w:eastAsia="ja-JP"/>
        </w:rPr>
      </w:pPr>
      <w:r w:rsidRPr="00113BDB">
        <w:rPr>
          <w:lang w:eastAsia="ja-JP"/>
        </w:rPr>
        <w:t>No change to assessment of benefits</w:t>
      </w:r>
      <w:r w:rsidR="00E27C29" w:rsidRPr="00113BDB">
        <w:rPr>
          <w:lang w:eastAsia="ja-JP"/>
        </w:rPr>
        <w:t xml:space="preserve"> (shown in Table </w:t>
      </w:r>
      <w:r w:rsidR="00825A1E">
        <w:rPr>
          <w:lang w:eastAsia="ja-JP"/>
        </w:rPr>
        <w:t>9</w:t>
      </w:r>
      <w:r w:rsidR="00E27C29" w:rsidRPr="00113BDB">
        <w:rPr>
          <w:lang w:eastAsia="ja-JP"/>
        </w:rPr>
        <w:t>, above)</w:t>
      </w:r>
      <w:r w:rsidRPr="00113BDB">
        <w:rPr>
          <w:lang w:eastAsia="ja-JP"/>
        </w:rPr>
        <w:t>.</w:t>
      </w:r>
    </w:p>
    <w:p w14:paraId="2FED1FA0" w14:textId="77777777" w:rsidR="00195CF6" w:rsidRPr="00113BDB" w:rsidRDefault="00195CF6" w:rsidP="00195CF6">
      <w:pPr>
        <w:pStyle w:val="Heading3"/>
        <w:rPr>
          <w:rFonts w:eastAsia="Cambria"/>
        </w:rPr>
      </w:pPr>
      <w:bookmarkStart w:id="128" w:name="_Toc272414710"/>
      <w:bookmarkStart w:id="129" w:name="_Toc290888576"/>
      <w:bookmarkStart w:id="130" w:name="_Toc416353793"/>
      <w:bookmarkStart w:id="131" w:name="_Toc421005335"/>
      <w:bookmarkStart w:id="132" w:name="_Toc432079208"/>
      <w:bookmarkStart w:id="133" w:name="_Toc432080781"/>
      <w:bookmarkStart w:id="134" w:name="_Toc478469719"/>
      <w:bookmarkStart w:id="135" w:name="_Toc487202418"/>
      <w:bookmarkStart w:id="136" w:name="_Toc517697993"/>
      <w:r w:rsidRPr="00113BDB">
        <w:rPr>
          <w:rFonts w:eastAsia="Cambria"/>
        </w:rPr>
        <w:lastRenderedPageBreak/>
        <w:t>Second round assessment of risks</w:t>
      </w:r>
      <w:bookmarkEnd w:id="128"/>
      <w:bookmarkEnd w:id="129"/>
      <w:bookmarkEnd w:id="130"/>
      <w:bookmarkEnd w:id="131"/>
      <w:bookmarkEnd w:id="132"/>
      <w:bookmarkEnd w:id="133"/>
      <w:bookmarkEnd w:id="134"/>
      <w:bookmarkEnd w:id="135"/>
      <w:bookmarkEnd w:id="136"/>
    </w:p>
    <w:p w14:paraId="36E316F7" w14:textId="34818B4F" w:rsidR="00195CF6" w:rsidRPr="00113BDB" w:rsidRDefault="00195CF6" w:rsidP="00195CF6">
      <w:pPr>
        <w:rPr>
          <w:lang w:eastAsia="ja-JP"/>
        </w:rPr>
      </w:pPr>
      <w:r w:rsidRPr="00113BDB">
        <w:rPr>
          <w:lang w:eastAsia="ja-JP"/>
        </w:rPr>
        <w:t>In the first round report, hypoglycaemia was identified as a risk. Assessment of this risk is updated below</w:t>
      </w:r>
      <w:r w:rsidR="00E27C29" w:rsidRPr="00113BDB">
        <w:rPr>
          <w:lang w:eastAsia="ja-JP"/>
        </w:rPr>
        <w:t xml:space="preserve"> in Table 1</w:t>
      </w:r>
      <w:r w:rsidR="00825A1E">
        <w:rPr>
          <w:lang w:eastAsia="ja-JP"/>
        </w:rPr>
        <w:t>1</w:t>
      </w:r>
      <w:r w:rsidRPr="00113BDB">
        <w:rPr>
          <w:lang w:eastAsia="ja-JP"/>
        </w:rPr>
        <w:t xml:space="preserve"> (new text in</w:t>
      </w:r>
      <w:r w:rsidRPr="00113BDB">
        <w:rPr>
          <w:b/>
          <w:lang w:eastAsia="ja-JP"/>
        </w:rPr>
        <w:t xml:space="preserve"> </w:t>
      </w:r>
      <w:r w:rsidRPr="00113BDB">
        <w:rPr>
          <w:i/>
          <w:lang w:eastAsia="ja-JP"/>
        </w:rPr>
        <w:t>italics</w:t>
      </w:r>
      <w:r w:rsidRPr="00113BDB">
        <w:rPr>
          <w:lang w:eastAsia="ja-JP"/>
        </w:rPr>
        <w:t>); assessment of other risks identified in the first round remain</w:t>
      </w:r>
      <w:r w:rsidR="00F87754">
        <w:rPr>
          <w:lang w:eastAsia="ja-JP"/>
        </w:rPr>
        <w:t>s</w:t>
      </w:r>
      <w:r w:rsidRPr="00113BDB">
        <w:rPr>
          <w:lang w:eastAsia="ja-JP"/>
        </w:rPr>
        <w:t xml:space="preserve"> unchanged.</w:t>
      </w:r>
    </w:p>
    <w:p w14:paraId="40F4D367" w14:textId="550D919D" w:rsidR="00195CF6" w:rsidRPr="00113BDB" w:rsidRDefault="00825A1E" w:rsidP="00195CF6">
      <w:pPr>
        <w:pStyle w:val="Tabletitle0"/>
        <w:rPr>
          <w:lang w:eastAsia="ja-JP"/>
        </w:rPr>
      </w:pPr>
      <w:r>
        <w:rPr>
          <w:lang w:eastAsia="ja-JP"/>
        </w:rPr>
        <w:t>Table 11</w:t>
      </w:r>
      <w:r w:rsidR="00195CF6" w:rsidRPr="00113BDB">
        <w:rPr>
          <w:lang w:eastAsia="ja-JP"/>
        </w:rPr>
        <w:t>. Second round assessment of risks</w:t>
      </w:r>
    </w:p>
    <w:tbl>
      <w:tblPr>
        <w:tblStyle w:val="TableTGAblue"/>
        <w:tblW w:w="0" w:type="auto"/>
        <w:tblLook w:val="04A0" w:firstRow="1" w:lastRow="0" w:firstColumn="1" w:lastColumn="0" w:noHBand="0" w:noVBand="1"/>
        <w:tblDescription w:val="Table 11. Second round assessment of risks"/>
      </w:tblPr>
      <w:tblGrid>
        <w:gridCol w:w="4360"/>
        <w:gridCol w:w="4360"/>
      </w:tblGrid>
      <w:tr w:rsidR="00195CF6" w:rsidRPr="00113BDB" w14:paraId="50576F59" w14:textId="77777777" w:rsidTr="004A4740">
        <w:trPr>
          <w:cnfStyle w:val="100000000000" w:firstRow="1" w:lastRow="0" w:firstColumn="0" w:lastColumn="0" w:oddVBand="0" w:evenVBand="0" w:oddHBand="0" w:evenHBand="0" w:firstRowFirstColumn="0" w:firstRowLastColumn="0" w:lastRowFirstColumn="0" w:lastRowLastColumn="0"/>
        </w:trPr>
        <w:tc>
          <w:tcPr>
            <w:tcW w:w="4395" w:type="dxa"/>
          </w:tcPr>
          <w:p w14:paraId="0B5EEFD0" w14:textId="77777777" w:rsidR="00195CF6" w:rsidRPr="00113BDB" w:rsidRDefault="00195CF6" w:rsidP="004A4740">
            <w:pPr>
              <w:rPr>
                <w:szCs w:val="22"/>
                <w:lang w:eastAsia="ja-JP"/>
              </w:rPr>
            </w:pPr>
            <w:r w:rsidRPr="00113BDB">
              <w:rPr>
                <w:szCs w:val="22"/>
                <w:lang w:eastAsia="ja-JP"/>
              </w:rPr>
              <w:t>Risks</w:t>
            </w:r>
          </w:p>
        </w:tc>
        <w:tc>
          <w:tcPr>
            <w:tcW w:w="4394" w:type="dxa"/>
          </w:tcPr>
          <w:p w14:paraId="5422A66C" w14:textId="77777777" w:rsidR="00195CF6" w:rsidRPr="00113BDB" w:rsidRDefault="00195CF6" w:rsidP="004A4740">
            <w:pPr>
              <w:rPr>
                <w:szCs w:val="22"/>
                <w:lang w:eastAsia="ja-JP"/>
              </w:rPr>
            </w:pPr>
            <w:r w:rsidRPr="00113BDB">
              <w:rPr>
                <w:szCs w:val="22"/>
                <w:lang w:eastAsia="ja-JP"/>
              </w:rPr>
              <w:t>Uncertainties</w:t>
            </w:r>
          </w:p>
        </w:tc>
      </w:tr>
      <w:tr w:rsidR="00195CF6" w:rsidRPr="00113BDB" w14:paraId="223F0B18" w14:textId="77777777" w:rsidTr="004A4740">
        <w:tc>
          <w:tcPr>
            <w:tcW w:w="4395" w:type="dxa"/>
          </w:tcPr>
          <w:p w14:paraId="4CFBF65E" w14:textId="68CA28DE" w:rsidR="00195CF6" w:rsidRPr="00113BDB" w:rsidRDefault="00195CF6" w:rsidP="00E27C29">
            <w:pPr>
              <w:ind w:left="0"/>
              <w:rPr>
                <w:szCs w:val="22"/>
                <w:lang w:eastAsia="ja-JP"/>
              </w:rPr>
            </w:pPr>
            <w:r w:rsidRPr="00113BDB">
              <w:rPr>
                <w:szCs w:val="22"/>
                <w:lang w:eastAsia="ja-JP"/>
              </w:rPr>
              <w:t>Hypoglycaemia</w:t>
            </w:r>
            <w:r w:rsidR="00E27C29" w:rsidRPr="00113BDB">
              <w:rPr>
                <w:szCs w:val="22"/>
                <w:lang w:eastAsia="ja-JP"/>
              </w:rPr>
              <w:t xml:space="preserve">: </w:t>
            </w:r>
            <w:r w:rsidRPr="00113BDB">
              <w:rPr>
                <w:szCs w:val="22"/>
                <w:lang w:eastAsia="ja-JP"/>
              </w:rPr>
              <w:t>Hypoglycaemia and events related to hypoglycaemia, commonly occurred with the use of IDegAsp in the clinical trials. It is recognised that hypoglycaemia is an inherent risk associated with all insulins, however due to the ‘ultra long’ action, the period following a single dose in which hypoglycaemia may occur is longer than other insulins.</w:t>
            </w:r>
          </w:p>
          <w:p w14:paraId="792748AA" w14:textId="77777777" w:rsidR="00195CF6" w:rsidRPr="00113BDB" w:rsidRDefault="00195CF6" w:rsidP="00E27C29">
            <w:pPr>
              <w:ind w:left="0"/>
              <w:rPr>
                <w:b/>
                <w:szCs w:val="22"/>
                <w:lang w:eastAsia="ja-JP"/>
              </w:rPr>
            </w:pPr>
            <w:r w:rsidRPr="00113BDB">
              <w:rPr>
                <w:i/>
                <w:szCs w:val="22"/>
                <w:lang w:eastAsia="ja-JP"/>
              </w:rPr>
              <w:t>It is also noted that hypoglycaemia episodes appear to occur around mealtimes in insulin naïve patients, even when IDegAsp is administered with the largest meal.</w:t>
            </w:r>
          </w:p>
          <w:p w14:paraId="731B9DC3" w14:textId="77777777" w:rsidR="00195CF6" w:rsidRPr="00113BDB" w:rsidRDefault="00195CF6" w:rsidP="00E27C29">
            <w:pPr>
              <w:ind w:left="0"/>
              <w:rPr>
                <w:szCs w:val="22"/>
                <w:lang w:eastAsia="ja-JP"/>
              </w:rPr>
            </w:pPr>
            <w:r w:rsidRPr="00113BDB">
              <w:rPr>
                <w:szCs w:val="22"/>
                <w:lang w:eastAsia="ja-JP"/>
              </w:rPr>
              <w:t>However, it is also acknowledged that the aetiology of hypoglycaemia is multifactorial and the type of insulin used is only one important component. Thus education of prescribers and patients again will play an important part in mitigating this risk.</w:t>
            </w:r>
          </w:p>
        </w:tc>
        <w:tc>
          <w:tcPr>
            <w:tcW w:w="4394" w:type="dxa"/>
          </w:tcPr>
          <w:p w14:paraId="0580335C" w14:textId="77777777" w:rsidR="00195CF6" w:rsidRPr="00113BDB" w:rsidRDefault="00195CF6" w:rsidP="004A4740">
            <w:pPr>
              <w:rPr>
                <w:szCs w:val="22"/>
                <w:lang w:eastAsia="ja-JP"/>
              </w:rPr>
            </w:pPr>
          </w:p>
        </w:tc>
      </w:tr>
    </w:tbl>
    <w:p w14:paraId="679953CF" w14:textId="77777777" w:rsidR="00195CF6" w:rsidRPr="00113BDB" w:rsidRDefault="00195CF6" w:rsidP="00195CF6">
      <w:pPr>
        <w:pStyle w:val="Heading3"/>
        <w:rPr>
          <w:rFonts w:eastAsia="Cambria"/>
        </w:rPr>
      </w:pPr>
      <w:bookmarkStart w:id="137" w:name="_Toc272414711"/>
      <w:bookmarkStart w:id="138" w:name="_Toc290888577"/>
      <w:bookmarkStart w:id="139" w:name="_Toc416353794"/>
      <w:bookmarkStart w:id="140" w:name="_Toc421005336"/>
      <w:bookmarkStart w:id="141" w:name="_Toc432079209"/>
      <w:bookmarkStart w:id="142" w:name="_Toc432080782"/>
      <w:bookmarkStart w:id="143" w:name="_Toc478469720"/>
      <w:bookmarkStart w:id="144" w:name="_Toc487202419"/>
      <w:bookmarkStart w:id="145" w:name="_Toc517697994"/>
      <w:r w:rsidRPr="00113BDB">
        <w:rPr>
          <w:rFonts w:eastAsia="Cambria"/>
        </w:rPr>
        <w:t xml:space="preserve">Second round assessment of benefit-risk </w:t>
      </w:r>
      <w:bookmarkEnd w:id="137"/>
      <w:bookmarkEnd w:id="138"/>
      <w:bookmarkEnd w:id="139"/>
      <w:bookmarkEnd w:id="140"/>
      <w:r w:rsidRPr="00113BDB">
        <w:rPr>
          <w:rFonts w:eastAsia="Cambria"/>
        </w:rPr>
        <w:t>balance</w:t>
      </w:r>
      <w:bookmarkEnd w:id="141"/>
      <w:bookmarkEnd w:id="142"/>
      <w:bookmarkEnd w:id="143"/>
      <w:bookmarkEnd w:id="144"/>
      <w:bookmarkEnd w:id="145"/>
    </w:p>
    <w:p w14:paraId="00311FF8" w14:textId="77777777" w:rsidR="00195CF6" w:rsidRPr="00113BDB" w:rsidRDefault="00195CF6" w:rsidP="00195CF6">
      <w:pPr>
        <w:rPr>
          <w:lang w:eastAsia="ja-JP"/>
        </w:rPr>
      </w:pPr>
      <w:r w:rsidRPr="00113BDB">
        <w:rPr>
          <w:lang w:eastAsia="ja-JP"/>
        </w:rPr>
        <w:t>Overall, the benefit-risk balance is positive for IDegAsp provided appropriate steps for education of prescribers and patients are undertaken and active ongoing monitoring for detected signals is maintained.</w:t>
      </w:r>
    </w:p>
    <w:p w14:paraId="77A4128E" w14:textId="77777777" w:rsidR="00195CF6" w:rsidRPr="00113BDB" w:rsidRDefault="00195CF6" w:rsidP="00195CF6">
      <w:pPr>
        <w:pStyle w:val="Heading2"/>
      </w:pPr>
      <w:bookmarkStart w:id="146" w:name="_Toc430959554"/>
      <w:bookmarkStart w:id="147" w:name="_Toc517697995"/>
      <w:r w:rsidRPr="00113BDB">
        <w:t>Second round recommendation regarding authorisation</w:t>
      </w:r>
      <w:bookmarkEnd w:id="146"/>
      <w:bookmarkEnd w:id="147"/>
    </w:p>
    <w:p w14:paraId="2075CA49" w14:textId="2BF46399" w:rsidR="00605AD4" w:rsidRPr="00113BDB" w:rsidRDefault="00195CF6" w:rsidP="00546154">
      <w:pPr>
        <w:rPr>
          <w:lang w:eastAsia="ja-JP"/>
        </w:rPr>
      </w:pPr>
      <w:r w:rsidRPr="00113BDB">
        <w:rPr>
          <w:lang w:eastAsia="ja-JP"/>
        </w:rPr>
        <w:t>At this stage, the clinical evaluator has no major concerns for the approval of the registration of IDegAsp for the treatment of diabetes subject to PI comments</w:t>
      </w:r>
      <w:r w:rsidR="00E27C29" w:rsidRPr="00113BDB">
        <w:rPr>
          <w:lang w:eastAsia="ja-JP"/>
        </w:rPr>
        <w:t>.</w:t>
      </w:r>
    </w:p>
    <w:p w14:paraId="61DE1847" w14:textId="03E72A53" w:rsidR="008E7846" w:rsidRPr="00113BDB" w:rsidRDefault="008E7846" w:rsidP="00546154">
      <w:pPr>
        <w:pStyle w:val="Heading2"/>
      </w:pPr>
      <w:bookmarkStart w:id="148" w:name="_Toc517697996"/>
      <w:r w:rsidRPr="00113BDB">
        <w:lastRenderedPageBreak/>
        <w:t>V</w:t>
      </w:r>
      <w:r w:rsidR="009A60CC">
        <w:t>I</w:t>
      </w:r>
      <w:r w:rsidRPr="00113BDB">
        <w:t>. Pharmacovigilance findings</w:t>
      </w:r>
      <w:bookmarkEnd w:id="98"/>
      <w:bookmarkEnd w:id="99"/>
      <w:bookmarkEnd w:id="148"/>
    </w:p>
    <w:p w14:paraId="53AE12EA" w14:textId="77777777" w:rsidR="008E7846" w:rsidRPr="00113BDB" w:rsidRDefault="00386150" w:rsidP="008E7846">
      <w:pPr>
        <w:pStyle w:val="Heading3"/>
        <w:rPr>
          <w:lang w:eastAsia="en-AU"/>
        </w:rPr>
      </w:pPr>
      <w:bookmarkStart w:id="149" w:name="_Toc247691526"/>
      <w:bookmarkStart w:id="150" w:name="_Toc314842509"/>
      <w:bookmarkStart w:id="151" w:name="_Toc517697997"/>
      <w:r w:rsidRPr="00113BDB">
        <w:rPr>
          <w:lang w:eastAsia="en-AU"/>
        </w:rPr>
        <w:t>Risk m</w:t>
      </w:r>
      <w:r w:rsidR="008E7846" w:rsidRPr="00113BDB">
        <w:rPr>
          <w:lang w:eastAsia="en-AU"/>
        </w:rPr>
        <w:t xml:space="preserve">anagement </w:t>
      </w:r>
      <w:r w:rsidRPr="00113BDB">
        <w:rPr>
          <w:lang w:eastAsia="en-AU"/>
        </w:rPr>
        <w:t>p</w:t>
      </w:r>
      <w:r w:rsidR="008E7846" w:rsidRPr="00113BDB">
        <w:rPr>
          <w:lang w:eastAsia="en-AU"/>
        </w:rPr>
        <w:t>lan</w:t>
      </w:r>
      <w:bookmarkEnd w:id="149"/>
      <w:bookmarkEnd w:id="150"/>
      <w:bookmarkEnd w:id="151"/>
    </w:p>
    <w:p w14:paraId="58188B40" w14:textId="0A978C7B" w:rsidR="00964ED7" w:rsidRPr="00113BDB" w:rsidRDefault="008E7846" w:rsidP="00C36733">
      <w:pPr>
        <w:pStyle w:val="ListBullet"/>
        <w:rPr>
          <w:lang w:eastAsia="en-AU"/>
        </w:rPr>
      </w:pPr>
      <w:r w:rsidRPr="00113BDB">
        <w:rPr>
          <w:lang w:eastAsia="en-AU"/>
        </w:rPr>
        <w:t>The sponsor submitted a Risk Management Plan</w:t>
      </w:r>
      <w:r w:rsidR="00E27C29" w:rsidRPr="00113BDB">
        <w:rPr>
          <w:lang w:eastAsia="en-AU"/>
        </w:rPr>
        <w:t xml:space="preserve"> (RMP):</w:t>
      </w:r>
      <w:r w:rsidR="006F25B8" w:rsidRPr="00113BDB">
        <w:rPr>
          <w:lang w:eastAsia="en-AU"/>
        </w:rPr>
        <w:t xml:space="preserve"> </w:t>
      </w:r>
      <w:r w:rsidR="00E27C29" w:rsidRPr="00113BDB">
        <w:rPr>
          <w:lang w:eastAsia="en-AU"/>
        </w:rPr>
        <w:t>EU RMP version 5.2 (dated 1 </w:t>
      </w:r>
      <w:r w:rsidR="00964ED7" w:rsidRPr="00113BDB">
        <w:rPr>
          <w:lang w:eastAsia="en-AU"/>
        </w:rPr>
        <w:t xml:space="preserve">August 2016; </w:t>
      </w:r>
      <w:r w:rsidR="00E27C29" w:rsidRPr="00113BDB">
        <w:rPr>
          <w:lang w:eastAsia="en-AU"/>
        </w:rPr>
        <w:t>data lock point (</w:t>
      </w:r>
      <w:r w:rsidR="00964ED7" w:rsidRPr="00113BDB">
        <w:rPr>
          <w:lang w:eastAsia="en-AU"/>
        </w:rPr>
        <w:t>DLP</w:t>
      </w:r>
      <w:r w:rsidR="00E27C29" w:rsidRPr="00113BDB">
        <w:rPr>
          <w:lang w:eastAsia="en-AU"/>
        </w:rPr>
        <w:t>)</w:t>
      </w:r>
      <w:r w:rsidR="00964ED7" w:rsidRPr="00113BDB">
        <w:rPr>
          <w:lang w:eastAsia="en-AU"/>
        </w:rPr>
        <w:t xml:space="preserve"> 1 June 2015) and </w:t>
      </w:r>
      <w:r w:rsidR="00E27C29" w:rsidRPr="00113BDB">
        <w:rPr>
          <w:lang w:eastAsia="en-AU"/>
        </w:rPr>
        <w:t>Australian Specific Annex (</w:t>
      </w:r>
      <w:r w:rsidR="00964ED7" w:rsidRPr="00113BDB">
        <w:rPr>
          <w:lang w:eastAsia="en-AU"/>
        </w:rPr>
        <w:t>ASA</w:t>
      </w:r>
      <w:r w:rsidR="00E27C29" w:rsidRPr="00113BDB">
        <w:rPr>
          <w:lang w:eastAsia="en-AU"/>
        </w:rPr>
        <w:t>)</w:t>
      </w:r>
      <w:r w:rsidR="00964ED7" w:rsidRPr="00113BDB">
        <w:rPr>
          <w:lang w:eastAsia="en-AU"/>
        </w:rPr>
        <w:t xml:space="preserve"> version 1 (date</w:t>
      </w:r>
      <w:r w:rsidR="00E27C29" w:rsidRPr="00113BDB">
        <w:rPr>
          <w:lang w:eastAsia="en-AU"/>
        </w:rPr>
        <w:t>d</w:t>
      </w:r>
      <w:r w:rsidR="00964ED7" w:rsidRPr="00113BDB">
        <w:rPr>
          <w:lang w:eastAsia="en-AU"/>
        </w:rPr>
        <w:t xml:space="preserve"> 9 September 2016) in support of this application.</w:t>
      </w:r>
    </w:p>
    <w:p w14:paraId="40A2F3D6" w14:textId="3A8B0ACB" w:rsidR="00964ED7" w:rsidRPr="00113BDB" w:rsidRDefault="00964ED7" w:rsidP="00C36733">
      <w:pPr>
        <w:pStyle w:val="ListBullet"/>
        <w:rPr>
          <w:lang w:eastAsia="en-AU"/>
        </w:rPr>
      </w:pPr>
      <w:r w:rsidRPr="00113BDB">
        <w:rPr>
          <w:lang w:eastAsia="en-AU"/>
        </w:rPr>
        <w:t xml:space="preserve">The </w:t>
      </w:r>
      <w:r w:rsidR="00AB7DA4" w:rsidRPr="00113BDB">
        <w:rPr>
          <w:lang w:eastAsia="en-AU"/>
        </w:rPr>
        <w:t>s</w:t>
      </w:r>
      <w:r w:rsidRPr="00113BDB">
        <w:rPr>
          <w:lang w:eastAsia="en-AU"/>
        </w:rPr>
        <w:t>ponsor submitted an application to the TGA for t</w:t>
      </w:r>
      <w:r w:rsidR="00E27C29" w:rsidRPr="00113BDB">
        <w:rPr>
          <w:lang w:eastAsia="en-AU"/>
        </w:rPr>
        <w:t xml:space="preserve">his product in 2012, and the EU </w:t>
      </w:r>
      <w:r w:rsidRPr="00113BDB">
        <w:rPr>
          <w:lang w:eastAsia="en-AU"/>
        </w:rPr>
        <w:t>RMP (version 1.0; dated 8 September 2011) and the ASA (version 1.0; dated</w:t>
      </w:r>
      <w:r w:rsidR="00AC60B3">
        <w:rPr>
          <w:lang w:eastAsia="en-AU"/>
        </w:rPr>
        <w:t> </w:t>
      </w:r>
      <w:r w:rsidRPr="00113BDB">
        <w:rPr>
          <w:lang w:eastAsia="en-AU"/>
        </w:rPr>
        <w:t>6</w:t>
      </w:r>
      <w:r w:rsidR="00AC60B3">
        <w:rPr>
          <w:lang w:eastAsia="en-AU"/>
        </w:rPr>
        <w:t> </w:t>
      </w:r>
      <w:r w:rsidRPr="00113BDB">
        <w:rPr>
          <w:lang w:eastAsia="en-AU"/>
        </w:rPr>
        <w:t>February 2012) that accompanied this applicatio</w:t>
      </w:r>
      <w:r w:rsidR="00AB7DA4" w:rsidRPr="00113BDB">
        <w:rPr>
          <w:lang w:eastAsia="en-AU"/>
        </w:rPr>
        <w:t>n were evaluated. However, the s</w:t>
      </w:r>
      <w:r w:rsidRPr="00113BDB">
        <w:rPr>
          <w:lang w:eastAsia="en-AU"/>
        </w:rPr>
        <w:t>ponsor withdrew this application because the issues raised regarding</w:t>
      </w:r>
      <w:r w:rsidR="00E27C29" w:rsidRPr="00113BDB">
        <w:rPr>
          <w:lang w:eastAsia="en-AU"/>
        </w:rPr>
        <w:t xml:space="preserve"> CV</w:t>
      </w:r>
      <w:r w:rsidRPr="00113BDB">
        <w:rPr>
          <w:lang w:eastAsia="en-AU"/>
        </w:rPr>
        <w:t xml:space="preserve"> safety of the product was n</w:t>
      </w:r>
      <w:r w:rsidR="00AB7DA4" w:rsidRPr="00113BDB">
        <w:rPr>
          <w:lang w:eastAsia="en-AU"/>
        </w:rPr>
        <w:t>ot addressed at that time. The s</w:t>
      </w:r>
      <w:r w:rsidRPr="00113BDB">
        <w:rPr>
          <w:lang w:eastAsia="en-AU"/>
        </w:rPr>
        <w:t xml:space="preserve">ponsor has made this current submission based on the original dossier submitted in 2012, with new/amended information to demonstrate </w:t>
      </w:r>
      <w:r w:rsidR="00E27C29" w:rsidRPr="00113BDB">
        <w:rPr>
          <w:lang w:eastAsia="en-AU"/>
        </w:rPr>
        <w:t>CV</w:t>
      </w:r>
      <w:r w:rsidR="00AB7DA4" w:rsidRPr="00113BDB">
        <w:rPr>
          <w:lang w:eastAsia="en-AU"/>
        </w:rPr>
        <w:t xml:space="preserve"> safety.</w:t>
      </w:r>
    </w:p>
    <w:p w14:paraId="46712D90" w14:textId="77777777" w:rsidR="00964ED7" w:rsidRPr="00113BDB" w:rsidRDefault="00AB7DA4" w:rsidP="00C36733">
      <w:pPr>
        <w:pStyle w:val="ListBullet"/>
        <w:rPr>
          <w:lang w:eastAsia="en-AU"/>
        </w:rPr>
      </w:pPr>
      <w:r w:rsidRPr="00113BDB">
        <w:rPr>
          <w:lang w:eastAsia="en-AU"/>
        </w:rPr>
        <w:t>With the</w:t>
      </w:r>
      <w:r w:rsidR="00964ED7" w:rsidRPr="00113BDB">
        <w:rPr>
          <w:lang w:eastAsia="en-AU"/>
        </w:rPr>
        <w:t xml:space="preserve"> responses</w:t>
      </w:r>
      <w:r w:rsidRPr="00113BDB">
        <w:rPr>
          <w:lang w:eastAsia="en-AU"/>
        </w:rPr>
        <w:t xml:space="preserve"> to evaluation reports and questions raised in the first round evaluations</w:t>
      </w:r>
      <w:r w:rsidR="00964ED7" w:rsidRPr="00113BDB">
        <w:rPr>
          <w:lang w:eastAsia="en-AU"/>
        </w:rPr>
        <w:t>, the sponsor provided an updated ASA version 1.1 (dated 29 May 2017).</w:t>
      </w:r>
    </w:p>
    <w:p w14:paraId="7EEDB876" w14:textId="5C1C10B9" w:rsidR="00964ED7" w:rsidRPr="00113BDB" w:rsidRDefault="00964ED7" w:rsidP="00C36733">
      <w:pPr>
        <w:pStyle w:val="ListBullet"/>
        <w:rPr>
          <w:lang w:eastAsia="en-AU"/>
        </w:rPr>
      </w:pPr>
      <w:r w:rsidRPr="00113BDB">
        <w:rPr>
          <w:lang w:eastAsia="en-AU"/>
        </w:rPr>
        <w:t xml:space="preserve">The proposed Summary of Safety Concerns and their associated risk monitoring and mitigation strategies are summarised </w:t>
      </w:r>
      <w:r w:rsidR="007504B7" w:rsidRPr="00113BDB">
        <w:rPr>
          <w:lang w:eastAsia="en-AU"/>
        </w:rPr>
        <w:t>in Table 1</w:t>
      </w:r>
      <w:r w:rsidR="00825A1E">
        <w:rPr>
          <w:lang w:eastAsia="en-AU"/>
        </w:rPr>
        <w:t>2</w:t>
      </w:r>
      <w:r w:rsidR="00AB7DA4" w:rsidRPr="00113BDB">
        <w:rPr>
          <w:lang w:eastAsia="en-AU"/>
        </w:rPr>
        <w:t xml:space="preserve"> </w:t>
      </w:r>
      <w:r w:rsidRPr="00113BDB">
        <w:rPr>
          <w:lang w:eastAsia="en-AU"/>
        </w:rPr>
        <w:t>below</w:t>
      </w:r>
      <w:r w:rsidR="00AB7DA4" w:rsidRPr="00113BDB">
        <w:rPr>
          <w:lang w:eastAsia="en-AU"/>
        </w:rPr>
        <w:t>.</w:t>
      </w:r>
    </w:p>
    <w:p w14:paraId="00CA8E31" w14:textId="0329E019" w:rsidR="00AB7DA4" w:rsidRPr="00113BDB" w:rsidRDefault="00E27C29" w:rsidP="004A4740">
      <w:pPr>
        <w:pStyle w:val="Tabletitle0"/>
        <w:rPr>
          <w:lang w:eastAsia="en-AU"/>
        </w:rPr>
      </w:pPr>
      <w:r w:rsidRPr="00113BDB">
        <w:rPr>
          <w:lang w:eastAsia="en-AU"/>
        </w:rPr>
        <w:t>Table 1</w:t>
      </w:r>
      <w:r w:rsidR="00825A1E">
        <w:rPr>
          <w:lang w:eastAsia="en-AU"/>
        </w:rPr>
        <w:t>2</w:t>
      </w:r>
      <w:r w:rsidR="00186073">
        <w:rPr>
          <w:lang w:eastAsia="en-AU"/>
        </w:rPr>
        <w:t>:</w:t>
      </w:r>
      <w:r w:rsidR="00AB7DA4" w:rsidRPr="00113BDB">
        <w:rPr>
          <w:lang w:eastAsia="en-AU"/>
        </w:rPr>
        <w:t xml:space="preserve"> </w:t>
      </w:r>
      <w:r w:rsidR="00463074" w:rsidRPr="00113BDB">
        <w:rPr>
          <w:lang w:eastAsia="en-AU"/>
        </w:rPr>
        <w:t>Sponsor’s s</w:t>
      </w:r>
      <w:r w:rsidR="00AB7DA4" w:rsidRPr="00113BDB">
        <w:rPr>
          <w:lang w:eastAsia="en-AU"/>
        </w:rPr>
        <w:t xml:space="preserve">ummary of </w:t>
      </w:r>
      <w:r w:rsidR="00463074" w:rsidRPr="00113BDB">
        <w:rPr>
          <w:lang w:eastAsia="en-AU"/>
        </w:rPr>
        <w:t xml:space="preserve">ongoing </w:t>
      </w:r>
      <w:r w:rsidR="00AB7DA4" w:rsidRPr="00113BDB">
        <w:rPr>
          <w:lang w:eastAsia="en-AU"/>
        </w:rPr>
        <w:t>safety concerns</w:t>
      </w:r>
    </w:p>
    <w:tbl>
      <w:tblPr>
        <w:tblStyle w:val="TableTGAblue"/>
        <w:tblW w:w="9372" w:type="dxa"/>
        <w:tblLayout w:type="fixed"/>
        <w:tblLook w:val="04A0" w:firstRow="1" w:lastRow="0" w:firstColumn="1" w:lastColumn="0" w:noHBand="0" w:noVBand="1"/>
        <w:tblDescription w:val="Table 12: Sponsor’s summary of ongoing safety concerns"/>
      </w:tblPr>
      <w:tblGrid>
        <w:gridCol w:w="1452"/>
        <w:gridCol w:w="3420"/>
        <w:gridCol w:w="990"/>
        <w:gridCol w:w="1260"/>
        <w:gridCol w:w="990"/>
        <w:gridCol w:w="1260"/>
      </w:tblGrid>
      <w:tr w:rsidR="00316B24" w:rsidRPr="00113BDB" w14:paraId="5B480AF0" w14:textId="77777777" w:rsidTr="00E27C29">
        <w:trPr>
          <w:cnfStyle w:val="100000000000" w:firstRow="1" w:lastRow="0" w:firstColumn="0" w:lastColumn="0" w:oddVBand="0" w:evenVBand="0" w:oddHBand="0" w:evenHBand="0" w:firstRowFirstColumn="0" w:firstRowLastColumn="0" w:lastRowFirstColumn="0" w:lastRowLastColumn="0"/>
          <w:trHeight w:val="131"/>
        </w:trPr>
        <w:tc>
          <w:tcPr>
            <w:tcW w:w="4872" w:type="dxa"/>
            <w:gridSpan w:val="2"/>
            <w:vMerge w:val="restart"/>
            <w:tcBorders>
              <w:right w:val="single" w:sz="4" w:space="0" w:color="auto"/>
            </w:tcBorders>
          </w:tcPr>
          <w:p w14:paraId="75BDA312" w14:textId="77777777" w:rsidR="00964ED7" w:rsidRPr="00113BDB" w:rsidRDefault="00964ED7" w:rsidP="00316B24">
            <w:pPr>
              <w:ind w:left="0" w:right="0"/>
            </w:pPr>
            <w:r w:rsidRPr="00113BDB">
              <w:t>Summary of safety concerns</w:t>
            </w:r>
          </w:p>
        </w:tc>
        <w:tc>
          <w:tcPr>
            <w:tcW w:w="2250" w:type="dxa"/>
            <w:gridSpan w:val="2"/>
            <w:tcBorders>
              <w:left w:val="single" w:sz="4" w:space="0" w:color="auto"/>
              <w:right w:val="single" w:sz="4" w:space="0" w:color="auto"/>
            </w:tcBorders>
          </w:tcPr>
          <w:p w14:paraId="0725EF5E" w14:textId="77777777" w:rsidR="00964ED7" w:rsidRPr="00113BDB" w:rsidRDefault="00964ED7" w:rsidP="00316B24">
            <w:pPr>
              <w:ind w:left="0" w:right="0"/>
            </w:pPr>
            <w:r w:rsidRPr="00113BDB">
              <w:t>Pharmacovigilance</w:t>
            </w:r>
          </w:p>
        </w:tc>
        <w:tc>
          <w:tcPr>
            <w:tcW w:w="2250" w:type="dxa"/>
            <w:gridSpan w:val="2"/>
            <w:tcBorders>
              <w:left w:val="single" w:sz="4" w:space="0" w:color="auto"/>
            </w:tcBorders>
          </w:tcPr>
          <w:p w14:paraId="555C9189" w14:textId="77777777" w:rsidR="00964ED7" w:rsidRPr="00113BDB" w:rsidRDefault="00964ED7" w:rsidP="00316B24">
            <w:pPr>
              <w:ind w:left="0" w:right="0"/>
            </w:pPr>
            <w:r w:rsidRPr="00113BDB">
              <w:t>Risk Minimisation</w:t>
            </w:r>
          </w:p>
        </w:tc>
      </w:tr>
      <w:tr w:rsidR="00316B24" w:rsidRPr="00113BDB" w14:paraId="79CE6DE9" w14:textId="77777777" w:rsidTr="00545779">
        <w:trPr>
          <w:trHeight w:val="550"/>
        </w:trPr>
        <w:tc>
          <w:tcPr>
            <w:tcW w:w="4872" w:type="dxa"/>
            <w:gridSpan w:val="2"/>
            <w:vMerge/>
            <w:tcBorders>
              <w:right w:val="single" w:sz="4" w:space="0" w:color="auto"/>
            </w:tcBorders>
          </w:tcPr>
          <w:p w14:paraId="75D86EAD" w14:textId="77777777" w:rsidR="00964ED7" w:rsidRPr="00113BDB" w:rsidRDefault="00964ED7" w:rsidP="00316B24">
            <w:pPr>
              <w:ind w:left="0" w:right="0"/>
              <w:rPr>
                <w:b/>
              </w:rPr>
            </w:pPr>
          </w:p>
        </w:tc>
        <w:tc>
          <w:tcPr>
            <w:tcW w:w="990" w:type="dxa"/>
            <w:tcBorders>
              <w:left w:val="single" w:sz="4" w:space="0" w:color="auto"/>
            </w:tcBorders>
          </w:tcPr>
          <w:p w14:paraId="0B1AECB8" w14:textId="77777777" w:rsidR="00964ED7" w:rsidRPr="00113BDB" w:rsidRDefault="00964ED7" w:rsidP="00316B24">
            <w:pPr>
              <w:ind w:left="0" w:right="0"/>
            </w:pPr>
            <w:r w:rsidRPr="00113BDB">
              <w:t>Routine</w:t>
            </w:r>
          </w:p>
        </w:tc>
        <w:tc>
          <w:tcPr>
            <w:tcW w:w="1260" w:type="dxa"/>
          </w:tcPr>
          <w:p w14:paraId="22F80AB7" w14:textId="77777777" w:rsidR="00964ED7" w:rsidRPr="00113BDB" w:rsidRDefault="00964ED7" w:rsidP="00316B24">
            <w:pPr>
              <w:ind w:left="0" w:right="0"/>
            </w:pPr>
            <w:r w:rsidRPr="00113BDB">
              <w:t>Additional</w:t>
            </w:r>
          </w:p>
        </w:tc>
        <w:tc>
          <w:tcPr>
            <w:tcW w:w="990" w:type="dxa"/>
          </w:tcPr>
          <w:p w14:paraId="20BFC6FB" w14:textId="77777777" w:rsidR="00964ED7" w:rsidRPr="00113BDB" w:rsidRDefault="00964ED7" w:rsidP="00316B24">
            <w:pPr>
              <w:ind w:left="0" w:right="0"/>
            </w:pPr>
            <w:r w:rsidRPr="00113BDB">
              <w:t>Routine</w:t>
            </w:r>
          </w:p>
        </w:tc>
        <w:tc>
          <w:tcPr>
            <w:tcW w:w="1260" w:type="dxa"/>
          </w:tcPr>
          <w:p w14:paraId="78413D02" w14:textId="77777777" w:rsidR="00964ED7" w:rsidRPr="00113BDB" w:rsidRDefault="00964ED7" w:rsidP="00316B24">
            <w:pPr>
              <w:ind w:left="0" w:right="0"/>
            </w:pPr>
            <w:r w:rsidRPr="00113BDB">
              <w:t>Additional</w:t>
            </w:r>
          </w:p>
        </w:tc>
      </w:tr>
      <w:tr w:rsidR="00316B24" w:rsidRPr="00113BDB" w14:paraId="0450D988" w14:textId="77777777" w:rsidTr="00316B24">
        <w:trPr>
          <w:trHeight w:val="137"/>
        </w:trPr>
        <w:tc>
          <w:tcPr>
            <w:tcW w:w="1452" w:type="dxa"/>
            <w:vMerge w:val="restart"/>
          </w:tcPr>
          <w:p w14:paraId="7F5B6AF8" w14:textId="77777777" w:rsidR="00964ED7" w:rsidRPr="00113BDB" w:rsidRDefault="00964ED7" w:rsidP="00316B24">
            <w:pPr>
              <w:ind w:left="0" w:right="0"/>
              <w:rPr>
                <w:b/>
                <w:sz w:val="21"/>
              </w:rPr>
            </w:pPr>
            <w:r w:rsidRPr="00113BDB">
              <w:rPr>
                <w:b/>
                <w:sz w:val="21"/>
              </w:rPr>
              <w:t>Important identified risks</w:t>
            </w:r>
          </w:p>
        </w:tc>
        <w:tc>
          <w:tcPr>
            <w:tcW w:w="3420" w:type="dxa"/>
          </w:tcPr>
          <w:p w14:paraId="71239883" w14:textId="77777777" w:rsidR="00964ED7" w:rsidRPr="00186073" w:rsidRDefault="00964ED7" w:rsidP="00316B24">
            <w:pPr>
              <w:ind w:left="0" w:right="0"/>
              <w:rPr>
                <w:sz w:val="18"/>
              </w:rPr>
            </w:pPr>
            <w:r w:rsidRPr="00186073">
              <w:rPr>
                <w:sz w:val="18"/>
              </w:rPr>
              <w:t>Hypoglycaemia</w:t>
            </w:r>
          </w:p>
        </w:tc>
        <w:tc>
          <w:tcPr>
            <w:tcW w:w="990" w:type="dxa"/>
          </w:tcPr>
          <w:p w14:paraId="7D9ED37F" w14:textId="77777777" w:rsidR="00964ED7" w:rsidRPr="00186073" w:rsidRDefault="00964ED7" w:rsidP="00186073">
            <w:pPr>
              <w:ind w:left="0" w:right="0"/>
              <w:jc w:val="center"/>
              <w:rPr>
                <w:sz w:val="18"/>
              </w:rPr>
            </w:pPr>
            <w:r w:rsidRPr="00186073">
              <w:rPr>
                <w:sz w:val="18"/>
              </w:rPr>
              <w:sym w:font="Wingdings" w:char="F0FC"/>
            </w:r>
          </w:p>
        </w:tc>
        <w:tc>
          <w:tcPr>
            <w:tcW w:w="1260" w:type="dxa"/>
          </w:tcPr>
          <w:p w14:paraId="51249D5B" w14:textId="77777777" w:rsidR="00964ED7" w:rsidRPr="00186073" w:rsidRDefault="00964ED7" w:rsidP="00186073">
            <w:pPr>
              <w:ind w:left="0" w:right="0"/>
              <w:jc w:val="center"/>
              <w:rPr>
                <w:sz w:val="18"/>
              </w:rPr>
            </w:pPr>
            <w:r w:rsidRPr="00186073">
              <w:rPr>
                <w:sz w:val="18"/>
              </w:rPr>
              <w:t>–</w:t>
            </w:r>
          </w:p>
        </w:tc>
        <w:tc>
          <w:tcPr>
            <w:tcW w:w="990" w:type="dxa"/>
          </w:tcPr>
          <w:p w14:paraId="04B58D65" w14:textId="77777777" w:rsidR="00964ED7" w:rsidRPr="00186073" w:rsidRDefault="00964ED7" w:rsidP="00186073">
            <w:pPr>
              <w:ind w:left="0" w:right="0"/>
              <w:jc w:val="center"/>
              <w:rPr>
                <w:sz w:val="18"/>
              </w:rPr>
            </w:pPr>
            <w:r w:rsidRPr="00186073">
              <w:rPr>
                <w:sz w:val="18"/>
              </w:rPr>
              <w:sym w:font="Wingdings" w:char="F0FC"/>
            </w:r>
          </w:p>
        </w:tc>
        <w:tc>
          <w:tcPr>
            <w:tcW w:w="1260" w:type="dxa"/>
          </w:tcPr>
          <w:p w14:paraId="43FE0D4B" w14:textId="77777777" w:rsidR="00964ED7" w:rsidRPr="00186073" w:rsidRDefault="00964ED7" w:rsidP="00186073">
            <w:pPr>
              <w:ind w:left="0" w:right="0"/>
              <w:jc w:val="center"/>
              <w:rPr>
                <w:sz w:val="18"/>
              </w:rPr>
            </w:pPr>
            <w:r w:rsidRPr="00186073">
              <w:rPr>
                <w:sz w:val="18"/>
              </w:rPr>
              <w:t>–</w:t>
            </w:r>
          </w:p>
        </w:tc>
      </w:tr>
      <w:tr w:rsidR="00316B24" w:rsidRPr="00113BDB" w14:paraId="277F2586" w14:textId="77777777" w:rsidTr="00316B24">
        <w:trPr>
          <w:trHeight w:val="94"/>
        </w:trPr>
        <w:tc>
          <w:tcPr>
            <w:tcW w:w="1452" w:type="dxa"/>
            <w:vMerge/>
          </w:tcPr>
          <w:p w14:paraId="2CB5DD5F" w14:textId="77777777" w:rsidR="00964ED7" w:rsidRPr="00113BDB" w:rsidRDefault="00964ED7" w:rsidP="00316B24">
            <w:pPr>
              <w:ind w:left="0" w:right="0"/>
              <w:rPr>
                <w:b/>
                <w:sz w:val="21"/>
              </w:rPr>
            </w:pPr>
          </w:p>
        </w:tc>
        <w:tc>
          <w:tcPr>
            <w:tcW w:w="3420" w:type="dxa"/>
          </w:tcPr>
          <w:p w14:paraId="57FA4A5F" w14:textId="77777777" w:rsidR="00964ED7" w:rsidRPr="00186073" w:rsidRDefault="00964ED7" w:rsidP="00316B24">
            <w:pPr>
              <w:ind w:left="0" w:right="0"/>
              <w:rPr>
                <w:sz w:val="18"/>
              </w:rPr>
            </w:pPr>
            <w:r w:rsidRPr="00186073">
              <w:rPr>
                <w:sz w:val="18"/>
              </w:rPr>
              <w:t>Immunogenicity-related events (allergic reactions)</w:t>
            </w:r>
          </w:p>
        </w:tc>
        <w:tc>
          <w:tcPr>
            <w:tcW w:w="990" w:type="dxa"/>
          </w:tcPr>
          <w:p w14:paraId="3803F594" w14:textId="77777777" w:rsidR="00964ED7" w:rsidRPr="00186073" w:rsidRDefault="00964ED7" w:rsidP="00186073">
            <w:pPr>
              <w:ind w:left="0" w:right="0"/>
              <w:jc w:val="center"/>
              <w:rPr>
                <w:sz w:val="18"/>
              </w:rPr>
            </w:pPr>
            <w:r w:rsidRPr="00186073">
              <w:rPr>
                <w:sz w:val="18"/>
              </w:rPr>
              <w:sym w:font="Wingdings" w:char="F0FC"/>
            </w:r>
          </w:p>
        </w:tc>
        <w:tc>
          <w:tcPr>
            <w:tcW w:w="1260" w:type="dxa"/>
          </w:tcPr>
          <w:p w14:paraId="0AF10B28" w14:textId="77777777" w:rsidR="00964ED7" w:rsidRPr="00186073" w:rsidRDefault="00964ED7" w:rsidP="00186073">
            <w:pPr>
              <w:ind w:left="0" w:right="0"/>
              <w:jc w:val="center"/>
              <w:rPr>
                <w:sz w:val="18"/>
              </w:rPr>
            </w:pPr>
            <w:r w:rsidRPr="00186073">
              <w:rPr>
                <w:sz w:val="18"/>
              </w:rPr>
              <w:t>–</w:t>
            </w:r>
          </w:p>
        </w:tc>
        <w:tc>
          <w:tcPr>
            <w:tcW w:w="990" w:type="dxa"/>
          </w:tcPr>
          <w:p w14:paraId="5C45AF95" w14:textId="77777777" w:rsidR="00964ED7" w:rsidRPr="00186073" w:rsidRDefault="00964ED7" w:rsidP="00186073">
            <w:pPr>
              <w:ind w:left="0" w:right="0"/>
              <w:jc w:val="center"/>
              <w:rPr>
                <w:sz w:val="18"/>
              </w:rPr>
            </w:pPr>
            <w:r w:rsidRPr="00186073">
              <w:rPr>
                <w:sz w:val="18"/>
              </w:rPr>
              <w:sym w:font="Wingdings" w:char="F0FC"/>
            </w:r>
          </w:p>
        </w:tc>
        <w:tc>
          <w:tcPr>
            <w:tcW w:w="1260" w:type="dxa"/>
          </w:tcPr>
          <w:p w14:paraId="786DCDDA" w14:textId="77777777" w:rsidR="00964ED7" w:rsidRPr="00186073" w:rsidRDefault="00964ED7" w:rsidP="00186073">
            <w:pPr>
              <w:ind w:left="0" w:right="0"/>
              <w:jc w:val="center"/>
              <w:rPr>
                <w:sz w:val="18"/>
              </w:rPr>
            </w:pPr>
            <w:r w:rsidRPr="00186073">
              <w:rPr>
                <w:sz w:val="18"/>
              </w:rPr>
              <w:t>–</w:t>
            </w:r>
          </w:p>
        </w:tc>
      </w:tr>
      <w:tr w:rsidR="00316B24" w:rsidRPr="00113BDB" w14:paraId="38AE45EE" w14:textId="77777777" w:rsidTr="00316B24">
        <w:trPr>
          <w:trHeight w:val="159"/>
        </w:trPr>
        <w:tc>
          <w:tcPr>
            <w:tcW w:w="1452" w:type="dxa"/>
            <w:vMerge w:val="restart"/>
          </w:tcPr>
          <w:p w14:paraId="53CF4CF0" w14:textId="77777777" w:rsidR="00964ED7" w:rsidRPr="00113BDB" w:rsidRDefault="00964ED7" w:rsidP="00316B24">
            <w:pPr>
              <w:ind w:left="0" w:right="0"/>
              <w:rPr>
                <w:b/>
                <w:sz w:val="21"/>
              </w:rPr>
            </w:pPr>
            <w:r w:rsidRPr="00113BDB">
              <w:rPr>
                <w:b/>
                <w:sz w:val="21"/>
              </w:rPr>
              <w:t>Important potential risks</w:t>
            </w:r>
          </w:p>
        </w:tc>
        <w:tc>
          <w:tcPr>
            <w:tcW w:w="3420" w:type="dxa"/>
          </w:tcPr>
          <w:p w14:paraId="52C7630F" w14:textId="149F09CB" w:rsidR="00964ED7" w:rsidRPr="00186073" w:rsidRDefault="00964ED7" w:rsidP="00316B24">
            <w:pPr>
              <w:ind w:left="0" w:right="0"/>
              <w:rPr>
                <w:sz w:val="18"/>
              </w:rPr>
            </w:pPr>
            <w:r w:rsidRPr="00186073">
              <w:rPr>
                <w:sz w:val="18"/>
              </w:rPr>
              <w:t>Medication errors due to mix-up between Ryzodeg and bolus insulin</w:t>
            </w:r>
          </w:p>
        </w:tc>
        <w:tc>
          <w:tcPr>
            <w:tcW w:w="990" w:type="dxa"/>
          </w:tcPr>
          <w:p w14:paraId="4630286A" w14:textId="77777777" w:rsidR="00964ED7" w:rsidRPr="00186073" w:rsidRDefault="00964ED7" w:rsidP="00186073">
            <w:pPr>
              <w:ind w:left="0" w:right="0"/>
              <w:jc w:val="center"/>
              <w:rPr>
                <w:sz w:val="18"/>
              </w:rPr>
            </w:pPr>
            <w:r w:rsidRPr="00186073">
              <w:rPr>
                <w:sz w:val="18"/>
              </w:rPr>
              <w:sym w:font="Wingdings" w:char="F0FC"/>
            </w:r>
          </w:p>
        </w:tc>
        <w:tc>
          <w:tcPr>
            <w:tcW w:w="1260" w:type="dxa"/>
          </w:tcPr>
          <w:p w14:paraId="408B4EE9" w14:textId="77777777" w:rsidR="00964ED7" w:rsidRPr="00186073" w:rsidRDefault="00964ED7" w:rsidP="00186073">
            <w:pPr>
              <w:ind w:left="0" w:right="0"/>
              <w:jc w:val="center"/>
              <w:rPr>
                <w:sz w:val="18"/>
              </w:rPr>
            </w:pPr>
            <w:r w:rsidRPr="00186073">
              <w:rPr>
                <w:sz w:val="18"/>
              </w:rPr>
              <w:t>–</w:t>
            </w:r>
          </w:p>
        </w:tc>
        <w:tc>
          <w:tcPr>
            <w:tcW w:w="990" w:type="dxa"/>
          </w:tcPr>
          <w:p w14:paraId="3B5F29C5" w14:textId="77777777" w:rsidR="00964ED7" w:rsidRPr="00186073" w:rsidRDefault="00964ED7" w:rsidP="00186073">
            <w:pPr>
              <w:ind w:left="0" w:right="0"/>
              <w:jc w:val="center"/>
              <w:rPr>
                <w:sz w:val="18"/>
              </w:rPr>
            </w:pPr>
            <w:r w:rsidRPr="00186073">
              <w:rPr>
                <w:sz w:val="18"/>
              </w:rPr>
              <w:sym w:font="Wingdings" w:char="F0FC"/>
            </w:r>
          </w:p>
        </w:tc>
        <w:tc>
          <w:tcPr>
            <w:tcW w:w="1260" w:type="dxa"/>
          </w:tcPr>
          <w:p w14:paraId="4CD23E56" w14:textId="77777777" w:rsidR="00964ED7" w:rsidRPr="00186073" w:rsidRDefault="00964ED7" w:rsidP="00186073">
            <w:pPr>
              <w:ind w:left="0" w:right="0"/>
              <w:jc w:val="center"/>
              <w:rPr>
                <w:sz w:val="18"/>
              </w:rPr>
            </w:pPr>
            <w:r w:rsidRPr="00186073">
              <w:rPr>
                <w:sz w:val="18"/>
              </w:rPr>
              <w:t>–</w:t>
            </w:r>
          </w:p>
        </w:tc>
      </w:tr>
      <w:tr w:rsidR="00316B24" w:rsidRPr="00113BDB" w14:paraId="52C2D448" w14:textId="77777777" w:rsidTr="00316B24">
        <w:trPr>
          <w:trHeight w:val="122"/>
        </w:trPr>
        <w:tc>
          <w:tcPr>
            <w:tcW w:w="1452" w:type="dxa"/>
            <w:vMerge/>
          </w:tcPr>
          <w:p w14:paraId="10BD8964" w14:textId="77777777" w:rsidR="00964ED7" w:rsidRPr="00113BDB" w:rsidRDefault="00964ED7" w:rsidP="00316B24">
            <w:pPr>
              <w:ind w:left="0" w:right="0"/>
              <w:rPr>
                <w:b/>
                <w:sz w:val="21"/>
              </w:rPr>
            </w:pPr>
          </w:p>
        </w:tc>
        <w:tc>
          <w:tcPr>
            <w:tcW w:w="3420" w:type="dxa"/>
          </w:tcPr>
          <w:p w14:paraId="524C7135" w14:textId="6F7A61A8" w:rsidR="00964ED7" w:rsidRPr="00186073" w:rsidRDefault="00463074" w:rsidP="00316B24">
            <w:pPr>
              <w:ind w:left="0" w:right="0"/>
              <w:rPr>
                <w:sz w:val="18"/>
              </w:rPr>
            </w:pPr>
            <w:r w:rsidRPr="00186073">
              <w:rPr>
                <w:sz w:val="18"/>
              </w:rPr>
              <w:t xml:space="preserve">Immunological events; </w:t>
            </w:r>
            <w:r w:rsidR="00964ED7" w:rsidRPr="00186073">
              <w:rPr>
                <w:sz w:val="18"/>
              </w:rPr>
              <w:t>formation of neutralising insulin antibodies</w:t>
            </w:r>
          </w:p>
        </w:tc>
        <w:tc>
          <w:tcPr>
            <w:tcW w:w="990" w:type="dxa"/>
          </w:tcPr>
          <w:p w14:paraId="599FDAB7" w14:textId="77777777" w:rsidR="00964ED7" w:rsidRPr="00186073" w:rsidRDefault="00964ED7" w:rsidP="00186073">
            <w:pPr>
              <w:ind w:left="0" w:right="0"/>
              <w:jc w:val="center"/>
              <w:rPr>
                <w:sz w:val="18"/>
              </w:rPr>
            </w:pPr>
            <w:r w:rsidRPr="00186073">
              <w:rPr>
                <w:sz w:val="18"/>
              </w:rPr>
              <w:sym w:font="Wingdings" w:char="F0FC"/>
            </w:r>
          </w:p>
        </w:tc>
        <w:tc>
          <w:tcPr>
            <w:tcW w:w="1260" w:type="dxa"/>
          </w:tcPr>
          <w:p w14:paraId="64967DDD" w14:textId="77777777" w:rsidR="00964ED7" w:rsidRPr="00186073" w:rsidRDefault="00964ED7" w:rsidP="00186073">
            <w:pPr>
              <w:ind w:left="0" w:right="0"/>
              <w:jc w:val="center"/>
              <w:rPr>
                <w:sz w:val="18"/>
              </w:rPr>
            </w:pPr>
            <w:r w:rsidRPr="00186073">
              <w:rPr>
                <w:sz w:val="18"/>
              </w:rPr>
              <w:t>–</w:t>
            </w:r>
          </w:p>
        </w:tc>
        <w:tc>
          <w:tcPr>
            <w:tcW w:w="990" w:type="dxa"/>
          </w:tcPr>
          <w:p w14:paraId="7C6769E3" w14:textId="77777777" w:rsidR="00964ED7" w:rsidRPr="00186073" w:rsidRDefault="00964ED7" w:rsidP="00186073">
            <w:pPr>
              <w:ind w:left="0" w:right="0"/>
              <w:jc w:val="center"/>
              <w:rPr>
                <w:sz w:val="18"/>
              </w:rPr>
            </w:pPr>
            <w:r w:rsidRPr="00186073">
              <w:rPr>
                <w:sz w:val="18"/>
              </w:rPr>
              <w:sym w:font="Wingdings" w:char="F0FC"/>
            </w:r>
          </w:p>
        </w:tc>
        <w:tc>
          <w:tcPr>
            <w:tcW w:w="1260" w:type="dxa"/>
          </w:tcPr>
          <w:p w14:paraId="26562B2B" w14:textId="77777777" w:rsidR="00964ED7" w:rsidRPr="00186073" w:rsidRDefault="00964ED7" w:rsidP="00186073">
            <w:pPr>
              <w:ind w:left="0" w:right="0"/>
              <w:jc w:val="center"/>
              <w:rPr>
                <w:sz w:val="18"/>
              </w:rPr>
            </w:pPr>
            <w:r w:rsidRPr="00186073">
              <w:rPr>
                <w:sz w:val="18"/>
              </w:rPr>
              <w:t>–</w:t>
            </w:r>
          </w:p>
        </w:tc>
      </w:tr>
      <w:tr w:rsidR="00316B24" w:rsidRPr="00113BDB" w14:paraId="2127E1D9" w14:textId="77777777" w:rsidTr="00316B24">
        <w:trPr>
          <w:trHeight w:val="178"/>
        </w:trPr>
        <w:tc>
          <w:tcPr>
            <w:tcW w:w="1452" w:type="dxa"/>
            <w:vMerge w:val="restart"/>
          </w:tcPr>
          <w:p w14:paraId="1756A8D3" w14:textId="77777777" w:rsidR="00964ED7" w:rsidRPr="00113BDB" w:rsidRDefault="00964ED7" w:rsidP="00316B24">
            <w:pPr>
              <w:ind w:left="0" w:right="0"/>
              <w:rPr>
                <w:b/>
                <w:sz w:val="21"/>
              </w:rPr>
            </w:pPr>
            <w:r w:rsidRPr="00113BDB">
              <w:rPr>
                <w:b/>
                <w:sz w:val="21"/>
              </w:rPr>
              <w:t>Missing information</w:t>
            </w:r>
          </w:p>
        </w:tc>
        <w:tc>
          <w:tcPr>
            <w:tcW w:w="3420" w:type="dxa"/>
          </w:tcPr>
          <w:p w14:paraId="729751E2" w14:textId="77777777" w:rsidR="00964ED7" w:rsidRPr="00186073" w:rsidRDefault="00964ED7" w:rsidP="00316B24">
            <w:pPr>
              <w:ind w:left="0" w:right="0"/>
              <w:rPr>
                <w:sz w:val="18"/>
              </w:rPr>
            </w:pPr>
            <w:r w:rsidRPr="00186073">
              <w:rPr>
                <w:sz w:val="18"/>
              </w:rPr>
              <w:t>Pregnant and lactating women</w:t>
            </w:r>
          </w:p>
        </w:tc>
        <w:tc>
          <w:tcPr>
            <w:tcW w:w="990" w:type="dxa"/>
          </w:tcPr>
          <w:p w14:paraId="322D43E3" w14:textId="77777777" w:rsidR="00964ED7" w:rsidRPr="00186073" w:rsidRDefault="00964ED7" w:rsidP="00186073">
            <w:pPr>
              <w:ind w:left="0" w:right="0"/>
              <w:jc w:val="center"/>
              <w:rPr>
                <w:sz w:val="18"/>
              </w:rPr>
            </w:pPr>
            <w:r w:rsidRPr="00186073">
              <w:rPr>
                <w:sz w:val="18"/>
              </w:rPr>
              <w:sym w:font="Wingdings" w:char="F0FC"/>
            </w:r>
          </w:p>
        </w:tc>
        <w:tc>
          <w:tcPr>
            <w:tcW w:w="1260" w:type="dxa"/>
          </w:tcPr>
          <w:p w14:paraId="0D922DD0" w14:textId="77777777" w:rsidR="00964ED7" w:rsidRPr="00186073" w:rsidRDefault="00964ED7" w:rsidP="00186073">
            <w:pPr>
              <w:ind w:left="0" w:right="0"/>
              <w:jc w:val="center"/>
              <w:rPr>
                <w:sz w:val="18"/>
              </w:rPr>
            </w:pPr>
            <w:r w:rsidRPr="00186073">
              <w:rPr>
                <w:sz w:val="18"/>
              </w:rPr>
              <w:t>–</w:t>
            </w:r>
          </w:p>
        </w:tc>
        <w:tc>
          <w:tcPr>
            <w:tcW w:w="990" w:type="dxa"/>
          </w:tcPr>
          <w:p w14:paraId="3BF44FF1" w14:textId="77777777" w:rsidR="00964ED7" w:rsidRPr="00186073" w:rsidRDefault="00964ED7" w:rsidP="00186073">
            <w:pPr>
              <w:ind w:left="0" w:right="0"/>
              <w:jc w:val="center"/>
              <w:rPr>
                <w:sz w:val="18"/>
              </w:rPr>
            </w:pPr>
            <w:r w:rsidRPr="00186073">
              <w:rPr>
                <w:sz w:val="18"/>
              </w:rPr>
              <w:sym w:font="Wingdings" w:char="F0FC"/>
            </w:r>
          </w:p>
        </w:tc>
        <w:tc>
          <w:tcPr>
            <w:tcW w:w="1260" w:type="dxa"/>
          </w:tcPr>
          <w:p w14:paraId="26ABA00D" w14:textId="77777777" w:rsidR="00964ED7" w:rsidRPr="00186073" w:rsidRDefault="00964ED7" w:rsidP="00186073">
            <w:pPr>
              <w:ind w:left="0" w:right="0"/>
              <w:jc w:val="center"/>
              <w:rPr>
                <w:sz w:val="18"/>
              </w:rPr>
            </w:pPr>
            <w:r w:rsidRPr="00186073">
              <w:rPr>
                <w:sz w:val="18"/>
              </w:rPr>
              <w:t>–</w:t>
            </w:r>
          </w:p>
        </w:tc>
      </w:tr>
      <w:tr w:rsidR="00316B24" w:rsidRPr="00113BDB" w14:paraId="4E756D37" w14:textId="77777777" w:rsidTr="00316B24">
        <w:trPr>
          <w:trHeight w:val="103"/>
        </w:trPr>
        <w:tc>
          <w:tcPr>
            <w:tcW w:w="1452" w:type="dxa"/>
            <w:vMerge/>
          </w:tcPr>
          <w:p w14:paraId="1210147B" w14:textId="77777777" w:rsidR="00964ED7" w:rsidRPr="00113BDB" w:rsidRDefault="00964ED7" w:rsidP="00316B24">
            <w:pPr>
              <w:ind w:left="0" w:right="0"/>
              <w:rPr>
                <w:sz w:val="21"/>
              </w:rPr>
            </w:pPr>
          </w:p>
        </w:tc>
        <w:tc>
          <w:tcPr>
            <w:tcW w:w="3420" w:type="dxa"/>
          </w:tcPr>
          <w:p w14:paraId="0DEE7393" w14:textId="15326AB0" w:rsidR="00964ED7" w:rsidRPr="00186073" w:rsidRDefault="00964ED7" w:rsidP="00316B24">
            <w:pPr>
              <w:ind w:left="0" w:right="0"/>
              <w:rPr>
                <w:sz w:val="18"/>
              </w:rPr>
            </w:pPr>
            <w:r w:rsidRPr="00186073">
              <w:rPr>
                <w:sz w:val="18"/>
              </w:rPr>
              <w:t>Children &lt;</w:t>
            </w:r>
            <w:r w:rsidR="00463074" w:rsidRPr="00186073">
              <w:rPr>
                <w:sz w:val="18"/>
              </w:rPr>
              <w:t> </w:t>
            </w:r>
            <w:r w:rsidRPr="00186073">
              <w:rPr>
                <w:sz w:val="18"/>
              </w:rPr>
              <w:t>2 years of age with diabetes mellitus</w:t>
            </w:r>
          </w:p>
        </w:tc>
        <w:tc>
          <w:tcPr>
            <w:tcW w:w="990" w:type="dxa"/>
          </w:tcPr>
          <w:p w14:paraId="0FD48D6C" w14:textId="77777777" w:rsidR="00964ED7" w:rsidRPr="00186073" w:rsidRDefault="00964ED7" w:rsidP="00186073">
            <w:pPr>
              <w:ind w:left="0" w:right="0"/>
              <w:jc w:val="center"/>
              <w:rPr>
                <w:sz w:val="18"/>
              </w:rPr>
            </w:pPr>
            <w:r w:rsidRPr="00186073">
              <w:rPr>
                <w:sz w:val="18"/>
              </w:rPr>
              <w:sym w:font="Wingdings" w:char="F0FC"/>
            </w:r>
          </w:p>
        </w:tc>
        <w:tc>
          <w:tcPr>
            <w:tcW w:w="1260" w:type="dxa"/>
          </w:tcPr>
          <w:p w14:paraId="6842127E" w14:textId="77777777" w:rsidR="00964ED7" w:rsidRPr="00186073" w:rsidRDefault="00964ED7" w:rsidP="00186073">
            <w:pPr>
              <w:ind w:left="0" w:right="0"/>
              <w:jc w:val="center"/>
              <w:rPr>
                <w:sz w:val="18"/>
              </w:rPr>
            </w:pPr>
            <w:r w:rsidRPr="00186073">
              <w:rPr>
                <w:sz w:val="18"/>
              </w:rPr>
              <w:t>–</w:t>
            </w:r>
          </w:p>
        </w:tc>
        <w:tc>
          <w:tcPr>
            <w:tcW w:w="990" w:type="dxa"/>
          </w:tcPr>
          <w:p w14:paraId="49CC56B2" w14:textId="77777777" w:rsidR="00964ED7" w:rsidRPr="00186073" w:rsidRDefault="00964ED7" w:rsidP="00186073">
            <w:pPr>
              <w:ind w:left="0" w:right="0"/>
              <w:jc w:val="center"/>
              <w:rPr>
                <w:sz w:val="18"/>
              </w:rPr>
            </w:pPr>
            <w:r w:rsidRPr="00186073">
              <w:rPr>
                <w:sz w:val="18"/>
              </w:rPr>
              <w:sym w:font="Wingdings" w:char="F0FC"/>
            </w:r>
          </w:p>
        </w:tc>
        <w:tc>
          <w:tcPr>
            <w:tcW w:w="1260" w:type="dxa"/>
          </w:tcPr>
          <w:p w14:paraId="3F26CC39" w14:textId="77777777" w:rsidR="00964ED7" w:rsidRPr="00186073" w:rsidRDefault="00964ED7" w:rsidP="00186073">
            <w:pPr>
              <w:ind w:left="0" w:right="0"/>
              <w:jc w:val="center"/>
              <w:rPr>
                <w:sz w:val="18"/>
              </w:rPr>
            </w:pPr>
            <w:r w:rsidRPr="00186073">
              <w:rPr>
                <w:sz w:val="18"/>
              </w:rPr>
              <w:t>–</w:t>
            </w:r>
          </w:p>
        </w:tc>
      </w:tr>
      <w:tr w:rsidR="00316B24" w:rsidRPr="00113BDB" w14:paraId="1872A6BB" w14:textId="77777777" w:rsidTr="00316B24">
        <w:trPr>
          <w:trHeight w:val="103"/>
        </w:trPr>
        <w:tc>
          <w:tcPr>
            <w:tcW w:w="1452" w:type="dxa"/>
            <w:vMerge/>
          </w:tcPr>
          <w:p w14:paraId="09EBADE7" w14:textId="77777777" w:rsidR="00964ED7" w:rsidRPr="00113BDB" w:rsidRDefault="00964ED7" w:rsidP="00316B24">
            <w:pPr>
              <w:ind w:left="0" w:right="0"/>
              <w:rPr>
                <w:sz w:val="21"/>
              </w:rPr>
            </w:pPr>
          </w:p>
        </w:tc>
        <w:tc>
          <w:tcPr>
            <w:tcW w:w="3420" w:type="dxa"/>
          </w:tcPr>
          <w:p w14:paraId="317B1F01" w14:textId="2CB2A59F" w:rsidR="00964ED7" w:rsidRPr="00186073" w:rsidRDefault="00964ED7" w:rsidP="00316B24">
            <w:pPr>
              <w:ind w:left="0" w:right="0"/>
              <w:rPr>
                <w:sz w:val="18"/>
              </w:rPr>
            </w:pPr>
            <w:r w:rsidRPr="00186073">
              <w:rPr>
                <w:sz w:val="18"/>
              </w:rPr>
              <w:t>Children and adolescents &lt;</w:t>
            </w:r>
            <w:r w:rsidR="00463074" w:rsidRPr="00186073">
              <w:rPr>
                <w:sz w:val="18"/>
              </w:rPr>
              <w:t> 18 </w:t>
            </w:r>
            <w:r w:rsidRPr="00186073">
              <w:rPr>
                <w:sz w:val="18"/>
              </w:rPr>
              <w:t>years</w:t>
            </w:r>
            <w:r w:rsidR="00E27C29" w:rsidRPr="00186073">
              <w:rPr>
                <w:sz w:val="18"/>
                <w:vertAlign w:val="superscript"/>
              </w:rPr>
              <w:t>a</w:t>
            </w:r>
          </w:p>
        </w:tc>
        <w:tc>
          <w:tcPr>
            <w:tcW w:w="990" w:type="dxa"/>
          </w:tcPr>
          <w:p w14:paraId="5B614A05" w14:textId="77777777" w:rsidR="00964ED7" w:rsidRPr="00186073" w:rsidRDefault="00964ED7" w:rsidP="00186073">
            <w:pPr>
              <w:ind w:left="0" w:right="0"/>
              <w:jc w:val="center"/>
              <w:rPr>
                <w:sz w:val="18"/>
              </w:rPr>
            </w:pPr>
            <w:r w:rsidRPr="00186073">
              <w:rPr>
                <w:sz w:val="18"/>
              </w:rPr>
              <w:sym w:font="Wingdings" w:char="F0FC"/>
            </w:r>
          </w:p>
        </w:tc>
        <w:tc>
          <w:tcPr>
            <w:tcW w:w="1260" w:type="dxa"/>
          </w:tcPr>
          <w:p w14:paraId="3E6187CB" w14:textId="77777777" w:rsidR="00964ED7" w:rsidRPr="00186073" w:rsidRDefault="00964ED7" w:rsidP="00186073">
            <w:pPr>
              <w:ind w:left="0" w:right="0"/>
              <w:jc w:val="center"/>
              <w:rPr>
                <w:sz w:val="18"/>
              </w:rPr>
            </w:pPr>
            <w:r w:rsidRPr="00186073">
              <w:rPr>
                <w:sz w:val="18"/>
              </w:rPr>
              <w:t>–</w:t>
            </w:r>
          </w:p>
        </w:tc>
        <w:tc>
          <w:tcPr>
            <w:tcW w:w="990" w:type="dxa"/>
          </w:tcPr>
          <w:p w14:paraId="3EA358C1" w14:textId="77777777" w:rsidR="00964ED7" w:rsidRPr="00186073" w:rsidRDefault="00964ED7" w:rsidP="00186073">
            <w:pPr>
              <w:ind w:left="0" w:right="0"/>
              <w:jc w:val="center"/>
              <w:rPr>
                <w:sz w:val="18"/>
              </w:rPr>
            </w:pPr>
            <w:r w:rsidRPr="00186073">
              <w:rPr>
                <w:sz w:val="18"/>
              </w:rPr>
              <w:sym w:font="Wingdings" w:char="F0FC"/>
            </w:r>
          </w:p>
        </w:tc>
        <w:tc>
          <w:tcPr>
            <w:tcW w:w="1260" w:type="dxa"/>
          </w:tcPr>
          <w:p w14:paraId="1B90AE12" w14:textId="77777777" w:rsidR="00964ED7" w:rsidRPr="00186073" w:rsidRDefault="00964ED7" w:rsidP="00186073">
            <w:pPr>
              <w:ind w:left="0" w:right="0"/>
              <w:jc w:val="center"/>
              <w:rPr>
                <w:sz w:val="18"/>
              </w:rPr>
            </w:pPr>
            <w:r w:rsidRPr="00186073">
              <w:rPr>
                <w:sz w:val="18"/>
              </w:rPr>
              <w:t>–</w:t>
            </w:r>
          </w:p>
        </w:tc>
      </w:tr>
      <w:tr w:rsidR="00316B24" w:rsidRPr="00113BDB" w14:paraId="342026A7" w14:textId="77777777" w:rsidTr="00316B24">
        <w:trPr>
          <w:trHeight w:val="103"/>
        </w:trPr>
        <w:tc>
          <w:tcPr>
            <w:tcW w:w="1452" w:type="dxa"/>
            <w:vMerge/>
          </w:tcPr>
          <w:p w14:paraId="017324A3" w14:textId="77777777" w:rsidR="00964ED7" w:rsidRPr="00113BDB" w:rsidRDefault="00964ED7" w:rsidP="00316B24">
            <w:pPr>
              <w:ind w:left="0" w:right="0"/>
              <w:rPr>
                <w:sz w:val="21"/>
              </w:rPr>
            </w:pPr>
          </w:p>
        </w:tc>
        <w:tc>
          <w:tcPr>
            <w:tcW w:w="3420" w:type="dxa"/>
          </w:tcPr>
          <w:p w14:paraId="39512661" w14:textId="77777777" w:rsidR="00964ED7" w:rsidRPr="00186073" w:rsidRDefault="00964ED7" w:rsidP="00316B24">
            <w:pPr>
              <w:ind w:left="0" w:right="0"/>
              <w:rPr>
                <w:sz w:val="18"/>
              </w:rPr>
            </w:pPr>
            <w:r w:rsidRPr="00186073">
              <w:rPr>
                <w:sz w:val="18"/>
              </w:rPr>
              <w:t>Hepatic impairment</w:t>
            </w:r>
          </w:p>
        </w:tc>
        <w:tc>
          <w:tcPr>
            <w:tcW w:w="990" w:type="dxa"/>
          </w:tcPr>
          <w:p w14:paraId="793A34AC" w14:textId="77777777" w:rsidR="00964ED7" w:rsidRPr="00186073" w:rsidRDefault="00964ED7" w:rsidP="00186073">
            <w:pPr>
              <w:ind w:left="0" w:right="0"/>
              <w:jc w:val="center"/>
              <w:rPr>
                <w:sz w:val="18"/>
              </w:rPr>
            </w:pPr>
            <w:r w:rsidRPr="00186073">
              <w:rPr>
                <w:sz w:val="18"/>
              </w:rPr>
              <w:sym w:font="Wingdings" w:char="F0FC"/>
            </w:r>
          </w:p>
        </w:tc>
        <w:tc>
          <w:tcPr>
            <w:tcW w:w="1260" w:type="dxa"/>
          </w:tcPr>
          <w:p w14:paraId="4903A332" w14:textId="77777777" w:rsidR="00964ED7" w:rsidRPr="00186073" w:rsidRDefault="00964ED7" w:rsidP="00186073">
            <w:pPr>
              <w:ind w:left="0" w:right="0"/>
              <w:jc w:val="center"/>
              <w:rPr>
                <w:sz w:val="18"/>
              </w:rPr>
            </w:pPr>
            <w:r w:rsidRPr="00186073">
              <w:rPr>
                <w:sz w:val="18"/>
              </w:rPr>
              <w:t>–</w:t>
            </w:r>
          </w:p>
        </w:tc>
        <w:tc>
          <w:tcPr>
            <w:tcW w:w="990" w:type="dxa"/>
          </w:tcPr>
          <w:p w14:paraId="2B98809E" w14:textId="77777777" w:rsidR="00964ED7" w:rsidRPr="00186073" w:rsidRDefault="00964ED7" w:rsidP="00186073">
            <w:pPr>
              <w:ind w:left="0" w:right="0"/>
              <w:jc w:val="center"/>
              <w:rPr>
                <w:sz w:val="18"/>
              </w:rPr>
            </w:pPr>
            <w:r w:rsidRPr="00186073">
              <w:rPr>
                <w:sz w:val="18"/>
              </w:rPr>
              <w:sym w:font="Wingdings" w:char="F0FC"/>
            </w:r>
          </w:p>
        </w:tc>
        <w:tc>
          <w:tcPr>
            <w:tcW w:w="1260" w:type="dxa"/>
          </w:tcPr>
          <w:p w14:paraId="148B03DE" w14:textId="77777777" w:rsidR="00964ED7" w:rsidRPr="00186073" w:rsidRDefault="00964ED7" w:rsidP="00186073">
            <w:pPr>
              <w:ind w:left="0" w:right="0"/>
              <w:jc w:val="center"/>
              <w:rPr>
                <w:sz w:val="18"/>
              </w:rPr>
            </w:pPr>
            <w:r w:rsidRPr="00186073">
              <w:rPr>
                <w:sz w:val="18"/>
              </w:rPr>
              <w:t>–</w:t>
            </w:r>
          </w:p>
        </w:tc>
      </w:tr>
      <w:tr w:rsidR="00316B24" w:rsidRPr="00113BDB" w14:paraId="467664E3" w14:textId="77777777" w:rsidTr="00316B24">
        <w:trPr>
          <w:trHeight w:val="103"/>
        </w:trPr>
        <w:tc>
          <w:tcPr>
            <w:tcW w:w="1452" w:type="dxa"/>
            <w:vMerge/>
          </w:tcPr>
          <w:p w14:paraId="5077A7B0" w14:textId="77777777" w:rsidR="00964ED7" w:rsidRPr="00113BDB" w:rsidRDefault="00964ED7" w:rsidP="00316B24">
            <w:pPr>
              <w:ind w:left="0" w:right="0"/>
              <w:rPr>
                <w:sz w:val="21"/>
              </w:rPr>
            </w:pPr>
          </w:p>
        </w:tc>
        <w:tc>
          <w:tcPr>
            <w:tcW w:w="3420" w:type="dxa"/>
          </w:tcPr>
          <w:p w14:paraId="1968EEAB" w14:textId="77777777" w:rsidR="00964ED7" w:rsidRPr="00186073" w:rsidRDefault="00964ED7" w:rsidP="00316B24">
            <w:pPr>
              <w:ind w:left="0" w:right="0"/>
              <w:rPr>
                <w:sz w:val="18"/>
              </w:rPr>
            </w:pPr>
            <w:r w:rsidRPr="00186073">
              <w:rPr>
                <w:sz w:val="18"/>
              </w:rPr>
              <w:t>Moderate and severe renal impairment</w:t>
            </w:r>
          </w:p>
        </w:tc>
        <w:tc>
          <w:tcPr>
            <w:tcW w:w="990" w:type="dxa"/>
          </w:tcPr>
          <w:p w14:paraId="6998E6E4" w14:textId="77777777" w:rsidR="00964ED7" w:rsidRPr="00186073" w:rsidRDefault="00964ED7" w:rsidP="00186073">
            <w:pPr>
              <w:ind w:left="0" w:right="0"/>
              <w:jc w:val="center"/>
              <w:rPr>
                <w:sz w:val="18"/>
              </w:rPr>
            </w:pPr>
            <w:r w:rsidRPr="00186073">
              <w:rPr>
                <w:sz w:val="18"/>
              </w:rPr>
              <w:sym w:font="Wingdings" w:char="F0FC"/>
            </w:r>
          </w:p>
        </w:tc>
        <w:tc>
          <w:tcPr>
            <w:tcW w:w="1260" w:type="dxa"/>
          </w:tcPr>
          <w:p w14:paraId="29DEB1B0" w14:textId="77777777" w:rsidR="00964ED7" w:rsidRPr="00186073" w:rsidRDefault="00964ED7" w:rsidP="00186073">
            <w:pPr>
              <w:ind w:left="0" w:right="0"/>
              <w:jc w:val="center"/>
              <w:rPr>
                <w:sz w:val="18"/>
              </w:rPr>
            </w:pPr>
            <w:r w:rsidRPr="00186073">
              <w:rPr>
                <w:sz w:val="18"/>
              </w:rPr>
              <w:t>–</w:t>
            </w:r>
          </w:p>
        </w:tc>
        <w:tc>
          <w:tcPr>
            <w:tcW w:w="990" w:type="dxa"/>
          </w:tcPr>
          <w:p w14:paraId="5F538640" w14:textId="77777777" w:rsidR="00964ED7" w:rsidRPr="00186073" w:rsidRDefault="00964ED7" w:rsidP="00186073">
            <w:pPr>
              <w:ind w:left="0" w:right="0"/>
              <w:jc w:val="center"/>
              <w:rPr>
                <w:sz w:val="18"/>
              </w:rPr>
            </w:pPr>
            <w:r w:rsidRPr="00186073">
              <w:rPr>
                <w:sz w:val="18"/>
              </w:rPr>
              <w:sym w:font="Wingdings" w:char="F0FC"/>
            </w:r>
          </w:p>
        </w:tc>
        <w:tc>
          <w:tcPr>
            <w:tcW w:w="1260" w:type="dxa"/>
          </w:tcPr>
          <w:p w14:paraId="225232DF" w14:textId="77777777" w:rsidR="00964ED7" w:rsidRPr="00186073" w:rsidRDefault="00964ED7" w:rsidP="00186073">
            <w:pPr>
              <w:ind w:left="0" w:right="0"/>
              <w:jc w:val="center"/>
              <w:rPr>
                <w:sz w:val="18"/>
              </w:rPr>
            </w:pPr>
            <w:r w:rsidRPr="00186073">
              <w:rPr>
                <w:sz w:val="18"/>
              </w:rPr>
              <w:t>–</w:t>
            </w:r>
          </w:p>
        </w:tc>
      </w:tr>
      <w:tr w:rsidR="00316B24" w:rsidRPr="00113BDB" w14:paraId="05B7B485" w14:textId="77777777" w:rsidTr="00316B24">
        <w:trPr>
          <w:trHeight w:val="103"/>
        </w:trPr>
        <w:tc>
          <w:tcPr>
            <w:tcW w:w="1452" w:type="dxa"/>
            <w:vMerge/>
          </w:tcPr>
          <w:p w14:paraId="47092411" w14:textId="77777777" w:rsidR="00964ED7" w:rsidRPr="00113BDB" w:rsidRDefault="00964ED7" w:rsidP="00316B24">
            <w:pPr>
              <w:ind w:left="0" w:right="0"/>
              <w:rPr>
                <w:sz w:val="21"/>
              </w:rPr>
            </w:pPr>
          </w:p>
        </w:tc>
        <w:tc>
          <w:tcPr>
            <w:tcW w:w="3420" w:type="dxa"/>
          </w:tcPr>
          <w:p w14:paraId="44B98494" w14:textId="405C4515" w:rsidR="00964ED7" w:rsidRPr="00186073" w:rsidRDefault="00964ED7" w:rsidP="00316B24">
            <w:pPr>
              <w:ind w:left="0" w:right="0"/>
              <w:rPr>
                <w:sz w:val="18"/>
              </w:rPr>
            </w:pPr>
            <w:r w:rsidRPr="00186073">
              <w:rPr>
                <w:sz w:val="18"/>
              </w:rPr>
              <w:t>Elderly patients (&gt;</w:t>
            </w:r>
            <w:r w:rsidR="00463074" w:rsidRPr="00186073">
              <w:rPr>
                <w:sz w:val="18"/>
              </w:rPr>
              <w:t xml:space="preserve"> </w:t>
            </w:r>
            <w:r w:rsidRPr="00186073">
              <w:rPr>
                <w:sz w:val="18"/>
              </w:rPr>
              <w:t>75 years) with T1DM</w:t>
            </w:r>
          </w:p>
        </w:tc>
        <w:tc>
          <w:tcPr>
            <w:tcW w:w="990" w:type="dxa"/>
          </w:tcPr>
          <w:p w14:paraId="1C200AE4" w14:textId="77777777" w:rsidR="00964ED7" w:rsidRPr="00186073" w:rsidRDefault="00964ED7" w:rsidP="00186073">
            <w:pPr>
              <w:ind w:left="0" w:right="0"/>
              <w:jc w:val="center"/>
              <w:rPr>
                <w:sz w:val="18"/>
              </w:rPr>
            </w:pPr>
            <w:r w:rsidRPr="00186073">
              <w:rPr>
                <w:sz w:val="18"/>
              </w:rPr>
              <w:sym w:font="Wingdings" w:char="F0FC"/>
            </w:r>
          </w:p>
        </w:tc>
        <w:tc>
          <w:tcPr>
            <w:tcW w:w="1260" w:type="dxa"/>
          </w:tcPr>
          <w:p w14:paraId="144EA09A" w14:textId="77777777" w:rsidR="00964ED7" w:rsidRPr="00186073" w:rsidRDefault="00964ED7" w:rsidP="00186073">
            <w:pPr>
              <w:ind w:left="0" w:right="0"/>
              <w:jc w:val="center"/>
              <w:rPr>
                <w:sz w:val="18"/>
              </w:rPr>
            </w:pPr>
            <w:r w:rsidRPr="00186073">
              <w:rPr>
                <w:sz w:val="18"/>
              </w:rPr>
              <w:t>–</w:t>
            </w:r>
          </w:p>
        </w:tc>
        <w:tc>
          <w:tcPr>
            <w:tcW w:w="990" w:type="dxa"/>
          </w:tcPr>
          <w:p w14:paraId="2773EA45" w14:textId="77777777" w:rsidR="00964ED7" w:rsidRPr="00186073" w:rsidRDefault="00964ED7" w:rsidP="00186073">
            <w:pPr>
              <w:ind w:left="0" w:right="0"/>
              <w:jc w:val="center"/>
              <w:rPr>
                <w:sz w:val="18"/>
              </w:rPr>
            </w:pPr>
            <w:r w:rsidRPr="00186073">
              <w:rPr>
                <w:sz w:val="18"/>
              </w:rPr>
              <w:sym w:font="Wingdings" w:char="F0FC"/>
            </w:r>
          </w:p>
        </w:tc>
        <w:tc>
          <w:tcPr>
            <w:tcW w:w="1260" w:type="dxa"/>
          </w:tcPr>
          <w:p w14:paraId="24EF26FE" w14:textId="77777777" w:rsidR="00964ED7" w:rsidRPr="00186073" w:rsidRDefault="00964ED7" w:rsidP="00186073">
            <w:pPr>
              <w:ind w:left="0" w:right="0"/>
              <w:jc w:val="center"/>
              <w:rPr>
                <w:sz w:val="18"/>
              </w:rPr>
            </w:pPr>
            <w:r w:rsidRPr="00186073">
              <w:rPr>
                <w:sz w:val="18"/>
              </w:rPr>
              <w:t>–</w:t>
            </w:r>
          </w:p>
        </w:tc>
      </w:tr>
      <w:tr w:rsidR="00316B24" w:rsidRPr="00113BDB" w14:paraId="2B03A5FF" w14:textId="77777777" w:rsidTr="00316B24">
        <w:trPr>
          <w:trHeight w:val="140"/>
        </w:trPr>
        <w:tc>
          <w:tcPr>
            <w:tcW w:w="1452" w:type="dxa"/>
            <w:vMerge/>
          </w:tcPr>
          <w:p w14:paraId="73950869" w14:textId="77777777" w:rsidR="00964ED7" w:rsidRPr="00113BDB" w:rsidRDefault="00964ED7" w:rsidP="00316B24">
            <w:pPr>
              <w:ind w:left="0" w:right="0"/>
              <w:rPr>
                <w:sz w:val="21"/>
              </w:rPr>
            </w:pPr>
          </w:p>
        </w:tc>
        <w:tc>
          <w:tcPr>
            <w:tcW w:w="3420" w:type="dxa"/>
          </w:tcPr>
          <w:p w14:paraId="3770A9E4" w14:textId="77777777" w:rsidR="00964ED7" w:rsidRPr="00186073" w:rsidRDefault="00964ED7" w:rsidP="00316B24">
            <w:pPr>
              <w:ind w:left="0" w:right="0"/>
              <w:rPr>
                <w:sz w:val="18"/>
              </w:rPr>
            </w:pPr>
            <w:r w:rsidRPr="00186073">
              <w:rPr>
                <w:sz w:val="18"/>
              </w:rPr>
              <w:t>Co-administration of GLP-1 receptor agonists</w:t>
            </w:r>
          </w:p>
        </w:tc>
        <w:tc>
          <w:tcPr>
            <w:tcW w:w="990" w:type="dxa"/>
          </w:tcPr>
          <w:p w14:paraId="78327281" w14:textId="77777777" w:rsidR="00964ED7" w:rsidRPr="00186073" w:rsidRDefault="00964ED7" w:rsidP="00186073">
            <w:pPr>
              <w:ind w:left="0" w:right="0"/>
              <w:jc w:val="center"/>
              <w:rPr>
                <w:sz w:val="18"/>
              </w:rPr>
            </w:pPr>
            <w:r w:rsidRPr="00186073">
              <w:rPr>
                <w:sz w:val="18"/>
              </w:rPr>
              <w:sym w:font="Wingdings" w:char="F0FC"/>
            </w:r>
          </w:p>
        </w:tc>
        <w:tc>
          <w:tcPr>
            <w:tcW w:w="1260" w:type="dxa"/>
          </w:tcPr>
          <w:p w14:paraId="425FC788" w14:textId="77777777" w:rsidR="00964ED7" w:rsidRPr="00186073" w:rsidRDefault="00964ED7" w:rsidP="00186073">
            <w:pPr>
              <w:ind w:left="0" w:right="0"/>
              <w:jc w:val="center"/>
              <w:rPr>
                <w:sz w:val="18"/>
              </w:rPr>
            </w:pPr>
            <w:r w:rsidRPr="00186073">
              <w:rPr>
                <w:sz w:val="18"/>
              </w:rPr>
              <w:t>–</w:t>
            </w:r>
          </w:p>
        </w:tc>
        <w:tc>
          <w:tcPr>
            <w:tcW w:w="990" w:type="dxa"/>
          </w:tcPr>
          <w:p w14:paraId="6F76923B" w14:textId="77777777" w:rsidR="00964ED7" w:rsidRPr="00186073" w:rsidRDefault="00964ED7" w:rsidP="00186073">
            <w:pPr>
              <w:ind w:left="0" w:right="0"/>
              <w:jc w:val="center"/>
              <w:rPr>
                <w:sz w:val="18"/>
              </w:rPr>
            </w:pPr>
            <w:r w:rsidRPr="00186073">
              <w:rPr>
                <w:sz w:val="18"/>
              </w:rPr>
              <w:sym w:font="Wingdings" w:char="F0FC"/>
            </w:r>
          </w:p>
        </w:tc>
        <w:tc>
          <w:tcPr>
            <w:tcW w:w="1260" w:type="dxa"/>
          </w:tcPr>
          <w:p w14:paraId="32D4DBDE" w14:textId="77777777" w:rsidR="00964ED7" w:rsidRPr="00186073" w:rsidRDefault="00964ED7" w:rsidP="00186073">
            <w:pPr>
              <w:ind w:left="0" w:right="0"/>
              <w:jc w:val="center"/>
              <w:rPr>
                <w:sz w:val="18"/>
              </w:rPr>
            </w:pPr>
            <w:r w:rsidRPr="00186073">
              <w:rPr>
                <w:sz w:val="18"/>
              </w:rPr>
              <w:t>–</w:t>
            </w:r>
          </w:p>
        </w:tc>
      </w:tr>
    </w:tbl>
    <w:p w14:paraId="208EAFF4" w14:textId="7886C418" w:rsidR="00964ED7" w:rsidRPr="00113BDB" w:rsidRDefault="000B0F0E" w:rsidP="00964ED7">
      <w:pPr>
        <w:pStyle w:val="TableDescription"/>
        <w:rPr>
          <w:lang w:eastAsia="en-AU"/>
        </w:rPr>
      </w:pPr>
      <w:r w:rsidRPr="00113BDB">
        <w:rPr>
          <w:lang w:eastAsia="en-AU"/>
        </w:rPr>
        <w:t xml:space="preserve">a) </w:t>
      </w:r>
      <w:r w:rsidR="00964ED7" w:rsidRPr="00113BDB">
        <w:rPr>
          <w:lang w:eastAsia="en-AU"/>
        </w:rPr>
        <w:t>Missing information of ‘Children &lt;</w:t>
      </w:r>
      <w:r w:rsidRPr="00113BDB">
        <w:rPr>
          <w:lang w:eastAsia="en-AU"/>
        </w:rPr>
        <w:t xml:space="preserve"> </w:t>
      </w:r>
      <w:r w:rsidR="00964ED7" w:rsidRPr="00113BDB">
        <w:rPr>
          <w:lang w:eastAsia="en-AU"/>
        </w:rPr>
        <w:t>2 years of age with diabetes mellitus’ has been replaced by ‘Children and</w:t>
      </w:r>
      <w:r w:rsidR="00964ED7" w:rsidRPr="00113BDB">
        <w:rPr>
          <w:b/>
          <w:lang w:eastAsia="en-AU"/>
        </w:rPr>
        <w:t xml:space="preserve"> </w:t>
      </w:r>
      <w:r w:rsidR="00964ED7" w:rsidRPr="00113BDB">
        <w:rPr>
          <w:lang w:eastAsia="en-AU"/>
        </w:rPr>
        <w:t>adolescents &lt;</w:t>
      </w:r>
      <w:r w:rsidRPr="00113BDB">
        <w:rPr>
          <w:lang w:eastAsia="en-AU"/>
        </w:rPr>
        <w:t xml:space="preserve"> </w:t>
      </w:r>
      <w:r w:rsidR="00964ED7" w:rsidRPr="00113BDB">
        <w:rPr>
          <w:lang w:eastAsia="en-AU"/>
        </w:rPr>
        <w:t>1</w:t>
      </w:r>
      <w:r w:rsidRPr="00113BDB">
        <w:rPr>
          <w:lang w:eastAsia="en-AU"/>
        </w:rPr>
        <w:t>8 years’ as recommended by the clinical e</w:t>
      </w:r>
      <w:r w:rsidR="00964ED7" w:rsidRPr="00113BDB">
        <w:rPr>
          <w:lang w:eastAsia="en-AU"/>
        </w:rPr>
        <w:t>valuator.</w:t>
      </w:r>
    </w:p>
    <w:p w14:paraId="1D00F2C4" w14:textId="20A37DCF" w:rsidR="00964ED7" w:rsidRPr="00113BDB" w:rsidRDefault="000B0F0E" w:rsidP="00463074">
      <w:pPr>
        <w:rPr>
          <w:lang w:eastAsia="en-AU"/>
        </w:rPr>
      </w:pPr>
      <w:r w:rsidRPr="00113BDB">
        <w:rPr>
          <w:lang w:eastAsia="en-AU"/>
        </w:rPr>
        <w:lastRenderedPageBreak/>
        <w:t xml:space="preserve">Follow </w:t>
      </w:r>
      <w:r w:rsidR="00964ED7" w:rsidRPr="00113BDB">
        <w:rPr>
          <w:lang w:eastAsia="en-AU"/>
        </w:rPr>
        <w:t>up questionnaires are proposed to be used to monitor the risk of</w:t>
      </w:r>
      <w:r w:rsidR="00AB7DA4" w:rsidRPr="00113BDB">
        <w:rPr>
          <w:lang w:eastAsia="en-AU"/>
        </w:rPr>
        <w:t xml:space="preserve"> medication error.</w:t>
      </w:r>
    </w:p>
    <w:p w14:paraId="486E1BD9" w14:textId="77777777" w:rsidR="00964ED7" w:rsidRPr="00113BDB" w:rsidRDefault="00964ED7" w:rsidP="00964ED7">
      <w:pPr>
        <w:pStyle w:val="Heading4"/>
        <w:rPr>
          <w:lang w:eastAsia="en-AU"/>
        </w:rPr>
      </w:pPr>
      <w:bookmarkStart w:id="152" w:name="_Toc487008119"/>
      <w:r w:rsidRPr="00113BDB">
        <w:rPr>
          <w:lang w:eastAsia="en-AU"/>
        </w:rPr>
        <w:t xml:space="preserve">New and outstanding recommendations </w:t>
      </w:r>
      <w:bookmarkEnd w:id="152"/>
      <w:r w:rsidRPr="00113BDB">
        <w:rPr>
          <w:lang w:eastAsia="en-AU"/>
        </w:rPr>
        <w:t>at the second round</w:t>
      </w:r>
    </w:p>
    <w:p w14:paraId="432F3B15" w14:textId="77777777" w:rsidR="00964ED7" w:rsidRPr="00113BDB" w:rsidRDefault="00964ED7" w:rsidP="00964ED7">
      <w:pPr>
        <w:rPr>
          <w:lang w:eastAsia="en-AU"/>
        </w:rPr>
      </w:pPr>
      <w:r w:rsidRPr="00113BDB">
        <w:rPr>
          <w:lang w:eastAsia="en-AU"/>
        </w:rPr>
        <w:t>The sponsor has adequately addressed the recommendations made during the first round RMP evaluation.</w:t>
      </w:r>
    </w:p>
    <w:p w14:paraId="05FA7A03" w14:textId="77777777" w:rsidR="00964ED7" w:rsidRPr="00113BDB" w:rsidRDefault="00964ED7" w:rsidP="00964ED7">
      <w:pPr>
        <w:rPr>
          <w:lang w:eastAsia="en-AU"/>
        </w:rPr>
      </w:pPr>
      <w:r w:rsidRPr="00113BDB">
        <w:rPr>
          <w:lang w:eastAsia="en-AU"/>
        </w:rPr>
        <w:t>There are no outstanding issues from a RMP perspective.</w:t>
      </w:r>
    </w:p>
    <w:p w14:paraId="75276F59" w14:textId="3B1E32C2" w:rsidR="00964ED7" w:rsidRPr="00113BDB" w:rsidRDefault="00964ED7" w:rsidP="00964ED7">
      <w:pPr>
        <w:pStyle w:val="Heading4"/>
        <w:rPr>
          <w:lang w:eastAsia="en-AU"/>
        </w:rPr>
      </w:pPr>
      <w:bookmarkStart w:id="153" w:name="_Toc487008120"/>
      <w:r w:rsidRPr="00113BDB">
        <w:rPr>
          <w:lang w:eastAsia="en-AU"/>
        </w:rPr>
        <w:t>Wording for conditions of registration</w:t>
      </w:r>
      <w:bookmarkEnd w:id="153"/>
      <w:r w:rsidR="000B0F0E" w:rsidRPr="00113BDB">
        <w:rPr>
          <w:lang w:eastAsia="en-AU"/>
        </w:rPr>
        <w:t xml:space="preserve"> for the Delegate</w:t>
      </w:r>
    </w:p>
    <w:p w14:paraId="04E79442" w14:textId="77777777" w:rsidR="00964ED7" w:rsidRPr="00113BDB" w:rsidRDefault="00964ED7" w:rsidP="00964ED7">
      <w:pPr>
        <w:rPr>
          <w:lang w:eastAsia="en-AU"/>
        </w:rPr>
      </w:pPr>
      <w:r w:rsidRPr="00113BDB">
        <w:rPr>
          <w:lang w:eastAsia="en-AU"/>
        </w:rPr>
        <w:t>Any changes to which the sponsor has agreed should be included in a revised RMP and ASA. However, irrespective of whether or not they are included in the currently available version of the RMP document, the agreed changes become part of the risk management system.</w:t>
      </w:r>
    </w:p>
    <w:p w14:paraId="432F633F" w14:textId="77777777" w:rsidR="00964ED7" w:rsidRPr="00113BDB" w:rsidRDefault="00964ED7" w:rsidP="00964ED7">
      <w:pPr>
        <w:rPr>
          <w:lang w:eastAsia="en-AU"/>
        </w:rPr>
      </w:pPr>
      <w:r w:rsidRPr="00113BDB">
        <w:rPr>
          <w:lang w:eastAsia="en-AU"/>
        </w:rPr>
        <w:t>The suggested wording is:</w:t>
      </w:r>
    </w:p>
    <w:p w14:paraId="0BFF355E" w14:textId="77777777" w:rsidR="00964ED7" w:rsidRPr="00113BDB" w:rsidRDefault="00964ED7" w:rsidP="00964ED7">
      <w:pPr>
        <w:pStyle w:val="ListBullet"/>
        <w:rPr>
          <w:lang w:eastAsia="en-AU"/>
        </w:rPr>
      </w:pPr>
      <w:r w:rsidRPr="00113BDB">
        <w:rPr>
          <w:lang w:eastAsia="en-AU"/>
        </w:rPr>
        <w:t>Implement EU-RMP (version 5.2, date 1 August 2016, DLP 1 June 2015) with Australian Specific Annex (version 1.1, dated 29 May 2017) and any future updates as a condition of registration.</w:t>
      </w:r>
    </w:p>
    <w:p w14:paraId="58AF0394" w14:textId="77777777" w:rsidR="00964ED7" w:rsidRPr="00113BDB" w:rsidRDefault="00964ED7" w:rsidP="00964ED7">
      <w:pPr>
        <w:pStyle w:val="Heading4"/>
        <w:rPr>
          <w:lang w:eastAsia="en-AU"/>
        </w:rPr>
      </w:pPr>
      <w:bookmarkStart w:id="154" w:name="_Toc487008121"/>
      <w:r w:rsidRPr="00113BDB">
        <w:rPr>
          <w:lang w:eastAsia="en-AU"/>
        </w:rPr>
        <w:t>Other advice to the Delegate</w:t>
      </w:r>
      <w:bookmarkEnd w:id="154"/>
    </w:p>
    <w:p w14:paraId="4D2939F4" w14:textId="77777777" w:rsidR="00964ED7" w:rsidRPr="00113BDB" w:rsidRDefault="00964ED7" w:rsidP="00964ED7">
      <w:pPr>
        <w:rPr>
          <w:lang w:eastAsia="en-AU"/>
        </w:rPr>
      </w:pPr>
      <w:r w:rsidRPr="00113BDB">
        <w:rPr>
          <w:lang w:eastAsia="en-AU"/>
        </w:rPr>
        <w:t>The sponsor has not agreed to assign Identified Risk status to ‘medication errors due to a mix up with IDegAsp and bolus insulin’ as recommended by the clinical evaluator. The RMP evaluator has no objection to the sponsor’s decision. This matter is raised for the Delegate’s consideration.</w:t>
      </w:r>
    </w:p>
    <w:p w14:paraId="1E24F76A" w14:textId="564F5BBD" w:rsidR="008E7846" w:rsidRPr="00113BDB" w:rsidRDefault="008E7846" w:rsidP="008E7846">
      <w:pPr>
        <w:pStyle w:val="Heading2"/>
      </w:pPr>
      <w:bookmarkStart w:id="155" w:name="_Toc247691527"/>
      <w:bookmarkStart w:id="156" w:name="_Toc314842510"/>
      <w:bookmarkStart w:id="157" w:name="_Toc517697998"/>
      <w:r w:rsidRPr="00113BDB">
        <w:t>VI</w:t>
      </w:r>
      <w:r w:rsidR="009A60CC">
        <w:t>I</w:t>
      </w:r>
      <w:r w:rsidRPr="00113BDB">
        <w:t>. Overall conclusion and risk/benefit assessment</w:t>
      </w:r>
      <w:bookmarkEnd w:id="100"/>
      <w:bookmarkEnd w:id="155"/>
      <w:bookmarkEnd w:id="156"/>
      <w:bookmarkEnd w:id="157"/>
    </w:p>
    <w:p w14:paraId="0B3470FB" w14:textId="55F4C116" w:rsidR="008E7846" w:rsidRPr="00113BDB" w:rsidRDefault="008E7846" w:rsidP="008E7846">
      <w:bookmarkStart w:id="158" w:name="_Toc247691528"/>
      <w:r w:rsidRPr="00113BDB">
        <w:t>The submission was summarised in the following Delegate’s overview and recommendation</w:t>
      </w:r>
      <w:r w:rsidR="00463074" w:rsidRPr="00113BDB">
        <w:t>s.</w:t>
      </w:r>
    </w:p>
    <w:p w14:paraId="281135D8" w14:textId="77777777" w:rsidR="000B081A" w:rsidRPr="00113BDB" w:rsidRDefault="000B081A" w:rsidP="00E2561A">
      <w:pPr>
        <w:pStyle w:val="Heading3"/>
      </w:pPr>
      <w:bookmarkStart w:id="159" w:name="_Toc517697999"/>
      <w:r w:rsidRPr="00113BDB">
        <w:t>Quality and biopharmaceutics</w:t>
      </w:r>
      <w:bookmarkEnd w:id="159"/>
    </w:p>
    <w:p w14:paraId="374B6288" w14:textId="7875A5A7" w:rsidR="00AB7DA4" w:rsidRPr="00113BDB" w:rsidRDefault="00AB7DA4" w:rsidP="00AB7DA4">
      <w:r w:rsidRPr="00113BDB">
        <w:t xml:space="preserve">There were no </w:t>
      </w:r>
      <w:r w:rsidR="007504B7" w:rsidRPr="00113BDB">
        <w:t xml:space="preserve">ongoing </w:t>
      </w:r>
      <w:r w:rsidRPr="00113BDB">
        <w:t xml:space="preserve">concerns </w:t>
      </w:r>
      <w:r w:rsidR="007504B7" w:rsidRPr="00113BDB">
        <w:t>from</w:t>
      </w:r>
      <w:r w:rsidRPr="00113BDB">
        <w:t xml:space="preserve"> the assessment of </w:t>
      </w:r>
      <w:r w:rsidR="007504B7" w:rsidRPr="00113BDB">
        <w:t xml:space="preserve">the </w:t>
      </w:r>
      <w:r w:rsidRPr="00113BDB">
        <w:t>quality aspects of IDegAsp</w:t>
      </w:r>
      <w:r w:rsidR="00AC60B3">
        <w:t>.</w:t>
      </w:r>
    </w:p>
    <w:p w14:paraId="620FC4AF" w14:textId="77777777" w:rsidR="00AB7DA4" w:rsidRPr="00113BDB" w:rsidRDefault="006E7785" w:rsidP="00E2561A">
      <w:pPr>
        <w:pStyle w:val="Heading3"/>
      </w:pPr>
      <w:bookmarkStart w:id="160" w:name="_Toc517698000"/>
      <w:r w:rsidRPr="00113BDB">
        <w:t>Nonclinical</w:t>
      </w:r>
      <w:bookmarkEnd w:id="160"/>
    </w:p>
    <w:p w14:paraId="11F96025" w14:textId="5F130612" w:rsidR="00AB7DA4" w:rsidRPr="00113BDB" w:rsidRDefault="007504B7" w:rsidP="00AB7DA4">
      <w:r w:rsidRPr="00113BDB">
        <w:t xml:space="preserve">There were no ongoing concerns from the assessment of the nonclinical aspects of IDegAsp. </w:t>
      </w:r>
      <w:r w:rsidR="000B0F0E" w:rsidRPr="00113BDB">
        <w:t>Also s</w:t>
      </w:r>
      <w:r w:rsidR="006E7785" w:rsidRPr="00113BDB">
        <w:t>ee D</w:t>
      </w:r>
      <w:r w:rsidR="000B0F0E" w:rsidRPr="00113BDB">
        <w:t xml:space="preserve">elegate’s overview for Tresiba [available in the related </w:t>
      </w:r>
      <w:r w:rsidR="00113BDB">
        <w:t xml:space="preserve">Tresiba </w:t>
      </w:r>
      <w:r w:rsidR="000B0F0E" w:rsidRPr="00113BDB">
        <w:t>AusPAR].</w:t>
      </w:r>
      <w:r w:rsidR="000B0F0E" w:rsidRPr="00113BDB">
        <w:rPr>
          <w:vertAlign w:val="superscript"/>
        </w:rPr>
        <w:fldChar w:fldCharType="begin"/>
      </w:r>
      <w:r w:rsidR="000B0F0E" w:rsidRPr="00113BDB">
        <w:rPr>
          <w:vertAlign w:val="superscript"/>
        </w:rPr>
        <w:instrText xml:space="preserve"> NOTEREF _Ref511237953 \h  \* MERGEFORMAT </w:instrText>
      </w:r>
      <w:r w:rsidR="000B0F0E" w:rsidRPr="00113BDB">
        <w:rPr>
          <w:vertAlign w:val="superscript"/>
        </w:rPr>
      </w:r>
      <w:r w:rsidR="000B0F0E" w:rsidRPr="00113BDB">
        <w:rPr>
          <w:vertAlign w:val="superscript"/>
        </w:rPr>
        <w:fldChar w:fldCharType="separate"/>
      </w:r>
      <w:r w:rsidR="00EA37BD">
        <w:rPr>
          <w:vertAlign w:val="superscript"/>
        </w:rPr>
        <w:t>4</w:t>
      </w:r>
      <w:r w:rsidR="000B0F0E" w:rsidRPr="00113BDB">
        <w:rPr>
          <w:vertAlign w:val="superscript"/>
        </w:rPr>
        <w:fldChar w:fldCharType="end"/>
      </w:r>
    </w:p>
    <w:p w14:paraId="26EA1481" w14:textId="77777777" w:rsidR="00AB7DA4" w:rsidRPr="00113BDB" w:rsidRDefault="00AB7DA4" w:rsidP="00E2561A">
      <w:pPr>
        <w:pStyle w:val="Heading3"/>
      </w:pPr>
      <w:bookmarkStart w:id="161" w:name="_Toc517698001"/>
      <w:r w:rsidRPr="00113BDB">
        <w:t>C</w:t>
      </w:r>
      <w:r w:rsidR="006E7785" w:rsidRPr="00113BDB">
        <w:t>linical</w:t>
      </w:r>
      <w:bookmarkEnd w:id="161"/>
    </w:p>
    <w:p w14:paraId="7D216104" w14:textId="41BEB442" w:rsidR="00AB7DA4" w:rsidRPr="00113BDB" w:rsidRDefault="00AB7DA4" w:rsidP="00E2561A">
      <w:r w:rsidRPr="00113BDB">
        <w:t xml:space="preserve">This overview focuses on issues specific to the </w:t>
      </w:r>
      <w:r w:rsidR="000B0F0E" w:rsidRPr="00113BDB">
        <w:t>FDC</w:t>
      </w:r>
      <w:r w:rsidRPr="00113BDB">
        <w:t xml:space="preserve">. In relation to issues </w:t>
      </w:r>
      <w:r w:rsidR="000B0F0E" w:rsidRPr="00113BDB">
        <w:t>about IDeg, please refer to the D</w:t>
      </w:r>
      <w:r w:rsidRPr="00113BDB">
        <w:t>elegate’s overview for Tresiba</w:t>
      </w:r>
      <w:r w:rsidR="00113BDB">
        <w:t xml:space="preserve"> </w:t>
      </w:r>
      <w:r w:rsidR="00AC60B3">
        <w:t>(</w:t>
      </w:r>
      <w:r w:rsidR="00113BDB" w:rsidRPr="00113BDB">
        <w:t xml:space="preserve">available in the related </w:t>
      </w:r>
      <w:r w:rsidR="00113BDB">
        <w:t xml:space="preserve">Tresiba </w:t>
      </w:r>
      <w:r w:rsidR="00113BDB" w:rsidRPr="00113BDB">
        <w:t>AusPAR</w:t>
      </w:r>
      <w:r w:rsidR="00AC60B3">
        <w:t>)</w:t>
      </w:r>
      <w:r w:rsidRPr="00113BDB">
        <w:t>.</w:t>
      </w:r>
      <w:r w:rsidR="000B0F0E" w:rsidRPr="00113BDB">
        <w:rPr>
          <w:vertAlign w:val="superscript"/>
        </w:rPr>
        <w:fldChar w:fldCharType="begin"/>
      </w:r>
      <w:r w:rsidR="000B0F0E" w:rsidRPr="00113BDB">
        <w:rPr>
          <w:vertAlign w:val="superscript"/>
        </w:rPr>
        <w:instrText xml:space="preserve"> NOTEREF _Ref511237953 \h  \* MERGEFORMAT </w:instrText>
      </w:r>
      <w:r w:rsidR="000B0F0E" w:rsidRPr="00113BDB">
        <w:rPr>
          <w:vertAlign w:val="superscript"/>
        </w:rPr>
      </w:r>
      <w:r w:rsidR="000B0F0E" w:rsidRPr="00113BDB">
        <w:rPr>
          <w:vertAlign w:val="superscript"/>
        </w:rPr>
        <w:fldChar w:fldCharType="separate"/>
      </w:r>
      <w:r w:rsidR="00EA37BD">
        <w:rPr>
          <w:vertAlign w:val="superscript"/>
        </w:rPr>
        <w:t>4</w:t>
      </w:r>
      <w:r w:rsidR="000B0F0E" w:rsidRPr="00113BDB">
        <w:rPr>
          <w:vertAlign w:val="superscript"/>
        </w:rPr>
        <w:fldChar w:fldCharType="end"/>
      </w:r>
    </w:p>
    <w:p w14:paraId="0493D396" w14:textId="4C16118E" w:rsidR="00AB7DA4" w:rsidRPr="00113BDB" w:rsidRDefault="000B0F0E" w:rsidP="00E2561A">
      <w:pPr>
        <w:pStyle w:val="Tabletitle0"/>
      </w:pPr>
      <w:r w:rsidRPr="00113BDB">
        <w:lastRenderedPageBreak/>
        <w:t>Table 1</w:t>
      </w:r>
      <w:r w:rsidR="00825A1E">
        <w:t>3</w:t>
      </w:r>
      <w:r w:rsidR="00AC60B3">
        <w:t>:</w:t>
      </w:r>
      <w:r w:rsidRPr="00113BDB">
        <w:t xml:space="preserve"> Previously submitted data</w:t>
      </w:r>
    </w:p>
    <w:tbl>
      <w:tblPr>
        <w:tblStyle w:val="TableGrid"/>
        <w:tblW w:w="9108" w:type="dxa"/>
        <w:tblLook w:val="04A0" w:firstRow="1" w:lastRow="0" w:firstColumn="1" w:lastColumn="0" w:noHBand="0" w:noVBand="1"/>
        <w:tblDescription w:val="Table 13: Previously submitted data"/>
      </w:tblPr>
      <w:tblGrid>
        <w:gridCol w:w="2088"/>
        <w:gridCol w:w="7020"/>
      </w:tblGrid>
      <w:tr w:rsidR="00AC60B3" w:rsidRPr="00113BDB" w14:paraId="2EEE061C" w14:textId="77777777" w:rsidTr="00087CE9">
        <w:trPr>
          <w:tblHeader/>
        </w:trPr>
        <w:tc>
          <w:tcPr>
            <w:tcW w:w="2088" w:type="dxa"/>
            <w:shd w:val="clear" w:color="auto" w:fill="0070B5" w:themeFill="text2" w:themeFillTint="BF"/>
          </w:tcPr>
          <w:p w14:paraId="3628E228" w14:textId="77777777" w:rsidR="00AB7DA4" w:rsidRPr="00C36733" w:rsidRDefault="00AB7DA4" w:rsidP="00E2561A">
            <w:pPr>
              <w:keepNext/>
              <w:rPr>
                <w:b/>
                <w:color w:val="FFFFFF" w:themeColor="background1"/>
              </w:rPr>
            </w:pPr>
            <w:r w:rsidRPr="00C36733">
              <w:rPr>
                <w:b/>
                <w:color w:val="FFFFFF" w:themeColor="background1"/>
              </w:rPr>
              <w:t>Absorption</w:t>
            </w:r>
          </w:p>
        </w:tc>
        <w:tc>
          <w:tcPr>
            <w:tcW w:w="7020" w:type="dxa"/>
          </w:tcPr>
          <w:p w14:paraId="5978E901" w14:textId="77777777" w:rsidR="00AB7DA4" w:rsidRPr="00113BDB" w:rsidRDefault="00AB7DA4" w:rsidP="00E2561A">
            <w:pPr>
              <w:keepNext/>
              <w:spacing w:line="120" w:lineRule="atLeast"/>
            </w:pPr>
            <w:r w:rsidRPr="00113BDB">
              <w:t>Following subcutaneous injection:</w:t>
            </w:r>
          </w:p>
          <w:p w14:paraId="0E8FA85A" w14:textId="7369901A" w:rsidR="00AB7DA4" w:rsidRPr="00113BDB" w:rsidRDefault="00AB7DA4" w:rsidP="00E2561A">
            <w:pPr>
              <w:pStyle w:val="ListBullet"/>
              <w:keepNext/>
            </w:pPr>
            <w:r w:rsidRPr="00113BDB">
              <w:t>IDeg: Stable multi-hexamers are formed, resulting in a depot of IDeg. IDeg monomers gradually separately resulting in a slower and continual relea</w:t>
            </w:r>
            <w:r w:rsidR="000B0F0E" w:rsidRPr="00113BDB">
              <w:t xml:space="preserve">se into the circulation. Steady </w:t>
            </w:r>
            <w:r w:rsidRPr="00113BDB">
              <w:t>state con</w:t>
            </w:r>
            <w:r w:rsidR="000B0F0E" w:rsidRPr="00113BDB">
              <w:t xml:space="preserve">centrations are reached after 2 to </w:t>
            </w:r>
            <w:r w:rsidRPr="00113BDB">
              <w:t>3 days of daily IDegAsp administration</w:t>
            </w:r>
            <w:r w:rsidR="000B0F0E" w:rsidRPr="00113BDB">
              <w:t>.</w:t>
            </w:r>
          </w:p>
          <w:p w14:paraId="383A4822" w14:textId="6202E23E" w:rsidR="00AB7DA4" w:rsidRPr="00113BDB" w:rsidRDefault="00AB7DA4" w:rsidP="00E2561A">
            <w:pPr>
              <w:pStyle w:val="ListBullet"/>
              <w:keepNext/>
            </w:pPr>
            <w:r w:rsidRPr="00113BDB">
              <w:t>IAsp: there is rapid release of IAsp monomers into the circulation. Insulin aspart appears 14 minutes after injection and peak concentration occurs after 72 minutes</w:t>
            </w:r>
            <w:r w:rsidR="000B0F0E" w:rsidRPr="00113BDB">
              <w:t>.</w:t>
            </w:r>
          </w:p>
        </w:tc>
      </w:tr>
      <w:tr w:rsidR="00AC60B3" w:rsidRPr="00113BDB" w14:paraId="4382D0AF" w14:textId="77777777" w:rsidTr="00186073">
        <w:tc>
          <w:tcPr>
            <w:tcW w:w="2088" w:type="dxa"/>
            <w:shd w:val="clear" w:color="auto" w:fill="0070B5" w:themeFill="text2" w:themeFillTint="BF"/>
          </w:tcPr>
          <w:p w14:paraId="7C6D3E21" w14:textId="77777777" w:rsidR="00AB7DA4" w:rsidRPr="00C36733" w:rsidRDefault="00AB7DA4" w:rsidP="00E2561A">
            <w:pPr>
              <w:rPr>
                <w:b/>
                <w:color w:val="FFFFFF" w:themeColor="background1"/>
              </w:rPr>
            </w:pPr>
            <w:r w:rsidRPr="00C36733">
              <w:rPr>
                <w:b/>
                <w:color w:val="FFFFFF" w:themeColor="background1"/>
              </w:rPr>
              <w:t>Distribution</w:t>
            </w:r>
          </w:p>
        </w:tc>
        <w:tc>
          <w:tcPr>
            <w:tcW w:w="7020" w:type="dxa"/>
          </w:tcPr>
          <w:p w14:paraId="05F56FA7" w14:textId="23B7956D" w:rsidR="00AB7DA4" w:rsidRPr="00113BDB" w:rsidRDefault="00AB7DA4" w:rsidP="00E2561A">
            <w:pPr>
              <w:pStyle w:val="ListBullet"/>
              <w:rPr>
                <w:b/>
              </w:rPr>
            </w:pPr>
            <w:r w:rsidRPr="00113BDB">
              <w:t>IDeg: Plasma protein binding of &gt;</w:t>
            </w:r>
            <w:r w:rsidR="000B0F0E" w:rsidRPr="00113BDB">
              <w:t xml:space="preserve"> </w:t>
            </w:r>
            <w:r w:rsidRPr="00113BDB">
              <w:t>99% in human plasma</w:t>
            </w:r>
            <w:r w:rsidR="000B0F0E" w:rsidRPr="00113BDB">
              <w:t>.</w:t>
            </w:r>
          </w:p>
          <w:p w14:paraId="33C9104B" w14:textId="54EC42F3" w:rsidR="00AB7DA4" w:rsidRPr="00113BDB" w:rsidRDefault="00AB7DA4" w:rsidP="00E2561A">
            <w:pPr>
              <w:pStyle w:val="ListBullet"/>
              <w:rPr>
                <w:b/>
              </w:rPr>
            </w:pPr>
            <w:r w:rsidRPr="00113BDB">
              <w:t>IAsp: Plasma protein binding of &lt;</w:t>
            </w:r>
            <w:r w:rsidR="000B0F0E" w:rsidRPr="00113BDB">
              <w:t xml:space="preserve"> </w:t>
            </w:r>
            <w:r w:rsidRPr="00113BDB">
              <w:t>10% in human plasma</w:t>
            </w:r>
            <w:r w:rsidR="000B0F0E" w:rsidRPr="00113BDB">
              <w:t>.</w:t>
            </w:r>
          </w:p>
        </w:tc>
      </w:tr>
      <w:tr w:rsidR="00AC60B3" w:rsidRPr="00113BDB" w14:paraId="11454268" w14:textId="77777777" w:rsidTr="00186073">
        <w:tc>
          <w:tcPr>
            <w:tcW w:w="2088" w:type="dxa"/>
            <w:shd w:val="clear" w:color="auto" w:fill="0070B5" w:themeFill="text2" w:themeFillTint="BF"/>
          </w:tcPr>
          <w:p w14:paraId="0C8C8F56" w14:textId="77777777" w:rsidR="00AB7DA4" w:rsidRPr="00C36733" w:rsidRDefault="00AB7DA4" w:rsidP="00E2561A">
            <w:pPr>
              <w:rPr>
                <w:b/>
                <w:color w:val="FFFFFF" w:themeColor="background1"/>
              </w:rPr>
            </w:pPr>
            <w:r w:rsidRPr="00C36733">
              <w:rPr>
                <w:b/>
                <w:color w:val="FFFFFF" w:themeColor="background1"/>
              </w:rPr>
              <w:t>Metabolism</w:t>
            </w:r>
          </w:p>
        </w:tc>
        <w:tc>
          <w:tcPr>
            <w:tcW w:w="7020" w:type="dxa"/>
          </w:tcPr>
          <w:p w14:paraId="07638DD8" w14:textId="77777777" w:rsidR="00AB7DA4" w:rsidRPr="00113BDB" w:rsidRDefault="00AB7DA4" w:rsidP="00E2561A">
            <w:pPr>
              <w:rPr>
                <w:b/>
              </w:rPr>
            </w:pPr>
            <w:r w:rsidRPr="00113BDB">
              <w:t>Degradation of insulin degludec and insulin aspart is similar to that of human insulin.</w:t>
            </w:r>
          </w:p>
        </w:tc>
      </w:tr>
      <w:tr w:rsidR="00AC60B3" w:rsidRPr="00113BDB" w14:paraId="627E43C8" w14:textId="77777777" w:rsidTr="00186073">
        <w:tc>
          <w:tcPr>
            <w:tcW w:w="2088" w:type="dxa"/>
            <w:shd w:val="clear" w:color="auto" w:fill="0070B5" w:themeFill="text2" w:themeFillTint="BF"/>
          </w:tcPr>
          <w:p w14:paraId="29114655" w14:textId="77777777" w:rsidR="00AB7DA4" w:rsidRPr="00C36733" w:rsidRDefault="00AB7DA4" w:rsidP="00E2561A">
            <w:pPr>
              <w:rPr>
                <w:b/>
                <w:color w:val="FFFFFF" w:themeColor="background1"/>
              </w:rPr>
            </w:pPr>
            <w:r w:rsidRPr="00C36733">
              <w:rPr>
                <w:b/>
                <w:color w:val="FFFFFF" w:themeColor="background1"/>
              </w:rPr>
              <w:t>Excretion</w:t>
            </w:r>
          </w:p>
        </w:tc>
        <w:tc>
          <w:tcPr>
            <w:tcW w:w="7020" w:type="dxa"/>
          </w:tcPr>
          <w:p w14:paraId="16C3E759" w14:textId="587A1740" w:rsidR="00AB7DA4" w:rsidRPr="00113BDB" w:rsidRDefault="000B0F0E" w:rsidP="00E2561A">
            <w:r w:rsidRPr="00113BDB">
              <w:t xml:space="preserve">IDeg </w:t>
            </w:r>
            <w:r w:rsidR="00F87754" w:rsidRPr="00113BDB">
              <w:t>half-life</w:t>
            </w:r>
            <w:r w:rsidR="00AB7DA4" w:rsidRPr="00113BDB">
              <w:t>: 25 hours</w:t>
            </w:r>
          </w:p>
          <w:p w14:paraId="748F0B35" w14:textId="77777777" w:rsidR="00AB7DA4" w:rsidRPr="00113BDB" w:rsidRDefault="00AB7DA4" w:rsidP="00E2561A">
            <w:pPr>
              <w:pStyle w:val="ListBullet"/>
              <w:rPr>
                <w:b/>
              </w:rPr>
            </w:pPr>
            <w:r w:rsidRPr="00113BDB">
              <w:t>independent of dose</w:t>
            </w:r>
          </w:p>
          <w:p w14:paraId="2EADF434" w14:textId="77777777" w:rsidR="00AB7DA4" w:rsidRPr="00113BDB" w:rsidRDefault="00AB7DA4" w:rsidP="00E2561A">
            <w:pPr>
              <w:pStyle w:val="ListBullet"/>
              <w:rPr>
                <w:b/>
              </w:rPr>
            </w:pPr>
            <w:r w:rsidRPr="00113BDB">
              <w:t>determined by rate of absorption from subcutaneous tissue.</w:t>
            </w:r>
          </w:p>
        </w:tc>
      </w:tr>
      <w:tr w:rsidR="00AC60B3" w:rsidRPr="00113BDB" w14:paraId="47EB11DF" w14:textId="77777777" w:rsidTr="00186073">
        <w:tc>
          <w:tcPr>
            <w:tcW w:w="2088" w:type="dxa"/>
            <w:shd w:val="clear" w:color="auto" w:fill="0070B5" w:themeFill="text2" w:themeFillTint="BF"/>
          </w:tcPr>
          <w:p w14:paraId="20FB4825" w14:textId="77777777" w:rsidR="00AB7DA4" w:rsidRPr="00C36733" w:rsidRDefault="00AB7DA4" w:rsidP="00E2561A">
            <w:pPr>
              <w:rPr>
                <w:b/>
                <w:color w:val="FFFFFF" w:themeColor="background1"/>
              </w:rPr>
            </w:pPr>
            <w:r w:rsidRPr="00C36733">
              <w:rPr>
                <w:b/>
                <w:color w:val="FFFFFF" w:themeColor="background1"/>
              </w:rPr>
              <w:t>Linearity</w:t>
            </w:r>
          </w:p>
        </w:tc>
        <w:tc>
          <w:tcPr>
            <w:tcW w:w="7020" w:type="dxa"/>
          </w:tcPr>
          <w:p w14:paraId="630B69EA" w14:textId="29EDA7DD" w:rsidR="00AB7DA4" w:rsidRPr="00113BDB" w:rsidRDefault="00AB7DA4" w:rsidP="00E2561A">
            <w:r w:rsidRPr="00113BDB">
              <w:t>Total exposure with IDegAsp increases proportionally with increasing dose of the basal component (</w:t>
            </w:r>
            <w:r w:rsidR="007504B7" w:rsidRPr="00113BDB">
              <w:t>IDeg</w:t>
            </w:r>
            <w:r w:rsidRPr="00113BDB">
              <w:t>) and the mealtime component (</w:t>
            </w:r>
            <w:r w:rsidR="007504B7" w:rsidRPr="00113BDB">
              <w:t>IAsp</w:t>
            </w:r>
            <w:r w:rsidRPr="00113BDB">
              <w:t xml:space="preserve">) in </w:t>
            </w:r>
            <w:r w:rsidR="000B0F0E" w:rsidRPr="00113BDB">
              <w:t>T1DM and T2DM</w:t>
            </w:r>
            <w:r w:rsidR="007504B7" w:rsidRPr="00113BDB">
              <w:t>.</w:t>
            </w:r>
          </w:p>
        </w:tc>
      </w:tr>
      <w:tr w:rsidR="00AC60B3" w:rsidRPr="00113BDB" w14:paraId="770D884F" w14:textId="77777777" w:rsidTr="00186073">
        <w:tc>
          <w:tcPr>
            <w:tcW w:w="2088" w:type="dxa"/>
            <w:shd w:val="clear" w:color="auto" w:fill="0070B5" w:themeFill="text2" w:themeFillTint="BF"/>
          </w:tcPr>
          <w:p w14:paraId="20196604" w14:textId="05AC5CAA" w:rsidR="00AB7DA4" w:rsidRPr="00C36733" w:rsidRDefault="00AB7DA4" w:rsidP="00E2561A">
            <w:pPr>
              <w:rPr>
                <w:b/>
                <w:color w:val="FFFFFF" w:themeColor="background1"/>
              </w:rPr>
            </w:pPr>
            <w:r w:rsidRPr="00C36733">
              <w:rPr>
                <w:b/>
                <w:color w:val="FFFFFF" w:themeColor="background1"/>
              </w:rPr>
              <w:t>Special populations</w:t>
            </w:r>
          </w:p>
        </w:tc>
        <w:tc>
          <w:tcPr>
            <w:tcW w:w="7020" w:type="dxa"/>
          </w:tcPr>
          <w:p w14:paraId="096B5E4E" w14:textId="20264741" w:rsidR="00AB7DA4" w:rsidRPr="00113BDB" w:rsidRDefault="000B0F0E" w:rsidP="00E2561A">
            <w:r w:rsidRPr="00113BDB">
              <w:t>No differences in pharmacokinetic</w:t>
            </w:r>
            <w:r w:rsidR="00AB7DA4" w:rsidRPr="00113BDB">
              <w:t xml:space="preserve"> parameters in hepatic and renal impairment compared to normal subjects. No differences in </w:t>
            </w:r>
            <w:r w:rsidRPr="00113BDB">
              <w:t>pharmacokinetic</w:t>
            </w:r>
            <w:r w:rsidR="00AB7DA4" w:rsidRPr="00113BDB">
              <w:t xml:space="preserve"> parameters between elderly and younger patients. </w:t>
            </w:r>
          </w:p>
        </w:tc>
      </w:tr>
    </w:tbl>
    <w:p w14:paraId="5D3344D2" w14:textId="4F1DC94D" w:rsidR="00AB7DA4" w:rsidRPr="00113BDB" w:rsidRDefault="00AB7DA4" w:rsidP="00E2561A">
      <w:r w:rsidRPr="00113BDB">
        <w:t xml:space="preserve">The clinical evaluator was concerned that the </w:t>
      </w:r>
      <w:r w:rsidR="000B0F0E" w:rsidRPr="00113BDB">
        <w:t>pharmacokinetic studies for the FDC</w:t>
      </w:r>
      <w:r w:rsidRPr="00113BDB">
        <w:t xml:space="preserve"> IDegA</w:t>
      </w:r>
      <w:r w:rsidR="004763F6" w:rsidRPr="00113BDB">
        <w:t>sp were not bioequivalent to its</w:t>
      </w:r>
      <w:r w:rsidRPr="00113BDB">
        <w:t xml:space="preserve"> components. There were substantial differences in the </w:t>
      </w:r>
      <w:r w:rsidR="004763F6" w:rsidRPr="00113BDB">
        <w:t>pharmacokinetic</w:t>
      </w:r>
      <w:r w:rsidRPr="00113BDB">
        <w:t xml:space="preserve"> profile of </w:t>
      </w:r>
      <w:r w:rsidR="004763F6" w:rsidRPr="00113BDB">
        <w:t>IAsp</w:t>
      </w:r>
      <w:r w:rsidRPr="00113BDB">
        <w:t xml:space="preserve"> and </w:t>
      </w:r>
      <w:r w:rsidR="004763F6" w:rsidRPr="00113BDB">
        <w:t>IDeg</w:t>
      </w:r>
      <w:r w:rsidRPr="00113BDB">
        <w:t xml:space="preserve"> fro</w:t>
      </w:r>
      <w:r w:rsidR="004763F6" w:rsidRPr="00113BDB">
        <w:t>m Study NN5401-</w:t>
      </w:r>
      <w:r w:rsidRPr="00113BDB">
        <w:t>3857 which compared 0.5</w:t>
      </w:r>
      <w:r w:rsidR="004763F6" w:rsidRPr="00113BDB">
        <w:t> </w:t>
      </w:r>
      <w:r w:rsidRPr="00113BDB">
        <w:t>U/kg of IDegAsp to 0.5</w:t>
      </w:r>
      <w:r w:rsidR="004763F6" w:rsidRPr="00113BDB">
        <w:t> </w:t>
      </w:r>
      <w:r w:rsidRPr="00113BDB">
        <w:t>U/kg to IDeg and 0.5</w:t>
      </w:r>
      <w:r w:rsidR="004763F6" w:rsidRPr="00113BDB">
        <w:t> </w:t>
      </w:r>
      <w:r w:rsidRPr="00113BDB">
        <w:t xml:space="preserve">U/kg of aspart. However, this is not a fair comparison as the </w:t>
      </w:r>
      <w:r w:rsidR="004763F6" w:rsidRPr="00113BDB">
        <w:t>dosing was not dose equivalent.</w:t>
      </w:r>
    </w:p>
    <w:p w14:paraId="12E40B87" w14:textId="1DBE8B93" w:rsidR="00AB7DA4" w:rsidRPr="00113BDB" w:rsidRDefault="004763F6" w:rsidP="00E2561A">
      <w:r w:rsidRPr="00113BDB">
        <w:t>Study NN5401-</w:t>
      </w:r>
      <w:r w:rsidR="00AB7DA4" w:rsidRPr="00113BDB">
        <w:t>1959 compared IDegAsp with simil</w:t>
      </w:r>
      <w:r w:rsidR="00F35A48">
        <w:t>ar molar doses of IDeg and IAsp</w:t>
      </w:r>
      <w:r w:rsidR="00AB7DA4" w:rsidRPr="00113BDB">
        <w:t>. The C</w:t>
      </w:r>
      <w:r w:rsidR="00AB7DA4" w:rsidRPr="00113BDB">
        <w:rPr>
          <w:vertAlign w:val="subscript"/>
        </w:rPr>
        <w:t>max</w:t>
      </w:r>
      <w:r w:rsidR="00AB7DA4" w:rsidRPr="00113BDB">
        <w:t xml:space="preserve"> for IAsp was lower but </w:t>
      </w:r>
      <w:r w:rsidRPr="00113BDB">
        <w:t>the area under the drug concentration time curve from time zero to 6 hours (</w:t>
      </w:r>
      <w:r w:rsidR="00F35A48">
        <w:t>AUC</w:t>
      </w:r>
      <w:r w:rsidR="00AB7DA4" w:rsidRPr="00113BDB">
        <w:rPr>
          <w:vertAlign w:val="subscript"/>
        </w:rPr>
        <w:t>0-6 h</w:t>
      </w:r>
      <w:r w:rsidRPr="00113BDB">
        <w:t xml:space="preserve">) was </w:t>
      </w:r>
      <w:r w:rsidR="00AB7DA4" w:rsidRPr="00113BDB">
        <w:t>comparable. The C</w:t>
      </w:r>
      <w:r w:rsidR="00AB7DA4" w:rsidRPr="00113BDB">
        <w:rPr>
          <w:vertAlign w:val="subscript"/>
        </w:rPr>
        <w:t>max</w:t>
      </w:r>
      <w:r w:rsidRPr="00113BDB">
        <w:t xml:space="preserve"> for IDeg was higher but the area under the drug concentration time curve from time zero to infinity (AUC</w:t>
      </w:r>
      <w:r w:rsidRPr="00113BDB">
        <w:rPr>
          <w:vertAlign w:val="subscript"/>
        </w:rPr>
        <w:t>0-inf</w:t>
      </w:r>
      <w:r w:rsidRPr="00113BDB">
        <w:t>) w</w:t>
      </w:r>
      <w:r w:rsidR="00F87754">
        <w:t>as</w:t>
      </w:r>
      <w:r w:rsidRPr="00113BDB">
        <w:t xml:space="preserve"> comparable.</w:t>
      </w:r>
    </w:p>
    <w:p w14:paraId="519AE859" w14:textId="1347BED8" w:rsidR="00AB7DA4" w:rsidRPr="00113BDB" w:rsidRDefault="00CF6F5E" w:rsidP="00E2561A">
      <w:r w:rsidRPr="00113BDB">
        <w:t>The p</w:t>
      </w:r>
      <w:r w:rsidR="002F53C5" w:rsidRPr="00113BDB">
        <w:t xml:space="preserve">harmacokinetic </w:t>
      </w:r>
      <w:r w:rsidR="004763F6" w:rsidRPr="00113BDB">
        <w:t>endpoints from S</w:t>
      </w:r>
      <w:r w:rsidR="00AB7DA4" w:rsidRPr="00113BDB">
        <w:t>tudy NN5401-1959</w:t>
      </w:r>
      <w:r w:rsidRPr="00113BDB">
        <w:t xml:space="preserve"> were</w:t>
      </w:r>
      <w:r w:rsidR="00BE548A" w:rsidRPr="00113BDB">
        <w:t>:</w:t>
      </w:r>
    </w:p>
    <w:p w14:paraId="3ED081EA" w14:textId="726E7B9D" w:rsidR="00AB7DA4" w:rsidRPr="00113BDB" w:rsidRDefault="008A51C0" w:rsidP="00E2561A">
      <w:pPr>
        <w:pStyle w:val="ListBullet"/>
      </w:pPr>
      <w:r>
        <w:t>Are</w:t>
      </w:r>
      <w:r w:rsidR="00D20E5F">
        <w:t xml:space="preserve">a </w:t>
      </w:r>
      <w:r>
        <w:t>under the IAsp concentration time curve from time 0 to 2 hours (</w:t>
      </w:r>
      <w:r w:rsidR="00BE548A" w:rsidRPr="00113BDB">
        <w:t>AUC</w:t>
      </w:r>
      <w:r w:rsidR="00AB7DA4" w:rsidRPr="00113BDB">
        <w:rPr>
          <w:vertAlign w:val="subscript"/>
        </w:rPr>
        <w:t>(IAsp</w:t>
      </w:r>
      <w:r>
        <w:rPr>
          <w:vertAlign w:val="subscript"/>
        </w:rPr>
        <w:t> </w:t>
      </w:r>
      <w:r w:rsidR="00D20E5F">
        <w:rPr>
          <w:vertAlign w:val="subscript"/>
        </w:rPr>
        <w:t>0</w:t>
      </w:r>
      <w:r w:rsidR="00D20E5F">
        <w:rPr>
          <w:vertAlign w:val="subscript"/>
        </w:rPr>
        <w:noBreakHyphen/>
      </w:r>
      <w:r w:rsidR="00AB7DA4" w:rsidRPr="00113BDB">
        <w:rPr>
          <w:vertAlign w:val="subscript"/>
        </w:rPr>
        <w:t>2</w:t>
      </w:r>
      <w:r w:rsidR="00B87E9D">
        <w:rPr>
          <w:vertAlign w:val="subscript"/>
        </w:rPr>
        <w:t>h</w:t>
      </w:r>
      <w:r w:rsidR="00AB7DA4" w:rsidRPr="00113BDB">
        <w:rPr>
          <w:vertAlign w:val="subscript"/>
        </w:rPr>
        <w:t>)</w:t>
      </w:r>
      <w:r>
        <w:t>): </w:t>
      </w:r>
      <w:r w:rsidR="004763F6" w:rsidRPr="00113BDB">
        <w:t xml:space="preserve">0.68 (95% CI 0.61 to </w:t>
      </w:r>
      <w:r w:rsidR="00AB7DA4" w:rsidRPr="00113BDB">
        <w:t>0.75)</w:t>
      </w:r>
    </w:p>
    <w:p w14:paraId="6014B0D8" w14:textId="07C76594" w:rsidR="00AB7DA4" w:rsidRPr="00113BDB" w:rsidRDefault="00D20E5F" w:rsidP="00E2561A">
      <w:pPr>
        <w:pStyle w:val="ListBullet"/>
      </w:pPr>
      <w:r>
        <w:t>Area under the IAsp concentration time curve from time 0 to 6 hours (</w:t>
      </w:r>
      <w:r w:rsidR="00BE548A" w:rsidRPr="00113BDB">
        <w:t>AUC</w:t>
      </w:r>
      <w:r w:rsidR="00AB7DA4" w:rsidRPr="00113BDB">
        <w:rPr>
          <w:vertAlign w:val="subscript"/>
        </w:rPr>
        <w:t>(IAsp 0-6</w:t>
      </w:r>
      <w:r>
        <w:rPr>
          <w:vertAlign w:val="subscript"/>
        </w:rPr>
        <w:t xml:space="preserve"> </w:t>
      </w:r>
      <w:r w:rsidR="00AB7DA4" w:rsidRPr="00113BDB">
        <w:rPr>
          <w:vertAlign w:val="subscript"/>
        </w:rPr>
        <w:t>h</w:t>
      </w:r>
      <w:r>
        <w:rPr>
          <w:vertAlign w:val="subscript"/>
        </w:rPr>
        <w:t>)</w:t>
      </w:r>
      <w:r w:rsidRPr="00D20E5F">
        <w:t>)</w:t>
      </w:r>
      <w:r>
        <w:t>:</w:t>
      </w:r>
      <w:r w:rsidR="004763F6" w:rsidRPr="00113BDB">
        <w:t xml:space="preserve"> </w:t>
      </w:r>
      <w:r w:rsidR="00AB7DA4" w:rsidRPr="00113BDB">
        <w:t>0.89 (95% CI 0</w:t>
      </w:r>
      <w:r w:rsidR="004763F6" w:rsidRPr="00113BDB">
        <w:t xml:space="preserve">.83 to </w:t>
      </w:r>
      <w:r w:rsidR="00AB7DA4" w:rsidRPr="00113BDB">
        <w:t>0.95)</w:t>
      </w:r>
    </w:p>
    <w:p w14:paraId="14D12936" w14:textId="46BAC999" w:rsidR="00AB7DA4" w:rsidRPr="00113BDB" w:rsidRDefault="00AB7DA4" w:rsidP="00E2561A">
      <w:pPr>
        <w:pStyle w:val="ListBullet"/>
      </w:pPr>
      <w:r w:rsidRPr="00113BDB">
        <w:t>C</w:t>
      </w:r>
      <w:r w:rsidRPr="00113BDB">
        <w:rPr>
          <w:vertAlign w:val="subscript"/>
        </w:rPr>
        <w:t>max</w:t>
      </w:r>
      <w:r w:rsidR="006B3C70">
        <w:rPr>
          <w:vertAlign w:val="subscript"/>
        </w:rPr>
        <w:t xml:space="preserve"> </w:t>
      </w:r>
      <w:r w:rsidR="003033AB" w:rsidRPr="006B3C70">
        <w:t>(IAsp)</w:t>
      </w:r>
      <w:r w:rsidR="004763F6" w:rsidRPr="006B3C70">
        <w:t xml:space="preserve">: </w:t>
      </w:r>
      <w:r w:rsidR="004763F6" w:rsidRPr="00113BDB">
        <w:t xml:space="preserve">0.72 (0.64 to </w:t>
      </w:r>
      <w:r w:rsidRPr="00113BDB">
        <w:t>0.79)</w:t>
      </w:r>
    </w:p>
    <w:p w14:paraId="3726AED2" w14:textId="47139A42" w:rsidR="00AB7DA4" w:rsidRPr="00113BDB" w:rsidRDefault="003033AB" w:rsidP="00E2561A">
      <w:pPr>
        <w:pStyle w:val="ListBullet"/>
      </w:pPr>
      <w:r>
        <w:t xml:space="preserve">IDeg </w:t>
      </w:r>
      <w:r w:rsidR="00AB7DA4" w:rsidRPr="00113BDB">
        <w:t>AUC</w:t>
      </w:r>
      <w:r>
        <w:rPr>
          <w:vertAlign w:val="subscript"/>
        </w:rPr>
        <w:t>(</w:t>
      </w:r>
      <w:r w:rsidR="00AB7DA4" w:rsidRPr="00113BDB">
        <w:rPr>
          <w:vertAlign w:val="subscript"/>
        </w:rPr>
        <w:t>0-inf)</w:t>
      </w:r>
      <w:r w:rsidR="004763F6" w:rsidRPr="00113BDB">
        <w:t xml:space="preserve">: 1.03 (95% CI 0.93 to </w:t>
      </w:r>
      <w:r w:rsidR="00AB7DA4" w:rsidRPr="00113BDB">
        <w:t>1.14)</w:t>
      </w:r>
    </w:p>
    <w:p w14:paraId="620D7C96" w14:textId="11585C89" w:rsidR="00AB7DA4" w:rsidRPr="00113BDB" w:rsidRDefault="00AB7DA4" w:rsidP="00E2561A">
      <w:pPr>
        <w:pStyle w:val="ListBullet"/>
      </w:pPr>
      <w:r w:rsidRPr="00113BDB">
        <w:t>C</w:t>
      </w:r>
      <w:r w:rsidRPr="00113BDB">
        <w:rPr>
          <w:vertAlign w:val="subscript"/>
        </w:rPr>
        <w:t>max</w:t>
      </w:r>
      <w:r w:rsidR="003033AB">
        <w:t xml:space="preserve"> (IDeg):</w:t>
      </w:r>
      <w:r w:rsidR="004763F6" w:rsidRPr="00113BDB">
        <w:t xml:space="preserve"> 1.13 (95% CI 1.02 to </w:t>
      </w:r>
      <w:r w:rsidR="006E7785" w:rsidRPr="00113BDB">
        <w:t>1.25)</w:t>
      </w:r>
    </w:p>
    <w:p w14:paraId="3A717F94" w14:textId="77777777" w:rsidR="00AB7DA4" w:rsidRPr="00113BDB" w:rsidRDefault="00AB7DA4" w:rsidP="00E2561A">
      <w:r w:rsidRPr="00113BDB">
        <w:t>The glucose infusion rate of IDegAsp was comparable to separate injections of molar equivalent doses of IDeg and IAsp.</w:t>
      </w:r>
    </w:p>
    <w:p w14:paraId="2F3818A0" w14:textId="18591FFE" w:rsidR="00AB7DA4" w:rsidRPr="00113BDB" w:rsidRDefault="00C82698" w:rsidP="00E2561A">
      <w:r w:rsidRPr="00113BDB">
        <w:lastRenderedPageBreak/>
        <w:t>P</w:t>
      </w:r>
      <w:r w:rsidR="00BE548A" w:rsidRPr="00113BDB">
        <w:t>harmacodynamic</w:t>
      </w:r>
      <w:r w:rsidRPr="00113BDB">
        <w:t xml:space="preserve"> endpoints from S</w:t>
      </w:r>
      <w:r w:rsidR="00AB7DA4" w:rsidRPr="00113BDB">
        <w:t>tudy NN5401-1959</w:t>
      </w:r>
      <w:r w:rsidR="00BE548A" w:rsidRPr="00113BDB">
        <w:t>:</w:t>
      </w:r>
    </w:p>
    <w:p w14:paraId="16156D06" w14:textId="679EFE81" w:rsidR="00AB7DA4" w:rsidRPr="00113BDB" w:rsidRDefault="00CF6F5E" w:rsidP="00E2561A">
      <w:pPr>
        <w:pStyle w:val="ListBullet"/>
      </w:pPr>
      <w:r w:rsidRPr="00113BDB">
        <w:t>Glucose infusion rate (</w:t>
      </w:r>
      <w:r w:rsidR="00AB7DA4" w:rsidRPr="00113BDB">
        <w:t>GIR</w:t>
      </w:r>
      <w:r w:rsidRPr="00113BDB">
        <w:t>)</w:t>
      </w:r>
      <w:r w:rsidR="00AB7DA4" w:rsidRPr="00113BDB">
        <w:t xml:space="preserve"> max</w:t>
      </w:r>
      <w:r w:rsidR="006825C8">
        <w:t xml:space="preserve">imum/average </w:t>
      </w:r>
      <w:r w:rsidR="00AB7DA4" w:rsidRPr="00F35A48">
        <w:t>(AUC</w:t>
      </w:r>
      <w:r w:rsidR="00AB7DA4" w:rsidRPr="00113BDB">
        <w:rPr>
          <w:vertAlign w:val="subscript"/>
        </w:rPr>
        <w:t>{GIR 0-24)</w:t>
      </w:r>
      <w:r w:rsidR="00AB7DA4" w:rsidRPr="00F35A48">
        <w:t>)</w:t>
      </w:r>
      <w:r w:rsidR="00BE548A" w:rsidRPr="00113BDB">
        <w:t xml:space="preserve">: </w:t>
      </w:r>
      <w:r w:rsidR="00AB7DA4" w:rsidRPr="00113BDB">
        <w:t>0.91 (0.84</w:t>
      </w:r>
      <w:r w:rsidR="00BE548A" w:rsidRPr="00113BDB">
        <w:t xml:space="preserve"> to </w:t>
      </w:r>
      <w:r w:rsidR="00AB7DA4" w:rsidRPr="00113BDB">
        <w:t>0.99)</w:t>
      </w:r>
    </w:p>
    <w:p w14:paraId="4F0429D0" w14:textId="0EDE2586" w:rsidR="00AB7DA4" w:rsidRPr="00113BDB" w:rsidRDefault="00F35A48" w:rsidP="00E2561A">
      <w:pPr>
        <w:pStyle w:val="ListBullet"/>
      </w:pPr>
      <w:r>
        <w:t>AUC</w:t>
      </w:r>
      <w:r w:rsidR="003033AB">
        <w:rPr>
          <w:vertAlign w:val="subscript"/>
        </w:rPr>
        <w:t>(</w:t>
      </w:r>
      <w:r w:rsidR="00AB7DA4" w:rsidRPr="00113BDB">
        <w:rPr>
          <w:vertAlign w:val="subscript"/>
        </w:rPr>
        <w:t>0-24</w:t>
      </w:r>
      <w:r>
        <w:rPr>
          <w:vertAlign w:val="subscript"/>
        </w:rPr>
        <w:t xml:space="preserve"> h</w:t>
      </w:r>
      <w:r w:rsidR="00BE548A" w:rsidRPr="00F35A48">
        <w:rPr>
          <w:vertAlign w:val="subscript"/>
        </w:rPr>
        <w:t>)</w:t>
      </w:r>
      <w:r w:rsidR="00BE548A" w:rsidRPr="00113BDB">
        <w:t xml:space="preserve"> </w:t>
      </w:r>
      <w:r w:rsidR="003033AB">
        <w:t>for GIR</w:t>
      </w:r>
      <w:r w:rsidR="00BE548A" w:rsidRPr="00113BDB">
        <w:t xml:space="preserve">: </w:t>
      </w:r>
      <w:r w:rsidR="00AB7DA4" w:rsidRPr="00113BDB">
        <w:t xml:space="preserve">1.04 </w:t>
      </w:r>
      <w:r w:rsidR="003033AB" w:rsidRPr="00113BDB">
        <w:t xml:space="preserve">mg/kg </w:t>
      </w:r>
      <w:r w:rsidR="00AB7DA4" w:rsidRPr="00113BDB">
        <w:t>(0.94</w:t>
      </w:r>
      <w:r w:rsidR="00BE548A" w:rsidRPr="00113BDB">
        <w:t xml:space="preserve"> to </w:t>
      </w:r>
      <w:r w:rsidR="00AB7DA4" w:rsidRPr="00113BDB">
        <w:t>1.14)</w:t>
      </w:r>
    </w:p>
    <w:p w14:paraId="6DC4F7F6" w14:textId="681BB876" w:rsidR="00AB7DA4" w:rsidRPr="00113BDB" w:rsidRDefault="00F35A48" w:rsidP="00E2561A">
      <w:pPr>
        <w:pStyle w:val="ListBullet"/>
      </w:pPr>
      <w:r>
        <w:t>AUC</w:t>
      </w:r>
      <w:r w:rsidR="003033AB">
        <w:rPr>
          <w:vertAlign w:val="subscript"/>
        </w:rPr>
        <w:t>(</w:t>
      </w:r>
      <w:r>
        <w:rPr>
          <w:vertAlign w:val="subscript"/>
        </w:rPr>
        <w:t>0-6 h</w:t>
      </w:r>
      <w:r w:rsidR="003033AB">
        <w:rPr>
          <w:vertAlign w:val="subscript"/>
        </w:rPr>
        <w:t xml:space="preserve">) </w:t>
      </w:r>
      <w:r w:rsidR="003033AB">
        <w:t>for GIR</w:t>
      </w:r>
      <w:r w:rsidR="00BE548A" w:rsidRPr="00113BDB">
        <w:t xml:space="preserve">: </w:t>
      </w:r>
      <w:r w:rsidR="00AB7DA4" w:rsidRPr="00113BDB">
        <w:t xml:space="preserve">0.97 </w:t>
      </w:r>
      <w:r w:rsidR="003033AB" w:rsidRPr="00113BDB">
        <w:t xml:space="preserve">mg/kg </w:t>
      </w:r>
      <w:r w:rsidR="00AB7DA4" w:rsidRPr="00113BDB">
        <w:t>(0.88</w:t>
      </w:r>
      <w:r w:rsidR="00BE548A" w:rsidRPr="00113BDB">
        <w:t xml:space="preserve"> to </w:t>
      </w:r>
      <w:r w:rsidR="00AB7DA4" w:rsidRPr="00113BDB">
        <w:t>1.06)</w:t>
      </w:r>
    </w:p>
    <w:p w14:paraId="38698BAF" w14:textId="7C01DACA" w:rsidR="00AB7DA4" w:rsidRPr="00113BDB" w:rsidRDefault="003033AB" w:rsidP="00E2561A">
      <w:pPr>
        <w:pStyle w:val="ListBullet"/>
      </w:pPr>
      <w:r>
        <w:t>AUC</w:t>
      </w:r>
      <w:r>
        <w:rPr>
          <w:vertAlign w:val="subscript"/>
        </w:rPr>
        <w:t>(</w:t>
      </w:r>
      <w:r w:rsidR="00F35A48">
        <w:rPr>
          <w:vertAlign w:val="subscript"/>
        </w:rPr>
        <w:t>0-2 h</w:t>
      </w:r>
      <w:r>
        <w:rPr>
          <w:vertAlign w:val="subscript"/>
        </w:rPr>
        <w:t xml:space="preserve">) </w:t>
      </w:r>
      <w:r>
        <w:t>for GIR</w:t>
      </w:r>
      <w:r w:rsidRPr="003033AB">
        <w:t>:</w:t>
      </w:r>
      <w:r>
        <w:t xml:space="preserve"> 0.</w:t>
      </w:r>
      <w:r w:rsidR="00AB7DA4" w:rsidRPr="00113BDB">
        <w:t xml:space="preserve">74 </w:t>
      </w:r>
      <w:r w:rsidRPr="00113BDB">
        <w:t xml:space="preserve">mg/kg </w:t>
      </w:r>
      <w:r w:rsidR="00AB7DA4" w:rsidRPr="00113BDB">
        <w:t>(0.64</w:t>
      </w:r>
      <w:r w:rsidR="00BE548A" w:rsidRPr="00113BDB">
        <w:t xml:space="preserve"> to </w:t>
      </w:r>
      <w:r w:rsidR="00AB7DA4" w:rsidRPr="00113BDB">
        <w:t>0.86)</w:t>
      </w:r>
    </w:p>
    <w:p w14:paraId="44208108" w14:textId="72F6F5DA" w:rsidR="00AB7DA4" w:rsidRPr="00113BDB" w:rsidRDefault="006B3C70" w:rsidP="00E2561A">
      <w:pPr>
        <w:pStyle w:val="ListBullet"/>
      </w:pPr>
      <w:r>
        <w:t>Maximum glucose infusion rate (</w:t>
      </w:r>
      <w:r w:rsidR="00AB7DA4" w:rsidRPr="00113BDB">
        <w:t>GIR</w:t>
      </w:r>
      <w:r w:rsidR="00AB7DA4" w:rsidRPr="00F35A48">
        <w:rPr>
          <w:vertAlign w:val="subscript"/>
        </w:rPr>
        <w:t>max</w:t>
      </w:r>
      <w:r>
        <w:t>):</w:t>
      </w:r>
      <w:r w:rsidR="00BE548A" w:rsidRPr="00113BDB">
        <w:t xml:space="preserve"> </w:t>
      </w:r>
      <w:r w:rsidR="00AB7DA4" w:rsidRPr="00113BDB">
        <w:t xml:space="preserve">0.94 </w:t>
      </w:r>
      <w:r w:rsidR="003033AB" w:rsidRPr="00113BDB">
        <w:t>mg/kg</w:t>
      </w:r>
      <w:r>
        <w:t>/min</w:t>
      </w:r>
      <w:r w:rsidR="003033AB" w:rsidRPr="00113BDB">
        <w:t xml:space="preserve"> </w:t>
      </w:r>
      <w:r w:rsidR="006E7785" w:rsidRPr="00113BDB">
        <w:t>(0.86</w:t>
      </w:r>
      <w:r w:rsidR="00BE548A" w:rsidRPr="00113BDB">
        <w:t xml:space="preserve"> to </w:t>
      </w:r>
      <w:r w:rsidR="006E7785" w:rsidRPr="00113BDB">
        <w:t>1.03)</w:t>
      </w:r>
    </w:p>
    <w:p w14:paraId="2E02DC2F" w14:textId="406BA4B3" w:rsidR="00AB7DA4" w:rsidRPr="00113BDB" w:rsidRDefault="00BE548A" w:rsidP="00E2561A">
      <w:pPr>
        <w:pStyle w:val="FigureTitle"/>
      </w:pPr>
      <w:r w:rsidRPr="00113BDB">
        <w:t>Figure 6</w:t>
      </w:r>
      <w:r w:rsidR="00AC60B3">
        <w:t>:</w:t>
      </w:r>
      <w:r w:rsidRPr="00113BDB">
        <w:t xml:space="preserve"> </w:t>
      </w:r>
      <w:r w:rsidR="00AB7DA4" w:rsidRPr="00113BDB">
        <w:t xml:space="preserve">Mean glucose infusion rate profile of </w:t>
      </w:r>
      <w:r w:rsidRPr="00113BDB">
        <w:t>R</w:t>
      </w:r>
      <w:r w:rsidR="00AB7DA4" w:rsidRPr="00113BDB">
        <w:t>yzodeg after a single dose administration of 0.8</w:t>
      </w:r>
      <w:r w:rsidRPr="00113BDB">
        <w:t> U</w:t>
      </w:r>
      <w:r w:rsidR="00AB7DA4" w:rsidRPr="00113BDB">
        <w:t>/kg in T1DM (</w:t>
      </w:r>
      <w:r w:rsidRPr="00113BDB">
        <w:t>S</w:t>
      </w:r>
      <w:r w:rsidR="00AB7DA4" w:rsidRPr="00113BDB">
        <w:t xml:space="preserve">tudy </w:t>
      </w:r>
      <w:r w:rsidRPr="00113BDB">
        <w:t>NN5401-</w:t>
      </w:r>
      <w:r w:rsidR="00AB7DA4" w:rsidRPr="00113BDB">
        <w:t>3589)</w:t>
      </w:r>
    </w:p>
    <w:p w14:paraId="3EC5CD78" w14:textId="77777777" w:rsidR="00AB7DA4" w:rsidRPr="00113BDB" w:rsidRDefault="00AB7DA4" w:rsidP="00E2561A">
      <w:pPr>
        <w:rPr>
          <w:u w:val="single"/>
        </w:rPr>
      </w:pPr>
      <w:r w:rsidRPr="00113BDB">
        <w:rPr>
          <w:noProof/>
          <w:lang w:eastAsia="en-AU"/>
        </w:rPr>
        <mc:AlternateContent>
          <mc:Choice Requires="wpg">
            <w:drawing>
              <wp:inline distT="0" distB="0" distL="0" distR="0" wp14:anchorId="54EF9760" wp14:editId="47341613">
                <wp:extent cx="3569335" cy="2376170"/>
                <wp:effectExtent l="0" t="0" r="0" b="5080"/>
                <wp:docPr id="11" name="Group 11" descr="Figure 6 is a line graph hsowing the mean glucose infusion rate profile of Ryzodeg after a single dose administration of 0.8 U/kg in T1DM (Study NN5401-3589)" title="Mean glucose infusion rate profile of Ryzodeg after a single dose administration of 0.8 U/kg in T1DM (Study NN5401-3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9335" cy="2376170"/>
                          <a:chOff x="1261" y="1020"/>
                          <a:chExt cx="5621" cy="3742"/>
                        </a:xfrm>
                      </wpg:grpSpPr>
                      <pic:pic xmlns:pic="http://schemas.openxmlformats.org/drawingml/2006/picture">
                        <pic:nvPicPr>
                          <pic:cNvPr id="12" name="Picture 3" descr="Figure 6: Mean glucose infusion rate profile of Ryzodeg after a single dose administration of 0.8 U/kg in T1DM (Study NN5401-358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261" y="1021"/>
                            <a:ext cx="5620" cy="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4"/>
                        <wps:cNvSpPr txBox="1">
                          <a:spLocks noChangeArrowheads="1"/>
                        </wps:cNvSpPr>
                        <wps:spPr bwMode="auto">
                          <a:xfrm>
                            <a:off x="3416" y="4365"/>
                            <a:ext cx="1966"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C7356" w14:textId="77777777" w:rsidR="00186073" w:rsidRDefault="00186073" w:rsidP="00AB7DA4">
                              <w:pPr>
                                <w:pStyle w:val="BodyText"/>
                                <w:kinsoku w:val="0"/>
                                <w:overflowPunct w:val="0"/>
                                <w:spacing w:line="155" w:lineRule="exact"/>
                                <w:ind w:left="125"/>
                                <w:rPr>
                                  <w:sz w:val="14"/>
                                  <w:szCs w:val="14"/>
                                </w:rPr>
                              </w:pPr>
                              <w:r>
                                <w:rPr>
                                  <w:sz w:val="14"/>
                                  <w:szCs w:val="14"/>
                                </w:rPr>
                                <w:t>Time since injection (hours)</w:t>
                              </w:r>
                            </w:p>
                            <w:p w14:paraId="68417864" w14:textId="77777777" w:rsidR="00186073" w:rsidRDefault="00186073" w:rsidP="00AB7DA4">
                              <w:pPr>
                                <w:pStyle w:val="BodyText"/>
                                <w:tabs>
                                  <w:tab w:val="left" w:pos="922"/>
                                </w:tabs>
                                <w:kinsoku w:val="0"/>
                                <w:overflowPunct w:val="0"/>
                                <w:spacing w:before="36"/>
                                <w:rPr>
                                  <w:sz w:val="14"/>
                                  <w:szCs w:val="14"/>
                                </w:rPr>
                              </w:pPr>
                              <w:r>
                                <w:rPr>
                                  <w:sz w:val="14"/>
                                  <w:szCs w:val="14"/>
                                </w:rPr>
                                <w:t>Treatment</w:t>
                              </w:r>
                              <w:r>
                                <w:rPr>
                                  <w:sz w:val="14"/>
                                  <w:szCs w:val="14"/>
                                </w:rPr>
                                <w:tab/>
                                <w:t>IDegAsp 0.8</w:t>
                              </w:r>
                              <w:r>
                                <w:rPr>
                                  <w:spacing w:val="-12"/>
                                  <w:sz w:val="14"/>
                                  <w:szCs w:val="14"/>
                                </w:rPr>
                                <w:t xml:space="preserve"> </w:t>
                              </w:r>
                              <w:r>
                                <w:rPr>
                                  <w:sz w:val="14"/>
                                  <w:szCs w:val="14"/>
                                </w:rPr>
                                <w:t>U/kg</w:t>
                              </w:r>
                            </w:p>
                          </w:txbxContent>
                        </wps:txbx>
                        <wps:bodyPr rot="0" vert="horz" wrap="square" lIns="0" tIns="0" rIns="0" bIns="0" anchor="t" anchorCtr="0" upright="1">
                          <a:noAutofit/>
                        </wps:bodyPr>
                      </wps:wsp>
                    </wpg:wgp>
                  </a:graphicData>
                </a:graphic>
              </wp:inline>
            </w:drawing>
          </mc:Choice>
          <mc:Fallback>
            <w:pict>
              <v:group id="Group 11" o:spid="_x0000_s1026" alt="Title: Mean glucose infusion rate profile of Ryzodeg after a single dose administration of 0.8 U/kg in T1DM (Study NN5401-3589) - Description: Figure 6 is a line graph hsowing the mean glucose infusion rate profile of Ryzodeg after a single dose administration of 0.8 U/kg in T1DM (Study NN5401-3589)" style="width:281.05pt;height:187.1pt;mso-position-horizontal-relative:char;mso-position-vertical-relative:line" coordorigin="1261,1020" coordsize="5621,37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Figure 6: Mean glucose infusion rate profile of Ryzodeg after a single dose administration of 0.8 U/kg in T1DM (Study NN5401-3589)" style="position:absolute;left:1261;top:1021;width:5620;height:3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1T4/AAAAA2wAAAA8AAABkcnMvZG93bnJldi54bWxET01rAjEQvRf8D2EEL6Um9VDL1igSKFR6&#10;qvbS27CZJsHNZNlE3f77RhC8zeN9zmozxk6cacghsYbnuQJB3CYb2Gn4Prw/vYLIBdlil5g0/FGG&#10;zXrysMLGpgt/0XlfnKghnBvU4EvpGylz6ylinqeeuHK/aYhYKhyctANeanjs5EKpFxkxcG3w2JPx&#10;1B73p6jBqD5/7ozxLjwuf9ypBLXsjNaz6bh9A1FoLHfxzf1h6/wFXH+pB8j1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TVPj8AAAADbAAAADwAAAAAAAAAAAAAAAACfAgAA&#10;ZHJzL2Rvd25yZXYueG1sUEsFBgAAAAAEAAQA9wAAAIwDAAAAAA==&#10;">
                  <v:imagedata r:id="rId22" o:title="kg in T1DM (Study NN5401-3589)"/>
                </v:shape>
                <v:shapetype id="_x0000_t202" coordsize="21600,21600" o:spt="202" path="m,l,21600r21600,l21600,xe">
                  <v:stroke joinstyle="miter"/>
                  <v:path gradientshapeok="t" o:connecttype="rect"/>
                </v:shapetype>
                <v:shape id="Text Box 4" o:spid="_x0000_s1028" type="#_x0000_t202" style="position:absolute;left:3416;top:4365;width:1966;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14DC7356" w14:textId="77777777" w:rsidR="00186073" w:rsidRDefault="00186073" w:rsidP="00AB7DA4">
                        <w:pPr>
                          <w:pStyle w:val="BodyText"/>
                          <w:kinsoku w:val="0"/>
                          <w:overflowPunct w:val="0"/>
                          <w:spacing w:line="155" w:lineRule="exact"/>
                          <w:ind w:left="125"/>
                          <w:rPr>
                            <w:sz w:val="14"/>
                            <w:szCs w:val="14"/>
                          </w:rPr>
                        </w:pPr>
                        <w:r>
                          <w:rPr>
                            <w:sz w:val="14"/>
                            <w:szCs w:val="14"/>
                          </w:rPr>
                          <w:t>Time since injection (hours)</w:t>
                        </w:r>
                      </w:p>
                      <w:p w14:paraId="68417864" w14:textId="77777777" w:rsidR="00186073" w:rsidRDefault="00186073" w:rsidP="00AB7DA4">
                        <w:pPr>
                          <w:pStyle w:val="BodyText"/>
                          <w:tabs>
                            <w:tab w:val="left" w:pos="922"/>
                          </w:tabs>
                          <w:kinsoku w:val="0"/>
                          <w:overflowPunct w:val="0"/>
                          <w:spacing w:before="36"/>
                          <w:rPr>
                            <w:sz w:val="14"/>
                            <w:szCs w:val="14"/>
                          </w:rPr>
                        </w:pPr>
                        <w:r>
                          <w:rPr>
                            <w:sz w:val="14"/>
                            <w:szCs w:val="14"/>
                          </w:rPr>
                          <w:t>Treatment</w:t>
                        </w:r>
                        <w:r>
                          <w:rPr>
                            <w:sz w:val="14"/>
                            <w:szCs w:val="14"/>
                          </w:rPr>
                          <w:tab/>
                          <w:t>IDegAsp 0.8</w:t>
                        </w:r>
                        <w:r>
                          <w:rPr>
                            <w:spacing w:val="-12"/>
                            <w:sz w:val="14"/>
                            <w:szCs w:val="14"/>
                          </w:rPr>
                          <w:t xml:space="preserve"> </w:t>
                        </w:r>
                        <w:r>
                          <w:rPr>
                            <w:sz w:val="14"/>
                            <w:szCs w:val="14"/>
                          </w:rPr>
                          <w:t>U/kg</w:t>
                        </w:r>
                      </w:p>
                    </w:txbxContent>
                  </v:textbox>
                </v:shape>
                <w10:anchorlock/>
              </v:group>
            </w:pict>
          </mc:Fallback>
        </mc:AlternateContent>
      </w:r>
    </w:p>
    <w:p w14:paraId="1ACF8924" w14:textId="77777777" w:rsidR="00AB7DA4" w:rsidRPr="00113BDB" w:rsidRDefault="00AB7DA4" w:rsidP="00E2561A">
      <w:pPr>
        <w:rPr>
          <w:u w:val="single"/>
        </w:rPr>
      </w:pPr>
      <w:r w:rsidRPr="00113BDB">
        <w:rPr>
          <w:u w:val="single"/>
        </w:rPr>
        <w:t>Clinical Studies</w:t>
      </w:r>
    </w:p>
    <w:p w14:paraId="26CCFA67" w14:textId="35B225D9" w:rsidR="00AB7DA4" w:rsidRPr="00113BDB" w:rsidRDefault="00AB7DA4" w:rsidP="00E2561A">
      <w:r w:rsidRPr="00113BDB">
        <w:t xml:space="preserve">In the initial submission there were 5 clinical studies, 1 in T1DM and </w:t>
      </w:r>
      <w:r w:rsidR="00BE548A" w:rsidRPr="00113BDB">
        <w:t>4</w:t>
      </w:r>
      <w:r w:rsidRPr="00113BDB">
        <w:t xml:space="preserve"> in T2DM. The studies compared ID</w:t>
      </w:r>
      <w:r w:rsidR="00BE548A" w:rsidRPr="00113BDB">
        <w:t xml:space="preserve">egAsp to levemir, </w:t>
      </w:r>
      <w:r w:rsidR="00CF6F5E" w:rsidRPr="00113BDB">
        <w:t>IGlar</w:t>
      </w:r>
      <w:r w:rsidR="00BE548A" w:rsidRPr="00113BDB">
        <w:t>, or N</w:t>
      </w:r>
      <w:r w:rsidRPr="00113BDB">
        <w:t>ovo</w:t>
      </w:r>
      <w:r w:rsidR="00CF6F5E" w:rsidRPr="00113BDB">
        <w:t>M</w:t>
      </w:r>
      <w:r w:rsidRPr="00113BDB">
        <w:t>ix. Patients were not blinded due to difference in pens for comparator insulins. The clinical studies excluded patients using insulin secretagogues, alpha glucosidase inhibitors or GLP-1 agonists.</w:t>
      </w:r>
    </w:p>
    <w:p w14:paraId="20AF1078" w14:textId="412050C1" w:rsidR="00AB7DA4" w:rsidRPr="00113BDB" w:rsidRDefault="00AB7DA4" w:rsidP="00E2561A">
      <w:r w:rsidRPr="00113BDB">
        <w:t>All the therapeutic confirmatory trials</w:t>
      </w:r>
      <w:r w:rsidR="00CF6F5E" w:rsidRPr="00113BDB">
        <w:t xml:space="preserve"> were conducted with a treat-to-</w:t>
      </w:r>
      <w:r w:rsidRPr="00113BDB">
        <w:t>target principle; the dose was adjusted for each individual subject with the aim of achieving identical glycaemic targets for IDegAsp and comparator products. The overall treatment goal in all therapeutic confirmatory trials was to achieve HbA1c &lt;</w:t>
      </w:r>
      <w:r w:rsidR="00BE548A" w:rsidRPr="00113BDB">
        <w:t xml:space="preserve"> </w:t>
      </w:r>
      <w:r w:rsidRPr="00113BDB">
        <w:t xml:space="preserve">7% and a pre-breakfast (fasting) </w:t>
      </w:r>
      <w:r w:rsidR="00BE548A" w:rsidRPr="00113BDB">
        <w:t xml:space="preserve">blood glucose </w:t>
      </w:r>
      <w:r w:rsidR="0030024A">
        <w:t xml:space="preserve">level </w:t>
      </w:r>
      <w:r w:rsidR="00BE548A" w:rsidRPr="00113BDB">
        <w:t>(</w:t>
      </w:r>
      <w:r w:rsidRPr="00113BDB">
        <w:t>BGL</w:t>
      </w:r>
      <w:r w:rsidR="00BE548A" w:rsidRPr="00113BDB">
        <w:t>) of</w:t>
      </w:r>
      <w:r w:rsidRPr="00113BDB">
        <w:t xml:space="preserve"> &lt;</w:t>
      </w:r>
      <w:r w:rsidR="00BE548A" w:rsidRPr="00113BDB">
        <w:t xml:space="preserve"> </w:t>
      </w:r>
      <w:r w:rsidRPr="00113BDB">
        <w:t>5.0 mmol/L). In trials with twice daily dosing an additional titration target of BGL &lt;</w:t>
      </w:r>
      <w:r w:rsidR="00BE548A" w:rsidRPr="00113BDB">
        <w:t> </w:t>
      </w:r>
      <w:r w:rsidRPr="00113BDB">
        <w:t>5.0 mmol/L before the main evening meal was applied for adjustment of the morni</w:t>
      </w:r>
      <w:r w:rsidR="00BE548A" w:rsidRPr="00113BDB">
        <w:t>ng dose. In subjects with T1DM (Study NN5401-</w:t>
      </w:r>
      <w:r w:rsidRPr="00113BDB">
        <w:t>3594), IAsp as a separate bolus (for both treatment groups) were titrated based</w:t>
      </w:r>
      <w:r w:rsidR="00BE548A" w:rsidRPr="00113BDB">
        <w:t xml:space="preserve"> on the mean pre-prandial BGL.</w:t>
      </w:r>
    </w:p>
    <w:p w14:paraId="77179745" w14:textId="77777777" w:rsidR="00AB7DA4" w:rsidRPr="00113BDB" w:rsidRDefault="00AB7DA4" w:rsidP="00E2561A">
      <w:r w:rsidRPr="00113BDB">
        <w:t>Non inferiority was established in comparison to other basal and mixed insulins in terms of HbA1c. There was a difference in the relative rates of hypoglycaemia between the studies, reflective of the different comparators, patient populations and dosing regimens.</w:t>
      </w:r>
    </w:p>
    <w:p w14:paraId="5F131D70" w14:textId="31FD3635" w:rsidR="00AB7DA4" w:rsidRPr="00113BDB" w:rsidRDefault="00AB7DA4" w:rsidP="00E2561A">
      <w:r w:rsidRPr="00113BDB">
        <w:t xml:space="preserve">The clinical evaluator had concerns about the choice of comparators. The </w:t>
      </w:r>
      <w:r w:rsidR="002E3A8D">
        <w:t>D</w:t>
      </w:r>
      <w:r w:rsidR="002E3A8D" w:rsidRPr="00113BDB">
        <w:t xml:space="preserve">elegate </w:t>
      </w:r>
      <w:r w:rsidRPr="00113BDB">
        <w:t xml:space="preserve">considers the choice of comparators reasonable as they are all options for use in patients with diabetes in Australia. However, </w:t>
      </w:r>
      <w:r w:rsidR="00CF6F5E" w:rsidRPr="00113BDB">
        <w:t>IGlar</w:t>
      </w:r>
      <w:r w:rsidRPr="00113BDB">
        <w:t xml:space="preserve">, levemir and </w:t>
      </w:r>
      <w:r w:rsidR="00BE548A" w:rsidRPr="00113BDB">
        <w:t>N</w:t>
      </w:r>
      <w:r w:rsidRPr="00113BDB">
        <w:t>ovo</w:t>
      </w:r>
      <w:r w:rsidR="00CF6F5E" w:rsidRPr="00113BDB">
        <w:t>M</w:t>
      </w:r>
      <w:r w:rsidRPr="00113BDB">
        <w:t xml:space="preserve">ix all have different </w:t>
      </w:r>
      <w:r w:rsidR="00BE548A" w:rsidRPr="00113BDB">
        <w:t>pharmacokinetic/pharmacodynamic profiles,</w:t>
      </w:r>
      <w:r w:rsidRPr="00113BDB">
        <w:t xml:space="preserve"> thus differences in the outcomes of the trials would be expected.</w:t>
      </w:r>
    </w:p>
    <w:p w14:paraId="07510E39" w14:textId="3034BA06" w:rsidR="00BE548A" w:rsidRPr="00113BDB" w:rsidRDefault="00BE548A" w:rsidP="00E2561A">
      <w:pPr>
        <w:pStyle w:val="Tabletitle0"/>
      </w:pPr>
      <w:r w:rsidRPr="00113BDB">
        <w:lastRenderedPageBreak/>
        <w:t>Table 1</w:t>
      </w:r>
      <w:r w:rsidR="00825A1E">
        <w:t>4</w:t>
      </w:r>
      <w:r w:rsidRPr="00113BDB">
        <w:t>. Comparison of IDegAsp studies and study endpoints</w:t>
      </w:r>
    </w:p>
    <w:tbl>
      <w:tblPr>
        <w:tblStyle w:val="TableTGAblue"/>
        <w:tblW w:w="9557" w:type="dxa"/>
        <w:tblLayout w:type="fixed"/>
        <w:tblLook w:val="04A0" w:firstRow="1" w:lastRow="0" w:firstColumn="1" w:lastColumn="0" w:noHBand="0" w:noVBand="1"/>
        <w:tblDescription w:val="Table 14. Comparison of IDegAsp studies and study endpoints"/>
      </w:tblPr>
      <w:tblGrid>
        <w:gridCol w:w="1277"/>
        <w:gridCol w:w="900"/>
        <w:gridCol w:w="625"/>
        <w:gridCol w:w="905"/>
        <w:gridCol w:w="654"/>
        <w:gridCol w:w="876"/>
        <w:gridCol w:w="825"/>
        <w:gridCol w:w="885"/>
        <w:gridCol w:w="107"/>
        <w:gridCol w:w="703"/>
        <w:gridCol w:w="998"/>
        <w:gridCol w:w="142"/>
        <w:gridCol w:w="660"/>
      </w:tblGrid>
      <w:tr w:rsidR="001211A7" w:rsidRPr="00113BDB" w14:paraId="3A958F99" w14:textId="77777777" w:rsidTr="00087CE9">
        <w:trPr>
          <w:cnfStyle w:val="100000000000" w:firstRow="1" w:lastRow="0" w:firstColumn="0" w:lastColumn="0" w:oddVBand="0" w:evenVBand="0" w:oddHBand="0" w:evenHBand="0" w:firstRowFirstColumn="0" w:firstRowLastColumn="0" w:lastRowFirstColumn="0" w:lastRowLastColumn="0"/>
          <w:trHeight w:val="514"/>
        </w:trPr>
        <w:tc>
          <w:tcPr>
            <w:tcW w:w="1277" w:type="dxa"/>
          </w:tcPr>
          <w:p w14:paraId="7B5D36C3" w14:textId="77777777" w:rsidR="00AB7DA4" w:rsidRPr="00113BDB" w:rsidRDefault="00AB7DA4" w:rsidP="00E2561A">
            <w:pPr>
              <w:ind w:left="0" w:right="0"/>
              <w:rPr>
                <w:sz w:val="20"/>
              </w:rPr>
            </w:pPr>
            <w:r w:rsidRPr="00113BDB">
              <w:rPr>
                <w:sz w:val="20"/>
              </w:rPr>
              <w:t>Parameter</w:t>
            </w:r>
          </w:p>
        </w:tc>
        <w:tc>
          <w:tcPr>
            <w:tcW w:w="1525" w:type="dxa"/>
            <w:gridSpan w:val="2"/>
          </w:tcPr>
          <w:p w14:paraId="420AD851" w14:textId="77777777" w:rsidR="00AB7DA4" w:rsidRPr="00113BDB" w:rsidRDefault="00AB7DA4" w:rsidP="00E2561A">
            <w:pPr>
              <w:ind w:left="0" w:right="0"/>
              <w:rPr>
                <w:sz w:val="20"/>
              </w:rPr>
            </w:pPr>
            <w:r w:rsidRPr="00113BDB">
              <w:rPr>
                <w:sz w:val="20"/>
              </w:rPr>
              <w:t>Study 3594</w:t>
            </w:r>
          </w:p>
        </w:tc>
        <w:tc>
          <w:tcPr>
            <w:tcW w:w="1559" w:type="dxa"/>
            <w:gridSpan w:val="2"/>
          </w:tcPr>
          <w:p w14:paraId="35197078" w14:textId="77777777" w:rsidR="00AB7DA4" w:rsidRPr="00113BDB" w:rsidRDefault="00AB7DA4" w:rsidP="00E2561A">
            <w:pPr>
              <w:ind w:left="0" w:right="0"/>
              <w:rPr>
                <w:sz w:val="20"/>
              </w:rPr>
            </w:pPr>
            <w:r w:rsidRPr="00113BDB">
              <w:rPr>
                <w:sz w:val="20"/>
              </w:rPr>
              <w:t>Study 3590</w:t>
            </w:r>
          </w:p>
        </w:tc>
        <w:tc>
          <w:tcPr>
            <w:tcW w:w="1701" w:type="dxa"/>
            <w:gridSpan w:val="2"/>
          </w:tcPr>
          <w:p w14:paraId="2BFC8BA7" w14:textId="77777777" w:rsidR="00AB7DA4" w:rsidRPr="00113BDB" w:rsidRDefault="00AB7DA4" w:rsidP="00E2561A">
            <w:pPr>
              <w:ind w:left="0" w:right="0"/>
              <w:rPr>
                <w:sz w:val="20"/>
              </w:rPr>
            </w:pPr>
            <w:r w:rsidRPr="00113BDB">
              <w:rPr>
                <w:sz w:val="20"/>
              </w:rPr>
              <w:t>Study 3593</w:t>
            </w:r>
          </w:p>
        </w:tc>
        <w:tc>
          <w:tcPr>
            <w:tcW w:w="1695" w:type="dxa"/>
            <w:gridSpan w:val="3"/>
          </w:tcPr>
          <w:p w14:paraId="12865A44" w14:textId="77777777" w:rsidR="00AB7DA4" w:rsidRPr="00113BDB" w:rsidRDefault="00AB7DA4" w:rsidP="00E2561A">
            <w:pPr>
              <w:ind w:left="0" w:right="0"/>
              <w:rPr>
                <w:sz w:val="20"/>
              </w:rPr>
            </w:pPr>
            <w:r w:rsidRPr="00113BDB">
              <w:rPr>
                <w:sz w:val="20"/>
              </w:rPr>
              <w:t>Study 3592</w:t>
            </w:r>
          </w:p>
        </w:tc>
        <w:tc>
          <w:tcPr>
            <w:tcW w:w="1800" w:type="dxa"/>
            <w:gridSpan w:val="3"/>
          </w:tcPr>
          <w:p w14:paraId="474198F3" w14:textId="77777777" w:rsidR="00AB7DA4" w:rsidRPr="00113BDB" w:rsidRDefault="00AB7DA4" w:rsidP="00E2561A">
            <w:pPr>
              <w:ind w:left="0" w:right="0"/>
              <w:rPr>
                <w:sz w:val="20"/>
              </w:rPr>
            </w:pPr>
            <w:r w:rsidRPr="00113BDB">
              <w:rPr>
                <w:sz w:val="20"/>
              </w:rPr>
              <w:t xml:space="preserve">Study 3597 </w:t>
            </w:r>
          </w:p>
        </w:tc>
      </w:tr>
      <w:tr w:rsidR="001211A7" w:rsidRPr="00113BDB" w14:paraId="626C3DDF" w14:textId="77777777" w:rsidTr="00087CE9">
        <w:trPr>
          <w:trHeight w:val="514"/>
        </w:trPr>
        <w:tc>
          <w:tcPr>
            <w:tcW w:w="1277" w:type="dxa"/>
          </w:tcPr>
          <w:p w14:paraId="16B2BAF3" w14:textId="77777777" w:rsidR="00AB7DA4" w:rsidRPr="00113BDB" w:rsidRDefault="00AB7DA4" w:rsidP="00E2561A">
            <w:pPr>
              <w:keepNext/>
              <w:ind w:left="0" w:right="0"/>
              <w:rPr>
                <w:sz w:val="18"/>
              </w:rPr>
            </w:pPr>
            <w:r w:rsidRPr="00113BDB">
              <w:rPr>
                <w:sz w:val="18"/>
              </w:rPr>
              <w:t>Design</w:t>
            </w:r>
          </w:p>
        </w:tc>
        <w:tc>
          <w:tcPr>
            <w:tcW w:w="1525" w:type="dxa"/>
            <w:gridSpan w:val="2"/>
          </w:tcPr>
          <w:p w14:paraId="61BAB200" w14:textId="7420E973" w:rsidR="00AB7DA4" w:rsidRPr="00113BDB" w:rsidRDefault="001211A7" w:rsidP="00E2561A">
            <w:pPr>
              <w:keepNext/>
              <w:ind w:left="0" w:right="0"/>
              <w:rPr>
                <w:sz w:val="18"/>
              </w:rPr>
            </w:pPr>
            <w:r w:rsidRPr="00113BDB">
              <w:rPr>
                <w:sz w:val="18"/>
              </w:rPr>
              <w:t>26 week (+ 26 </w:t>
            </w:r>
            <w:r w:rsidR="00AB7DA4" w:rsidRPr="00113BDB">
              <w:rPr>
                <w:sz w:val="18"/>
              </w:rPr>
              <w:t>week extension) efficacy and safety study comparing IDegAsp OD with IDet OD in adult subjects with T1DM.</w:t>
            </w:r>
          </w:p>
        </w:tc>
        <w:tc>
          <w:tcPr>
            <w:tcW w:w="1559" w:type="dxa"/>
            <w:gridSpan w:val="2"/>
          </w:tcPr>
          <w:p w14:paraId="524B8CE8" w14:textId="5089A0F0" w:rsidR="00AB7DA4" w:rsidRPr="00113BDB" w:rsidRDefault="00AB7DA4" w:rsidP="00E2561A">
            <w:pPr>
              <w:keepNext/>
              <w:ind w:left="0" w:right="0"/>
              <w:rPr>
                <w:sz w:val="18"/>
              </w:rPr>
            </w:pPr>
            <w:r w:rsidRPr="00113BDB">
              <w:rPr>
                <w:sz w:val="18"/>
              </w:rPr>
              <w:t>26 week efficacy and safety study comparing IDeg</w:t>
            </w:r>
            <w:r w:rsidR="007C4A74" w:rsidRPr="00113BDB">
              <w:rPr>
                <w:sz w:val="18"/>
              </w:rPr>
              <w:t xml:space="preserve">Asp OD with IGlar OD in insulin </w:t>
            </w:r>
            <w:r w:rsidRPr="00113BDB">
              <w:rPr>
                <w:sz w:val="18"/>
              </w:rPr>
              <w:t>naïve adult subjects with T2DM currently treated with metformin.</w:t>
            </w:r>
          </w:p>
        </w:tc>
        <w:tc>
          <w:tcPr>
            <w:tcW w:w="1701" w:type="dxa"/>
            <w:gridSpan w:val="2"/>
          </w:tcPr>
          <w:p w14:paraId="37697121" w14:textId="63D0D9F5" w:rsidR="00AB7DA4" w:rsidRPr="00113BDB" w:rsidRDefault="00AB7DA4" w:rsidP="00E2561A">
            <w:pPr>
              <w:keepNext/>
              <w:ind w:left="0" w:right="0"/>
              <w:rPr>
                <w:sz w:val="18"/>
              </w:rPr>
            </w:pPr>
            <w:r w:rsidRPr="00113BDB">
              <w:rPr>
                <w:sz w:val="18"/>
              </w:rPr>
              <w:t>26 week efficacy and safety study comparing IDe</w:t>
            </w:r>
            <w:r w:rsidR="007C4A74" w:rsidRPr="00113BDB">
              <w:rPr>
                <w:sz w:val="18"/>
              </w:rPr>
              <w:t xml:space="preserve">gAsp OD and IGlar OD in insulin </w:t>
            </w:r>
            <w:r w:rsidRPr="00113BDB">
              <w:rPr>
                <w:sz w:val="18"/>
              </w:rPr>
              <w:t>treated adult subjects with T2DM in combination with OADs (metformin ± pioglitazone ±</w:t>
            </w:r>
            <w:r w:rsidR="007C4A74" w:rsidRPr="00113BDB">
              <w:rPr>
                <w:sz w:val="18"/>
              </w:rPr>
              <w:t> </w:t>
            </w:r>
            <w:r w:rsidRPr="00113BDB">
              <w:rPr>
                <w:sz w:val="18"/>
              </w:rPr>
              <w:t>DDP-4I)</w:t>
            </w:r>
            <w:r w:rsidR="007C4A74" w:rsidRPr="00113BDB">
              <w:rPr>
                <w:sz w:val="18"/>
              </w:rPr>
              <w:t>.</w:t>
            </w:r>
          </w:p>
        </w:tc>
        <w:tc>
          <w:tcPr>
            <w:tcW w:w="1695" w:type="dxa"/>
            <w:gridSpan w:val="3"/>
          </w:tcPr>
          <w:p w14:paraId="6325D873" w14:textId="556361FA" w:rsidR="00AB7DA4" w:rsidRPr="00113BDB" w:rsidRDefault="00AB7DA4" w:rsidP="00E2561A">
            <w:pPr>
              <w:keepNext/>
              <w:ind w:left="0" w:right="0"/>
              <w:rPr>
                <w:sz w:val="18"/>
              </w:rPr>
            </w:pPr>
            <w:r w:rsidRPr="00113BDB">
              <w:rPr>
                <w:sz w:val="18"/>
              </w:rPr>
              <w:t>26 week efficacy and safety study comparing IDegAsp BD and BIAsp 30 BD in adult subjects with T2DM</w:t>
            </w:r>
            <w:r w:rsidR="007C4A74" w:rsidRPr="00113BDB">
              <w:rPr>
                <w:sz w:val="18"/>
              </w:rPr>
              <w:t xml:space="preserve"> treated with insulin ± OADs (± </w:t>
            </w:r>
            <w:r w:rsidRPr="00113BDB">
              <w:rPr>
                <w:sz w:val="18"/>
              </w:rPr>
              <w:t>metformin ±</w:t>
            </w:r>
            <w:r w:rsidR="001211A7" w:rsidRPr="00113BDB">
              <w:rPr>
                <w:sz w:val="18"/>
              </w:rPr>
              <w:t> </w:t>
            </w:r>
            <w:r w:rsidR="007C4A74" w:rsidRPr="00113BDB">
              <w:rPr>
                <w:sz w:val="18"/>
              </w:rPr>
              <w:t>DDP</w:t>
            </w:r>
            <w:r w:rsidR="007C4A74" w:rsidRPr="00113BDB">
              <w:rPr>
                <w:sz w:val="18"/>
              </w:rPr>
              <w:noBreakHyphen/>
            </w:r>
            <w:r w:rsidRPr="00113BDB">
              <w:rPr>
                <w:sz w:val="18"/>
              </w:rPr>
              <w:t>4I ± pioglitazone)</w:t>
            </w:r>
          </w:p>
        </w:tc>
        <w:tc>
          <w:tcPr>
            <w:tcW w:w="1800" w:type="dxa"/>
            <w:gridSpan w:val="3"/>
          </w:tcPr>
          <w:p w14:paraId="3DEDAF56" w14:textId="77777777" w:rsidR="00AB7DA4" w:rsidRPr="00113BDB" w:rsidRDefault="00AB7DA4" w:rsidP="00E2561A">
            <w:pPr>
              <w:keepNext/>
              <w:ind w:left="0" w:right="0"/>
              <w:rPr>
                <w:sz w:val="18"/>
              </w:rPr>
            </w:pPr>
            <w:r w:rsidRPr="00113BDB">
              <w:rPr>
                <w:sz w:val="18"/>
              </w:rPr>
              <w:t>26 week Pan-Asian efficacy and safety study comparing IDegAsp BD and BIAsp 30 BD in adult subjects with T2DM treated with insulin ± metformin.</w:t>
            </w:r>
          </w:p>
        </w:tc>
      </w:tr>
      <w:tr w:rsidR="001211A7" w:rsidRPr="00113BDB" w14:paraId="6B4AFA63" w14:textId="77777777" w:rsidTr="00087CE9">
        <w:trPr>
          <w:trHeight w:val="514"/>
        </w:trPr>
        <w:tc>
          <w:tcPr>
            <w:tcW w:w="1277" w:type="dxa"/>
          </w:tcPr>
          <w:p w14:paraId="6D8E86B9" w14:textId="2DE81F11" w:rsidR="00AB7DA4" w:rsidRPr="00113BDB" w:rsidRDefault="00AB7DA4" w:rsidP="00E2561A">
            <w:pPr>
              <w:ind w:left="0" w:right="0"/>
              <w:rPr>
                <w:sz w:val="18"/>
              </w:rPr>
            </w:pPr>
            <w:r w:rsidRPr="00113BDB">
              <w:rPr>
                <w:sz w:val="18"/>
              </w:rPr>
              <w:t>Treatment</w:t>
            </w:r>
          </w:p>
        </w:tc>
        <w:tc>
          <w:tcPr>
            <w:tcW w:w="1525" w:type="dxa"/>
            <w:gridSpan w:val="2"/>
          </w:tcPr>
          <w:p w14:paraId="3CBA12E3" w14:textId="10B7D147" w:rsidR="00AB7DA4" w:rsidRPr="00113BDB" w:rsidRDefault="001211A7" w:rsidP="00E2561A">
            <w:pPr>
              <w:ind w:left="0" w:right="0"/>
              <w:rPr>
                <w:sz w:val="18"/>
              </w:rPr>
            </w:pPr>
            <w:r w:rsidRPr="00113BDB">
              <w:rPr>
                <w:sz w:val="18"/>
              </w:rPr>
              <w:t>IDegAsp 100 </w:t>
            </w:r>
            <w:r w:rsidR="00AB7DA4" w:rsidRPr="00113BDB">
              <w:rPr>
                <w:sz w:val="18"/>
              </w:rPr>
              <w:t>U/mL OD with main meal +</w:t>
            </w:r>
            <w:r w:rsidRPr="00113BDB">
              <w:rPr>
                <w:sz w:val="18"/>
              </w:rPr>
              <w:t xml:space="preserve"> </w:t>
            </w:r>
            <w:r w:rsidR="00AB7DA4" w:rsidRPr="00113BDB">
              <w:rPr>
                <w:sz w:val="18"/>
              </w:rPr>
              <w:t>IAsp with remaining meals</w:t>
            </w:r>
            <w:r w:rsidRPr="00113BDB">
              <w:rPr>
                <w:sz w:val="18"/>
              </w:rPr>
              <w:t xml:space="preserve">; </w:t>
            </w:r>
            <w:r w:rsidR="00AB7DA4" w:rsidRPr="00113BDB">
              <w:rPr>
                <w:sz w:val="18"/>
              </w:rPr>
              <w:t>or</w:t>
            </w:r>
          </w:p>
          <w:p w14:paraId="497373EB" w14:textId="7FF60A23" w:rsidR="00AB7DA4" w:rsidRPr="00113BDB" w:rsidRDefault="00AB7DA4" w:rsidP="00E2561A">
            <w:pPr>
              <w:ind w:left="0" w:right="0"/>
              <w:rPr>
                <w:sz w:val="18"/>
              </w:rPr>
            </w:pPr>
            <w:r w:rsidRPr="00113BDB">
              <w:rPr>
                <w:sz w:val="18"/>
              </w:rPr>
              <w:t>IDet OD according to local label + IAsp as meal time insulin. A second dose of IDet could be added after 8 weeks if inadequate glycaemic control.</w:t>
            </w:r>
          </w:p>
        </w:tc>
        <w:tc>
          <w:tcPr>
            <w:tcW w:w="1559" w:type="dxa"/>
            <w:gridSpan w:val="2"/>
          </w:tcPr>
          <w:p w14:paraId="5247252B" w14:textId="268B6B92" w:rsidR="00AB7DA4" w:rsidRPr="00113BDB" w:rsidRDefault="00AB7DA4" w:rsidP="00E2561A">
            <w:pPr>
              <w:ind w:left="0" w:right="0"/>
              <w:rPr>
                <w:sz w:val="18"/>
              </w:rPr>
            </w:pPr>
            <w:r w:rsidRPr="00113BDB">
              <w:rPr>
                <w:sz w:val="18"/>
              </w:rPr>
              <w:t>IDegAsp 100 U/mL OD with morning meal</w:t>
            </w:r>
            <w:r w:rsidR="007C4A74" w:rsidRPr="00113BDB">
              <w:rPr>
                <w:sz w:val="18"/>
              </w:rPr>
              <w:t xml:space="preserve">; </w:t>
            </w:r>
            <w:r w:rsidRPr="00113BDB">
              <w:rPr>
                <w:sz w:val="18"/>
              </w:rPr>
              <w:t>or</w:t>
            </w:r>
          </w:p>
          <w:p w14:paraId="62E1EEE0" w14:textId="77777777" w:rsidR="00781AE3" w:rsidRDefault="00AB7DA4" w:rsidP="00E2561A">
            <w:pPr>
              <w:rPr>
                <w:sz w:val="18"/>
              </w:rPr>
            </w:pPr>
            <w:r w:rsidRPr="00113BDB">
              <w:rPr>
                <w:sz w:val="18"/>
              </w:rPr>
              <w:t>IGlar OD according to local label</w:t>
            </w:r>
          </w:p>
          <w:p w14:paraId="0AA63E93" w14:textId="7D6D3D9F" w:rsidR="00AB7DA4" w:rsidRPr="00113BDB" w:rsidRDefault="007C4A74" w:rsidP="00E2561A">
            <w:pPr>
              <w:ind w:left="0" w:right="0"/>
              <w:rPr>
                <w:sz w:val="18"/>
              </w:rPr>
            </w:pPr>
            <w:r w:rsidRPr="00113BDB">
              <w:rPr>
                <w:sz w:val="18"/>
              </w:rPr>
              <w:t>metformin.</w:t>
            </w:r>
          </w:p>
        </w:tc>
        <w:tc>
          <w:tcPr>
            <w:tcW w:w="1701" w:type="dxa"/>
            <w:gridSpan w:val="2"/>
          </w:tcPr>
          <w:p w14:paraId="6C79591D" w14:textId="77777777" w:rsidR="007C4A74" w:rsidRPr="00113BDB" w:rsidRDefault="00AB7DA4" w:rsidP="00E2561A">
            <w:pPr>
              <w:ind w:left="0" w:right="0"/>
              <w:rPr>
                <w:sz w:val="18"/>
              </w:rPr>
            </w:pPr>
            <w:r w:rsidRPr="00113BDB">
              <w:rPr>
                <w:sz w:val="18"/>
              </w:rPr>
              <w:t>IDegAsp 100 U/mL OD with any meal (evening meal or largest me</w:t>
            </w:r>
            <w:r w:rsidR="007C4A74" w:rsidRPr="00113BDB">
              <w:rPr>
                <w:sz w:val="18"/>
              </w:rPr>
              <w:t>al; same meal throughout study); or</w:t>
            </w:r>
          </w:p>
          <w:p w14:paraId="14AF44FC" w14:textId="77777777" w:rsidR="007C4A74" w:rsidRPr="00113BDB" w:rsidRDefault="00AB7DA4" w:rsidP="00E2561A">
            <w:pPr>
              <w:ind w:left="0" w:right="0"/>
              <w:rPr>
                <w:sz w:val="18"/>
              </w:rPr>
            </w:pPr>
            <w:r w:rsidRPr="00113BDB">
              <w:rPr>
                <w:sz w:val="18"/>
              </w:rPr>
              <w:t>IG</w:t>
            </w:r>
            <w:r w:rsidR="007C4A74" w:rsidRPr="00113BDB">
              <w:rPr>
                <w:sz w:val="18"/>
              </w:rPr>
              <w:t>lar OD according to local label</w:t>
            </w:r>
          </w:p>
          <w:p w14:paraId="151580E3" w14:textId="302FBA64" w:rsidR="00AB7DA4" w:rsidRPr="00113BDB" w:rsidRDefault="007C4A74" w:rsidP="00E2561A">
            <w:pPr>
              <w:ind w:left="0" w:right="0"/>
              <w:rPr>
                <w:sz w:val="18"/>
              </w:rPr>
            </w:pPr>
            <w:r w:rsidRPr="00113BDB">
              <w:rPr>
                <w:sz w:val="18"/>
              </w:rPr>
              <w:t>metformin</w:t>
            </w:r>
          </w:p>
          <w:p w14:paraId="74FE5037" w14:textId="6BE7A080" w:rsidR="00AB7DA4" w:rsidRPr="00113BDB" w:rsidRDefault="00AB7DA4" w:rsidP="00E2561A">
            <w:pPr>
              <w:ind w:left="0" w:right="0"/>
              <w:rPr>
                <w:sz w:val="18"/>
              </w:rPr>
            </w:pPr>
            <w:r w:rsidRPr="00113BDB">
              <w:rPr>
                <w:sz w:val="18"/>
              </w:rPr>
              <w:t>± pioglitazone</w:t>
            </w:r>
          </w:p>
          <w:p w14:paraId="63A86AD2" w14:textId="0E2F860D" w:rsidR="00AB7DA4" w:rsidRPr="00113BDB" w:rsidRDefault="00AB7DA4" w:rsidP="00E2561A">
            <w:pPr>
              <w:ind w:left="0" w:right="0"/>
              <w:rPr>
                <w:sz w:val="18"/>
              </w:rPr>
            </w:pPr>
            <w:r w:rsidRPr="00113BDB">
              <w:rPr>
                <w:sz w:val="18"/>
              </w:rPr>
              <w:t>± DDP-4I</w:t>
            </w:r>
            <w:r w:rsidR="007C4A74" w:rsidRPr="00113BDB">
              <w:rPr>
                <w:sz w:val="18"/>
              </w:rPr>
              <w:t>.</w:t>
            </w:r>
          </w:p>
        </w:tc>
        <w:tc>
          <w:tcPr>
            <w:tcW w:w="1695" w:type="dxa"/>
            <w:gridSpan w:val="3"/>
          </w:tcPr>
          <w:p w14:paraId="3B1F58CA" w14:textId="728942D4" w:rsidR="00AB7DA4" w:rsidRPr="00113BDB" w:rsidRDefault="00AB7DA4" w:rsidP="00E2561A">
            <w:pPr>
              <w:ind w:left="0" w:right="0"/>
              <w:rPr>
                <w:sz w:val="18"/>
              </w:rPr>
            </w:pPr>
            <w:r w:rsidRPr="00113BDB">
              <w:rPr>
                <w:sz w:val="18"/>
              </w:rPr>
              <w:t xml:space="preserve">IDegAsp 100 U/mL BD with </w:t>
            </w:r>
            <w:r w:rsidR="007C4A74" w:rsidRPr="00113BDB">
              <w:rPr>
                <w:sz w:val="18"/>
              </w:rPr>
              <w:t xml:space="preserve">breakfast and main evening meal; </w:t>
            </w:r>
            <w:r w:rsidRPr="00113BDB">
              <w:rPr>
                <w:sz w:val="18"/>
              </w:rPr>
              <w:t>or</w:t>
            </w:r>
          </w:p>
          <w:p w14:paraId="3C9E0936" w14:textId="34BCFFE7" w:rsidR="00AB7DA4" w:rsidRPr="00113BDB" w:rsidRDefault="007C4A74" w:rsidP="00E2561A">
            <w:pPr>
              <w:ind w:left="0" w:right="0"/>
              <w:rPr>
                <w:sz w:val="18"/>
              </w:rPr>
            </w:pPr>
            <w:r w:rsidRPr="00113BDB">
              <w:rPr>
                <w:sz w:val="18"/>
              </w:rPr>
              <w:t>BIAsp</w:t>
            </w:r>
            <w:r w:rsidR="00AB7DA4" w:rsidRPr="00113BDB">
              <w:rPr>
                <w:sz w:val="18"/>
              </w:rPr>
              <w:t>30 BD with breakfast and main evening meal</w:t>
            </w:r>
          </w:p>
          <w:p w14:paraId="649CA23B" w14:textId="77777777" w:rsidR="00781AE3" w:rsidRDefault="00AB7DA4" w:rsidP="00E2561A">
            <w:pPr>
              <w:rPr>
                <w:sz w:val="18"/>
              </w:rPr>
            </w:pPr>
            <w:r w:rsidRPr="00113BDB">
              <w:rPr>
                <w:sz w:val="18"/>
              </w:rPr>
              <w:t>±metformin</w:t>
            </w:r>
          </w:p>
          <w:p w14:paraId="08318414" w14:textId="1095F9CB" w:rsidR="00AB7DA4" w:rsidRPr="00113BDB" w:rsidRDefault="00AB7DA4" w:rsidP="00E2561A">
            <w:pPr>
              <w:ind w:left="0" w:right="0"/>
              <w:rPr>
                <w:sz w:val="18"/>
              </w:rPr>
            </w:pPr>
            <w:r w:rsidRPr="00113BDB">
              <w:rPr>
                <w:sz w:val="18"/>
              </w:rPr>
              <w:t>± DDP-4I.</w:t>
            </w:r>
          </w:p>
          <w:p w14:paraId="6EA4A1CB" w14:textId="018B10C0" w:rsidR="00AB7DA4" w:rsidRPr="00113BDB" w:rsidRDefault="00AB7DA4" w:rsidP="00E2561A">
            <w:pPr>
              <w:ind w:left="0" w:right="0"/>
              <w:rPr>
                <w:sz w:val="18"/>
              </w:rPr>
            </w:pPr>
            <w:r w:rsidRPr="00113BDB">
              <w:rPr>
                <w:sz w:val="18"/>
              </w:rPr>
              <w:t>± pioglitazone</w:t>
            </w:r>
          </w:p>
        </w:tc>
        <w:tc>
          <w:tcPr>
            <w:tcW w:w="1800" w:type="dxa"/>
            <w:gridSpan w:val="3"/>
          </w:tcPr>
          <w:p w14:paraId="2F295C2F" w14:textId="77777777" w:rsidR="00781AE3" w:rsidRDefault="00AB7DA4" w:rsidP="00E2561A">
            <w:pPr>
              <w:rPr>
                <w:sz w:val="18"/>
              </w:rPr>
            </w:pPr>
            <w:r w:rsidRPr="00113BDB">
              <w:rPr>
                <w:sz w:val="18"/>
              </w:rPr>
              <w:t>IDegAsp 100 U/mL with breakfast and main evening meal</w:t>
            </w:r>
            <w:r w:rsidR="007C4A74" w:rsidRPr="00113BDB">
              <w:rPr>
                <w:sz w:val="18"/>
              </w:rPr>
              <w:t xml:space="preserve">; </w:t>
            </w:r>
            <w:r w:rsidRPr="00113BDB">
              <w:rPr>
                <w:sz w:val="18"/>
              </w:rPr>
              <w:t>or</w:t>
            </w:r>
          </w:p>
          <w:p w14:paraId="1E963FEE" w14:textId="6808A831" w:rsidR="00AB7DA4" w:rsidRPr="00113BDB" w:rsidRDefault="00AB7DA4" w:rsidP="00E2561A">
            <w:pPr>
              <w:ind w:left="0" w:right="0"/>
              <w:rPr>
                <w:sz w:val="18"/>
              </w:rPr>
            </w:pPr>
            <w:r w:rsidRPr="00113BDB">
              <w:rPr>
                <w:sz w:val="18"/>
              </w:rPr>
              <w:t>BIAsp 30 BD with breakfast and main evening meal</w:t>
            </w:r>
          </w:p>
          <w:p w14:paraId="1F0A5AD2" w14:textId="3D524A52" w:rsidR="00AB7DA4" w:rsidRPr="00113BDB" w:rsidRDefault="00AB7DA4" w:rsidP="00E2561A">
            <w:pPr>
              <w:ind w:left="0" w:right="0"/>
              <w:rPr>
                <w:sz w:val="18"/>
              </w:rPr>
            </w:pPr>
            <w:r w:rsidRPr="00113BDB">
              <w:rPr>
                <w:sz w:val="18"/>
              </w:rPr>
              <w:t>± metformin</w:t>
            </w:r>
            <w:r w:rsidR="007C4A74" w:rsidRPr="00113BDB">
              <w:rPr>
                <w:sz w:val="18"/>
              </w:rPr>
              <w:t>.</w:t>
            </w:r>
          </w:p>
        </w:tc>
      </w:tr>
      <w:tr w:rsidR="001211A7" w:rsidRPr="00113BDB" w14:paraId="50505DE2" w14:textId="77777777" w:rsidTr="00087CE9">
        <w:trPr>
          <w:trHeight w:val="677"/>
        </w:trPr>
        <w:tc>
          <w:tcPr>
            <w:tcW w:w="1277" w:type="dxa"/>
            <w:vMerge w:val="restart"/>
          </w:tcPr>
          <w:p w14:paraId="36748879" w14:textId="22F63A3C" w:rsidR="00AB7DA4" w:rsidRPr="00113BDB" w:rsidRDefault="00AB7DA4" w:rsidP="00E2561A">
            <w:pPr>
              <w:ind w:left="0" w:right="0"/>
              <w:rPr>
                <w:sz w:val="18"/>
              </w:rPr>
            </w:pPr>
            <w:r w:rsidRPr="00113BDB">
              <w:rPr>
                <w:sz w:val="18"/>
              </w:rPr>
              <w:t>Primary efficacy endpoint</w:t>
            </w:r>
          </w:p>
        </w:tc>
        <w:tc>
          <w:tcPr>
            <w:tcW w:w="8280" w:type="dxa"/>
            <w:gridSpan w:val="12"/>
          </w:tcPr>
          <w:p w14:paraId="2FA46200" w14:textId="77777777" w:rsidR="00AB7DA4" w:rsidRPr="00113BDB" w:rsidRDefault="00AB7DA4" w:rsidP="00E2561A">
            <w:pPr>
              <w:ind w:left="0" w:right="0"/>
              <w:rPr>
                <w:b/>
                <w:sz w:val="18"/>
              </w:rPr>
            </w:pPr>
            <w:r w:rsidRPr="00113BDB">
              <w:rPr>
                <w:b/>
                <w:sz w:val="18"/>
              </w:rPr>
              <w:t>Mean change from baseline in HbA1c after 26 weeks of treatment (%)</w:t>
            </w:r>
          </w:p>
        </w:tc>
      </w:tr>
      <w:tr w:rsidR="007C4A74" w:rsidRPr="00113BDB" w14:paraId="7B20143F" w14:textId="77777777" w:rsidTr="00087CE9">
        <w:trPr>
          <w:trHeight w:val="328"/>
        </w:trPr>
        <w:tc>
          <w:tcPr>
            <w:tcW w:w="1277" w:type="dxa"/>
            <w:vMerge/>
          </w:tcPr>
          <w:p w14:paraId="362E96AC" w14:textId="77777777" w:rsidR="00AB7DA4" w:rsidRPr="00113BDB" w:rsidRDefault="00AB7DA4" w:rsidP="00E2561A">
            <w:pPr>
              <w:ind w:left="0" w:right="0"/>
              <w:rPr>
                <w:sz w:val="18"/>
              </w:rPr>
            </w:pPr>
          </w:p>
        </w:tc>
        <w:tc>
          <w:tcPr>
            <w:tcW w:w="900" w:type="dxa"/>
          </w:tcPr>
          <w:p w14:paraId="345709B8" w14:textId="77777777" w:rsidR="00AB7DA4" w:rsidRPr="00113BDB" w:rsidRDefault="00AB7DA4" w:rsidP="00E2561A">
            <w:pPr>
              <w:ind w:left="0" w:right="0"/>
              <w:rPr>
                <w:sz w:val="18"/>
              </w:rPr>
            </w:pPr>
            <w:r w:rsidRPr="00113BDB">
              <w:rPr>
                <w:sz w:val="18"/>
              </w:rPr>
              <w:t>IDegAsp</w:t>
            </w:r>
          </w:p>
        </w:tc>
        <w:tc>
          <w:tcPr>
            <w:tcW w:w="625" w:type="dxa"/>
          </w:tcPr>
          <w:p w14:paraId="0A1CAB64" w14:textId="77777777" w:rsidR="00AB7DA4" w:rsidRPr="00113BDB" w:rsidRDefault="00AB7DA4" w:rsidP="00E2561A">
            <w:pPr>
              <w:ind w:left="0" w:right="0"/>
              <w:rPr>
                <w:sz w:val="18"/>
              </w:rPr>
            </w:pPr>
            <w:r w:rsidRPr="00113BDB">
              <w:rPr>
                <w:sz w:val="18"/>
              </w:rPr>
              <w:t>IDet</w:t>
            </w:r>
          </w:p>
        </w:tc>
        <w:tc>
          <w:tcPr>
            <w:tcW w:w="905" w:type="dxa"/>
          </w:tcPr>
          <w:p w14:paraId="08E7E31D" w14:textId="77777777" w:rsidR="00AB7DA4" w:rsidRPr="00113BDB" w:rsidRDefault="00AB7DA4" w:rsidP="00E2561A">
            <w:pPr>
              <w:ind w:left="0" w:right="0"/>
              <w:rPr>
                <w:sz w:val="18"/>
              </w:rPr>
            </w:pPr>
            <w:r w:rsidRPr="00113BDB">
              <w:rPr>
                <w:sz w:val="18"/>
              </w:rPr>
              <w:t>IDegAsp</w:t>
            </w:r>
          </w:p>
        </w:tc>
        <w:tc>
          <w:tcPr>
            <w:tcW w:w="654" w:type="dxa"/>
          </w:tcPr>
          <w:p w14:paraId="43008376" w14:textId="77777777" w:rsidR="00AB7DA4" w:rsidRPr="00113BDB" w:rsidRDefault="00AB7DA4" w:rsidP="00E2561A">
            <w:pPr>
              <w:ind w:left="0" w:right="0"/>
              <w:rPr>
                <w:sz w:val="18"/>
              </w:rPr>
            </w:pPr>
            <w:r w:rsidRPr="00113BDB">
              <w:rPr>
                <w:sz w:val="18"/>
              </w:rPr>
              <w:t>IGlar</w:t>
            </w:r>
          </w:p>
        </w:tc>
        <w:tc>
          <w:tcPr>
            <w:tcW w:w="876" w:type="dxa"/>
          </w:tcPr>
          <w:p w14:paraId="05C01AFD" w14:textId="77777777" w:rsidR="00AB7DA4" w:rsidRPr="00113BDB" w:rsidRDefault="00AB7DA4" w:rsidP="00E2561A">
            <w:pPr>
              <w:ind w:left="0" w:right="0"/>
              <w:rPr>
                <w:sz w:val="18"/>
              </w:rPr>
            </w:pPr>
            <w:r w:rsidRPr="00113BDB">
              <w:rPr>
                <w:sz w:val="18"/>
              </w:rPr>
              <w:t>IDegAsp</w:t>
            </w:r>
          </w:p>
        </w:tc>
        <w:tc>
          <w:tcPr>
            <w:tcW w:w="825" w:type="dxa"/>
          </w:tcPr>
          <w:p w14:paraId="3ECD03E0" w14:textId="682482A5" w:rsidR="00AB7DA4" w:rsidRPr="00113BDB" w:rsidRDefault="00AB7DA4" w:rsidP="00E2561A">
            <w:pPr>
              <w:ind w:left="0" w:right="0"/>
              <w:rPr>
                <w:sz w:val="18"/>
              </w:rPr>
            </w:pPr>
            <w:r w:rsidRPr="00113BDB">
              <w:rPr>
                <w:sz w:val="18"/>
              </w:rPr>
              <w:t>IGlar</w:t>
            </w:r>
          </w:p>
        </w:tc>
        <w:tc>
          <w:tcPr>
            <w:tcW w:w="885" w:type="dxa"/>
          </w:tcPr>
          <w:p w14:paraId="5A1A855C" w14:textId="77777777" w:rsidR="00AB7DA4" w:rsidRPr="00113BDB" w:rsidRDefault="00AB7DA4" w:rsidP="00E2561A">
            <w:pPr>
              <w:ind w:left="0" w:right="0"/>
              <w:rPr>
                <w:sz w:val="18"/>
              </w:rPr>
            </w:pPr>
            <w:r w:rsidRPr="00113BDB">
              <w:rPr>
                <w:sz w:val="18"/>
              </w:rPr>
              <w:t xml:space="preserve">IDegAsp </w:t>
            </w:r>
          </w:p>
        </w:tc>
        <w:tc>
          <w:tcPr>
            <w:tcW w:w="810" w:type="dxa"/>
            <w:gridSpan w:val="2"/>
          </w:tcPr>
          <w:p w14:paraId="467B0438" w14:textId="5185AF8A" w:rsidR="00AB7DA4" w:rsidRPr="00113BDB" w:rsidRDefault="007C4A74" w:rsidP="00E2561A">
            <w:pPr>
              <w:ind w:left="0" w:right="0"/>
              <w:rPr>
                <w:sz w:val="18"/>
              </w:rPr>
            </w:pPr>
            <w:r w:rsidRPr="00113BDB">
              <w:rPr>
                <w:sz w:val="18"/>
              </w:rPr>
              <w:t xml:space="preserve">BIAsp </w:t>
            </w:r>
            <w:r w:rsidR="00AB7DA4" w:rsidRPr="00113BDB">
              <w:rPr>
                <w:sz w:val="18"/>
              </w:rPr>
              <w:t>30</w:t>
            </w:r>
          </w:p>
        </w:tc>
        <w:tc>
          <w:tcPr>
            <w:tcW w:w="998" w:type="dxa"/>
          </w:tcPr>
          <w:p w14:paraId="785DC476" w14:textId="77777777" w:rsidR="00AB7DA4" w:rsidRPr="00113BDB" w:rsidRDefault="00AB7DA4" w:rsidP="00E2561A">
            <w:pPr>
              <w:ind w:left="0" w:right="0"/>
              <w:rPr>
                <w:sz w:val="18"/>
              </w:rPr>
            </w:pPr>
            <w:r w:rsidRPr="00113BDB">
              <w:rPr>
                <w:sz w:val="18"/>
              </w:rPr>
              <w:t xml:space="preserve">IDegAsp </w:t>
            </w:r>
          </w:p>
        </w:tc>
        <w:tc>
          <w:tcPr>
            <w:tcW w:w="802" w:type="dxa"/>
            <w:gridSpan w:val="2"/>
          </w:tcPr>
          <w:p w14:paraId="4046E731" w14:textId="77777777" w:rsidR="00AB7DA4" w:rsidRPr="00113BDB" w:rsidRDefault="00AB7DA4" w:rsidP="00E2561A">
            <w:pPr>
              <w:ind w:left="0" w:right="0"/>
              <w:rPr>
                <w:sz w:val="18"/>
              </w:rPr>
            </w:pPr>
            <w:r w:rsidRPr="00113BDB">
              <w:rPr>
                <w:sz w:val="18"/>
              </w:rPr>
              <w:t>BIAsp 30</w:t>
            </w:r>
          </w:p>
        </w:tc>
      </w:tr>
      <w:tr w:rsidR="007C4A74" w:rsidRPr="00113BDB" w14:paraId="329A0F23" w14:textId="77777777" w:rsidTr="00087CE9">
        <w:trPr>
          <w:trHeight w:val="238"/>
        </w:trPr>
        <w:tc>
          <w:tcPr>
            <w:tcW w:w="1277" w:type="dxa"/>
            <w:vMerge/>
          </w:tcPr>
          <w:p w14:paraId="18B59FBD" w14:textId="24F20CAB" w:rsidR="00AB7DA4" w:rsidRPr="00113BDB" w:rsidRDefault="00AB7DA4" w:rsidP="00E2561A">
            <w:pPr>
              <w:ind w:left="0" w:right="0"/>
              <w:rPr>
                <w:sz w:val="18"/>
              </w:rPr>
            </w:pPr>
          </w:p>
        </w:tc>
        <w:tc>
          <w:tcPr>
            <w:tcW w:w="900" w:type="dxa"/>
          </w:tcPr>
          <w:p w14:paraId="0ABDCA0A" w14:textId="77777777" w:rsidR="00AB7DA4" w:rsidRPr="00113BDB" w:rsidRDefault="00AB7DA4" w:rsidP="00E2561A">
            <w:pPr>
              <w:ind w:left="0" w:right="0"/>
              <w:rPr>
                <w:sz w:val="18"/>
              </w:rPr>
            </w:pPr>
            <w:r w:rsidRPr="00113BDB">
              <w:rPr>
                <w:sz w:val="18"/>
              </w:rPr>
              <w:t>-0.75</w:t>
            </w:r>
          </w:p>
        </w:tc>
        <w:tc>
          <w:tcPr>
            <w:tcW w:w="625" w:type="dxa"/>
          </w:tcPr>
          <w:p w14:paraId="2DFC93D6" w14:textId="77777777" w:rsidR="00AB7DA4" w:rsidRPr="00113BDB" w:rsidRDefault="00AB7DA4" w:rsidP="00E2561A">
            <w:pPr>
              <w:ind w:left="0" w:right="0"/>
              <w:rPr>
                <w:sz w:val="18"/>
              </w:rPr>
            </w:pPr>
            <w:r w:rsidRPr="00113BDB">
              <w:rPr>
                <w:sz w:val="18"/>
              </w:rPr>
              <w:t>-0.70</w:t>
            </w:r>
          </w:p>
        </w:tc>
        <w:tc>
          <w:tcPr>
            <w:tcW w:w="905" w:type="dxa"/>
          </w:tcPr>
          <w:p w14:paraId="4DC0470B" w14:textId="77777777" w:rsidR="00AB7DA4" w:rsidRPr="00113BDB" w:rsidRDefault="00AB7DA4" w:rsidP="00E2561A">
            <w:pPr>
              <w:ind w:left="0" w:right="0"/>
              <w:rPr>
                <w:sz w:val="18"/>
              </w:rPr>
            </w:pPr>
            <w:r w:rsidRPr="00113BDB">
              <w:rPr>
                <w:sz w:val="18"/>
              </w:rPr>
              <w:t>-1.72</w:t>
            </w:r>
          </w:p>
        </w:tc>
        <w:tc>
          <w:tcPr>
            <w:tcW w:w="654" w:type="dxa"/>
          </w:tcPr>
          <w:p w14:paraId="647243B7" w14:textId="77777777" w:rsidR="00AB7DA4" w:rsidRPr="00113BDB" w:rsidRDefault="00AB7DA4" w:rsidP="00E2561A">
            <w:pPr>
              <w:ind w:left="0" w:right="0"/>
              <w:rPr>
                <w:sz w:val="18"/>
              </w:rPr>
            </w:pPr>
            <w:r w:rsidRPr="00113BDB">
              <w:rPr>
                <w:sz w:val="18"/>
              </w:rPr>
              <w:t>-1.75</w:t>
            </w:r>
          </w:p>
        </w:tc>
        <w:tc>
          <w:tcPr>
            <w:tcW w:w="876" w:type="dxa"/>
          </w:tcPr>
          <w:p w14:paraId="0E9CB1B4" w14:textId="77777777" w:rsidR="00AB7DA4" w:rsidRPr="00113BDB" w:rsidRDefault="00AB7DA4" w:rsidP="00E2561A">
            <w:pPr>
              <w:ind w:left="0" w:right="0"/>
              <w:rPr>
                <w:sz w:val="18"/>
              </w:rPr>
            </w:pPr>
            <w:r w:rsidRPr="00113BDB">
              <w:rPr>
                <w:sz w:val="18"/>
              </w:rPr>
              <w:t>-0.98</w:t>
            </w:r>
          </w:p>
        </w:tc>
        <w:tc>
          <w:tcPr>
            <w:tcW w:w="825" w:type="dxa"/>
          </w:tcPr>
          <w:p w14:paraId="2C5A0149" w14:textId="77777777" w:rsidR="00AB7DA4" w:rsidRPr="00113BDB" w:rsidRDefault="00AB7DA4" w:rsidP="00E2561A">
            <w:pPr>
              <w:ind w:left="0" w:right="0"/>
              <w:rPr>
                <w:sz w:val="18"/>
              </w:rPr>
            </w:pPr>
            <w:r w:rsidRPr="00113BDB">
              <w:rPr>
                <w:sz w:val="18"/>
              </w:rPr>
              <w:t>-1.00</w:t>
            </w:r>
          </w:p>
        </w:tc>
        <w:tc>
          <w:tcPr>
            <w:tcW w:w="885" w:type="dxa"/>
          </w:tcPr>
          <w:p w14:paraId="13F01E85" w14:textId="77777777" w:rsidR="00AB7DA4" w:rsidRPr="00113BDB" w:rsidRDefault="00AB7DA4" w:rsidP="00E2561A">
            <w:pPr>
              <w:ind w:left="0" w:right="0"/>
              <w:rPr>
                <w:sz w:val="18"/>
              </w:rPr>
            </w:pPr>
            <w:r w:rsidRPr="00113BDB">
              <w:rPr>
                <w:sz w:val="18"/>
              </w:rPr>
              <w:t>- 1.31</w:t>
            </w:r>
          </w:p>
        </w:tc>
        <w:tc>
          <w:tcPr>
            <w:tcW w:w="810" w:type="dxa"/>
            <w:gridSpan w:val="2"/>
          </w:tcPr>
          <w:p w14:paraId="7DCF955A" w14:textId="77777777" w:rsidR="00AB7DA4" w:rsidRPr="00113BDB" w:rsidRDefault="00AB7DA4" w:rsidP="00E2561A">
            <w:pPr>
              <w:ind w:left="0" w:right="0"/>
              <w:rPr>
                <w:sz w:val="18"/>
              </w:rPr>
            </w:pPr>
            <w:r w:rsidRPr="00113BDB">
              <w:rPr>
                <w:sz w:val="18"/>
              </w:rPr>
              <w:t>- 1.29</w:t>
            </w:r>
          </w:p>
        </w:tc>
        <w:tc>
          <w:tcPr>
            <w:tcW w:w="998" w:type="dxa"/>
          </w:tcPr>
          <w:p w14:paraId="1FA19103" w14:textId="77777777" w:rsidR="00AB7DA4" w:rsidRPr="00113BDB" w:rsidRDefault="00AB7DA4" w:rsidP="00E2561A">
            <w:pPr>
              <w:ind w:left="0" w:right="0"/>
              <w:rPr>
                <w:sz w:val="18"/>
              </w:rPr>
            </w:pPr>
            <w:r w:rsidRPr="00113BDB">
              <w:rPr>
                <w:sz w:val="18"/>
              </w:rPr>
              <w:t>-1.39</w:t>
            </w:r>
          </w:p>
        </w:tc>
        <w:tc>
          <w:tcPr>
            <w:tcW w:w="802" w:type="dxa"/>
            <w:gridSpan w:val="2"/>
          </w:tcPr>
          <w:p w14:paraId="1444E88C" w14:textId="77777777" w:rsidR="00AB7DA4" w:rsidRPr="00113BDB" w:rsidRDefault="00AB7DA4" w:rsidP="00E2561A">
            <w:pPr>
              <w:ind w:left="0" w:right="0"/>
              <w:rPr>
                <w:sz w:val="18"/>
              </w:rPr>
            </w:pPr>
            <w:r w:rsidRPr="00113BDB">
              <w:rPr>
                <w:sz w:val="18"/>
              </w:rPr>
              <w:t>-1.44</w:t>
            </w:r>
          </w:p>
        </w:tc>
      </w:tr>
      <w:tr w:rsidR="001211A7" w:rsidRPr="00113BDB" w14:paraId="28F7EA0E" w14:textId="77777777" w:rsidTr="00087CE9">
        <w:trPr>
          <w:trHeight w:val="1281"/>
        </w:trPr>
        <w:tc>
          <w:tcPr>
            <w:tcW w:w="1277" w:type="dxa"/>
            <w:vMerge/>
          </w:tcPr>
          <w:p w14:paraId="5B43881B" w14:textId="77777777" w:rsidR="00AB7DA4" w:rsidRPr="00113BDB" w:rsidRDefault="00AB7DA4" w:rsidP="00E2561A">
            <w:pPr>
              <w:ind w:left="0" w:right="0"/>
              <w:rPr>
                <w:sz w:val="18"/>
              </w:rPr>
            </w:pPr>
          </w:p>
        </w:tc>
        <w:tc>
          <w:tcPr>
            <w:tcW w:w="1525" w:type="dxa"/>
            <w:gridSpan w:val="2"/>
          </w:tcPr>
          <w:p w14:paraId="79D97C0B" w14:textId="7A523FCD" w:rsidR="00AB7DA4" w:rsidRPr="00113BDB" w:rsidRDefault="00AB7DA4" w:rsidP="00E2561A">
            <w:pPr>
              <w:ind w:left="0" w:right="0"/>
              <w:rPr>
                <w:sz w:val="18"/>
              </w:rPr>
            </w:pPr>
            <w:r w:rsidRPr="00113BDB">
              <w:rPr>
                <w:sz w:val="18"/>
              </w:rPr>
              <w:t>Non-inferiority confirmed.</w:t>
            </w:r>
            <w:r w:rsidR="00FD04A4" w:rsidRPr="00113BDB">
              <w:rPr>
                <w:sz w:val="18"/>
              </w:rPr>
              <w:t xml:space="preserve"> </w:t>
            </w:r>
            <w:r w:rsidRPr="00113BDB">
              <w:rPr>
                <w:sz w:val="18"/>
              </w:rPr>
              <w:t xml:space="preserve">Reduction in </w:t>
            </w:r>
            <w:r w:rsidR="00FD04A4" w:rsidRPr="00113BDB">
              <w:rPr>
                <w:sz w:val="18"/>
              </w:rPr>
              <w:t>HbA1c maintained after 52 weeks</w:t>
            </w:r>
          </w:p>
        </w:tc>
        <w:tc>
          <w:tcPr>
            <w:tcW w:w="1559" w:type="dxa"/>
            <w:gridSpan w:val="2"/>
          </w:tcPr>
          <w:p w14:paraId="5B8A2996" w14:textId="77777777" w:rsidR="00AB7DA4" w:rsidRPr="00113BDB" w:rsidRDefault="00AB7DA4" w:rsidP="00E2561A">
            <w:pPr>
              <w:ind w:left="0" w:right="0"/>
              <w:rPr>
                <w:sz w:val="18"/>
              </w:rPr>
            </w:pPr>
            <w:r w:rsidRPr="00113BDB">
              <w:rPr>
                <w:sz w:val="18"/>
              </w:rPr>
              <w:t>Non-inferiority confirmed</w:t>
            </w:r>
          </w:p>
        </w:tc>
        <w:tc>
          <w:tcPr>
            <w:tcW w:w="1701" w:type="dxa"/>
            <w:gridSpan w:val="2"/>
          </w:tcPr>
          <w:p w14:paraId="2B9969E4" w14:textId="77777777" w:rsidR="00AB7DA4" w:rsidRPr="00113BDB" w:rsidRDefault="00AB7DA4" w:rsidP="00E2561A">
            <w:pPr>
              <w:ind w:left="0" w:right="0"/>
              <w:rPr>
                <w:sz w:val="18"/>
              </w:rPr>
            </w:pPr>
            <w:r w:rsidRPr="00113BDB">
              <w:rPr>
                <w:sz w:val="18"/>
              </w:rPr>
              <w:t>Non-inferiority confirmed</w:t>
            </w:r>
          </w:p>
        </w:tc>
        <w:tc>
          <w:tcPr>
            <w:tcW w:w="1695" w:type="dxa"/>
            <w:gridSpan w:val="3"/>
          </w:tcPr>
          <w:p w14:paraId="467E6853" w14:textId="77777777" w:rsidR="00AB7DA4" w:rsidRPr="00113BDB" w:rsidRDefault="00AB7DA4" w:rsidP="00E2561A">
            <w:pPr>
              <w:ind w:left="0" w:right="0"/>
              <w:rPr>
                <w:sz w:val="18"/>
              </w:rPr>
            </w:pPr>
            <w:r w:rsidRPr="00113BDB">
              <w:rPr>
                <w:sz w:val="18"/>
              </w:rPr>
              <w:t>Non-inferiority confirmed</w:t>
            </w:r>
          </w:p>
        </w:tc>
        <w:tc>
          <w:tcPr>
            <w:tcW w:w="1800" w:type="dxa"/>
            <w:gridSpan w:val="3"/>
          </w:tcPr>
          <w:p w14:paraId="7900A647" w14:textId="77777777" w:rsidR="00AB7DA4" w:rsidRPr="00113BDB" w:rsidRDefault="00AB7DA4" w:rsidP="00E2561A">
            <w:pPr>
              <w:ind w:left="0" w:right="0"/>
              <w:rPr>
                <w:sz w:val="18"/>
              </w:rPr>
            </w:pPr>
            <w:r w:rsidRPr="00113BDB">
              <w:rPr>
                <w:sz w:val="18"/>
              </w:rPr>
              <w:t>Non-inferiority confirmed</w:t>
            </w:r>
          </w:p>
        </w:tc>
      </w:tr>
      <w:tr w:rsidR="001211A7" w:rsidRPr="00113BDB" w14:paraId="41319C0C" w14:textId="77777777" w:rsidTr="00087CE9">
        <w:trPr>
          <w:trHeight w:val="442"/>
        </w:trPr>
        <w:tc>
          <w:tcPr>
            <w:tcW w:w="1277" w:type="dxa"/>
            <w:vMerge w:val="restart"/>
          </w:tcPr>
          <w:p w14:paraId="6D46D88C" w14:textId="40668B57" w:rsidR="00AB7DA4" w:rsidRPr="00113BDB" w:rsidRDefault="00AB7DA4" w:rsidP="00E2561A">
            <w:pPr>
              <w:ind w:left="0" w:right="0"/>
              <w:rPr>
                <w:sz w:val="18"/>
              </w:rPr>
            </w:pPr>
            <w:r w:rsidRPr="00113BDB">
              <w:rPr>
                <w:sz w:val="18"/>
              </w:rPr>
              <w:t>Secondary efficacy endpoint</w:t>
            </w:r>
          </w:p>
        </w:tc>
        <w:tc>
          <w:tcPr>
            <w:tcW w:w="8280" w:type="dxa"/>
            <w:gridSpan w:val="12"/>
          </w:tcPr>
          <w:p w14:paraId="51EE61FA" w14:textId="77777777" w:rsidR="00AB7DA4" w:rsidRPr="00113BDB" w:rsidRDefault="00AB7DA4" w:rsidP="00E2561A">
            <w:pPr>
              <w:ind w:left="0" w:right="0"/>
              <w:rPr>
                <w:sz w:val="18"/>
              </w:rPr>
            </w:pPr>
            <w:r w:rsidRPr="00113BDB">
              <w:rPr>
                <w:b/>
                <w:sz w:val="18"/>
              </w:rPr>
              <w:t>Proportion of subjects with HbA1c &lt; 7.0% without confirmed hypoglycaemic episodes (%)</w:t>
            </w:r>
          </w:p>
        </w:tc>
      </w:tr>
      <w:tr w:rsidR="007C4A74" w:rsidRPr="00113BDB" w14:paraId="68E4E8B8" w14:textId="77777777" w:rsidTr="00087CE9">
        <w:trPr>
          <w:trHeight w:val="701"/>
        </w:trPr>
        <w:tc>
          <w:tcPr>
            <w:tcW w:w="1277" w:type="dxa"/>
            <w:vMerge/>
          </w:tcPr>
          <w:p w14:paraId="273C453D" w14:textId="77777777" w:rsidR="00AB7DA4" w:rsidRPr="00113BDB" w:rsidRDefault="00AB7DA4" w:rsidP="00E2561A">
            <w:pPr>
              <w:ind w:left="0" w:right="0"/>
              <w:rPr>
                <w:sz w:val="18"/>
              </w:rPr>
            </w:pPr>
          </w:p>
        </w:tc>
        <w:tc>
          <w:tcPr>
            <w:tcW w:w="900" w:type="dxa"/>
          </w:tcPr>
          <w:p w14:paraId="4E38F692" w14:textId="77777777" w:rsidR="00AB7DA4" w:rsidRPr="00113BDB" w:rsidRDefault="00AB7DA4" w:rsidP="00E2561A">
            <w:pPr>
              <w:ind w:left="0" w:right="0"/>
              <w:rPr>
                <w:sz w:val="18"/>
              </w:rPr>
            </w:pPr>
            <w:r w:rsidRPr="00113BDB">
              <w:rPr>
                <w:sz w:val="18"/>
              </w:rPr>
              <w:t>IDegAsp</w:t>
            </w:r>
          </w:p>
        </w:tc>
        <w:tc>
          <w:tcPr>
            <w:tcW w:w="625" w:type="dxa"/>
          </w:tcPr>
          <w:p w14:paraId="7A582ED4" w14:textId="77777777" w:rsidR="00AB7DA4" w:rsidRPr="00113BDB" w:rsidRDefault="00AB7DA4" w:rsidP="00E2561A">
            <w:pPr>
              <w:ind w:left="0" w:right="0"/>
              <w:rPr>
                <w:sz w:val="18"/>
              </w:rPr>
            </w:pPr>
            <w:r w:rsidRPr="00113BDB">
              <w:rPr>
                <w:sz w:val="18"/>
              </w:rPr>
              <w:t>IDet</w:t>
            </w:r>
          </w:p>
        </w:tc>
        <w:tc>
          <w:tcPr>
            <w:tcW w:w="905" w:type="dxa"/>
          </w:tcPr>
          <w:p w14:paraId="1AD46493" w14:textId="38FC69CA" w:rsidR="00AB7DA4" w:rsidRPr="00113BDB" w:rsidRDefault="00AB7DA4" w:rsidP="00E2561A">
            <w:pPr>
              <w:ind w:left="0" w:right="0"/>
              <w:rPr>
                <w:sz w:val="18"/>
              </w:rPr>
            </w:pPr>
            <w:r w:rsidRPr="00113BDB">
              <w:rPr>
                <w:sz w:val="18"/>
              </w:rPr>
              <w:t>IDegAsp</w:t>
            </w:r>
          </w:p>
        </w:tc>
        <w:tc>
          <w:tcPr>
            <w:tcW w:w="654" w:type="dxa"/>
          </w:tcPr>
          <w:p w14:paraId="61232B46" w14:textId="77777777" w:rsidR="00AB7DA4" w:rsidRPr="00113BDB" w:rsidRDefault="00AB7DA4" w:rsidP="00E2561A">
            <w:pPr>
              <w:ind w:left="0" w:right="0"/>
              <w:rPr>
                <w:b/>
                <w:sz w:val="18"/>
              </w:rPr>
            </w:pPr>
            <w:r w:rsidRPr="00113BDB">
              <w:rPr>
                <w:sz w:val="18"/>
              </w:rPr>
              <w:t>IGlar</w:t>
            </w:r>
          </w:p>
        </w:tc>
        <w:tc>
          <w:tcPr>
            <w:tcW w:w="876" w:type="dxa"/>
          </w:tcPr>
          <w:p w14:paraId="3D751D19" w14:textId="46733469" w:rsidR="00AB7DA4" w:rsidRPr="00113BDB" w:rsidRDefault="00AB7DA4" w:rsidP="00E2561A">
            <w:pPr>
              <w:ind w:left="0" w:right="0"/>
              <w:rPr>
                <w:sz w:val="18"/>
              </w:rPr>
            </w:pPr>
            <w:r w:rsidRPr="00113BDB">
              <w:rPr>
                <w:sz w:val="18"/>
              </w:rPr>
              <w:t>IDegAsp</w:t>
            </w:r>
          </w:p>
        </w:tc>
        <w:tc>
          <w:tcPr>
            <w:tcW w:w="825" w:type="dxa"/>
          </w:tcPr>
          <w:p w14:paraId="50EA0AD8" w14:textId="77777777" w:rsidR="00AB7DA4" w:rsidRPr="00113BDB" w:rsidRDefault="00AB7DA4" w:rsidP="00E2561A">
            <w:pPr>
              <w:ind w:left="0" w:right="0"/>
              <w:rPr>
                <w:sz w:val="18"/>
              </w:rPr>
            </w:pPr>
            <w:r w:rsidRPr="00113BDB">
              <w:rPr>
                <w:sz w:val="18"/>
              </w:rPr>
              <w:t>IGlar</w:t>
            </w:r>
          </w:p>
        </w:tc>
        <w:tc>
          <w:tcPr>
            <w:tcW w:w="992" w:type="dxa"/>
            <w:gridSpan w:val="2"/>
          </w:tcPr>
          <w:p w14:paraId="771104D8" w14:textId="4CAE8BAB" w:rsidR="00AB7DA4" w:rsidRPr="00113BDB" w:rsidRDefault="00AB7DA4" w:rsidP="00E2561A">
            <w:pPr>
              <w:ind w:left="0" w:right="0"/>
              <w:rPr>
                <w:sz w:val="18"/>
              </w:rPr>
            </w:pPr>
            <w:r w:rsidRPr="00113BDB">
              <w:rPr>
                <w:sz w:val="18"/>
              </w:rPr>
              <w:t>IDegAsp</w:t>
            </w:r>
          </w:p>
        </w:tc>
        <w:tc>
          <w:tcPr>
            <w:tcW w:w="703" w:type="dxa"/>
          </w:tcPr>
          <w:p w14:paraId="62F3C6C1" w14:textId="77777777" w:rsidR="00AB7DA4" w:rsidRPr="00113BDB" w:rsidRDefault="00AB7DA4" w:rsidP="00E2561A">
            <w:pPr>
              <w:ind w:left="0" w:right="0"/>
              <w:rPr>
                <w:sz w:val="18"/>
              </w:rPr>
            </w:pPr>
            <w:r w:rsidRPr="00113BDB">
              <w:rPr>
                <w:sz w:val="18"/>
              </w:rPr>
              <w:t>BIAsp 30</w:t>
            </w:r>
          </w:p>
        </w:tc>
        <w:tc>
          <w:tcPr>
            <w:tcW w:w="998" w:type="dxa"/>
          </w:tcPr>
          <w:p w14:paraId="3D1CD6B8" w14:textId="77777777" w:rsidR="00AB7DA4" w:rsidRPr="00113BDB" w:rsidRDefault="00AB7DA4" w:rsidP="00E2561A">
            <w:pPr>
              <w:ind w:left="0" w:right="0"/>
              <w:rPr>
                <w:sz w:val="18"/>
              </w:rPr>
            </w:pPr>
            <w:r w:rsidRPr="00113BDB">
              <w:rPr>
                <w:sz w:val="18"/>
              </w:rPr>
              <w:t>IDegAsp</w:t>
            </w:r>
          </w:p>
        </w:tc>
        <w:tc>
          <w:tcPr>
            <w:tcW w:w="802" w:type="dxa"/>
            <w:gridSpan w:val="2"/>
          </w:tcPr>
          <w:p w14:paraId="16662D4F" w14:textId="77777777" w:rsidR="00AB7DA4" w:rsidRPr="00113BDB" w:rsidRDefault="00AB7DA4" w:rsidP="00E2561A">
            <w:pPr>
              <w:ind w:left="0" w:right="0"/>
              <w:rPr>
                <w:sz w:val="18"/>
              </w:rPr>
            </w:pPr>
            <w:r w:rsidRPr="00113BDB">
              <w:rPr>
                <w:sz w:val="18"/>
              </w:rPr>
              <w:t>BIAsp 30</w:t>
            </w:r>
          </w:p>
        </w:tc>
      </w:tr>
      <w:tr w:rsidR="007C4A74" w:rsidRPr="00113BDB" w14:paraId="601562EE" w14:textId="77777777" w:rsidTr="00087CE9">
        <w:trPr>
          <w:trHeight w:val="316"/>
        </w:trPr>
        <w:tc>
          <w:tcPr>
            <w:tcW w:w="1277" w:type="dxa"/>
            <w:vMerge/>
          </w:tcPr>
          <w:p w14:paraId="30C0BD73" w14:textId="77777777" w:rsidR="00AB7DA4" w:rsidRPr="00113BDB" w:rsidRDefault="00AB7DA4" w:rsidP="00E2561A">
            <w:pPr>
              <w:ind w:left="0" w:right="0"/>
              <w:rPr>
                <w:sz w:val="18"/>
              </w:rPr>
            </w:pPr>
          </w:p>
        </w:tc>
        <w:tc>
          <w:tcPr>
            <w:tcW w:w="900" w:type="dxa"/>
          </w:tcPr>
          <w:p w14:paraId="6D30C01D" w14:textId="77777777" w:rsidR="00AB7DA4" w:rsidRPr="00113BDB" w:rsidRDefault="00AB7DA4" w:rsidP="00E2561A">
            <w:pPr>
              <w:ind w:left="0" w:right="0"/>
              <w:rPr>
                <w:sz w:val="18"/>
              </w:rPr>
            </w:pPr>
            <w:r w:rsidRPr="00113BDB">
              <w:rPr>
                <w:sz w:val="18"/>
              </w:rPr>
              <w:t>4.5</w:t>
            </w:r>
          </w:p>
        </w:tc>
        <w:tc>
          <w:tcPr>
            <w:tcW w:w="625" w:type="dxa"/>
          </w:tcPr>
          <w:p w14:paraId="0247027D" w14:textId="77777777" w:rsidR="00AB7DA4" w:rsidRPr="00113BDB" w:rsidRDefault="00AB7DA4" w:rsidP="00E2561A">
            <w:pPr>
              <w:ind w:left="0" w:right="0"/>
              <w:rPr>
                <w:sz w:val="18"/>
              </w:rPr>
            </w:pPr>
            <w:r w:rsidRPr="00113BDB">
              <w:rPr>
                <w:sz w:val="18"/>
              </w:rPr>
              <w:t>3.0</w:t>
            </w:r>
          </w:p>
        </w:tc>
        <w:tc>
          <w:tcPr>
            <w:tcW w:w="905" w:type="dxa"/>
          </w:tcPr>
          <w:p w14:paraId="793722E3" w14:textId="77777777" w:rsidR="00AB7DA4" w:rsidRPr="00113BDB" w:rsidRDefault="00AB7DA4" w:rsidP="00E2561A">
            <w:pPr>
              <w:ind w:left="0" w:right="0"/>
              <w:rPr>
                <w:b/>
                <w:sz w:val="18"/>
              </w:rPr>
            </w:pPr>
            <w:r w:rsidRPr="00113BDB">
              <w:rPr>
                <w:sz w:val="18"/>
              </w:rPr>
              <w:t>23.6</w:t>
            </w:r>
          </w:p>
        </w:tc>
        <w:tc>
          <w:tcPr>
            <w:tcW w:w="654" w:type="dxa"/>
          </w:tcPr>
          <w:p w14:paraId="5342687C" w14:textId="77777777" w:rsidR="00AB7DA4" w:rsidRPr="00113BDB" w:rsidRDefault="00AB7DA4" w:rsidP="00E2561A">
            <w:pPr>
              <w:ind w:left="0" w:right="0"/>
              <w:rPr>
                <w:b/>
                <w:sz w:val="18"/>
              </w:rPr>
            </w:pPr>
            <w:r w:rsidRPr="00113BDB">
              <w:rPr>
                <w:sz w:val="18"/>
              </w:rPr>
              <w:t>30.7</w:t>
            </w:r>
          </w:p>
        </w:tc>
        <w:tc>
          <w:tcPr>
            <w:tcW w:w="876" w:type="dxa"/>
          </w:tcPr>
          <w:p w14:paraId="35AF3DEE" w14:textId="77777777" w:rsidR="00AB7DA4" w:rsidRPr="00113BDB" w:rsidRDefault="00AB7DA4" w:rsidP="00E2561A">
            <w:pPr>
              <w:ind w:left="0" w:right="0"/>
              <w:rPr>
                <w:sz w:val="18"/>
              </w:rPr>
            </w:pPr>
            <w:r w:rsidRPr="00113BDB">
              <w:rPr>
                <w:sz w:val="18"/>
              </w:rPr>
              <w:t>20.9</w:t>
            </w:r>
          </w:p>
        </w:tc>
        <w:tc>
          <w:tcPr>
            <w:tcW w:w="825" w:type="dxa"/>
          </w:tcPr>
          <w:p w14:paraId="1EE7A7FB" w14:textId="77777777" w:rsidR="00AB7DA4" w:rsidRPr="00113BDB" w:rsidRDefault="00AB7DA4" w:rsidP="00E2561A">
            <w:pPr>
              <w:ind w:left="0" w:right="0"/>
              <w:rPr>
                <w:sz w:val="18"/>
              </w:rPr>
            </w:pPr>
            <w:r w:rsidRPr="00113BDB">
              <w:rPr>
                <w:sz w:val="18"/>
              </w:rPr>
              <w:t>23.5</w:t>
            </w:r>
          </w:p>
        </w:tc>
        <w:tc>
          <w:tcPr>
            <w:tcW w:w="992" w:type="dxa"/>
            <w:gridSpan w:val="2"/>
          </w:tcPr>
          <w:p w14:paraId="38241DD4" w14:textId="77777777" w:rsidR="00AB7DA4" w:rsidRPr="00113BDB" w:rsidRDefault="00AB7DA4" w:rsidP="00E2561A">
            <w:pPr>
              <w:ind w:left="0" w:right="0"/>
              <w:rPr>
                <w:sz w:val="18"/>
              </w:rPr>
            </w:pPr>
            <w:r w:rsidRPr="00113BDB">
              <w:rPr>
                <w:sz w:val="18"/>
              </w:rPr>
              <w:t>21.8</w:t>
            </w:r>
          </w:p>
        </w:tc>
        <w:tc>
          <w:tcPr>
            <w:tcW w:w="703" w:type="dxa"/>
          </w:tcPr>
          <w:p w14:paraId="5C991918" w14:textId="77777777" w:rsidR="00AB7DA4" w:rsidRPr="00113BDB" w:rsidRDefault="00AB7DA4" w:rsidP="00E2561A">
            <w:pPr>
              <w:ind w:left="0" w:right="0"/>
              <w:rPr>
                <w:sz w:val="18"/>
              </w:rPr>
            </w:pPr>
            <w:r w:rsidRPr="00113BDB">
              <w:rPr>
                <w:sz w:val="18"/>
              </w:rPr>
              <w:t>14.9</w:t>
            </w:r>
          </w:p>
        </w:tc>
        <w:tc>
          <w:tcPr>
            <w:tcW w:w="998" w:type="dxa"/>
          </w:tcPr>
          <w:p w14:paraId="786487B4" w14:textId="77777777" w:rsidR="00AB7DA4" w:rsidRPr="00113BDB" w:rsidRDefault="00AB7DA4" w:rsidP="00E2561A">
            <w:pPr>
              <w:ind w:left="0" w:right="0"/>
              <w:rPr>
                <w:sz w:val="18"/>
              </w:rPr>
            </w:pPr>
            <w:r w:rsidRPr="00113BDB">
              <w:rPr>
                <w:sz w:val="18"/>
              </w:rPr>
              <w:t>21.9</w:t>
            </w:r>
          </w:p>
        </w:tc>
        <w:tc>
          <w:tcPr>
            <w:tcW w:w="802" w:type="dxa"/>
            <w:gridSpan w:val="2"/>
          </w:tcPr>
          <w:p w14:paraId="43B70A5D" w14:textId="77777777" w:rsidR="00AB7DA4" w:rsidRPr="00113BDB" w:rsidRDefault="00AB7DA4" w:rsidP="00E2561A">
            <w:pPr>
              <w:ind w:left="0" w:right="0"/>
              <w:rPr>
                <w:sz w:val="18"/>
              </w:rPr>
            </w:pPr>
            <w:r w:rsidRPr="00113BDB">
              <w:rPr>
                <w:sz w:val="18"/>
              </w:rPr>
              <w:t>13.2</w:t>
            </w:r>
          </w:p>
        </w:tc>
      </w:tr>
      <w:tr w:rsidR="001211A7" w:rsidRPr="00113BDB" w14:paraId="733CF584" w14:textId="77777777" w:rsidTr="00087CE9">
        <w:trPr>
          <w:trHeight w:val="530"/>
        </w:trPr>
        <w:tc>
          <w:tcPr>
            <w:tcW w:w="1277" w:type="dxa"/>
            <w:vMerge w:val="restart"/>
          </w:tcPr>
          <w:p w14:paraId="0B93322F" w14:textId="5F30EBB2" w:rsidR="00AB7DA4" w:rsidRPr="00113BDB" w:rsidRDefault="00AB7DA4" w:rsidP="00E2561A">
            <w:pPr>
              <w:ind w:left="0" w:right="0"/>
              <w:rPr>
                <w:sz w:val="18"/>
              </w:rPr>
            </w:pPr>
            <w:r w:rsidRPr="00113BDB">
              <w:rPr>
                <w:sz w:val="18"/>
              </w:rPr>
              <w:lastRenderedPageBreak/>
              <w:t>Safety endpoint</w:t>
            </w:r>
          </w:p>
        </w:tc>
        <w:tc>
          <w:tcPr>
            <w:tcW w:w="8280" w:type="dxa"/>
            <w:gridSpan w:val="12"/>
          </w:tcPr>
          <w:p w14:paraId="28F8FE35" w14:textId="77777777" w:rsidR="00AB7DA4" w:rsidRPr="00113BDB" w:rsidRDefault="00AB7DA4" w:rsidP="00E2561A">
            <w:pPr>
              <w:ind w:left="0" w:right="0"/>
              <w:rPr>
                <w:b/>
                <w:sz w:val="18"/>
              </w:rPr>
            </w:pPr>
            <w:r w:rsidRPr="00113BDB">
              <w:rPr>
                <w:b/>
                <w:sz w:val="18"/>
              </w:rPr>
              <w:t>Rate of nocturnal confirmed hypoglycaemic episodes per 100 PYE</w:t>
            </w:r>
          </w:p>
        </w:tc>
      </w:tr>
      <w:tr w:rsidR="007C4A74" w:rsidRPr="00113BDB" w14:paraId="2D9F99F2" w14:textId="77777777" w:rsidTr="00087CE9">
        <w:trPr>
          <w:trHeight w:val="726"/>
        </w:trPr>
        <w:tc>
          <w:tcPr>
            <w:tcW w:w="1277" w:type="dxa"/>
            <w:vMerge/>
          </w:tcPr>
          <w:p w14:paraId="04A3C6FD" w14:textId="77777777" w:rsidR="00AB7DA4" w:rsidRPr="00113BDB" w:rsidRDefault="00AB7DA4" w:rsidP="00E2561A">
            <w:pPr>
              <w:ind w:left="0" w:right="0"/>
              <w:rPr>
                <w:sz w:val="18"/>
              </w:rPr>
            </w:pPr>
          </w:p>
        </w:tc>
        <w:tc>
          <w:tcPr>
            <w:tcW w:w="900" w:type="dxa"/>
          </w:tcPr>
          <w:p w14:paraId="1A15791B" w14:textId="77777777" w:rsidR="00AB7DA4" w:rsidRPr="00113BDB" w:rsidRDefault="00AB7DA4" w:rsidP="00E2561A">
            <w:pPr>
              <w:ind w:left="0" w:right="0"/>
              <w:rPr>
                <w:sz w:val="18"/>
              </w:rPr>
            </w:pPr>
            <w:r w:rsidRPr="00113BDB">
              <w:rPr>
                <w:sz w:val="18"/>
              </w:rPr>
              <w:t>IDegAsp</w:t>
            </w:r>
          </w:p>
        </w:tc>
        <w:tc>
          <w:tcPr>
            <w:tcW w:w="625" w:type="dxa"/>
          </w:tcPr>
          <w:p w14:paraId="44D3C631" w14:textId="77777777" w:rsidR="00AB7DA4" w:rsidRPr="00113BDB" w:rsidRDefault="00AB7DA4" w:rsidP="00E2561A">
            <w:pPr>
              <w:ind w:left="0" w:right="0"/>
              <w:rPr>
                <w:sz w:val="18"/>
              </w:rPr>
            </w:pPr>
            <w:r w:rsidRPr="00113BDB">
              <w:rPr>
                <w:sz w:val="18"/>
              </w:rPr>
              <w:t>IDet</w:t>
            </w:r>
          </w:p>
        </w:tc>
        <w:tc>
          <w:tcPr>
            <w:tcW w:w="905" w:type="dxa"/>
          </w:tcPr>
          <w:p w14:paraId="0B672749" w14:textId="77777777" w:rsidR="00AB7DA4" w:rsidRPr="00113BDB" w:rsidRDefault="00AB7DA4" w:rsidP="00E2561A">
            <w:pPr>
              <w:ind w:left="0" w:right="0"/>
              <w:rPr>
                <w:sz w:val="18"/>
              </w:rPr>
            </w:pPr>
            <w:r w:rsidRPr="00113BDB">
              <w:rPr>
                <w:sz w:val="18"/>
              </w:rPr>
              <w:t>IDegAsp</w:t>
            </w:r>
          </w:p>
        </w:tc>
        <w:tc>
          <w:tcPr>
            <w:tcW w:w="654" w:type="dxa"/>
          </w:tcPr>
          <w:p w14:paraId="0F5ADB10" w14:textId="77777777" w:rsidR="00AB7DA4" w:rsidRPr="00113BDB" w:rsidRDefault="00AB7DA4" w:rsidP="00E2561A">
            <w:pPr>
              <w:ind w:left="0" w:right="0"/>
              <w:rPr>
                <w:sz w:val="18"/>
              </w:rPr>
            </w:pPr>
            <w:r w:rsidRPr="00113BDB">
              <w:rPr>
                <w:sz w:val="18"/>
              </w:rPr>
              <w:t>IGlar</w:t>
            </w:r>
          </w:p>
        </w:tc>
        <w:tc>
          <w:tcPr>
            <w:tcW w:w="876" w:type="dxa"/>
          </w:tcPr>
          <w:p w14:paraId="2B92A97D" w14:textId="77777777" w:rsidR="00AB7DA4" w:rsidRPr="00113BDB" w:rsidRDefault="00AB7DA4" w:rsidP="00E2561A">
            <w:pPr>
              <w:ind w:left="0" w:right="0"/>
              <w:rPr>
                <w:sz w:val="18"/>
              </w:rPr>
            </w:pPr>
            <w:r w:rsidRPr="00113BDB">
              <w:rPr>
                <w:sz w:val="18"/>
              </w:rPr>
              <w:t>IDegAsp</w:t>
            </w:r>
          </w:p>
        </w:tc>
        <w:tc>
          <w:tcPr>
            <w:tcW w:w="825" w:type="dxa"/>
          </w:tcPr>
          <w:p w14:paraId="347CEE7D" w14:textId="77777777" w:rsidR="00AB7DA4" w:rsidRPr="00113BDB" w:rsidRDefault="00AB7DA4" w:rsidP="00E2561A">
            <w:pPr>
              <w:ind w:left="0" w:right="0"/>
              <w:rPr>
                <w:sz w:val="18"/>
              </w:rPr>
            </w:pPr>
            <w:r w:rsidRPr="00113BDB">
              <w:rPr>
                <w:sz w:val="18"/>
              </w:rPr>
              <w:t>IGlar</w:t>
            </w:r>
          </w:p>
        </w:tc>
        <w:tc>
          <w:tcPr>
            <w:tcW w:w="885" w:type="dxa"/>
          </w:tcPr>
          <w:p w14:paraId="37D5EF3A" w14:textId="77777777" w:rsidR="00AB7DA4" w:rsidRPr="00113BDB" w:rsidRDefault="00AB7DA4" w:rsidP="00E2561A">
            <w:pPr>
              <w:ind w:left="0" w:right="0"/>
              <w:rPr>
                <w:sz w:val="18"/>
              </w:rPr>
            </w:pPr>
            <w:r w:rsidRPr="00113BDB">
              <w:rPr>
                <w:sz w:val="18"/>
              </w:rPr>
              <w:t>IDegAsp</w:t>
            </w:r>
          </w:p>
        </w:tc>
        <w:tc>
          <w:tcPr>
            <w:tcW w:w="810" w:type="dxa"/>
            <w:gridSpan w:val="2"/>
          </w:tcPr>
          <w:p w14:paraId="2547584B" w14:textId="77777777" w:rsidR="00AB7DA4" w:rsidRPr="00113BDB" w:rsidRDefault="00AB7DA4" w:rsidP="00E2561A">
            <w:pPr>
              <w:ind w:left="0" w:right="0"/>
              <w:rPr>
                <w:sz w:val="18"/>
              </w:rPr>
            </w:pPr>
            <w:r w:rsidRPr="00113BDB">
              <w:rPr>
                <w:sz w:val="18"/>
              </w:rPr>
              <w:t>BIAsp 30</w:t>
            </w:r>
          </w:p>
        </w:tc>
        <w:tc>
          <w:tcPr>
            <w:tcW w:w="1140" w:type="dxa"/>
            <w:gridSpan w:val="2"/>
          </w:tcPr>
          <w:p w14:paraId="3D12EF04" w14:textId="77777777" w:rsidR="00AB7DA4" w:rsidRPr="00113BDB" w:rsidRDefault="00AB7DA4" w:rsidP="00E2561A">
            <w:pPr>
              <w:ind w:left="0" w:right="0"/>
              <w:rPr>
                <w:sz w:val="18"/>
              </w:rPr>
            </w:pPr>
            <w:r w:rsidRPr="00113BDB">
              <w:rPr>
                <w:sz w:val="18"/>
              </w:rPr>
              <w:t>IDegAsp</w:t>
            </w:r>
          </w:p>
        </w:tc>
        <w:tc>
          <w:tcPr>
            <w:tcW w:w="660" w:type="dxa"/>
          </w:tcPr>
          <w:p w14:paraId="1A684805" w14:textId="77777777" w:rsidR="00AB7DA4" w:rsidRPr="00113BDB" w:rsidRDefault="00AB7DA4" w:rsidP="00E2561A">
            <w:pPr>
              <w:ind w:left="0" w:right="0"/>
              <w:rPr>
                <w:sz w:val="18"/>
              </w:rPr>
            </w:pPr>
            <w:r w:rsidRPr="00113BDB">
              <w:rPr>
                <w:sz w:val="18"/>
              </w:rPr>
              <w:t>BIAsp 30</w:t>
            </w:r>
          </w:p>
        </w:tc>
      </w:tr>
      <w:tr w:rsidR="007C4A74" w:rsidRPr="00113BDB" w14:paraId="719CB6E1" w14:textId="77777777" w:rsidTr="00087CE9">
        <w:trPr>
          <w:trHeight w:val="418"/>
        </w:trPr>
        <w:tc>
          <w:tcPr>
            <w:tcW w:w="1277" w:type="dxa"/>
            <w:vMerge/>
          </w:tcPr>
          <w:p w14:paraId="5EE1A03F" w14:textId="77777777" w:rsidR="00AB7DA4" w:rsidRPr="00113BDB" w:rsidRDefault="00AB7DA4" w:rsidP="00E2561A">
            <w:pPr>
              <w:ind w:left="0" w:right="0"/>
              <w:rPr>
                <w:sz w:val="18"/>
              </w:rPr>
            </w:pPr>
          </w:p>
        </w:tc>
        <w:tc>
          <w:tcPr>
            <w:tcW w:w="900" w:type="dxa"/>
          </w:tcPr>
          <w:p w14:paraId="10CD67BB" w14:textId="77777777" w:rsidR="00AB7DA4" w:rsidRPr="00113BDB" w:rsidRDefault="00AB7DA4" w:rsidP="00E2561A">
            <w:pPr>
              <w:ind w:left="0" w:right="0"/>
              <w:rPr>
                <w:sz w:val="18"/>
              </w:rPr>
            </w:pPr>
            <w:r w:rsidRPr="00113BDB">
              <w:rPr>
                <w:sz w:val="18"/>
              </w:rPr>
              <w:t>371</w:t>
            </w:r>
          </w:p>
        </w:tc>
        <w:tc>
          <w:tcPr>
            <w:tcW w:w="625" w:type="dxa"/>
          </w:tcPr>
          <w:p w14:paraId="3311386B" w14:textId="77777777" w:rsidR="00AB7DA4" w:rsidRPr="00113BDB" w:rsidRDefault="00AB7DA4" w:rsidP="00E2561A">
            <w:pPr>
              <w:ind w:left="0" w:right="0"/>
              <w:rPr>
                <w:sz w:val="18"/>
              </w:rPr>
            </w:pPr>
            <w:r w:rsidRPr="00113BDB">
              <w:rPr>
                <w:sz w:val="18"/>
              </w:rPr>
              <w:t>572</w:t>
            </w:r>
          </w:p>
        </w:tc>
        <w:tc>
          <w:tcPr>
            <w:tcW w:w="905" w:type="dxa"/>
          </w:tcPr>
          <w:p w14:paraId="36AE1F4A" w14:textId="77777777" w:rsidR="00AB7DA4" w:rsidRPr="00113BDB" w:rsidRDefault="00AB7DA4" w:rsidP="00E2561A">
            <w:pPr>
              <w:ind w:left="0" w:right="0"/>
              <w:rPr>
                <w:sz w:val="18"/>
              </w:rPr>
            </w:pPr>
            <w:r w:rsidRPr="00113BDB">
              <w:rPr>
                <w:sz w:val="18"/>
              </w:rPr>
              <w:t>19</w:t>
            </w:r>
          </w:p>
        </w:tc>
        <w:tc>
          <w:tcPr>
            <w:tcW w:w="654" w:type="dxa"/>
          </w:tcPr>
          <w:p w14:paraId="50F3191F" w14:textId="77777777" w:rsidR="00AB7DA4" w:rsidRPr="00113BDB" w:rsidRDefault="00AB7DA4" w:rsidP="00E2561A">
            <w:pPr>
              <w:ind w:left="0" w:right="0"/>
              <w:rPr>
                <w:sz w:val="18"/>
              </w:rPr>
            </w:pPr>
            <w:r w:rsidRPr="00113BDB">
              <w:rPr>
                <w:sz w:val="18"/>
              </w:rPr>
              <w:t>46</w:t>
            </w:r>
          </w:p>
        </w:tc>
        <w:tc>
          <w:tcPr>
            <w:tcW w:w="876" w:type="dxa"/>
          </w:tcPr>
          <w:p w14:paraId="19179FCB" w14:textId="77777777" w:rsidR="00AB7DA4" w:rsidRPr="00113BDB" w:rsidRDefault="00AB7DA4" w:rsidP="00E2561A">
            <w:pPr>
              <w:ind w:left="0" w:right="0"/>
              <w:rPr>
                <w:sz w:val="18"/>
              </w:rPr>
            </w:pPr>
            <w:r w:rsidRPr="00113BDB">
              <w:rPr>
                <w:sz w:val="18"/>
              </w:rPr>
              <w:t>82</w:t>
            </w:r>
          </w:p>
        </w:tc>
        <w:tc>
          <w:tcPr>
            <w:tcW w:w="825" w:type="dxa"/>
          </w:tcPr>
          <w:p w14:paraId="3A59E6F1" w14:textId="77777777" w:rsidR="00AB7DA4" w:rsidRPr="00113BDB" w:rsidRDefault="00AB7DA4" w:rsidP="00E2561A">
            <w:pPr>
              <w:ind w:left="0" w:right="0"/>
              <w:rPr>
                <w:sz w:val="18"/>
              </w:rPr>
            </w:pPr>
            <w:r w:rsidRPr="00113BDB">
              <w:rPr>
                <w:sz w:val="18"/>
              </w:rPr>
              <w:t>101</w:t>
            </w:r>
          </w:p>
        </w:tc>
        <w:tc>
          <w:tcPr>
            <w:tcW w:w="885" w:type="dxa"/>
          </w:tcPr>
          <w:p w14:paraId="25FD8E3C" w14:textId="77777777" w:rsidR="00AB7DA4" w:rsidRPr="00113BDB" w:rsidRDefault="00AB7DA4" w:rsidP="00E2561A">
            <w:pPr>
              <w:ind w:left="0" w:right="0"/>
              <w:rPr>
                <w:sz w:val="18"/>
              </w:rPr>
            </w:pPr>
            <w:r w:rsidRPr="00113BDB">
              <w:rPr>
                <w:sz w:val="18"/>
              </w:rPr>
              <w:t>74</w:t>
            </w:r>
          </w:p>
        </w:tc>
        <w:tc>
          <w:tcPr>
            <w:tcW w:w="810" w:type="dxa"/>
            <w:gridSpan w:val="2"/>
          </w:tcPr>
          <w:p w14:paraId="0B464FBE" w14:textId="77777777" w:rsidR="00AB7DA4" w:rsidRPr="00113BDB" w:rsidRDefault="00AB7DA4" w:rsidP="00E2561A">
            <w:pPr>
              <w:ind w:left="0" w:right="0"/>
              <w:rPr>
                <w:sz w:val="18"/>
              </w:rPr>
            </w:pPr>
            <w:r w:rsidRPr="00113BDB">
              <w:rPr>
                <w:sz w:val="18"/>
              </w:rPr>
              <w:t>253</w:t>
            </w:r>
          </w:p>
        </w:tc>
        <w:tc>
          <w:tcPr>
            <w:tcW w:w="1140" w:type="dxa"/>
            <w:gridSpan w:val="2"/>
          </w:tcPr>
          <w:p w14:paraId="236DEB7D" w14:textId="77777777" w:rsidR="00AB7DA4" w:rsidRPr="00113BDB" w:rsidRDefault="00AB7DA4" w:rsidP="00E2561A">
            <w:pPr>
              <w:ind w:left="0" w:right="0"/>
              <w:rPr>
                <w:sz w:val="18"/>
              </w:rPr>
            </w:pPr>
            <w:r w:rsidRPr="00113BDB">
              <w:rPr>
                <w:sz w:val="18"/>
              </w:rPr>
              <w:t>111</w:t>
            </w:r>
          </w:p>
        </w:tc>
        <w:tc>
          <w:tcPr>
            <w:tcW w:w="660" w:type="dxa"/>
          </w:tcPr>
          <w:p w14:paraId="4AEFEE7B" w14:textId="77777777" w:rsidR="00AB7DA4" w:rsidRPr="00113BDB" w:rsidRDefault="00AB7DA4" w:rsidP="00E2561A">
            <w:pPr>
              <w:ind w:left="0" w:right="0"/>
              <w:rPr>
                <w:sz w:val="18"/>
              </w:rPr>
            </w:pPr>
            <w:r w:rsidRPr="00113BDB">
              <w:rPr>
                <w:sz w:val="18"/>
              </w:rPr>
              <w:t>155</w:t>
            </w:r>
          </w:p>
        </w:tc>
      </w:tr>
      <w:tr w:rsidR="001211A7" w:rsidRPr="00113BDB" w14:paraId="719DF475" w14:textId="77777777" w:rsidTr="00087CE9">
        <w:trPr>
          <w:trHeight w:val="641"/>
        </w:trPr>
        <w:tc>
          <w:tcPr>
            <w:tcW w:w="1277" w:type="dxa"/>
            <w:vMerge w:val="restart"/>
          </w:tcPr>
          <w:p w14:paraId="167AE13D" w14:textId="72CEFDED" w:rsidR="00AB7DA4" w:rsidRPr="00113BDB" w:rsidRDefault="00AB7DA4" w:rsidP="00E2561A">
            <w:pPr>
              <w:ind w:left="0" w:right="0"/>
              <w:rPr>
                <w:sz w:val="18"/>
              </w:rPr>
            </w:pPr>
            <w:r w:rsidRPr="00113BDB">
              <w:rPr>
                <w:sz w:val="18"/>
              </w:rPr>
              <w:t>Safety endpoint</w:t>
            </w:r>
          </w:p>
        </w:tc>
        <w:tc>
          <w:tcPr>
            <w:tcW w:w="8280" w:type="dxa"/>
            <w:gridSpan w:val="12"/>
          </w:tcPr>
          <w:p w14:paraId="031FAF8A" w14:textId="77777777" w:rsidR="00AB7DA4" w:rsidRPr="00113BDB" w:rsidRDefault="00AB7DA4" w:rsidP="00E2561A">
            <w:pPr>
              <w:ind w:left="0" w:right="0"/>
              <w:rPr>
                <w:b/>
                <w:sz w:val="18"/>
              </w:rPr>
            </w:pPr>
            <w:r w:rsidRPr="00113BDB">
              <w:rPr>
                <w:b/>
                <w:sz w:val="18"/>
              </w:rPr>
              <w:t>Rate of confirmed hypoglycaemic episodes per 100 PYE</w:t>
            </w:r>
          </w:p>
        </w:tc>
      </w:tr>
      <w:tr w:rsidR="007C4A74" w:rsidRPr="00113BDB" w14:paraId="1BEE09D0" w14:textId="77777777" w:rsidTr="00087CE9">
        <w:trPr>
          <w:trHeight w:val="327"/>
        </w:trPr>
        <w:tc>
          <w:tcPr>
            <w:tcW w:w="1277" w:type="dxa"/>
            <w:vMerge/>
          </w:tcPr>
          <w:p w14:paraId="53B8169B" w14:textId="77777777" w:rsidR="00AB7DA4" w:rsidRPr="00113BDB" w:rsidRDefault="00AB7DA4" w:rsidP="00E2561A">
            <w:pPr>
              <w:ind w:left="0" w:right="0"/>
              <w:rPr>
                <w:sz w:val="18"/>
              </w:rPr>
            </w:pPr>
          </w:p>
        </w:tc>
        <w:tc>
          <w:tcPr>
            <w:tcW w:w="900" w:type="dxa"/>
          </w:tcPr>
          <w:p w14:paraId="58480AA7" w14:textId="77777777" w:rsidR="00AB7DA4" w:rsidRPr="00113BDB" w:rsidRDefault="00AB7DA4" w:rsidP="00E2561A">
            <w:pPr>
              <w:ind w:left="0" w:right="0"/>
              <w:rPr>
                <w:sz w:val="18"/>
              </w:rPr>
            </w:pPr>
            <w:r w:rsidRPr="00113BDB">
              <w:rPr>
                <w:sz w:val="18"/>
              </w:rPr>
              <w:t>IDegAsp</w:t>
            </w:r>
          </w:p>
        </w:tc>
        <w:tc>
          <w:tcPr>
            <w:tcW w:w="625" w:type="dxa"/>
          </w:tcPr>
          <w:p w14:paraId="5ECD9A68" w14:textId="77777777" w:rsidR="00AB7DA4" w:rsidRPr="00113BDB" w:rsidRDefault="00AB7DA4" w:rsidP="00E2561A">
            <w:pPr>
              <w:ind w:left="0" w:right="0"/>
              <w:rPr>
                <w:sz w:val="18"/>
              </w:rPr>
            </w:pPr>
            <w:r w:rsidRPr="00113BDB">
              <w:rPr>
                <w:sz w:val="18"/>
              </w:rPr>
              <w:t>IDet</w:t>
            </w:r>
          </w:p>
        </w:tc>
        <w:tc>
          <w:tcPr>
            <w:tcW w:w="905" w:type="dxa"/>
          </w:tcPr>
          <w:p w14:paraId="10A97DA6" w14:textId="77777777" w:rsidR="00AB7DA4" w:rsidRPr="00113BDB" w:rsidRDefault="00AB7DA4" w:rsidP="00E2561A">
            <w:pPr>
              <w:ind w:left="0" w:right="0"/>
              <w:rPr>
                <w:sz w:val="18"/>
              </w:rPr>
            </w:pPr>
            <w:r w:rsidRPr="00113BDB">
              <w:rPr>
                <w:sz w:val="18"/>
              </w:rPr>
              <w:t>IDegAsp</w:t>
            </w:r>
          </w:p>
        </w:tc>
        <w:tc>
          <w:tcPr>
            <w:tcW w:w="654" w:type="dxa"/>
          </w:tcPr>
          <w:p w14:paraId="5145F211" w14:textId="77777777" w:rsidR="00AB7DA4" w:rsidRPr="00113BDB" w:rsidRDefault="00AB7DA4" w:rsidP="00E2561A">
            <w:pPr>
              <w:ind w:left="0" w:right="0"/>
              <w:rPr>
                <w:sz w:val="18"/>
              </w:rPr>
            </w:pPr>
            <w:r w:rsidRPr="00113BDB">
              <w:rPr>
                <w:sz w:val="18"/>
              </w:rPr>
              <w:t>IGlar</w:t>
            </w:r>
          </w:p>
        </w:tc>
        <w:tc>
          <w:tcPr>
            <w:tcW w:w="876" w:type="dxa"/>
          </w:tcPr>
          <w:p w14:paraId="036448D3" w14:textId="77777777" w:rsidR="00AB7DA4" w:rsidRPr="00113BDB" w:rsidRDefault="00AB7DA4" w:rsidP="00E2561A">
            <w:pPr>
              <w:ind w:left="0" w:right="0"/>
              <w:rPr>
                <w:sz w:val="18"/>
              </w:rPr>
            </w:pPr>
            <w:r w:rsidRPr="00113BDB">
              <w:rPr>
                <w:sz w:val="18"/>
              </w:rPr>
              <w:t>IDegAsp</w:t>
            </w:r>
          </w:p>
        </w:tc>
        <w:tc>
          <w:tcPr>
            <w:tcW w:w="825" w:type="dxa"/>
          </w:tcPr>
          <w:p w14:paraId="394A878A" w14:textId="77777777" w:rsidR="00AB7DA4" w:rsidRPr="00113BDB" w:rsidRDefault="00AB7DA4" w:rsidP="00E2561A">
            <w:pPr>
              <w:ind w:left="0" w:right="0"/>
              <w:rPr>
                <w:sz w:val="18"/>
              </w:rPr>
            </w:pPr>
            <w:r w:rsidRPr="00113BDB">
              <w:rPr>
                <w:sz w:val="18"/>
              </w:rPr>
              <w:t>IGlar</w:t>
            </w:r>
          </w:p>
        </w:tc>
        <w:tc>
          <w:tcPr>
            <w:tcW w:w="885" w:type="dxa"/>
          </w:tcPr>
          <w:p w14:paraId="7B3E9E82" w14:textId="77777777" w:rsidR="00AB7DA4" w:rsidRPr="00113BDB" w:rsidRDefault="00AB7DA4" w:rsidP="00E2561A">
            <w:pPr>
              <w:ind w:left="0" w:right="0"/>
              <w:rPr>
                <w:sz w:val="18"/>
              </w:rPr>
            </w:pPr>
            <w:r w:rsidRPr="00113BDB">
              <w:rPr>
                <w:sz w:val="18"/>
              </w:rPr>
              <w:t>IDegAsp</w:t>
            </w:r>
          </w:p>
        </w:tc>
        <w:tc>
          <w:tcPr>
            <w:tcW w:w="810" w:type="dxa"/>
            <w:gridSpan w:val="2"/>
          </w:tcPr>
          <w:p w14:paraId="2C53D837" w14:textId="77777777" w:rsidR="00AB7DA4" w:rsidRPr="00113BDB" w:rsidRDefault="00AB7DA4" w:rsidP="00E2561A">
            <w:pPr>
              <w:ind w:left="0" w:right="0"/>
              <w:rPr>
                <w:sz w:val="18"/>
              </w:rPr>
            </w:pPr>
            <w:r w:rsidRPr="00113BDB">
              <w:rPr>
                <w:sz w:val="18"/>
              </w:rPr>
              <w:t>BIAsp 30</w:t>
            </w:r>
          </w:p>
        </w:tc>
        <w:tc>
          <w:tcPr>
            <w:tcW w:w="1140" w:type="dxa"/>
            <w:gridSpan w:val="2"/>
          </w:tcPr>
          <w:p w14:paraId="279A7A8B" w14:textId="77777777" w:rsidR="00AB7DA4" w:rsidRPr="00113BDB" w:rsidRDefault="00AB7DA4" w:rsidP="00E2561A">
            <w:pPr>
              <w:ind w:left="0" w:right="0"/>
              <w:rPr>
                <w:sz w:val="18"/>
              </w:rPr>
            </w:pPr>
            <w:r w:rsidRPr="00113BDB">
              <w:rPr>
                <w:sz w:val="18"/>
              </w:rPr>
              <w:t>IDegAsp</w:t>
            </w:r>
          </w:p>
        </w:tc>
        <w:tc>
          <w:tcPr>
            <w:tcW w:w="660" w:type="dxa"/>
          </w:tcPr>
          <w:p w14:paraId="6C5BE1B0" w14:textId="77777777" w:rsidR="00AB7DA4" w:rsidRPr="00113BDB" w:rsidRDefault="00AB7DA4" w:rsidP="00E2561A">
            <w:pPr>
              <w:ind w:left="0" w:right="0"/>
              <w:rPr>
                <w:sz w:val="18"/>
              </w:rPr>
            </w:pPr>
            <w:r w:rsidRPr="00113BDB">
              <w:rPr>
                <w:sz w:val="18"/>
              </w:rPr>
              <w:t>BIAsp 30</w:t>
            </w:r>
          </w:p>
        </w:tc>
      </w:tr>
      <w:tr w:rsidR="007C4A74" w:rsidRPr="00113BDB" w14:paraId="6414423E" w14:textId="77777777" w:rsidTr="00087CE9">
        <w:trPr>
          <w:trHeight w:val="434"/>
        </w:trPr>
        <w:tc>
          <w:tcPr>
            <w:tcW w:w="1277" w:type="dxa"/>
            <w:vMerge/>
          </w:tcPr>
          <w:p w14:paraId="15FB2132" w14:textId="77777777" w:rsidR="00AB7DA4" w:rsidRPr="00113BDB" w:rsidRDefault="00AB7DA4" w:rsidP="00E2561A">
            <w:pPr>
              <w:ind w:left="0" w:right="0"/>
              <w:rPr>
                <w:sz w:val="18"/>
              </w:rPr>
            </w:pPr>
          </w:p>
        </w:tc>
        <w:tc>
          <w:tcPr>
            <w:tcW w:w="900" w:type="dxa"/>
          </w:tcPr>
          <w:p w14:paraId="38A182E2" w14:textId="09F06D61" w:rsidR="00AB7DA4" w:rsidRPr="00113BDB" w:rsidRDefault="00AB7DA4" w:rsidP="00E2561A">
            <w:pPr>
              <w:ind w:left="0" w:right="0"/>
              <w:rPr>
                <w:sz w:val="18"/>
              </w:rPr>
            </w:pPr>
            <w:r w:rsidRPr="00113BDB">
              <w:rPr>
                <w:sz w:val="18"/>
              </w:rPr>
              <w:t>3917</w:t>
            </w:r>
          </w:p>
        </w:tc>
        <w:tc>
          <w:tcPr>
            <w:tcW w:w="625" w:type="dxa"/>
          </w:tcPr>
          <w:p w14:paraId="2726D818" w14:textId="77777777" w:rsidR="00AB7DA4" w:rsidRPr="00113BDB" w:rsidRDefault="00AB7DA4" w:rsidP="00E2561A">
            <w:pPr>
              <w:ind w:left="0" w:right="0"/>
              <w:rPr>
                <w:sz w:val="18"/>
              </w:rPr>
            </w:pPr>
            <w:r w:rsidRPr="00113BDB">
              <w:rPr>
                <w:sz w:val="18"/>
              </w:rPr>
              <w:t>4434</w:t>
            </w:r>
          </w:p>
        </w:tc>
        <w:tc>
          <w:tcPr>
            <w:tcW w:w="905" w:type="dxa"/>
          </w:tcPr>
          <w:p w14:paraId="183CC8D8" w14:textId="77777777" w:rsidR="00AB7DA4" w:rsidRPr="00113BDB" w:rsidRDefault="00AB7DA4" w:rsidP="00E2561A">
            <w:pPr>
              <w:ind w:left="0" w:right="0"/>
              <w:rPr>
                <w:sz w:val="18"/>
              </w:rPr>
            </w:pPr>
            <w:r w:rsidRPr="00113BDB">
              <w:rPr>
                <w:sz w:val="18"/>
              </w:rPr>
              <w:t>423</w:t>
            </w:r>
          </w:p>
        </w:tc>
        <w:tc>
          <w:tcPr>
            <w:tcW w:w="654" w:type="dxa"/>
          </w:tcPr>
          <w:p w14:paraId="6EF1BBD1" w14:textId="77777777" w:rsidR="00AB7DA4" w:rsidRPr="00113BDB" w:rsidRDefault="00AB7DA4" w:rsidP="00E2561A">
            <w:pPr>
              <w:ind w:left="0" w:right="0"/>
              <w:rPr>
                <w:sz w:val="18"/>
              </w:rPr>
            </w:pPr>
            <w:r w:rsidRPr="00113BDB">
              <w:rPr>
                <w:sz w:val="18"/>
              </w:rPr>
              <w:t>185</w:t>
            </w:r>
          </w:p>
        </w:tc>
        <w:tc>
          <w:tcPr>
            <w:tcW w:w="876" w:type="dxa"/>
          </w:tcPr>
          <w:p w14:paraId="4ABF275A" w14:textId="77777777" w:rsidR="00AB7DA4" w:rsidRPr="00113BDB" w:rsidRDefault="00AB7DA4" w:rsidP="00E2561A">
            <w:pPr>
              <w:ind w:left="0" w:right="0"/>
              <w:rPr>
                <w:sz w:val="18"/>
              </w:rPr>
            </w:pPr>
            <w:r w:rsidRPr="00113BDB">
              <w:rPr>
                <w:sz w:val="18"/>
              </w:rPr>
              <w:t>431</w:t>
            </w:r>
          </w:p>
        </w:tc>
        <w:tc>
          <w:tcPr>
            <w:tcW w:w="825" w:type="dxa"/>
          </w:tcPr>
          <w:p w14:paraId="22558D3A" w14:textId="77777777" w:rsidR="00AB7DA4" w:rsidRPr="00113BDB" w:rsidRDefault="00AB7DA4" w:rsidP="00E2561A">
            <w:pPr>
              <w:ind w:left="0" w:right="0"/>
              <w:rPr>
                <w:sz w:val="18"/>
              </w:rPr>
            </w:pPr>
            <w:r w:rsidRPr="00113BDB">
              <w:rPr>
                <w:sz w:val="18"/>
              </w:rPr>
              <w:t>320</w:t>
            </w:r>
          </w:p>
        </w:tc>
        <w:tc>
          <w:tcPr>
            <w:tcW w:w="885" w:type="dxa"/>
          </w:tcPr>
          <w:p w14:paraId="4717A244" w14:textId="77777777" w:rsidR="00AB7DA4" w:rsidRPr="00113BDB" w:rsidRDefault="00AB7DA4" w:rsidP="00E2561A">
            <w:pPr>
              <w:ind w:left="0" w:right="0"/>
              <w:rPr>
                <w:sz w:val="18"/>
              </w:rPr>
            </w:pPr>
            <w:r w:rsidRPr="00113BDB">
              <w:rPr>
                <w:sz w:val="18"/>
              </w:rPr>
              <w:t>972</w:t>
            </w:r>
          </w:p>
        </w:tc>
        <w:tc>
          <w:tcPr>
            <w:tcW w:w="810" w:type="dxa"/>
            <w:gridSpan w:val="2"/>
          </w:tcPr>
          <w:p w14:paraId="70B8ED62" w14:textId="77777777" w:rsidR="00AB7DA4" w:rsidRPr="00113BDB" w:rsidRDefault="00AB7DA4" w:rsidP="00E2561A">
            <w:pPr>
              <w:ind w:left="0" w:right="0"/>
              <w:rPr>
                <w:sz w:val="18"/>
              </w:rPr>
            </w:pPr>
            <w:r w:rsidRPr="00113BDB">
              <w:rPr>
                <w:sz w:val="18"/>
              </w:rPr>
              <w:t>1396</w:t>
            </w:r>
          </w:p>
        </w:tc>
        <w:tc>
          <w:tcPr>
            <w:tcW w:w="1140" w:type="dxa"/>
            <w:gridSpan w:val="2"/>
          </w:tcPr>
          <w:p w14:paraId="0177AAE9" w14:textId="77777777" w:rsidR="00AB7DA4" w:rsidRPr="00113BDB" w:rsidRDefault="00AB7DA4" w:rsidP="00E2561A">
            <w:pPr>
              <w:ind w:left="0" w:right="0"/>
              <w:rPr>
                <w:sz w:val="18"/>
              </w:rPr>
            </w:pPr>
            <w:r w:rsidRPr="00113BDB">
              <w:rPr>
                <w:sz w:val="18"/>
              </w:rPr>
              <w:t>956</w:t>
            </w:r>
          </w:p>
        </w:tc>
        <w:tc>
          <w:tcPr>
            <w:tcW w:w="660" w:type="dxa"/>
          </w:tcPr>
          <w:p w14:paraId="66E46C1B" w14:textId="77777777" w:rsidR="00AB7DA4" w:rsidRPr="00113BDB" w:rsidRDefault="00AB7DA4" w:rsidP="00E2561A">
            <w:pPr>
              <w:ind w:left="0" w:right="0"/>
              <w:rPr>
                <w:sz w:val="18"/>
              </w:rPr>
            </w:pPr>
            <w:r w:rsidRPr="00113BDB">
              <w:rPr>
                <w:sz w:val="18"/>
              </w:rPr>
              <w:t>952</w:t>
            </w:r>
          </w:p>
        </w:tc>
      </w:tr>
    </w:tbl>
    <w:p w14:paraId="6C4EC96D" w14:textId="00C9D2E6" w:rsidR="002E3A8D" w:rsidRDefault="002E3A8D" w:rsidP="00E2561A">
      <w:pPr>
        <w:pStyle w:val="TableDescription"/>
      </w:pPr>
      <w:r>
        <w:t>OD</w:t>
      </w:r>
      <w:r w:rsidR="008963E6">
        <w:t> </w:t>
      </w:r>
      <w:r>
        <w:t>=</w:t>
      </w:r>
      <w:r w:rsidR="008963E6">
        <w:t> </w:t>
      </w:r>
      <w:r>
        <w:t>once daily; BD</w:t>
      </w:r>
      <w:r w:rsidR="008963E6">
        <w:t> </w:t>
      </w:r>
      <w:r>
        <w:t>=</w:t>
      </w:r>
      <w:r w:rsidR="008963E6">
        <w:t> </w:t>
      </w:r>
      <w:r>
        <w:t>twice daily</w:t>
      </w:r>
    </w:p>
    <w:p w14:paraId="783E222E" w14:textId="2005A139" w:rsidR="00AB7DA4" w:rsidRPr="00113BDB" w:rsidRDefault="00AB7DA4" w:rsidP="00E2561A">
      <w:r w:rsidRPr="00113BDB">
        <w:t xml:space="preserve">In the T1DM trials, severe hypoglycaemia was lower in the IDegAsp group than the </w:t>
      </w:r>
      <w:r w:rsidR="00FD04A4" w:rsidRPr="00113BDB">
        <w:t xml:space="preserve">comparator group with Levemir. </w:t>
      </w:r>
      <w:r w:rsidRPr="00113BDB">
        <w:t>However there were more withdrawals due to hypoglycaemia in the IDegAsp group, this may have been because the study was not blinded and patients taking IDegAsp were treated with more caution.</w:t>
      </w:r>
    </w:p>
    <w:p w14:paraId="02B240DE" w14:textId="08585CEF" w:rsidR="00AB7DA4" w:rsidRPr="00113BDB" w:rsidRDefault="00AB7DA4" w:rsidP="00E2561A">
      <w:r w:rsidRPr="00113BDB">
        <w:t>In T2DM, the rate of severe hypoglycaemia was lower or similar to comparators. More hypoglycaemia occurred during the day, particularly after meals, compared to the night</w:t>
      </w:r>
      <w:r w:rsidR="00FD04A4" w:rsidRPr="00113BDB">
        <w:t>.</w:t>
      </w:r>
    </w:p>
    <w:p w14:paraId="0B6F2565" w14:textId="77777777" w:rsidR="00AB7DA4" w:rsidRPr="00113BDB" w:rsidRDefault="00AB7DA4" w:rsidP="00E2561A">
      <w:pPr>
        <w:pStyle w:val="Heading4"/>
      </w:pPr>
      <w:r w:rsidRPr="00113BDB">
        <w:t>New data</w:t>
      </w:r>
    </w:p>
    <w:p w14:paraId="41FA55A1" w14:textId="77777777" w:rsidR="006E7785" w:rsidRPr="00113BDB" w:rsidRDefault="00AB7DA4" w:rsidP="00E2561A">
      <w:pPr>
        <w:pStyle w:val="Heading5"/>
      </w:pPr>
      <w:r w:rsidRPr="00113BDB">
        <w:t>CV study</w:t>
      </w:r>
    </w:p>
    <w:p w14:paraId="3BB3EC54" w14:textId="424A7241" w:rsidR="00AB7DA4" w:rsidRPr="00113BDB" w:rsidRDefault="00FD04A4" w:rsidP="00E2561A">
      <w:r w:rsidRPr="00113BDB">
        <w:t xml:space="preserve">For the </w:t>
      </w:r>
      <w:r w:rsidR="00AB7DA4" w:rsidRPr="00113BDB">
        <w:t>DEVOTE</w:t>
      </w:r>
      <w:r w:rsidRPr="00113BDB">
        <w:t xml:space="preserve"> trial see D</w:t>
      </w:r>
      <w:r w:rsidR="00AB7DA4" w:rsidRPr="00113BDB">
        <w:t>elegate’s overview for Tresiba</w:t>
      </w:r>
      <w:r w:rsidRPr="00113BDB">
        <w:t xml:space="preserve"> </w:t>
      </w:r>
      <w:r w:rsidR="008963E6">
        <w:t>(</w:t>
      </w:r>
      <w:r w:rsidRPr="00113BDB">
        <w:t>available in the rel</w:t>
      </w:r>
      <w:r w:rsidR="00CF6F5E" w:rsidRPr="00113BDB">
        <w:t>ated</w:t>
      </w:r>
      <w:r w:rsidRPr="00113BDB">
        <w:t xml:space="preserve"> AusPAR</w:t>
      </w:r>
      <w:r w:rsidR="008963E6">
        <w:t>)</w:t>
      </w:r>
      <w:r w:rsidRPr="00113BDB">
        <w:t>.</w:t>
      </w:r>
      <w:r w:rsidRPr="00113BDB">
        <w:rPr>
          <w:vertAlign w:val="superscript"/>
        </w:rPr>
        <w:fldChar w:fldCharType="begin"/>
      </w:r>
      <w:r w:rsidRPr="00113BDB">
        <w:rPr>
          <w:vertAlign w:val="superscript"/>
        </w:rPr>
        <w:instrText xml:space="preserve"> NOTEREF _Ref511237953 \h  \* MERGEFORMAT </w:instrText>
      </w:r>
      <w:r w:rsidRPr="00113BDB">
        <w:rPr>
          <w:vertAlign w:val="superscript"/>
        </w:rPr>
      </w:r>
      <w:r w:rsidRPr="00113BDB">
        <w:rPr>
          <w:vertAlign w:val="superscript"/>
        </w:rPr>
        <w:fldChar w:fldCharType="separate"/>
      </w:r>
      <w:r w:rsidR="00EA37BD">
        <w:rPr>
          <w:vertAlign w:val="superscript"/>
        </w:rPr>
        <w:t>4</w:t>
      </w:r>
      <w:r w:rsidRPr="00113BDB">
        <w:rPr>
          <w:vertAlign w:val="superscript"/>
        </w:rPr>
        <w:fldChar w:fldCharType="end"/>
      </w:r>
    </w:p>
    <w:p w14:paraId="007E1DD3" w14:textId="53E3BA22" w:rsidR="00AB7DA4" w:rsidRPr="00113BDB" w:rsidRDefault="00AB7DA4" w:rsidP="00E2561A">
      <w:pPr>
        <w:pStyle w:val="Heading5"/>
      </w:pPr>
      <w:r w:rsidRPr="00113BDB">
        <w:t>Updated safety to 30 Sept</w:t>
      </w:r>
      <w:r w:rsidR="00FD04A4" w:rsidRPr="00113BDB">
        <w:t>ember</w:t>
      </w:r>
      <w:r w:rsidRPr="00113BDB">
        <w:t xml:space="preserve"> 2014 for Ryzodeg</w:t>
      </w:r>
    </w:p>
    <w:p w14:paraId="014AC9D3" w14:textId="7B387093" w:rsidR="00AB7DA4" w:rsidRPr="00113BDB" w:rsidRDefault="00AB7DA4" w:rsidP="00AB7DA4">
      <w:r w:rsidRPr="00113BDB">
        <w:t>In comparison to the 5 efficacy studies, 3 exploratory studies and ongoing studies in the original submission, the new summary of safety data contain</w:t>
      </w:r>
      <w:r w:rsidR="00FD04A4" w:rsidRPr="00113BDB">
        <w:t>ed 31 studies, with 3193 </w:t>
      </w:r>
      <w:r w:rsidRPr="00113BDB">
        <w:t xml:space="preserve">subjects exposed. There have been 431 patients exposed for &gt; 12 months in </w:t>
      </w:r>
      <w:r w:rsidR="00FD04A4" w:rsidRPr="00113BDB">
        <w:t>Phase III</w:t>
      </w:r>
      <w:r w:rsidRPr="00113BDB">
        <w:t xml:space="preserve"> clinical studies.</w:t>
      </w:r>
    </w:p>
    <w:p w14:paraId="2D2D5089" w14:textId="1E04C8E1" w:rsidR="00AB7DA4" w:rsidRPr="00113BDB" w:rsidRDefault="00AB7DA4" w:rsidP="00AB7DA4">
      <w:r w:rsidRPr="00113BDB">
        <w:t xml:space="preserve">In the DEVOTE </w:t>
      </w:r>
      <w:r w:rsidR="00FD04A4" w:rsidRPr="00113BDB">
        <w:t>trial</w:t>
      </w:r>
      <w:r w:rsidRPr="00113BDB">
        <w:t xml:space="preserve"> that the patients who received IAsp developed a higher rate of</w:t>
      </w:r>
      <w:r w:rsidR="00FD04A4" w:rsidRPr="00113BDB">
        <w:t xml:space="preserve"> Event Adjudication Committee </w:t>
      </w:r>
      <w:r w:rsidRPr="00113BDB">
        <w:t>(EAC) confirmed hypoglycaemia compa</w:t>
      </w:r>
      <w:r w:rsidR="00FD04A4" w:rsidRPr="00113BDB">
        <w:t>red to those not receiving IAsp,</w:t>
      </w:r>
      <w:r w:rsidRPr="00113BDB">
        <w:t xml:space="preserve"> more than </w:t>
      </w:r>
      <w:r w:rsidR="00FD04A4" w:rsidRPr="00113BDB">
        <w:t>3</w:t>
      </w:r>
      <w:r w:rsidRPr="00113BDB">
        <w:t xml:space="preserve"> times the rate. In terms of the individual arms, the IDeg + IAsp arm had a lower rate (7.23 events per 100 patient years of observa</w:t>
      </w:r>
      <w:r w:rsidR="00CF6F5E" w:rsidRPr="00113BDB">
        <w:t>tion) compared to the IGlar </w:t>
      </w:r>
      <w:r w:rsidR="00FD04A4" w:rsidRPr="00113BDB">
        <w:t>+ </w:t>
      </w:r>
      <w:r w:rsidRPr="00113BDB">
        <w:t>IAsp</w:t>
      </w:r>
      <w:r w:rsidR="00FD04A4" w:rsidRPr="00113BDB">
        <w:t xml:space="preserve"> arm</w:t>
      </w:r>
      <w:r w:rsidRPr="00113BDB">
        <w:t xml:space="preserve"> (11.16 events per 100 patient years of observation) although it is noted that the actual proportion of subjects affected were similar (2</w:t>
      </w:r>
      <w:r w:rsidR="00FD04A4" w:rsidRPr="00113BDB">
        <w:t>.7% on IDeg and 3.0% on IGlar).</w:t>
      </w:r>
    </w:p>
    <w:p w14:paraId="3E77758A" w14:textId="77A38C23" w:rsidR="00AB7DA4" w:rsidRPr="00113BDB" w:rsidRDefault="00AB7DA4" w:rsidP="00AB7DA4">
      <w:r w:rsidRPr="00113BDB">
        <w:t xml:space="preserve">The most frequently reported </w:t>
      </w:r>
      <w:r w:rsidR="00FD04A4" w:rsidRPr="00113BDB">
        <w:t>adverse event</w:t>
      </w:r>
      <w:r w:rsidRPr="00113BDB">
        <w:t xml:space="preserve">s were headache, nasopharyngitis and </w:t>
      </w:r>
      <w:r w:rsidR="00FD04A4" w:rsidRPr="00113BDB">
        <w:t>upper respiratory tract infection</w:t>
      </w:r>
      <w:r w:rsidRPr="00113BDB">
        <w:t xml:space="preserve">. The most frequently reported treated related </w:t>
      </w:r>
      <w:r w:rsidR="00FD04A4" w:rsidRPr="00113BDB">
        <w:t>adverse events</w:t>
      </w:r>
      <w:r w:rsidRPr="00113BDB">
        <w:t xml:space="preserve"> were hypoglycaemia and injection site reactions. There were a total of 15 deaths, with no significant treatment imbalance.</w:t>
      </w:r>
    </w:p>
    <w:p w14:paraId="07E5118E" w14:textId="5D7A6E93" w:rsidR="00AB7DA4" w:rsidRPr="00113BDB" w:rsidRDefault="00AB7DA4" w:rsidP="00AB7DA4">
      <w:r w:rsidRPr="00113BDB">
        <w:t>The rate of MACE+ in the IDeg Asp group was 1.9</w:t>
      </w:r>
      <w:r w:rsidR="00FD04A4" w:rsidRPr="00113BDB">
        <w:t xml:space="preserve">% </w:t>
      </w:r>
      <w:r w:rsidRPr="00113BDB">
        <w:t>per 100 subject yea</w:t>
      </w:r>
      <w:r w:rsidR="00FD04A4" w:rsidRPr="00113BDB">
        <w:t>rs of exposure, compared to 1.5</w:t>
      </w:r>
      <w:r w:rsidRPr="00113BDB">
        <w:t>% in the comparator group.</w:t>
      </w:r>
    </w:p>
    <w:p w14:paraId="79DF2B48" w14:textId="48E8EE2F" w:rsidR="00AB7DA4" w:rsidRPr="00113BDB" w:rsidRDefault="00AB7DA4" w:rsidP="00AB7DA4">
      <w:r w:rsidRPr="00113BDB">
        <w:t xml:space="preserve">In relation to neoplasms, there were varying rates of discrepancies between the rates of different types of neoplasms and between </w:t>
      </w:r>
      <w:r w:rsidR="00FD04A4" w:rsidRPr="00113BDB">
        <w:t>T1DM and T2DM, with no pattern.</w:t>
      </w:r>
    </w:p>
    <w:p w14:paraId="018C59ED" w14:textId="77777777" w:rsidR="00AB7DA4" w:rsidRPr="00113BDB" w:rsidRDefault="00AB7DA4" w:rsidP="00E2561A">
      <w:pPr>
        <w:pStyle w:val="Heading3"/>
      </w:pPr>
      <w:bookmarkStart w:id="162" w:name="_Toc517698002"/>
      <w:r w:rsidRPr="00113BDB">
        <w:lastRenderedPageBreak/>
        <w:t>RMP</w:t>
      </w:r>
      <w:bookmarkEnd w:id="162"/>
    </w:p>
    <w:p w14:paraId="3CF0EB8C" w14:textId="01DD8E30" w:rsidR="00FD04A4" w:rsidRPr="00113BDB" w:rsidRDefault="00FD04A4" w:rsidP="00FD04A4">
      <w:r w:rsidRPr="00113BDB">
        <w:t>See the Summary of safety concerns in Table 1</w:t>
      </w:r>
      <w:r w:rsidR="00825A1E">
        <w:t>2</w:t>
      </w:r>
      <w:r w:rsidRPr="00113BDB">
        <w:t>, above.</w:t>
      </w:r>
    </w:p>
    <w:p w14:paraId="645E429B" w14:textId="77777777" w:rsidR="008E7846" w:rsidRPr="00113BDB" w:rsidRDefault="00AA0ED0" w:rsidP="008E7846">
      <w:pPr>
        <w:pStyle w:val="Heading3"/>
      </w:pPr>
      <w:bookmarkStart w:id="163" w:name="_Toc247691531"/>
      <w:bookmarkStart w:id="164" w:name="_Toc314842515"/>
      <w:bookmarkStart w:id="165" w:name="_Toc517698003"/>
      <w:bookmarkStart w:id="166" w:name="_Toc196046505"/>
      <w:bookmarkStart w:id="167" w:name="_Toc196046949"/>
      <w:bookmarkEnd w:id="158"/>
      <w:r w:rsidRPr="00113BDB">
        <w:t>Risk-benefit a</w:t>
      </w:r>
      <w:r w:rsidR="008E7846" w:rsidRPr="00113BDB">
        <w:t>nalysis</w:t>
      </w:r>
      <w:bookmarkEnd w:id="163"/>
      <w:bookmarkEnd w:id="164"/>
      <w:bookmarkEnd w:id="165"/>
    </w:p>
    <w:p w14:paraId="0F2E1CB0" w14:textId="77777777" w:rsidR="00D23139" w:rsidRPr="00113BDB" w:rsidRDefault="006E7785" w:rsidP="00D23139">
      <w:pPr>
        <w:pStyle w:val="Heading4"/>
      </w:pPr>
      <w:r w:rsidRPr="00113BDB">
        <w:t>Delegate’s considerations</w:t>
      </w:r>
    </w:p>
    <w:p w14:paraId="770F4062" w14:textId="77777777" w:rsidR="006E7785" w:rsidRPr="00113BDB" w:rsidRDefault="006E7785" w:rsidP="006E7785">
      <w:pPr>
        <w:pStyle w:val="Heading5"/>
      </w:pPr>
      <w:r w:rsidRPr="00113BDB">
        <w:t>Delegate issues specific for IDeg/Asp</w:t>
      </w:r>
    </w:p>
    <w:p w14:paraId="1F25F580" w14:textId="7605AA60" w:rsidR="006E7785" w:rsidRPr="00113BDB" w:rsidRDefault="006E7785" w:rsidP="006E7785">
      <w:r w:rsidRPr="00113BDB">
        <w:t>The usual requirement for new fixed dose combination products is to assess the benefits of the FDC in comparison to the components. Althou</w:t>
      </w:r>
      <w:r w:rsidR="00FD04A4" w:rsidRPr="00113BDB">
        <w:t>gh a comparison of IDegAsp to I</w:t>
      </w:r>
      <w:r w:rsidRPr="00113BDB">
        <w:t xml:space="preserve">Deg would be appropriate for T2DM, the use of IDeg or IAsp alone is not appropriate in T1DM, and the use of IAsp alone would rarely be appropriate in T2DM. There is a large variability in insulin needs among patients with diabetes. Relative efficacy of </w:t>
      </w:r>
      <w:r w:rsidR="00CF6F5E" w:rsidRPr="00113BDB">
        <w:t>one</w:t>
      </w:r>
      <w:r w:rsidRPr="00113BDB">
        <w:t xml:space="preserve"> insulin </w:t>
      </w:r>
      <w:r w:rsidR="002E3A8D">
        <w:t xml:space="preserve">preparation </w:t>
      </w:r>
      <w:r w:rsidRPr="00113BDB">
        <w:t>over another in a clinical trial does not always match relative efficacy in an individual patient.</w:t>
      </w:r>
    </w:p>
    <w:p w14:paraId="0E47F9C2" w14:textId="77777777" w:rsidR="006E7785" w:rsidRPr="00113BDB" w:rsidRDefault="006E7785" w:rsidP="006E7785">
      <w:pPr>
        <w:pStyle w:val="Heading5"/>
      </w:pPr>
      <w:r w:rsidRPr="00113BDB">
        <w:t>Efficacy</w:t>
      </w:r>
    </w:p>
    <w:p w14:paraId="7A453B2D" w14:textId="51B8396B" w:rsidR="006E7785" w:rsidRPr="00113BDB" w:rsidRDefault="006E7785" w:rsidP="006E7785">
      <w:r w:rsidRPr="00113BDB">
        <w:t>Non inferiority in cha</w:t>
      </w:r>
      <w:r w:rsidR="00C74D0B" w:rsidRPr="00113BDB">
        <w:t>nge in HbA1c was seen with IDeg</w:t>
      </w:r>
      <w:r w:rsidRPr="00113BDB">
        <w:t xml:space="preserve">Asp and </w:t>
      </w:r>
      <w:r w:rsidR="00C74D0B" w:rsidRPr="00113BDB">
        <w:t>IAsp</w:t>
      </w:r>
      <w:r w:rsidRPr="00113BDB">
        <w:t xml:space="preserve"> at other meals was compared with IDeg and aspart at all meals with T1DM.</w:t>
      </w:r>
    </w:p>
    <w:p w14:paraId="4CFC13ED" w14:textId="7A450B90" w:rsidR="006E7785" w:rsidRPr="00113BDB" w:rsidRDefault="006E7785" w:rsidP="006E7785">
      <w:r w:rsidRPr="00113BDB">
        <w:t>Non inferiority compared to other basal ins</w:t>
      </w:r>
      <w:r w:rsidR="00C74D0B" w:rsidRPr="00113BDB">
        <w:t>ulins was demonstrated in T2DM.</w:t>
      </w:r>
    </w:p>
    <w:p w14:paraId="7D953832" w14:textId="346AA85E" w:rsidR="006E7785" w:rsidRPr="00113BDB" w:rsidRDefault="006E7785" w:rsidP="006E7785">
      <w:r w:rsidRPr="00113BDB">
        <w:t xml:space="preserve">In clinical practice, the role of this medicine is questionable. It may reduce </w:t>
      </w:r>
      <w:r w:rsidR="00CF6F5E" w:rsidRPr="00113BDB">
        <w:t xml:space="preserve">1 </w:t>
      </w:r>
      <w:r w:rsidRPr="00113BDB">
        <w:t xml:space="preserve">injection per day in patients with T1DM if the ratio of </w:t>
      </w:r>
      <w:r w:rsidR="00C74D0B" w:rsidRPr="00113BDB">
        <w:t>IAsp</w:t>
      </w:r>
      <w:r w:rsidRPr="00113BDB">
        <w:t xml:space="preserve"> to </w:t>
      </w:r>
      <w:r w:rsidR="00C74D0B" w:rsidRPr="00113BDB">
        <w:t>IDeg</w:t>
      </w:r>
      <w:r w:rsidRPr="00113BDB">
        <w:t xml:space="preserve"> suits the patients’ insulin requirement. It may also be useful in T2DM if a patient eats a high carbo</w:t>
      </w:r>
      <w:r w:rsidR="00C74D0B" w:rsidRPr="00113BDB">
        <w:t>hydrate meal once</w:t>
      </w:r>
      <w:r w:rsidRPr="00113BDB">
        <w:t xml:space="preserve"> a day and needs short acting i</w:t>
      </w:r>
      <w:r w:rsidR="00C74D0B" w:rsidRPr="00113BDB">
        <w:t>nsulin to cover this meal only.</w:t>
      </w:r>
    </w:p>
    <w:p w14:paraId="6099D2D8" w14:textId="117A2B27" w:rsidR="006E7785" w:rsidRPr="00113BDB" w:rsidRDefault="006E7785" w:rsidP="006E7785">
      <w:r w:rsidRPr="00113BDB">
        <w:t xml:space="preserve">The main advantage of this over using separate injections of </w:t>
      </w:r>
      <w:r w:rsidR="00CF6F5E" w:rsidRPr="00113BDB">
        <w:t>IDeg</w:t>
      </w:r>
      <w:r w:rsidRPr="00113BDB">
        <w:t xml:space="preserve"> and </w:t>
      </w:r>
      <w:r w:rsidR="00CF6F5E" w:rsidRPr="00113BDB">
        <w:t>IAsp</w:t>
      </w:r>
      <w:r w:rsidRPr="00113BDB">
        <w:t xml:space="preserve"> is a reduction in the number of injections. The main disadvantage is that it is not possib</w:t>
      </w:r>
      <w:r w:rsidR="00C74D0B" w:rsidRPr="00113BDB">
        <w:t>le to adjust the ratio</w:t>
      </w:r>
      <w:r w:rsidRPr="00113BDB">
        <w:t xml:space="preserve"> of </w:t>
      </w:r>
      <w:r w:rsidR="00C74D0B" w:rsidRPr="00113BDB">
        <w:t>IDeg</w:t>
      </w:r>
      <w:r w:rsidRPr="00113BDB">
        <w:t xml:space="preserve"> and </w:t>
      </w:r>
      <w:r w:rsidR="00C74D0B" w:rsidRPr="00113BDB">
        <w:t>IAsp</w:t>
      </w:r>
      <w:r w:rsidR="00CF6F5E" w:rsidRPr="00113BDB">
        <w:t xml:space="preserve"> i</w:t>
      </w:r>
      <w:r w:rsidRPr="00113BDB">
        <w:t xml:space="preserve">ndividualised dose titration of </w:t>
      </w:r>
      <w:r w:rsidR="00C74D0B" w:rsidRPr="00113BDB">
        <w:t>IDeg</w:t>
      </w:r>
      <w:r w:rsidRPr="00113BDB">
        <w:t xml:space="preserve"> and </w:t>
      </w:r>
      <w:r w:rsidR="00C74D0B" w:rsidRPr="00113BDB">
        <w:t>IAsp</w:t>
      </w:r>
      <w:r w:rsidRPr="00113BDB">
        <w:t xml:space="preserve"> would minimise the risk of hypoglycaemia.</w:t>
      </w:r>
    </w:p>
    <w:p w14:paraId="083A8BE7" w14:textId="77777777" w:rsidR="006E7785" w:rsidRPr="00113BDB" w:rsidRDefault="006E7785" w:rsidP="006E7785">
      <w:r w:rsidRPr="00113BDB">
        <w:t>The PI does not contain adequate information about how to dose the fast acting component of this FDC.</w:t>
      </w:r>
    </w:p>
    <w:p w14:paraId="4915D1D1" w14:textId="77777777" w:rsidR="006E7785" w:rsidRPr="00113BDB" w:rsidRDefault="006E7785" w:rsidP="006E7785">
      <w:pPr>
        <w:pStyle w:val="Heading5"/>
      </w:pPr>
      <w:r w:rsidRPr="00113BDB">
        <w:t>Safety</w:t>
      </w:r>
    </w:p>
    <w:p w14:paraId="651F21E7" w14:textId="237F90AB" w:rsidR="006E7785" w:rsidRPr="00113BDB" w:rsidRDefault="006E7785" w:rsidP="006E7785">
      <w:r w:rsidRPr="00113BDB">
        <w:t>Although there were less nocturnal hypo</w:t>
      </w:r>
      <w:r w:rsidR="00C74D0B" w:rsidRPr="00113BDB">
        <w:t>glycaemic event</w:t>
      </w:r>
      <w:r w:rsidRPr="00113BDB">
        <w:t>s, there was a trend towards more episodes of hypoglycaemia after meals. This risk could be reduced by better information in the PI around dosing.</w:t>
      </w:r>
    </w:p>
    <w:p w14:paraId="76649918" w14:textId="77777777" w:rsidR="006E7785" w:rsidRPr="00113BDB" w:rsidRDefault="006E7785" w:rsidP="006E7785">
      <w:pPr>
        <w:pStyle w:val="Heading5"/>
      </w:pPr>
      <w:r w:rsidRPr="00113BDB">
        <w:t>Labelling</w:t>
      </w:r>
    </w:p>
    <w:p w14:paraId="0C52296E" w14:textId="5E5D911D" w:rsidR="006E7785" w:rsidRPr="00113BDB" w:rsidRDefault="006E7785" w:rsidP="006E7785">
      <w:r w:rsidRPr="00113BDB">
        <w:t xml:space="preserve">The trade name needs to include the proportion of </w:t>
      </w:r>
      <w:r w:rsidR="00C74D0B" w:rsidRPr="00113BDB">
        <w:t>IDeg</w:t>
      </w:r>
      <w:r w:rsidRPr="00113BDB">
        <w:t xml:space="preserve"> and </w:t>
      </w:r>
      <w:r w:rsidR="00C74D0B" w:rsidRPr="00113BDB">
        <w:t>IAsp</w:t>
      </w:r>
      <w:r w:rsidRPr="00113BDB">
        <w:t xml:space="preserve"> in the F</w:t>
      </w:r>
      <w:r w:rsidR="00C74D0B" w:rsidRPr="00113BDB">
        <w:t>D</w:t>
      </w:r>
      <w:r w:rsidRPr="00113BDB">
        <w:t>C product. This would be consistent with the trade</w:t>
      </w:r>
      <w:r w:rsidR="00C74D0B" w:rsidRPr="00113BDB">
        <w:t xml:space="preserve">name in the US of </w:t>
      </w:r>
      <w:r w:rsidRPr="00113BDB">
        <w:t>Ryzodeg 70/30.</w:t>
      </w:r>
      <w:r w:rsidR="00783AA7" w:rsidRPr="00113BDB">
        <w:rPr>
          <w:rStyle w:val="FootnoteReference"/>
        </w:rPr>
        <w:footnoteReference w:id="7"/>
      </w:r>
    </w:p>
    <w:p w14:paraId="470C103E" w14:textId="77777777" w:rsidR="006E7785" w:rsidRPr="00113BDB" w:rsidRDefault="006E7785" w:rsidP="006E7785">
      <w:pPr>
        <w:pStyle w:val="Heading5"/>
      </w:pPr>
      <w:r w:rsidRPr="00113BDB">
        <w:t>Use in paediatrics</w:t>
      </w:r>
    </w:p>
    <w:p w14:paraId="34D7E59A" w14:textId="7BBA0114" w:rsidR="006E7785" w:rsidRPr="00113BDB" w:rsidRDefault="006E7785" w:rsidP="006E7785">
      <w:r w:rsidRPr="00113BDB">
        <w:t xml:space="preserve">The TGA has evaluated data from a </w:t>
      </w:r>
      <w:r w:rsidR="00C74D0B" w:rsidRPr="00113BDB">
        <w:t>pharmacokinetic</w:t>
      </w:r>
      <w:r w:rsidRPr="00113BDB">
        <w:t xml:space="preserve"> stud</w:t>
      </w:r>
      <w:r w:rsidR="00C74D0B" w:rsidRPr="00113BDB">
        <w:t>y in children and adolescents (Study NN5401-</w:t>
      </w:r>
      <w:r w:rsidRPr="00113BDB">
        <w:t xml:space="preserve">1982). </w:t>
      </w:r>
      <w:r w:rsidR="00C74D0B" w:rsidRPr="00113BDB">
        <w:t>The concentration of IAsp and I</w:t>
      </w:r>
      <w:r w:rsidRPr="00113BDB">
        <w:t>Deg were higher in children than in adults after</w:t>
      </w:r>
      <w:r w:rsidR="00C74D0B" w:rsidRPr="00113BDB">
        <w:t xml:space="preserve"> a single injection of IDegAsp.</w:t>
      </w:r>
    </w:p>
    <w:p w14:paraId="59901EEF" w14:textId="080BA846" w:rsidR="006E7785" w:rsidRPr="00113BDB" w:rsidRDefault="00C74D0B" w:rsidP="006E7785">
      <w:r w:rsidRPr="00113BDB">
        <w:t>In the US</w:t>
      </w:r>
      <w:r w:rsidR="006E7785" w:rsidRPr="00113BDB">
        <w:t>, IDeg Asp is not indicated in children &lt; 18 years.</w:t>
      </w:r>
    </w:p>
    <w:p w14:paraId="08FF9670" w14:textId="5CAD071E" w:rsidR="006E7785" w:rsidRPr="00113BDB" w:rsidRDefault="006E7785" w:rsidP="006E7785">
      <w:r w:rsidRPr="00113BDB">
        <w:t>In Europe, IDeg Asp is indicated in children &gt; 1 year. The PI includes data from a cl</w:t>
      </w:r>
      <w:r w:rsidR="00C74D0B" w:rsidRPr="00113BDB">
        <w:t>inical study in children aged 2 to 17 years with T1DM.</w:t>
      </w:r>
    </w:p>
    <w:p w14:paraId="503AF179" w14:textId="5C07DF78" w:rsidR="006E7785" w:rsidRPr="00113BDB" w:rsidRDefault="006E7785" w:rsidP="006E7785">
      <w:r w:rsidRPr="00113BDB">
        <w:lastRenderedPageBreak/>
        <w:t>There was no synopsis of a clinical efficacy study in paediatrics submitted with this dossier. The TGA would require the full study report of the clinical study in paediatrics before an extension of indication for use in child</w:t>
      </w:r>
      <w:r w:rsidR="000572B5" w:rsidRPr="00113BDB">
        <w:t>ren could be considered.</w:t>
      </w:r>
    </w:p>
    <w:p w14:paraId="004E7DF0" w14:textId="77777777" w:rsidR="000572B5" w:rsidRPr="00113BDB" w:rsidRDefault="000572B5" w:rsidP="000572B5">
      <w:pPr>
        <w:pStyle w:val="Heading5"/>
      </w:pPr>
      <w:r w:rsidRPr="00113BDB">
        <w:t>Summary of issues</w:t>
      </w:r>
    </w:p>
    <w:p w14:paraId="5E41FE88" w14:textId="6E2CF73A" w:rsidR="000572B5" w:rsidRPr="00113BDB" w:rsidRDefault="000572B5" w:rsidP="000572B5">
      <w:r w:rsidRPr="00113BDB">
        <w:t xml:space="preserve">The issues are the same as </w:t>
      </w:r>
      <w:r w:rsidR="00C74D0B" w:rsidRPr="00113BDB">
        <w:t>the Tresiba submission.</w:t>
      </w:r>
      <w:r w:rsidR="00C74D0B" w:rsidRPr="00113BDB">
        <w:rPr>
          <w:vertAlign w:val="superscript"/>
        </w:rPr>
        <w:fldChar w:fldCharType="begin"/>
      </w:r>
      <w:r w:rsidR="00C74D0B" w:rsidRPr="00113BDB">
        <w:rPr>
          <w:vertAlign w:val="superscript"/>
        </w:rPr>
        <w:instrText xml:space="preserve"> NOTEREF _Ref511237953 \h  \* MERGEFORMAT </w:instrText>
      </w:r>
      <w:r w:rsidR="00C74D0B" w:rsidRPr="00113BDB">
        <w:rPr>
          <w:vertAlign w:val="superscript"/>
        </w:rPr>
      </w:r>
      <w:r w:rsidR="00C74D0B" w:rsidRPr="00113BDB">
        <w:rPr>
          <w:vertAlign w:val="superscript"/>
        </w:rPr>
        <w:fldChar w:fldCharType="separate"/>
      </w:r>
      <w:r w:rsidR="00EA37BD">
        <w:rPr>
          <w:vertAlign w:val="superscript"/>
        </w:rPr>
        <w:t>4</w:t>
      </w:r>
      <w:r w:rsidR="00C74D0B" w:rsidRPr="00113BDB">
        <w:rPr>
          <w:vertAlign w:val="superscript"/>
        </w:rPr>
        <w:fldChar w:fldCharType="end"/>
      </w:r>
    </w:p>
    <w:p w14:paraId="24CE96E7" w14:textId="77777777" w:rsidR="000572B5" w:rsidRPr="00113BDB" w:rsidRDefault="000572B5" w:rsidP="000572B5">
      <w:r w:rsidRPr="00113BDB">
        <w:t>In addition:</w:t>
      </w:r>
    </w:p>
    <w:p w14:paraId="247FE892" w14:textId="3514E82B" w:rsidR="000572B5" w:rsidRPr="00113BDB" w:rsidRDefault="000572B5" w:rsidP="00C74D0B">
      <w:pPr>
        <w:pStyle w:val="Numberbullet0"/>
        <w:numPr>
          <w:ilvl w:val="0"/>
          <w:numId w:val="43"/>
        </w:numPr>
      </w:pPr>
      <w:r w:rsidRPr="00113BDB">
        <w:t xml:space="preserve">The </w:t>
      </w:r>
      <w:r w:rsidR="00C74D0B" w:rsidRPr="00113BDB">
        <w:t xml:space="preserve">clinical </w:t>
      </w:r>
      <w:r w:rsidRPr="00113BDB">
        <w:t xml:space="preserve">evaluator was concerned that IDegAsp was not ‘bioequivalent’ to </w:t>
      </w:r>
      <w:r w:rsidR="00783AA7" w:rsidRPr="00113BDB">
        <w:t>its</w:t>
      </w:r>
      <w:r w:rsidRPr="00113BDB">
        <w:t xml:space="preserve"> components. The </w:t>
      </w:r>
      <w:r w:rsidR="0030024A">
        <w:t>Delegate</w:t>
      </w:r>
      <w:r w:rsidRPr="00113BDB">
        <w:t xml:space="preserve"> is not concerned about this issue. Bioequivalence is not as relevant as the pharmacodynamic profile and clinical efficacy. The pharmacodynamic profile </w:t>
      </w:r>
      <w:r w:rsidR="00783AA7" w:rsidRPr="00113BDB">
        <w:t xml:space="preserve">of IDegAsp </w:t>
      </w:r>
      <w:r w:rsidRPr="00113BDB">
        <w:t>is as would be expected from a FDC of the two products.</w:t>
      </w:r>
    </w:p>
    <w:p w14:paraId="5A09FBE9" w14:textId="1B9E7136" w:rsidR="000572B5" w:rsidRPr="00113BDB" w:rsidRDefault="000572B5" w:rsidP="00C74D0B">
      <w:pPr>
        <w:pStyle w:val="Numberbullet0"/>
        <w:numPr>
          <w:ilvl w:val="0"/>
          <w:numId w:val="43"/>
        </w:numPr>
      </w:pPr>
      <w:r w:rsidRPr="00113BDB">
        <w:t>The use of this medicine in the clinical trials may not replicate how it would be used in clinical practice. In particular, dosing of a combination product should take into consideration the effects of both basal component (fasting BGL) and post prandial component (2 hour post prandial BGL). This needs to be reflected in the PI to minimise daytime hypoglycaemia</w:t>
      </w:r>
      <w:r w:rsidR="00C74D0B" w:rsidRPr="00113BDB">
        <w:t>.</w:t>
      </w:r>
    </w:p>
    <w:p w14:paraId="4C11EF70" w14:textId="77777777" w:rsidR="00D23139" w:rsidRPr="00113BDB" w:rsidRDefault="00D23139" w:rsidP="00D23139">
      <w:pPr>
        <w:pStyle w:val="Heading4"/>
      </w:pPr>
      <w:r w:rsidRPr="00113BDB">
        <w:t>Proposed action</w:t>
      </w:r>
    </w:p>
    <w:p w14:paraId="671B74B3" w14:textId="77777777" w:rsidR="000572B5" w:rsidRPr="00113BDB" w:rsidRDefault="000572B5" w:rsidP="000572B5">
      <w:r w:rsidRPr="00113BDB">
        <w:rPr>
          <w:bCs/>
        </w:rPr>
        <w:t>The Delegate has no reason to say, at this time, that the application for Ryzodeg should not be approved for registration (with appropriate changes to the PI, labelling and RMP).</w:t>
      </w:r>
    </w:p>
    <w:p w14:paraId="2358EF24" w14:textId="30A0FDB7" w:rsidR="00D23139" w:rsidRPr="00113BDB" w:rsidRDefault="0069022E" w:rsidP="00D23139">
      <w:pPr>
        <w:pStyle w:val="Heading4"/>
      </w:pPr>
      <w:r w:rsidRPr="00113BDB">
        <w:t>Request for AC</w:t>
      </w:r>
      <w:r w:rsidR="00D23139" w:rsidRPr="00113BDB">
        <w:t>M advice</w:t>
      </w:r>
    </w:p>
    <w:p w14:paraId="25DAF213" w14:textId="6E77A4C3" w:rsidR="000572B5" w:rsidRPr="00113BDB" w:rsidRDefault="000572B5" w:rsidP="000572B5">
      <w:pPr>
        <w:pStyle w:val="Numberbullet0"/>
        <w:numPr>
          <w:ilvl w:val="0"/>
          <w:numId w:val="38"/>
        </w:numPr>
      </w:pPr>
      <w:r w:rsidRPr="00113BDB">
        <w:t xml:space="preserve">Would the committee support modifying the dosing section of the PI to include advice about how to titrate the </w:t>
      </w:r>
      <w:r w:rsidR="00F606BC" w:rsidRPr="00113BDB">
        <w:t>IAsp</w:t>
      </w:r>
      <w:r w:rsidRPr="00113BDB">
        <w:t xml:space="preserve"> component and when to consider another form of insulin therapy.</w:t>
      </w:r>
    </w:p>
    <w:p w14:paraId="5B858D01" w14:textId="77777777" w:rsidR="000572B5" w:rsidRPr="00113BDB" w:rsidRDefault="000572B5" w:rsidP="000572B5">
      <w:r w:rsidRPr="00113BDB">
        <w:t>The committee is also requested to provide advice on any other issues that it thinks may be relevant to a decision on whether or not to approve this application.</w:t>
      </w:r>
    </w:p>
    <w:p w14:paraId="2D7F51DB" w14:textId="77777777" w:rsidR="00D23139" w:rsidRPr="00113BDB" w:rsidRDefault="000572B5" w:rsidP="00D23139">
      <w:pPr>
        <w:pStyle w:val="Heading4"/>
      </w:pPr>
      <w:r w:rsidRPr="00113BDB">
        <w:t>Response from sponsor</w:t>
      </w:r>
    </w:p>
    <w:p w14:paraId="588838DA" w14:textId="57333CF9" w:rsidR="00C34166" w:rsidRPr="00113BDB" w:rsidRDefault="00C34166" w:rsidP="00C34166">
      <w:pPr>
        <w:pStyle w:val="Heading5"/>
        <w:rPr>
          <w:rFonts w:eastAsiaTheme="minorHAnsi"/>
        </w:rPr>
      </w:pPr>
      <w:r w:rsidRPr="00113BDB">
        <w:t>Issues in common with Tresiba FlexTouch/Penfill</w:t>
      </w:r>
    </w:p>
    <w:p w14:paraId="482FD526" w14:textId="5E744423" w:rsidR="00C34166" w:rsidRPr="00113BDB" w:rsidRDefault="00C34166" w:rsidP="00C34166">
      <w:r w:rsidRPr="00113BDB">
        <w:t xml:space="preserve">Please refer to the responses to the issues raised for the Tresiba submission </w:t>
      </w:r>
      <w:r w:rsidR="008963E6">
        <w:t>(</w:t>
      </w:r>
      <w:r w:rsidRPr="00113BDB">
        <w:t>available in the related AusPAR</w:t>
      </w:r>
      <w:r w:rsidR="008963E6">
        <w:t>)</w:t>
      </w:r>
      <w:r w:rsidRPr="00113BDB">
        <w:t>.</w:t>
      </w:r>
      <w:r w:rsidRPr="00113BDB">
        <w:rPr>
          <w:vertAlign w:val="superscript"/>
        </w:rPr>
        <w:fldChar w:fldCharType="begin"/>
      </w:r>
      <w:r w:rsidRPr="00113BDB">
        <w:rPr>
          <w:vertAlign w:val="superscript"/>
        </w:rPr>
        <w:instrText xml:space="preserve"> NOTEREF _Ref511237953 \h  \* MERGEFORMAT </w:instrText>
      </w:r>
      <w:r w:rsidRPr="00113BDB">
        <w:rPr>
          <w:vertAlign w:val="superscript"/>
        </w:rPr>
      </w:r>
      <w:r w:rsidRPr="00113BDB">
        <w:rPr>
          <w:vertAlign w:val="superscript"/>
        </w:rPr>
        <w:fldChar w:fldCharType="separate"/>
      </w:r>
      <w:r w:rsidR="00EA37BD">
        <w:rPr>
          <w:vertAlign w:val="superscript"/>
        </w:rPr>
        <w:t>4</w:t>
      </w:r>
      <w:r w:rsidRPr="00113BDB">
        <w:rPr>
          <w:vertAlign w:val="superscript"/>
        </w:rPr>
        <w:fldChar w:fldCharType="end"/>
      </w:r>
    </w:p>
    <w:p w14:paraId="6E10E79F" w14:textId="677E16CC" w:rsidR="00C34166" w:rsidRPr="00113BDB" w:rsidRDefault="00C34166" w:rsidP="00C34166">
      <w:pPr>
        <w:pStyle w:val="Heading5"/>
      </w:pPr>
      <w:r w:rsidRPr="00113BDB">
        <w:t>Summary of issues</w:t>
      </w:r>
      <w:r w:rsidR="00F606BC" w:rsidRPr="00113BDB">
        <w:t>: Issue 2</w:t>
      </w:r>
    </w:p>
    <w:p w14:paraId="1992B048" w14:textId="7EF8B1FD" w:rsidR="00C34166" w:rsidRPr="00113BDB" w:rsidRDefault="00C34166" w:rsidP="00C34166">
      <w:pPr>
        <w:ind w:left="720"/>
        <w:rPr>
          <w:i/>
        </w:rPr>
      </w:pPr>
      <w:r w:rsidRPr="00113BDB">
        <w:rPr>
          <w:i/>
        </w:rPr>
        <w:t>‘The use of this medicine in the clinical trials may not replicate how it would be used in clinical practice. In particular, dosing of a combination product should take into consideration the effects of both basal component (fasting BGL) and post prandial</w:t>
      </w:r>
      <w:r w:rsidR="00F606BC" w:rsidRPr="00113BDB">
        <w:rPr>
          <w:i/>
        </w:rPr>
        <w:t xml:space="preserve"> </w:t>
      </w:r>
      <w:r w:rsidRPr="00113BDB">
        <w:rPr>
          <w:i/>
        </w:rPr>
        <w:t>component ( 2 hour post prandial BGL). This needs to be reflected in the PI to minimise daytime hypoglycaemia’.</w:t>
      </w:r>
    </w:p>
    <w:p w14:paraId="357C90FE" w14:textId="0C41AB7B" w:rsidR="00C34166" w:rsidRPr="00113BDB" w:rsidRDefault="00C34166" w:rsidP="00C34166">
      <w:pPr>
        <w:pStyle w:val="Heading6"/>
      </w:pPr>
      <w:r w:rsidRPr="00113BDB">
        <w:t>Sponsor’s response</w:t>
      </w:r>
    </w:p>
    <w:p w14:paraId="2B8174D4" w14:textId="33894DDB" w:rsidR="00C34166" w:rsidRPr="00113BDB" w:rsidRDefault="00C34166" w:rsidP="00C34166">
      <w:r w:rsidRPr="00113BDB">
        <w:t>Different dosing regimens were investigated in the clinical trial programme, with the result that once daily and twice daily regimens were both found to be effective and hypoglycaemia was minimised by dosing Ryzodeg with the main meal(s). It is proposed that Ryzodeg should be dosed in clinical practice in a similar way to how it was dosed in the clinical trials. The recommendations for dose adjustments in the label are therefore designed to reflect the dosing instructions in the later clinical trial protocols.</w:t>
      </w:r>
    </w:p>
    <w:p w14:paraId="206BA51C" w14:textId="1EF32FF3" w:rsidR="00C34166" w:rsidRPr="00113BDB" w:rsidRDefault="00C34166" w:rsidP="00C34166">
      <w:r w:rsidRPr="00113BDB">
        <w:t xml:space="preserve">Since Ryzodeg is a fixed combination product of 70% </w:t>
      </w:r>
      <w:r w:rsidR="00F606BC" w:rsidRPr="00113BDB">
        <w:t>IDeg</w:t>
      </w:r>
      <w:r w:rsidRPr="00113BDB">
        <w:t xml:space="preserve"> and 30</w:t>
      </w:r>
      <w:r w:rsidR="00F606BC" w:rsidRPr="00113BDB">
        <w:t>% IAsp</w:t>
      </w:r>
      <w:r w:rsidRPr="00113BDB">
        <w:t xml:space="preserve">, the primary consideration when performing dose adjustments should be the pre-meal plasma </w:t>
      </w:r>
      <w:r w:rsidRPr="00113BDB">
        <w:lastRenderedPageBreak/>
        <w:t>glucose</w:t>
      </w:r>
      <w:r w:rsidR="00F87754" w:rsidRPr="00113BDB">
        <w:t> measurements</w:t>
      </w:r>
      <w:r w:rsidRPr="00113BDB">
        <w:t>, however, the physician should also take into consideration other factors such as the individual patient’s history of hypoglycaemic episodes, diet, exercise and lifestyle. This ensures an appropriate dose of the basal component (</w:t>
      </w:r>
      <w:r w:rsidR="00F606BC" w:rsidRPr="00113BDB">
        <w:t>IAsp</w:t>
      </w:r>
      <w:r w:rsidRPr="00113BDB">
        <w:t>) is administered.</w:t>
      </w:r>
    </w:p>
    <w:p w14:paraId="3194C9EB" w14:textId="1EDD7B44" w:rsidR="00EC3C78" w:rsidRPr="00113BDB" w:rsidRDefault="00C34166" w:rsidP="00EC3C78">
      <w:r w:rsidRPr="00113BDB">
        <w:t xml:space="preserve">In order to minimise the risk of post-prandial hypoglycaemia, Ryzodeg should be administered at a main meal (that is, the meal(s) with the largest carbohydrate content). The proposed Australian </w:t>
      </w:r>
      <w:r w:rsidR="00F606BC" w:rsidRPr="00113BDB">
        <w:t>PI</w:t>
      </w:r>
      <w:r w:rsidRPr="00113BDB">
        <w:t xml:space="preserve"> includes instructions to the prescriber regarding recommended dosing time of Ryzodeg under the Dosage </w:t>
      </w:r>
      <w:r w:rsidR="00F606BC" w:rsidRPr="00113BDB">
        <w:t>and Administration section: ‘</w:t>
      </w:r>
      <w:r w:rsidRPr="00113BDB">
        <w:t>Ryzodeg can be administered once or twice daily with the main meal(s)’. This wording is also used in the European Summary of Product Characteristics for Ryzodeg.</w:t>
      </w:r>
    </w:p>
    <w:p w14:paraId="663DF0BA" w14:textId="77777777" w:rsidR="008E7846" w:rsidRPr="00113BDB" w:rsidRDefault="008E7846" w:rsidP="008E7846">
      <w:pPr>
        <w:pStyle w:val="Heading4"/>
      </w:pPr>
      <w:r w:rsidRPr="00113BDB">
        <w:t>Advisory Committee Considerations</w:t>
      </w:r>
    </w:p>
    <w:p w14:paraId="16E9923D" w14:textId="77777777" w:rsidR="00781AE3" w:rsidRDefault="00000957" w:rsidP="00000957">
      <w:r w:rsidRPr="00113BDB">
        <w:t xml:space="preserve">The Advisory Committee on Medicines (ACM) agreed with the Delegate on the proposed conditions of registration and </w:t>
      </w:r>
      <w:r w:rsidR="008E0C52" w:rsidRPr="00113BDB">
        <w:t xml:space="preserve">advised that implementation by the sponsor of the recommendations outlined below </w:t>
      </w:r>
      <w:r w:rsidR="008F650E" w:rsidRPr="00113BDB">
        <w:t>to the satisfaction of the TGA, in addition to the evidence of efficacy and safety provided</w:t>
      </w:r>
      <w:r w:rsidR="008E0C52" w:rsidRPr="00113BDB">
        <w:t>,</w:t>
      </w:r>
      <w:r w:rsidR="008F650E" w:rsidRPr="00113BDB">
        <w:t xml:space="preserve"> would support the safe and effective use of these products.</w:t>
      </w:r>
    </w:p>
    <w:p w14:paraId="65283717" w14:textId="60C23EA1" w:rsidR="00E87120" w:rsidRPr="00113BDB" w:rsidRDefault="00E87120" w:rsidP="00E87120">
      <w:pPr>
        <w:pStyle w:val="Heading5"/>
        <w:rPr>
          <w:rFonts w:eastAsiaTheme="minorHAnsi"/>
        </w:rPr>
      </w:pPr>
      <w:r w:rsidRPr="00113BDB">
        <w:rPr>
          <w:rFonts w:eastAsiaTheme="minorHAnsi"/>
        </w:rPr>
        <w:t>Delegate’s request for specific advice</w:t>
      </w:r>
    </w:p>
    <w:p w14:paraId="52D64E2A" w14:textId="2A97E869" w:rsidR="00E87120" w:rsidRPr="00113BDB" w:rsidRDefault="00E87120" w:rsidP="00E87120">
      <w:r w:rsidRPr="00113BDB">
        <w:t xml:space="preserve">The ACM advised the following in response to the </w:t>
      </w:r>
      <w:r w:rsidR="0030024A">
        <w:t>Delegate</w:t>
      </w:r>
      <w:r w:rsidRPr="00113BDB">
        <w:t>’s specific questions on the submission:</w:t>
      </w:r>
    </w:p>
    <w:p w14:paraId="02817C73" w14:textId="77777777" w:rsidR="00E87120" w:rsidRPr="00113BDB" w:rsidRDefault="00E87120" w:rsidP="00E87120">
      <w:pPr>
        <w:pStyle w:val="Numberbullet0"/>
        <w:numPr>
          <w:ilvl w:val="0"/>
          <w:numId w:val="40"/>
        </w:numPr>
        <w:rPr>
          <w:i/>
        </w:rPr>
      </w:pPr>
      <w:r w:rsidRPr="00113BDB">
        <w:rPr>
          <w:i/>
        </w:rPr>
        <w:t>Would the committee support modifying the dosing section of the PI to include advice about how to titrate the aspart component and when to consider another form of insulin therapy?</w:t>
      </w:r>
    </w:p>
    <w:p w14:paraId="3C8FFD6D" w14:textId="77777777" w:rsidR="00E87120" w:rsidRPr="00113BDB" w:rsidRDefault="00E87120" w:rsidP="00E87120">
      <w:r w:rsidRPr="00113BDB">
        <w:t>The ACM noted that modifying the dosing section of the PI to include advice about how to titrate the aspart component would be challenging. The ACM agreed that the onus was more on the learnt experience of the treating doctor and patient together as there is considerable inter- patient variation and intra-patient variation.</w:t>
      </w:r>
    </w:p>
    <w:p w14:paraId="7AFA1A89" w14:textId="77777777" w:rsidR="00E87120" w:rsidRPr="00113BDB" w:rsidRDefault="00E87120" w:rsidP="00E87120">
      <w:r w:rsidRPr="00113BDB">
        <w:t>The ACM noted that the fixed ratio is an issue but not more so than for all other fixed dose combination insulins which are still very useful.</w:t>
      </w:r>
    </w:p>
    <w:p w14:paraId="67D8E5BD" w14:textId="77777777" w:rsidR="00000957" w:rsidRPr="00113BDB" w:rsidRDefault="00E87120" w:rsidP="008E7846">
      <w:r w:rsidRPr="00113BDB">
        <w:t>The ACM advised that implementation by the sponsor of the recommendations outlined above to the satisfaction of the TGA, in addition to the evidence of efficacy and safety provided would support the safe and effective use of these products.</w:t>
      </w:r>
    </w:p>
    <w:p w14:paraId="06F27A20" w14:textId="77777777" w:rsidR="008E7846" w:rsidRPr="00113BDB" w:rsidRDefault="008E7846" w:rsidP="008E7846">
      <w:pPr>
        <w:pStyle w:val="Heading3"/>
      </w:pPr>
      <w:bookmarkStart w:id="168" w:name="_Toc247691532"/>
      <w:bookmarkStart w:id="169" w:name="_Toc314842516"/>
      <w:bookmarkStart w:id="170" w:name="_Toc517698004"/>
      <w:bookmarkEnd w:id="101"/>
      <w:bookmarkEnd w:id="166"/>
      <w:bookmarkEnd w:id="167"/>
      <w:r w:rsidRPr="00113BDB">
        <w:t>Outcome</w:t>
      </w:r>
      <w:bookmarkEnd w:id="168"/>
      <w:bookmarkEnd w:id="169"/>
      <w:bookmarkEnd w:id="170"/>
    </w:p>
    <w:p w14:paraId="0D512EB3" w14:textId="77777777" w:rsidR="00781AE3" w:rsidRDefault="00D23139" w:rsidP="004F26F5">
      <w:bookmarkStart w:id="171" w:name="_Toc247691533"/>
      <w:bookmarkStart w:id="172" w:name="_Toc314842517"/>
      <w:r w:rsidRPr="00113BDB">
        <w:t>Based on a review of quality, safety and efficacy, T</w:t>
      </w:r>
      <w:r w:rsidR="004F26F5" w:rsidRPr="00113BDB">
        <w:t>GA approved the registration of:</w:t>
      </w:r>
    </w:p>
    <w:p w14:paraId="42501642" w14:textId="199BE948" w:rsidR="00D64438" w:rsidRPr="00113BDB" w:rsidRDefault="00D64438" w:rsidP="00D64438">
      <w:pPr>
        <w:pStyle w:val="ListBullet"/>
      </w:pPr>
      <w:r w:rsidRPr="00113BDB">
        <w:t>Ryzodeg 70/30 FlexTouch 70% insulin degludec (rys)/</w:t>
      </w:r>
      <w:r w:rsidR="005614A6" w:rsidRPr="00113BDB">
        <w:t>30% insulin aspart (rys) 100 </w:t>
      </w:r>
      <w:r w:rsidRPr="00113BDB">
        <w:t>U/mL solution for injection cartridge; and</w:t>
      </w:r>
    </w:p>
    <w:p w14:paraId="4BE1F2A2" w14:textId="0EEC1D6E" w:rsidR="004F26F5" w:rsidRPr="00113BDB" w:rsidRDefault="004F26F5" w:rsidP="00D64438">
      <w:pPr>
        <w:pStyle w:val="ListBullet"/>
      </w:pPr>
      <w:r w:rsidRPr="00113BDB">
        <w:t xml:space="preserve">Ryzodeg 70/30 </w:t>
      </w:r>
      <w:r w:rsidR="00D64438" w:rsidRPr="00113BDB">
        <w:t>P</w:t>
      </w:r>
      <w:r w:rsidRPr="00113BDB">
        <w:t>en</w:t>
      </w:r>
      <w:r w:rsidR="00D64438" w:rsidRPr="00113BDB">
        <w:t>fill 70% insulin degludec (rys)/</w:t>
      </w:r>
      <w:r w:rsidRPr="00113BDB">
        <w:t xml:space="preserve">30% insulin aspart (rys) 100 </w:t>
      </w:r>
      <w:r w:rsidR="00D64438" w:rsidRPr="00113BDB">
        <w:t>U/mL</w:t>
      </w:r>
      <w:r w:rsidRPr="00113BDB">
        <w:t xml:space="preserve"> s</w:t>
      </w:r>
      <w:r w:rsidR="00D64438" w:rsidRPr="00113BDB">
        <w:t>olution for injection cartridge.</w:t>
      </w:r>
    </w:p>
    <w:p w14:paraId="36260F0A" w14:textId="68B829EB" w:rsidR="004F26F5" w:rsidRPr="00113BDB" w:rsidRDefault="004F26F5" w:rsidP="004F26F5">
      <w:r w:rsidRPr="00113BDB">
        <w:t xml:space="preserve">The approved indication for these therapeutic goods </w:t>
      </w:r>
      <w:r w:rsidR="00D64438" w:rsidRPr="00113BDB">
        <w:t>is:</w:t>
      </w:r>
    </w:p>
    <w:p w14:paraId="4E54BC8E" w14:textId="5811D653" w:rsidR="00D23139" w:rsidRPr="00113BDB" w:rsidRDefault="00D64438" w:rsidP="00D64438">
      <w:pPr>
        <w:ind w:left="720"/>
      </w:pPr>
      <w:r w:rsidRPr="00113BDB">
        <w:rPr>
          <w:i/>
          <w:iCs/>
        </w:rPr>
        <w:t>‘To improve glycaemic control in adult patients with diabetes mellitus requiring basal and prandial insulin’.</w:t>
      </w:r>
    </w:p>
    <w:p w14:paraId="23D28328" w14:textId="77777777" w:rsidR="00D23139" w:rsidRPr="00113BDB" w:rsidRDefault="00D23139" w:rsidP="00D23139">
      <w:pPr>
        <w:pStyle w:val="Heading4"/>
      </w:pPr>
      <w:r w:rsidRPr="00113BDB">
        <w:t>Specific conditions of registration applying to these goods</w:t>
      </w:r>
    </w:p>
    <w:p w14:paraId="0E237E88" w14:textId="648A349A" w:rsidR="00D64438" w:rsidRPr="00113BDB" w:rsidRDefault="00D64438" w:rsidP="006C7BDC">
      <w:pPr>
        <w:pStyle w:val="ListBullet"/>
      </w:pPr>
      <w:r w:rsidRPr="00113BDB">
        <w:t xml:space="preserve">The insulin degludec/insulin aspart (Ryzodeg) EU Risk Management Plan (RMP), version 5.2, dated 1 August 2016 (data lock point 1 June 2015) with Australian Specific </w:t>
      </w:r>
      <w:r w:rsidRPr="00113BDB">
        <w:lastRenderedPageBreak/>
        <w:t>Annex, version 1.1, dated 29 May 2017, and any subsequent revisions, as agreed with the TGA will be implemented in Australia.</w:t>
      </w:r>
    </w:p>
    <w:p w14:paraId="0C40F078" w14:textId="77777777" w:rsidR="00781AE3" w:rsidRDefault="00D64438" w:rsidP="006C7BDC">
      <w:pPr>
        <w:pStyle w:val="ListBullet"/>
      </w:pPr>
      <w:r w:rsidRPr="00113BDB">
        <w:t>The Consumer Medicines Information must be included with the products as a package insert.</w:t>
      </w:r>
    </w:p>
    <w:p w14:paraId="138895A9" w14:textId="7E793DB3" w:rsidR="006C7BDC" w:rsidRPr="00113BDB" w:rsidRDefault="00D64438" w:rsidP="00D64438">
      <w:pPr>
        <w:pStyle w:val="ListBullet"/>
        <w:rPr>
          <w:rFonts w:ascii="MS Mincho" w:eastAsia="MS Mincho" w:hAnsi="MS Mincho" w:cs="MS Mincho"/>
        </w:rPr>
      </w:pPr>
      <w:r w:rsidRPr="00113BDB">
        <w:t>Batch release testing and Compliance with Certified Product Details (CPD)</w:t>
      </w:r>
    </w:p>
    <w:p w14:paraId="17F242A8" w14:textId="77777777" w:rsidR="006C7BDC" w:rsidRPr="00113BDB" w:rsidRDefault="00D64438" w:rsidP="006C7BDC">
      <w:pPr>
        <w:pStyle w:val="ListBullet"/>
        <w:numPr>
          <w:ilvl w:val="0"/>
          <w:numId w:val="0"/>
        </w:numPr>
        <w:ind w:left="360"/>
      </w:pPr>
      <w:r w:rsidRPr="00113BDB">
        <w:t>All batches of Ryzodeg 70/30 FlexTouch 100 U/mL (insulin degludec (rys)/insulin aspart (rys)) and Ryzodeg 70/30 Penfill 100 U/mL (insulin degludec (rys) / insulin aspart (rys)) solution for injection multidose cartridge imported into/manufactured in Australia must comply with the product details and specifications approved during evaluation and detailed in the Certified Product Details (CPD).</w:t>
      </w:r>
    </w:p>
    <w:p w14:paraId="3811A49F" w14:textId="77777777" w:rsidR="006C7BDC" w:rsidRPr="00113BDB" w:rsidRDefault="00D64438" w:rsidP="006C7BDC">
      <w:pPr>
        <w:pStyle w:val="ListBullet"/>
        <w:numPr>
          <w:ilvl w:val="0"/>
          <w:numId w:val="0"/>
        </w:numPr>
        <w:ind w:left="360"/>
      </w:pPr>
      <w:r w:rsidRPr="00113BDB">
        <w:t>Each batch of Ryzodeg 70/30 FlexTouch 100</w:t>
      </w:r>
      <w:r w:rsidR="006C7BDC" w:rsidRPr="00113BDB">
        <w:t xml:space="preserve"> </w:t>
      </w:r>
      <w:r w:rsidRPr="00113BDB">
        <w:t>U/mL</w:t>
      </w:r>
      <w:r w:rsidR="006C7BDC" w:rsidRPr="00113BDB">
        <w:t xml:space="preserve"> </w:t>
      </w:r>
      <w:r w:rsidRPr="00113BDB">
        <w:t>(insulin</w:t>
      </w:r>
      <w:r w:rsidR="006C7BDC" w:rsidRPr="00113BDB">
        <w:t xml:space="preserve"> </w:t>
      </w:r>
      <w:r w:rsidRPr="00113BDB">
        <w:t>degludec</w:t>
      </w:r>
      <w:r w:rsidR="006C7BDC" w:rsidRPr="00113BDB">
        <w:t xml:space="preserve"> (rys)/</w:t>
      </w:r>
      <w:r w:rsidRPr="00113BDB">
        <w:t xml:space="preserve">insulin aspart (rys)) and </w:t>
      </w:r>
      <w:r w:rsidR="006C7BDC" w:rsidRPr="00113BDB">
        <w:t>Ryzodeg</w:t>
      </w:r>
      <w:r w:rsidRPr="00113BDB">
        <w:t xml:space="preserve"> 70/30 Penfill 100 U/mL (insulin degludec (rys) / insulin aspart (rys)) solution for injection multidose cartridge imported </w:t>
      </w:r>
      <w:r w:rsidR="006C7BDC" w:rsidRPr="00113BDB">
        <w:t>into/manufactured in Australia is not released for sale until samples and/or the manufacturer’s release data have been assessed and endorsed for release by the TGA Laboratories Branch.</w:t>
      </w:r>
    </w:p>
    <w:p w14:paraId="014044EB" w14:textId="17E5267B" w:rsidR="006C7BDC" w:rsidRPr="00113BDB" w:rsidRDefault="006C7BDC" w:rsidP="006C7BDC">
      <w:pPr>
        <w:pStyle w:val="ListBullet"/>
        <w:numPr>
          <w:ilvl w:val="0"/>
          <w:numId w:val="0"/>
        </w:numPr>
        <w:ind w:left="360"/>
        <w:rPr>
          <w:rFonts w:ascii="MS Mincho" w:eastAsia="MS Mincho" w:hAnsi="MS Mincho" w:cs="MS Mincho"/>
        </w:rPr>
      </w:pPr>
      <w:r w:rsidRPr="00113BDB">
        <w:t>The sponsor must supply:</w:t>
      </w:r>
    </w:p>
    <w:p w14:paraId="19A0A332" w14:textId="77777777" w:rsidR="006C7BDC" w:rsidRPr="00113BDB" w:rsidRDefault="006C7BDC" w:rsidP="006C7BDC">
      <w:pPr>
        <w:pStyle w:val="ListBullet2"/>
      </w:pPr>
      <w:r w:rsidRPr="00113BDB">
        <w:t>Certificates of Analysis of all active ingredient (drug substance) and final product.</w:t>
      </w:r>
    </w:p>
    <w:p w14:paraId="42A17501" w14:textId="77777777" w:rsidR="006C7BDC" w:rsidRPr="00113BDB" w:rsidRDefault="006C7BDC" w:rsidP="006C7BDC">
      <w:pPr>
        <w:pStyle w:val="ListBullet2"/>
      </w:pPr>
      <w:r w:rsidRPr="00113BDB">
        <w:t>Information on the number of doses to be released in Australia with accompanying expiry dates for the product and diluents (if included).</w:t>
      </w:r>
    </w:p>
    <w:p w14:paraId="4712836A" w14:textId="77777777" w:rsidR="006C7BDC" w:rsidRPr="00113BDB" w:rsidRDefault="006C7BDC" w:rsidP="006C7BDC">
      <w:pPr>
        <w:pStyle w:val="ListBullet2"/>
      </w:pPr>
      <w:r w:rsidRPr="00113BDB">
        <w:t>Evidence of the maintenance of registered storage conditions during transport to Australia.</w:t>
      </w:r>
    </w:p>
    <w:p w14:paraId="5B657ECD" w14:textId="43DDFB99" w:rsidR="006C7BDC" w:rsidRPr="00113BDB" w:rsidRDefault="006C7BDC" w:rsidP="00D64438">
      <w:pPr>
        <w:pStyle w:val="ListBullet2"/>
      </w:pPr>
      <w:r w:rsidRPr="00113BDB">
        <w:t>6 cartridges of each batch for testing by the TGA Laboratories Branch together with any necessary standards, impurities and active pharmaceutical ingredients (with their Certificates of Analysis) required for method development and validation.</w:t>
      </w:r>
    </w:p>
    <w:p w14:paraId="4D5B0D98" w14:textId="77777777" w:rsidR="008E7846" w:rsidRPr="00113BDB" w:rsidRDefault="00A80B5B" w:rsidP="00D23139">
      <w:pPr>
        <w:pStyle w:val="Heading2"/>
      </w:pPr>
      <w:bookmarkStart w:id="173" w:name="_Toc517698005"/>
      <w:r w:rsidRPr="00113BDB">
        <w:t xml:space="preserve">Attachment 1. </w:t>
      </w:r>
      <w:r w:rsidR="008E7846" w:rsidRPr="00113BDB">
        <w:t xml:space="preserve">Product </w:t>
      </w:r>
      <w:r w:rsidR="00AA0ED0" w:rsidRPr="00113BDB">
        <w:t>I</w:t>
      </w:r>
      <w:r w:rsidR="008E7846" w:rsidRPr="00113BDB">
        <w:t>nformation</w:t>
      </w:r>
      <w:bookmarkEnd w:id="171"/>
      <w:bookmarkEnd w:id="172"/>
      <w:bookmarkEnd w:id="173"/>
    </w:p>
    <w:p w14:paraId="3925630D" w14:textId="6277C963" w:rsidR="00C80137" w:rsidRPr="00113BDB" w:rsidRDefault="006136D7" w:rsidP="00C80137">
      <w:pPr>
        <w:rPr>
          <w:color w:val="000000"/>
          <w:lang w:eastAsia="en-AU"/>
        </w:rPr>
      </w:pPr>
      <w:r w:rsidRPr="00113BDB">
        <w:t xml:space="preserve">The PI for </w:t>
      </w:r>
      <w:r w:rsidR="006C7BDC" w:rsidRPr="00113BDB">
        <w:t>Ryzodeg</w:t>
      </w:r>
      <w:r w:rsidR="007624A7" w:rsidRPr="00113BDB">
        <w:t xml:space="preserve"> 70/30 FlexTouch and Ryzodeg 70/30 Penfill</w:t>
      </w:r>
      <w:r w:rsidRPr="00113BDB">
        <w:t xml:space="preserve"> approved with the submission which is described in this AusPAR is at Attachment 1. For the most recent PI, please refer to the TGA website at </w:t>
      </w:r>
      <w:r w:rsidR="007C6B9B" w:rsidRPr="00113BDB">
        <w:t>&lt;</w:t>
      </w:r>
      <w:hyperlink r:id="rId23" w:history="1">
        <w:r w:rsidR="007C6B9B" w:rsidRPr="00113BDB">
          <w:rPr>
            <w:rStyle w:val="Hyperlink"/>
          </w:rPr>
          <w:t>https://www.tga.gov.au/product-information-pi</w:t>
        </w:r>
      </w:hyperlink>
      <w:r w:rsidR="006C7BDC" w:rsidRPr="00113BDB">
        <w:t>&gt;.</w:t>
      </w:r>
    </w:p>
    <w:p w14:paraId="6A55B39A" w14:textId="77777777" w:rsidR="00C80137" w:rsidRPr="00113BDB" w:rsidRDefault="00C80137" w:rsidP="00C80137">
      <w:pPr>
        <w:pStyle w:val="Heading2"/>
        <w:rPr>
          <w:lang w:eastAsia="en-AU"/>
        </w:rPr>
      </w:pPr>
      <w:bookmarkStart w:id="174" w:name="_Toc517698006"/>
      <w:r w:rsidRPr="00113BDB">
        <w:rPr>
          <w:lang w:eastAsia="en-AU"/>
        </w:rPr>
        <w:t>Attachment 2.</w:t>
      </w:r>
      <w:r w:rsidR="00A80B5B" w:rsidRPr="00113BDB">
        <w:rPr>
          <w:lang w:eastAsia="en-AU"/>
        </w:rPr>
        <w:t xml:space="preserve"> </w:t>
      </w:r>
      <w:r w:rsidRPr="00113BDB">
        <w:rPr>
          <w:lang w:eastAsia="en-AU"/>
        </w:rPr>
        <w:t>Extract from the Clinical Evaluation Report</w:t>
      </w:r>
      <w:bookmarkEnd w:id="174"/>
    </w:p>
    <w:p w14:paraId="548C217C" w14:textId="600C7791" w:rsidR="00C80137" w:rsidRPr="00113BDB" w:rsidRDefault="007624A7" w:rsidP="003A7F6C">
      <w:pPr>
        <w:pStyle w:val="TableTitle"/>
        <w:sectPr w:rsidR="00C80137" w:rsidRPr="00113BDB" w:rsidSect="00B452CE">
          <w:headerReference w:type="even" r:id="rId24"/>
          <w:headerReference w:type="default" r:id="rId25"/>
          <w:headerReference w:type="first" r:id="rId26"/>
          <w:footerReference w:type="first" r:id="rId27"/>
          <w:pgSz w:w="11906" w:h="16838" w:code="9"/>
          <w:pgMar w:top="834" w:right="1701" w:bottom="1191" w:left="1701" w:header="907" w:footer="216" w:gutter="0"/>
          <w:cols w:space="708"/>
          <w:docGrid w:linePitch="360"/>
        </w:sectPr>
      </w:pPr>
      <w:r w:rsidRPr="00113BDB">
        <w:t xml:space="preserve"> </w:t>
      </w: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1C32CD" w:rsidRPr="00113BDB" w14:paraId="163C6A89" w14:textId="77777777" w:rsidTr="00A05FA4">
        <w:trPr>
          <w:trHeight w:hRule="exact" w:val="704"/>
        </w:trPr>
        <w:tc>
          <w:tcPr>
            <w:tcW w:w="9175" w:type="dxa"/>
          </w:tcPr>
          <w:p w14:paraId="1EED7208" w14:textId="77777777" w:rsidR="001C32CD" w:rsidRPr="00113BDB" w:rsidRDefault="001C32CD" w:rsidP="00A05FA4">
            <w:pPr>
              <w:pStyle w:val="TGASignoff"/>
            </w:pPr>
            <w:r w:rsidRPr="00113BDB">
              <w:lastRenderedPageBreak/>
              <w:t>Therapeutic Goods Administration</w:t>
            </w:r>
          </w:p>
        </w:tc>
      </w:tr>
      <w:tr w:rsidR="001C32CD" w:rsidRPr="00113BDB" w14:paraId="026EF87D" w14:textId="77777777" w:rsidTr="00A05FA4">
        <w:trPr>
          <w:trHeight w:val="1221"/>
        </w:trPr>
        <w:tc>
          <w:tcPr>
            <w:tcW w:w="9175" w:type="dxa"/>
            <w:tcMar>
              <w:top w:w="28" w:type="dxa"/>
            </w:tcMar>
          </w:tcPr>
          <w:p w14:paraId="26CFC424" w14:textId="77777777" w:rsidR="001C32CD" w:rsidRPr="00113BDB" w:rsidRDefault="001C32CD" w:rsidP="00A05FA4">
            <w:pPr>
              <w:pStyle w:val="Address"/>
            </w:pPr>
            <w:r w:rsidRPr="00113BDB">
              <w:t>PO Box 100 Woden ACT 2606 Australia</w:t>
            </w:r>
          </w:p>
          <w:p w14:paraId="0BA45FAA" w14:textId="77777777" w:rsidR="001C32CD" w:rsidRPr="00113BDB" w:rsidRDefault="001C32CD" w:rsidP="00A05FA4">
            <w:pPr>
              <w:pStyle w:val="Address"/>
            </w:pPr>
            <w:r w:rsidRPr="00113BDB">
              <w:t xml:space="preserve">Email: </w:t>
            </w:r>
            <w:hyperlink r:id="rId28" w:history="1">
              <w:r w:rsidRPr="00113BDB">
                <w:rPr>
                  <w:rStyle w:val="Hyperlink"/>
                </w:rPr>
                <w:t>info@tga.gov.au</w:t>
              </w:r>
            </w:hyperlink>
            <w:r w:rsidRPr="00113BDB">
              <w:t xml:space="preserve">  Phone: 1800 020 653  Fax: 02 6232 8605</w:t>
            </w:r>
          </w:p>
          <w:p w14:paraId="3BF6B448" w14:textId="77777777" w:rsidR="001C32CD" w:rsidRPr="00113BDB" w:rsidRDefault="00C02D19" w:rsidP="00A05FA4">
            <w:pPr>
              <w:pStyle w:val="Address"/>
              <w:spacing w:line="260" w:lineRule="atLeast"/>
              <w:rPr>
                <w:b/>
                <w:color w:val="0000FF"/>
                <w:u w:val="single"/>
              </w:rPr>
            </w:pPr>
            <w:hyperlink r:id="rId29" w:history="1">
              <w:r w:rsidR="007C6B9B" w:rsidRPr="00113BDB">
                <w:rPr>
                  <w:rStyle w:val="Hyperlink"/>
                  <w:b/>
                </w:rPr>
                <w:t>https://www.tga.gov.au</w:t>
              </w:r>
            </w:hyperlink>
          </w:p>
        </w:tc>
      </w:tr>
    </w:tbl>
    <w:p w14:paraId="763F8E13" w14:textId="77777777" w:rsidR="00774E1D" w:rsidRPr="00113BDB" w:rsidRDefault="00774E1D" w:rsidP="004C239D"/>
    <w:sectPr w:rsidR="00774E1D" w:rsidRPr="00113BDB" w:rsidSect="001C32CD">
      <w:headerReference w:type="even" r:id="rId30"/>
      <w:headerReference w:type="default" r:id="rId31"/>
      <w:footerReference w:type="default" r:id="rId32"/>
      <w:headerReference w:type="first" r:id="rId33"/>
      <w:footerReference w:type="first" r:id="rId34"/>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DF73A5" w14:textId="77777777" w:rsidR="00186073" w:rsidRDefault="00186073" w:rsidP="00C40A36">
      <w:pPr>
        <w:spacing w:after="0"/>
      </w:pPr>
      <w:r>
        <w:separator/>
      </w:r>
    </w:p>
  </w:endnote>
  <w:endnote w:type="continuationSeparator" w:id="0">
    <w:p w14:paraId="2F529200" w14:textId="77777777" w:rsidR="00186073" w:rsidRDefault="0018607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186073" w:rsidRPr="00487162" w14:paraId="1AF67817" w14:textId="77777777" w:rsidTr="009E6D2C">
      <w:trPr>
        <w:trHeight w:val="274"/>
      </w:trPr>
      <w:tc>
        <w:tcPr>
          <w:tcW w:w="7371" w:type="dxa"/>
          <w:tcMar>
            <w:top w:w="142" w:type="dxa"/>
            <w:bottom w:w="0" w:type="dxa"/>
          </w:tcMar>
        </w:tcPr>
        <w:p w14:paraId="5E9FE92F" w14:textId="770ECD9B" w:rsidR="00186073" w:rsidRPr="00487162" w:rsidRDefault="00186073" w:rsidP="00F11022">
          <w:pPr>
            <w:pStyle w:val="Footer"/>
          </w:pPr>
          <w:r w:rsidRPr="00487162">
            <w:t>AusPA</w:t>
          </w:r>
          <w:r>
            <w:t xml:space="preserve">R </w:t>
          </w:r>
          <w:r w:rsidRPr="00F112FC">
            <w:t xml:space="preserve">Ryzodeg </w:t>
          </w:r>
          <w:r>
            <w:t>70/30 FlexT</w:t>
          </w:r>
          <w:r w:rsidRPr="00F112FC">
            <w:t xml:space="preserve">ouch, Ryzodeg </w:t>
          </w:r>
          <w:r>
            <w:t xml:space="preserve">70/30 </w:t>
          </w:r>
          <w:r w:rsidRPr="00F112FC">
            <w:t>Penfill insulin degludec (rys)/insulin aspart (rys) Novo Nordisk Pharmaceuticals Pty Ltd</w:t>
          </w:r>
          <w:r>
            <w:t xml:space="preserve"> PM-2016-02723-1-5. </w:t>
          </w:r>
          <w:r w:rsidR="00F11022">
            <w:t>Final 22 May 2018</w:t>
          </w:r>
        </w:p>
      </w:tc>
      <w:tc>
        <w:tcPr>
          <w:tcW w:w="1490" w:type="dxa"/>
          <w:tcMar>
            <w:top w:w="142" w:type="dxa"/>
            <w:bottom w:w="0" w:type="dxa"/>
          </w:tcMar>
        </w:tcPr>
        <w:p w14:paraId="37C1A57D" w14:textId="77777777" w:rsidR="00186073" w:rsidRPr="00487162" w:rsidRDefault="00186073" w:rsidP="00DB750B">
          <w:pPr>
            <w:pStyle w:val="Footer"/>
            <w:jc w:val="right"/>
          </w:pPr>
          <w:r w:rsidRPr="00487162">
            <w:t xml:space="preserve">Page </w:t>
          </w:r>
          <w:r>
            <w:fldChar w:fldCharType="begin"/>
          </w:r>
          <w:r>
            <w:instrText xml:space="preserve"> PAGE  \* Arabic </w:instrText>
          </w:r>
          <w:r>
            <w:fldChar w:fldCharType="separate"/>
          </w:r>
          <w:r w:rsidR="00C02D19">
            <w:rPr>
              <w:noProof/>
            </w:rPr>
            <w:t>13</w:t>
          </w:r>
          <w:r>
            <w:fldChar w:fldCharType="end"/>
          </w:r>
          <w:r w:rsidRPr="00487162">
            <w:t xml:space="preserve"> of </w:t>
          </w:r>
          <w:r w:rsidR="00C02D19">
            <w:fldChar w:fldCharType="begin"/>
          </w:r>
          <w:r w:rsidR="00C02D19">
            <w:instrText xml:space="preserve"> NUMPAGES  \* Arabic </w:instrText>
          </w:r>
          <w:r w:rsidR="00C02D19">
            <w:fldChar w:fldCharType="separate"/>
          </w:r>
          <w:r w:rsidR="00C02D19">
            <w:rPr>
              <w:noProof/>
            </w:rPr>
            <w:t>44</w:t>
          </w:r>
          <w:r w:rsidR="00C02D19">
            <w:rPr>
              <w:noProof/>
            </w:rPr>
            <w:fldChar w:fldCharType="end"/>
          </w:r>
        </w:p>
      </w:tc>
    </w:tr>
  </w:tbl>
  <w:p w14:paraId="7C69CF5C" w14:textId="77777777" w:rsidR="00186073" w:rsidRDefault="00186073"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86073" w:rsidRPr="00487162" w14:paraId="7166DCE3" w14:textId="77777777" w:rsidTr="00E45619">
      <w:trPr>
        <w:trHeight w:val="269"/>
      </w:trPr>
      <w:tc>
        <w:tcPr>
          <w:tcW w:w="4519" w:type="dxa"/>
          <w:tcBorders>
            <w:top w:val="single" w:sz="4" w:space="0" w:color="auto"/>
          </w:tcBorders>
          <w:tcMar>
            <w:top w:w="142" w:type="dxa"/>
            <w:bottom w:w="0" w:type="dxa"/>
          </w:tcMar>
        </w:tcPr>
        <w:p w14:paraId="07ABA483" w14:textId="77777777" w:rsidR="00186073" w:rsidRPr="00487162" w:rsidRDefault="00186073" w:rsidP="00FE1DEE">
          <w:pPr>
            <w:pStyle w:val="Footer"/>
          </w:pPr>
          <w:r w:rsidRPr="00487162">
            <w:t>Document title, Part #, Section # - Section title</w:t>
          </w:r>
        </w:p>
        <w:p w14:paraId="5ED2E47E" w14:textId="77777777" w:rsidR="00186073" w:rsidRPr="00487162" w:rsidRDefault="00186073" w:rsidP="00FE1DEE">
          <w:pPr>
            <w:pStyle w:val="Footer"/>
          </w:pPr>
          <w:r w:rsidRPr="00487162">
            <w:t>V1.0 October 2010</w:t>
          </w:r>
        </w:p>
      </w:tc>
      <w:tc>
        <w:tcPr>
          <w:tcW w:w="4342" w:type="dxa"/>
          <w:tcBorders>
            <w:top w:val="single" w:sz="4" w:space="0" w:color="auto"/>
          </w:tcBorders>
          <w:tcMar>
            <w:top w:w="142" w:type="dxa"/>
            <w:bottom w:w="0" w:type="dxa"/>
          </w:tcMar>
        </w:tcPr>
        <w:p w14:paraId="5B94AABC" w14:textId="77777777" w:rsidR="00186073" w:rsidRPr="00487162" w:rsidRDefault="0018607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C02D19">
            <w:fldChar w:fldCharType="begin"/>
          </w:r>
          <w:r w:rsidR="00C02D19">
            <w:instrText xml:space="preserve"> NUMPAGES  </w:instrText>
          </w:r>
          <w:r w:rsidR="00C02D19">
            <w:fldChar w:fldCharType="separate"/>
          </w:r>
          <w:r w:rsidR="00EA37BD">
            <w:rPr>
              <w:noProof/>
            </w:rPr>
            <w:t>1</w:t>
          </w:r>
          <w:r w:rsidR="00C02D19">
            <w:rPr>
              <w:noProof/>
            </w:rPr>
            <w:fldChar w:fldCharType="end"/>
          </w:r>
        </w:p>
      </w:tc>
    </w:tr>
  </w:tbl>
  <w:p w14:paraId="1234F491" w14:textId="77777777" w:rsidR="00186073" w:rsidRDefault="00186073">
    <w:pPr>
      <w:pStyle w:val="Footer"/>
    </w:pPr>
  </w:p>
  <w:p w14:paraId="56E51B1F" w14:textId="77777777" w:rsidR="00186073" w:rsidRDefault="00186073"/>
  <w:p w14:paraId="5A446349" w14:textId="77777777" w:rsidR="00186073" w:rsidRDefault="0018607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DC3E3" w14:textId="77777777" w:rsidR="00186073" w:rsidRPr="001C32CD" w:rsidRDefault="00186073"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86073" w14:paraId="33ABC88B" w14:textId="77777777" w:rsidTr="0010601F">
      <w:trPr>
        <w:trHeight w:val="108"/>
      </w:trPr>
      <w:tc>
        <w:tcPr>
          <w:tcW w:w="8875" w:type="dxa"/>
          <w:gridSpan w:val="2"/>
          <w:tcBorders>
            <w:bottom w:val="single" w:sz="4" w:space="0" w:color="auto"/>
          </w:tcBorders>
          <w:tcMar>
            <w:right w:w="284" w:type="dxa"/>
          </w:tcMar>
        </w:tcPr>
        <w:p w14:paraId="3D0E7A92" w14:textId="77777777" w:rsidR="00186073" w:rsidRDefault="00186073" w:rsidP="006E08B3">
          <w:pPr>
            <w:pStyle w:val="Heading3"/>
          </w:pPr>
          <w:r>
            <w:t>Copyright</w:t>
          </w:r>
        </w:p>
        <w:p w14:paraId="6F81060F" w14:textId="77777777" w:rsidR="00186073" w:rsidRDefault="00186073" w:rsidP="006E08B3">
          <w:r>
            <w:rPr>
              <w:rFonts w:cs="Arial"/>
            </w:rPr>
            <w:t>©</w:t>
          </w:r>
          <w:r>
            <w:t xml:space="preserve"> Commonwealth of Australia [add year]</w:t>
          </w:r>
        </w:p>
        <w:p w14:paraId="43D2512E" w14:textId="77777777" w:rsidR="00186073" w:rsidRDefault="00186073" w:rsidP="006E08B3"/>
        <w:p w14:paraId="7681228E" w14:textId="77777777" w:rsidR="00186073" w:rsidRDefault="0018607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317A16A" w14:textId="77777777" w:rsidR="00186073" w:rsidRDefault="00186073" w:rsidP="006E08B3"/>
        <w:p w14:paraId="4C9834DA" w14:textId="77777777" w:rsidR="00186073" w:rsidRDefault="00186073" w:rsidP="006E08B3">
          <w:pPr>
            <w:pStyle w:val="Heading3"/>
          </w:pPr>
          <w:r>
            <w:t>Confidentiality</w:t>
          </w:r>
        </w:p>
        <w:p w14:paraId="063064C4" w14:textId="77777777" w:rsidR="00186073" w:rsidRDefault="0018607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9967751" w14:textId="77777777" w:rsidR="00186073" w:rsidRDefault="00186073" w:rsidP="006E08B3"/>
        <w:p w14:paraId="6C6C162C" w14:textId="77777777" w:rsidR="00186073" w:rsidRDefault="00186073" w:rsidP="006E08B3">
          <w:r>
            <w:t>For submission made by individuals, all personal details, other than your name, will be removed from your submission before it is published on the TGA’s Internet site.</w:t>
          </w:r>
        </w:p>
        <w:p w14:paraId="099B7539" w14:textId="77777777" w:rsidR="00186073" w:rsidRDefault="00186073" w:rsidP="006E08B3"/>
        <w:p w14:paraId="2BECBA17" w14:textId="77777777" w:rsidR="00186073" w:rsidRDefault="00186073" w:rsidP="006E08B3">
          <w:r>
            <w:t>In addition, a list of parties making submissions will be published. If you do not wish to be identified with your submission you must specifically request this in the space provided ib the submission coversheet.</w:t>
          </w:r>
        </w:p>
      </w:tc>
    </w:tr>
    <w:tr w:rsidR="00186073" w14:paraId="09B7B1E2" w14:textId="77777777" w:rsidTr="0010601F">
      <w:trPr>
        <w:trHeight w:val="417"/>
      </w:trPr>
      <w:tc>
        <w:tcPr>
          <w:tcW w:w="4519" w:type="dxa"/>
          <w:tcBorders>
            <w:top w:val="single" w:sz="4" w:space="0" w:color="auto"/>
          </w:tcBorders>
          <w:tcMar>
            <w:top w:w="142" w:type="dxa"/>
            <w:bottom w:w="0" w:type="dxa"/>
          </w:tcMar>
        </w:tcPr>
        <w:p w14:paraId="60393B36" w14:textId="77777777" w:rsidR="00186073" w:rsidRDefault="00186073" w:rsidP="006E08B3">
          <w:r>
            <w:t>Document title, Part #, Section # - Section title</w:t>
          </w:r>
        </w:p>
        <w:p w14:paraId="0EA161BC" w14:textId="77777777" w:rsidR="00186073" w:rsidRDefault="00186073" w:rsidP="006E08B3">
          <w:r>
            <w:t>V1.0 October 2010</w:t>
          </w:r>
        </w:p>
      </w:tc>
      <w:tc>
        <w:tcPr>
          <w:tcW w:w="4356" w:type="dxa"/>
          <w:tcBorders>
            <w:top w:val="single" w:sz="4" w:space="0" w:color="auto"/>
          </w:tcBorders>
          <w:tcMar>
            <w:top w:w="142" w:type="dxa"/>
            <w:bottom w:w="0" w:type="dxa"/>
          </w:tcMar>
        </w:tcPr>
        <w:p w14:paraId="602F17FA" w14:textId="77777777" w:rsidR="00186073" w:rsidRDefault="0018607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C02D19">
            <w:fldChar w:fldCharType="begin"/>
          </w:r>
          <w:r w:rsidR="00C02D19">
            <w:instrText xml:space="preserve"> NUMPAGES  \* Arabic </w:instrText>
          </w:r>
          <w:r w:rsidR="00C02D19">
            <w:fldChar w:fldCharType="separate"/>
          </w:r>
          <w:r w:rsidR="00EA37BD">
            <w:rPr>
              <w:noProof/>
            </w:rPr>
            <w:t>1</w:t>
          </w:r>
          <w:r w:rsidR="00C02D19">
            <w:rPr>
              <w:noProof/>
            </w:rPr>
            <w:fldChar w:fldCharType="end"/>
          </w:r>
          <w:r>
            <w:t xml:space="preserve">  </w:t>
          </w:r>
        </w:p>
      </w:tc>
    </w:tr>
  </w:tbl>
  <w:p w14:paraId="672FD955" w14:textId="77777777" w:rsidR="00186073" w:rsidRDefault="0018607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B426D9" w14:textId="77777777" w:rsidR="00186073" w:rsidRDefault="00186073" w:rsidP="00C40A36">
      <w:pPr>
        <w:spacing w:after="0"/>
      </w:pPr>
      <w:r>
        <w:separator/>
      </w:r>
    </w:p>
  </w:footnote>
  <w:footnote w:type="continuationSeparator" w:id="0">
    <w:p w14:paraId="26CB0308" w14:textId="77777777" w:rsidR="00186073" w:rsidRDefault="00186073" w:rsidP="00C40A36">
      <w:pPr>
        <w:spacing w:after="0"/>
      </w:pPr>
      <w:r>
        <w:continuationSeparator/>
      </w:r>
    </w:p>
  </w:footnote>
  <w:footnote w:id="1">
    <w:p w14:paraId="06C7C883" w14:textId="77777777" w:rsidR="00186073" w:rsidRPr="00606A05" w:rsidRDefault="00186073" w:rsidP="00825A1E">
      <w:pPr>
        <w:pStyle w:val="FootnoteText"/>
        <w:rPr>
          <w:szCs w:val="18"/>
        </w:rPr>
      </w:pPr>
      <w:r w:rsidRPr="008B6EF5">
        <w:rPr>
          <w:rStyle w:val="FootnoteReference"/>
          <w:szCs w:val="18"/>
        </w:rPr>
        <w:footnoteRef/>
      </w:r>
      <w:r w:rsidRPr="008B6EF5">
        <w:rPr>
          <w:szCs w:val="18"/>
        </w:rPr>
        <w:t xml:space="preserve"> </w:t>
      </w:r>
      <w:r w:rsidRPr="00606A05">
        <w:rPr>
          <w:szCs w:val="18"/>
        </w:rPr>
        <w:t>Australian Institute of Health and Welfare (AIHW) webpage</w:t>
      </w:r>
    </w:p>
  </w:footnote>
  <w:footnote w:id="2">
    <w:p w14:paraId="3963F01B" w14:textId="77777777" w:rsidR="00186073" w:rsidRPr="00606A05" w:rsidRDefault="00186073" w:rsidP="00825A1E">
      <w:pPr>
        <w:pStyle w:val="FootnoteText"/>
        <w:rPr>
          <w:szCs w:val="18"/>
        </w:rPr>
      </w:pPr>
      <w:r w:rsidRPr="008B6EF5">
        <w:rPr>
          <w:rStyle w:val="FootnoteReference"/>
          <w:szCs w:val="18"/>
        </w:rPr>
        <w:footnoteRef/>
      </w:r>
      <w:r w:rsidRPr="008B6EF5">
        <w:rPr>
          <w:szCs w:val="18"/>
        </w:rPr>
        <w:t xml:space="preserve"> </w:t>
      </w:r>
      <w:r w:rsidRPr="00606A05">
        <w:rPr>
          <w:szCs w:val="18"/>
        </w:rPr>
        <w:t>Incidence of insulin treated diabetes in Australia 2000 to 2011, Australian Institute of Health and Welfare Diabetes series number 22, AIHW webpage.</w:t>
      </w:r>
    </w:p>
  </w:footnote>
  <w:footnote w:id="3">
    <w:p w14:paraId="49FEFD39" w14:textId="28CAC95F" w:rsidR="00186073" w:rsidRPr="008B6EF5" w:rsidRDefault="00186073" w:rsidP="00825A1E">
      <w:pPr>
        <w:pStyle w:val="FootnoteText"/>
        <w:rPr>
          <w:szCs w:val="18"/>
        </w:rPr>
      </w:pPr>
      <w:r w:rsidRPr="008B6EF5">
        <w:rPr>
          <w:rStyle w:val="FootnoteReference"/>
          <w:szCs w:val="18"/>
        </w:rPr>
        <w:footnoteRef/>
      </w:r>
      <w:r w:rsidRPr="008B6EF5">
        <w:rPr>
          <w:szCs w:val="18"/>
        </w:rPr>
        <w:t xml:space="preserve"> </w:t>
      </w:r>
      <w:r w:rsidRPr="00606A05">
        <w:rPr>
          <w:szCs w:val="18"/>
        </w:rPr>
        <w:t>Diabetes: management; published November 2013. Melbourne: Therapeutic Guidelines Limited; July</w:t>
      </w:r>
      <w:r>
        <w:rPr>
          <w:szCs w:val="18"/>
        </w:rPr>
        <w:t xml:space="preserve"> 2016.</w:t>
      </w:r>
    </w:p>
  </w:footnote>
  <w:footnote w:id="4">
    <w:p w14:paraId="57538379" w14:textId="706D954D" w:rsidR="00186073" w:rsidRPr="00DA21AB" w:rsidRDefault="00186073">
      <w:pPr>
        <w:pStyle w:val="FootnoteText"/>
        <w:rPr>
          <w:lang w:val="en-GB"/>
        </w:rPr>
      </w:pPr>
      <w:r>
        <w:rPr>
          <w:rStyle w:val="FootnoteReference"/>
        </w:rPr>
        <w:footnoteRef/>
      </w:r>
      <w:r>
        <w:t xml:space="preserve"> </w:t>
      </w:r>
      <w:r>
        <w:rPr>
          <w:lang w:val="en-GB"/>
        </w:rPr>
        <w:t xml:space="preserve">AusPAR for Tresiba FlexTouch/Tresiba Penfill insulin degludec (rys) </w:t>
      </w:r>
      <w:r w:rsidRPr="00DE4AD9">
        <w:t>Novo Nordisk Pharmaceuticals Pty Ltd PM-2015-02721-1-5</w:t>
      </w:r>
    </w:p>
  </w:footnote>
  <w:footnote w:id="5">
    <w:p w14:paraId="198FA239" w14:textId="7E21324A" w:rsidR="00186073" w:rsidRPr="007D3A42" w:rsidRDefault="00186073">
      <w:pPr>
        <w:pStyle w:val="FootnoteText"/>
        <w:rPr>
          <w:lang w:val="en-GB"/>
        </w:rPr>
      </w:pPr>
      <w:r>
        <w:rPr>
          <w:rStyle w:val="FootnoteReference"/>
        </w:rPr>
        <w:footnoteRef/>
      </w:r>
      <w:r>
        <w:t xml:space="preserve"> </w:t>
      </w:r>
      <w:r w:rsidRPr="007D3A42">
        <w:rPr>
          <w:lang w:val="en-GB"/>
        </w:rPr>
        <w:t>NPH (neutral protamine Hagedorn) insulin, also known as isophane insulin, is an intermediate acting human insulin.</w:t>
      </w:r>
    </w:p>
  </w:footnote>
  <w:footnote w:id="6">
    <w:p w14:paraId="5E32AC4F" w14:textId="4C34F47E" w:rsidR="00186073" w:rsidRPr="007D3A42" w:rsidRDefault="00186073">
      <w:pPr>
        <w:pStyle w:val="FootnoteText"/>
        <w:rPr>
          <w:lang w:val="en-GB"/>
        </w:rPr>
      </w:pPr>
      <w:r>
        <w:rPr>
          <w:rStyle w:val="FootnoteReference"/>
        </w:rPr>
        <w:footnoteRef/>
      </w:r>
      <w:r>
        <w:t xml:space="preserve"> </w:t>
      </w:r>
      <w:r w:rsidRPr="007D3A42">
        <w:rPr>
          <w:bCs/>
          <w:lang w:val="en-GB"/>
        </w:rPr>
        <w:t xml:space="preserve">Australian categorisation system for prescribing medicines in pregnancy: Category B3; </w:t>
      </w:r>
      <w:r w:rsidRPr="007D3A42">
        <w:rPr>
          <w:lang w:val="en-GB"/>
        </w:rPr>
        <w:t>Drugs which have been taken by only a limited number of pregnant women and women of childbearing age, without an increase in the frequency of malformation or other direct or indirect harmful effects on the human fetus having been observed.</w:t>
      </w:r>
      <w:r w:rsidRPr="007D3A42">
        <w:rPr>
          <w:bCs/>
          <w:lang w:val="en-GB"/>
        </w:rPr>
        <w:t xml:space="preserve"> </w:t>
      </w:r>
      <w:r w:rsidRPr="007D3A42">
        <w:rPr>
          <w:lang w:val="en-GB"/>
        </w:rPr>
        <w:t>Studies in animals have shown evidence of an increased occurrence of fetal damage, the significance of which is considered uncertain in humans.</w:t>
      </w:r>
    </w:p>
  </w:footnote>
  <w:footnote w:id="7">
    <w:p w14:paraId="4694F195" w14:textId="4328B9BF" w:rsidR="00186073" w:rsidRPr="00783AA7" w:rsidRDefault="00186073">
      <w:pPr>
        <w:pStyle w:val="FootnoteText"/>
        <w:rPr>
          <w:lang w:val="en-GB"/>
        </w:rPr>
      </w:pPr>
      <w:r>
        <w:rPr>
          <w:rStyle w:val="FootnoteReference"/>
        </w:rPr>
        <w:footnoteRef/>
      </w:r>
      <w:r>
        <w:t xml:space="preserve"> </w:t>
      </w:r>
      <w:r>
        <w:rPr>
          <w:lang w:val="en-GB"/>
        </w:rPr>
        <w:t>Ryzodeg 70/30 compared to original planned product tradename of Ryzodeg.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F75E5" w14:textId="77777777" w:rsidR="00186073" w:rsidRDefault="00186073"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8A487" w14:textId="77777777" w:rsidR="00186073" w:rsidRDefault="00186073">
    <w:pPr>
      <w:rPr>
        <w:noProof/>
        <w:lang w:eastAsia="en-AU"/>
      </w:rPr>
    </w:pPr>
    <w:r w:rsidRPr="00347824">
      <w:rPr>
        <w:noProof/>
        <w:lang w:eastAsia="en-AU"/>
      </w:rPr>
      <w:drawing>
        <wp:anchor distT="0" distB="0" distL="114300" distR="114300" simplePos="0" relativeHeight="251659264" behindDoc="1" locked="0" layoutInCell="1" allowOverlap="1" wp14:anchorId="3D1E464C" wp14:editId="4D7BADD8">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56DCA835" w14:textId="77777777" w:rsidR="00186073" w:rsidRDefault="00186073" w:rsidP="00593AD1">
    <w:pPr>
      <w:pStyle w:val="HeaderNoLine"/>
    </w:pPr>
    <w:r>
      <w:rPr>
        <w:noProof/>
        <w:lang w:eastAsia="en-AU"/>
      </w:rPr>
      <w:drawing>
        <wp:inline distT="0" distB="0" distL="0" distR="0" wp14:anchorId="1CC92850" wp14:editId="7A2D1E8B">
          <wp:extent cx="5400675" cy="7639050"/>
          <wp:effectExtent l="0" t="0" r="9525" b="0"/>
          <wp:docPr id="22" name="Picture 2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ABF99" w14:textId="77777777" w:rsidR="00186073" w:rsidRDefault="00186073">
    <w:pPr>
      <w:pStyle w:val="Header"/>
    </w:pPr>
  </w:p>
  <w:p w14:paraId="1BE059C0" w14:textId="77777777" w:rsidR="00186073" w:rsidRDefault="00186073"/>
  <w:p w14:paraId="7E55A4F4" w14:textId="77777777" w:rsidR="00186073" w:rsidRDefault="0018607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EBB25" w14:textId="32AE34CF" w:rsidR="00186073" w:rsidRDefault="00186073" w:rsidP="00C34166">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574FD" w14:textId="77777777" w:rsidR="00186073" w:rsidRDefault="00186073">
    <w:pPr>
      <w:pStyle w:val="Header"/>
    </w:pPr>
    <w:r>
      <w:t>Therapeutic Goods Administration</w:t>
    </w:r>
  </w:p>
  <w:p w14:paraId="7B66B556" w14:textId="77777777" w:rsidR="00186073" w:rsidRDefault="00186073"/>
  <w:p w14:paraId="597C55B5" w14:textId="77777777" w:rsidR="00186073" w:rsidRDefault="0018607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92453" w14:textId="77777777" w:rsidR="00186073" w:rsidRDefault="0018607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9A6B2" w14:textId="77777777" w:rsidR="00186073" w:rsidRDefault="00186073"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7C261" w14:textId="77777777" w:rsidR="00186073" w:rsidRDefault="00186073" w:rsidP="006E08B3">
    <w:r>
      <w:t>Therapeutic Goods Administration</w:t>
    </w:r>
  </w:p>
  <w:p w14:paraId="4C78CEB1" w14:textId="77777777" w:rsidR="00186073" w:rsidRDefault="0018607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7296140"/>
    <w:multiLevelType w:val="hybridMultilevel"/>
    <w:tmpl w:val="649C3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94141A1"/>
    <w:multiLevelType w:val="hybridMultilevel"/>
    <w:tmpl w:val="FC54B33A"/>
    <w:lvl w:ilvl="0" w:tplc="AC58446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AD35FDB"/>
    <w:multiLevelType w:val="hybridMultilevel"/>
    <w:tmpl w:val="F3D83B74"/>
    <w:lvl w:ilvl="0" w:tplc="6A6E7398">
      <w:start w:val="1"/>
      <w:numFmt w:val="decimal"/>
      <w:lvlText w:val="%1."/>
      <w:lvlJc w:val="left"/>
      <w:pPr>
        <w:ind w:left="720" w:hanging="360"/>
      </w:pPr>
      <w:rPr>
        <w:rFonts w:ascii="Cambria" w:hAnsi="Cambria" w:hint="default"/>
        <w:i/>
        <w:sz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AF637B2"/>
    <w:multiLevelType w:val="hybridMultilevel"/>
    <w:tmpl w:val="B40CA8D4"/>
    <w:lvl w:ilvl="0" w:tplc="6C6E1760">
      <w:start w:val="1"/>
      <w:numFmt w:val="decimal"/>
      <w:lvlText w:val="%1)"/>
      <w:lvlJc w:val="left"/>
      <w:pPr>
        <w:ind w:left="360" w:hanging="360"/>
      </w:pPr>
      <w:rPr>
        <w:rFonts w:ascii="Cambria" w:eastAsiaTheme="minorHAnsi" w:hAnsi="Cambria" w:cs="Calibri"/>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9">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2BB61F18"/>
    <w:multiLevelType w:val="hybridMultilevel"/>
    <w:tmpl w:val="1B3AF018"/>
    <w:lvl w:ilvl="0" w:tplc="AC58446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D67169A"/>
    <w:multiLevelType w:val="hybridMultilevel"/>
    <w:tmpl w:val="7984495C"/>
    <w:lvl w:ilvl="0" w:tplc="AC58446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3C843AA"/>
    <w:multiLevelType w:val="hybridMultilevel"/>
    <w:tmpl w:val="37D2C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9D7277E"/>
    <w:multiLevelType w:val="hybridMultilevel"/>
    <w:tmpl w:val="20DC0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F48799E"/>
    <w:multiLevelType w:val="hybridMultilevel"/>
    <w:tmpl w:val="0CEAF1D0"/>
    <w:lvl w:ilvl="0" w:tplc="AC58446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AB01262"/>
    <w:multiLevelType w:val="hybridMultilevel"/>
    <w:tmpl w:val="C53E798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
    <w:nsid w:val="4D5B6C56"/>
    <w:multiLevelType w:val="hybridMultilevel"/>
    <w:tmpl w:val="D1D806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76D5DBD"/>
    <w:multiLevelType w:val="hybridMultilevel"/>
    <w:tmpl w:val="CB728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D0D1C56"/>
    <w:multiLevelType w:val="hybridMultilevel"/>
    <w:tmpl w:val="9BA6A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0"/>
  </w:num>
  <w:num w:numId="4">
    <w:abstractNumId w:val="10"/>
  </w:num>
  <w:num w:numId="5">
    <w:abstractNumId w:val="0"/>
  </w:num>
  <w:num w:numId="6">
    <w:abstractNumId w:val="10"/>
  </w:num>
  <w:num w:numId="7">
    <w:abstractNumId w:val="10"/>
  </w:num>
  <w:num w:numId="8">
    <w:abstractNumId w:val="9"/>
  </w:num>
  <w:num w:numId="9">
    <w:abstractNumId w:val="9"/>
  </w:num>
  <w:num w:numId="10">
    <w:abstractNumId w:val="9"/>
  </w:num>
  <w:num w:numId="11">
    <w:abstractNumId w:val="9"/>
  </w:num>
  <w:num w:numId="12">
    <w:abstractNumId w:val="3"/>
    <w:lvlOverride w:ilvl="0">
      <w:lvl w:ilvl="0">
        <w:numFmt w:val="bullet"/>
        <w:lvlText w:val="•"/>
        <w:legacy w:legacy="1" w:legacySpace="0" w:legacyIndent="0"/>
        <w:lvlJc w:val="left"/>
        <w:rPr>
          <w:rFonts w:ascii="Helv" w:hAnsi="Helv" w:hint="default"/>
        </w:rPr>
      </w:lvl>
    </w:lvlOverride>
  </w:num>
  <w:num w:numId="13">
    <w:abstractNumId w:val="10"/>
  </w:num>
  <w:num w:numId="14">
    <w:abstractNumId w:val="10"/>
  </w:num>
  <w:num w:numId="15">
    <w:abstractNumId w:val="10"/>
  </w:num>
  <w:num w:numId="16">
    <w:abstractNumId w:val="9"/>
  </w:num>
  <w:num w:numId="17">
    <w:abstractNumId w:val="9"/>
  </w:num>
  <w:num w:numId="18">
    <w:abstractNumId w:val="9"/>
  </w:num>
  <w:num w:numId="19">
    <w:abstractNumId w:val="10"/>
  </w:num>
  <w:num w:numId="20">
    <w:abstractNumId w:val="10"/>
  </w:num>
  <w:num w:numId="21">
    <w:abstractNumId w:val="10"/>
  </w:num>
  <w:num w:numId="22">
    <w:abstractNumId w:val="9"/>
  </w:num>
  <w:num w:numId="23">
    <w:abstractNumId w:val="9"/>
  </w:num>
  <w:num w:numId="24">
    <w:abstractNumId w:val="9"/>
  </w:num>
  <w:num w:numId="25">
    <w:abstractNumId w:val="9"/>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2"/>
  </w:num>
  <w:num w:numId="30">
    <w:abstractNumId w:val="15"/>
  </w:num>
  <w:num w:numId="31">
    <w:abstractNumId w:val="6"/>
  </w:num>
  <w:num w:numId="32">
    <w:abstractNumId w:val="16"/>
  </w:num>
  <w:num w:numId="33">
    <w:abstractNumId w:val="13"/>
  </w:num>
  <w:num w:numId="34">
    <w:abstractNumId w:val="18"/>
  </w:num>
  <w:num w:numId="35">
    <w:abstractNumId w:val="14"/>
  </w:num>
  <w:num w:numId="36">
    <w:abstractNumId w:val="7"/>
  </w:num>
  <w:num w:numId="37">
    <w:abstractNumId w:val="17"/>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num>
  <w:num w:numId="42">
    <w:abstractNumId w:val="19"/>
  </w:num>
  <w:num w:numId="43">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CD4"/>
    <w:rsid w:val="00000957"/>
    <w:rsid w:val="00002031"/>
    <w:rsid w:val="00004734"/>
    <w:rsid w:val="00006B22"/>
    <w:rsid w:val="0001276A"/>
    <w:rsid w:val="000246AE"/>
    <w:rsid w:val="00025C67"/>
    <w:rsid w:val="00044772"/>
    <w:rsid w:val="0005559E"/>
    <w:rsid w:val="000572B5"/>
    <w:rsid w:val="000604D6"/>
    <w:rsid w:val="000734D8"/>
    <w:rsid w:val="00077775"/>
    <w:rsid w:val="0008669E"/>
    <w:rsid w:val="00087863"/>
    <w:rsid w:val="00087CE9"/>
    <w:rsid w:val="00090471"/>
    <w:rsid w:val="00096AA7"/>
    <w:rsid w:val="000A3AED"/>
    <w:rsid w:val="000B081A"/>
    <w:rsid w:val="000B0F0E"/>
    <w:rsid w:val="000B3532"/>
    <w:rsid w:val="000B3A75"/>
    <w:rsid w:val="000B79C5"/>
    <w:rsid w:val="000C00C2"/>
    <w:rsid w:val="000C690F"/>
    <w:rsid w:val="000D1295"/>
    <w:rsid w:val="000D391B"/>
    <w:rsid w:val="000D3D6D"/>
    <w:rsid w:val="000D4FC7"/>
    <w:rsid w:val="000E6196"/>
    <w:rsid w:val="000F4869"/>
    <w:rsid w:val="000F5B42"/>
    <w:rsid w:val="000F6E6F"/>
    <w:rsid w:val="00102891"/>
    <w:rsid w:val="001050C9"/>
    <w:rsid w:val="0010601F"/>
    <w:rsid w:val="0010788A"/>
    <w:rsid w:val="00107A31"/>
    <w:rsid w:val="00110EA5"/>
    <w:rsid w:val="00112F56"/>
    <w:rsid w:val="00113BDB"/>
    <w:rsid w:val="001211A7"/>
    <w:rsid w:val="00123FDB"/>
    <w:rsid w:val="00125318"/>
    <w:rsid w:val="001305A2"/>
    <w:rsid w:val="00132ADC"/>
    <w:rsid w:val="00133238"/>
    <w:rsid w:val="00133A1B"/>
    <w:rsid w:val="0014197B"/>
    <w:rsid w:val="001447CD"/>
    <w:rsid w:val="001516B1"/>
    <w:rsid w:val="00154EBB"/>
    <w:rsid w:val="00156316"/>
    <w:rsid w:val="00161181"/>
    <w:rsid w:val="00162D14"/>
    <w:rsid w:val="00165389"/>
    <w:rsid w:val="0017693F"/>
    <w:rsid w:val="0018110E"/>
    <w:rsid w:val="00181684"/>
    <w:rsid w:val="001843C6"/>
    <w:rsid w:val="001850E0"/>
    <w:rsid w:val="00186073"/>
    <w:rsid w:val="00191B19"/>
    <w:rsid w:val="00195CF6"/>
    <w:rsid w:val="001A00F9"/>
    <w:rsid w:val="001A2158"/>
    <w:rsid w:val="001A525F"/>
    <w:rsid w:val="001A785B"/>
    <w:rsid w:val="001B09F9"/>
    <w:rsid w:val="001B2E80"/>
    <w:rsid w:val="001B3416"/>
    <w:rsid w:val="001B5C90"/>
    <w:rsid w:val="001B6448"/>
    <w:rsid w:val="001B7206"/>
    <w:rsid w:val="001C32CD"/>
    <w:rsid w:val="001D2984"/>
    <w:rsid w:val="001D442E"/>
    <w:rsid w:val="001E07CF"/>
    <w:rsid w:val="001E59F1"/>
    <w:rsid w:val="001F228A"/>
    <w:rsid w:val="001F2CEE"/>
    <w:rsid w:val="001F49EB"/>
    <w:rsid w:val="001F6CBA"/>
    <w:rsid w:val="001F7484"/>
    <w:rsid w:val="00201D4E"/>
    <w:rsid w:val="002076C9"/>
    <w:rsid w:val="00220B8A"/>
    <w:rsid w:val="002226CD"/>
    <w:rsid w:val="002257F3"/>
    <w:rsid w:val="00232F01"/>
    <w:rsid w:val="00233456"/>
    <w:rsid w:val="002339A5"/>
    <w:rsid w:val="00257848"/>
    <w:rsid w:val="00262756"/>
    <w:rsid w:val="0027084A"/>
    <w:rsid w:val="002760FE"/>
    <w:rsid w:val="00286434"/>
    <w:rsid w:val="00286C59"/>
    <w:rsid w:val="00291957"/>
    <w:rsid w:val="002923F6"/>
    <w:rsid w:val="002942D1"/>
    <w:rsid w:val="0029501A"/>
    <w:rsid w:val="00297B1F"/>
    <w:rsid w:val="002A3721"/>
    <w:rsid w:val="002B1638"/>
    <w:rsid w:val="002B3624"/>
    <w:rsid w:val="002C24B6"/>
    <w:rsid w:val="002C70BA"/>
    <w:rsid w:val="002D022E"/>
    <w:rsid w:val="002D0952"/>
    <w:rsid w:val="002D1654"/>
    <w:rsid w:val="002E3A8D"/>
    <w:rsid w:val="002E40B3"/>
    <w:rsid w:val="002E4C9A"/>
    <w:rsid w:val="002F0FDE"/>
    <w:rsid w:val="002F11F8"/>
    <w:rsid w:val="002F3F56"/>
    <w:rsid w:val="002F44B5"/>
    <w:rsid w:val="002F53C5"/>
    <w:rsid w:val="002F6698"/>
    <w:rsid w:val="0030024A"/>
    <w:rsid w:val="003033AB"/>
    <w:rsid w:val="00311AC0"/>
    <w:rsid w:val="00316B24"/>
    <w:rsid w:val="003176FC"/>
    <w:rsid w:val="00324F20"/>
    <w:rsid w:val="0032583B"/>
    <w:rsid w:val="00327883"/>
    <w:rsid w:val="00335504"/>
    <w:rsid w:val="00340C18"/>
    <w:rsid w:val="003442FD"/>
    <w:rsid w:val="00347824"/>
    <w:rsid w:val="00350219"/>
    <w:rsid w:val="00350567"/>
    <w:rsid w:val="003521E8"/>
    <w:rsid w:val="00367BB1"/>
    <w:rsid w:val="00367E9C"/>
    <w:rsid w:val="00370CE3"/>
    <w:rsid w:val="0037159C"/>
    <w:rsid w:val="003728F3"/>
    <w:rsid w:val="0037496E"/>
    <w:rsid w:val="00383221"/>
    <w:rsid w:val="00386150"/>
    <w:rsid w:val="003874CE"/>
    <w:rsid w:val="00390900"/>
    <w:rsid w:val="003968DA"/>
    <w:rsid w:val="00396F5E"/>
    <w:rsid w:val="003A26B5"/>
    <w:rsid w:val="003A7F6C"/>
    <w:rsid w:val="003B4D60"/>
    <w:rsid w:val="003B7E39"/>
    <w:rsid w:val="003C3E19"/>
    <w:rsid w:val="003C58DC"/>
    <w:rsid w:val="003D1E62"/>
    <w:rsid w:val="003E0B99"/>
    <w:rsid w:val="003E2486"/>
    <w:rsid w:val="003E3208"/>
    <w:rsid w:val="003F0B04"/>
    <w:rsid w:val="0040134E"/>
    <w:rsid w:val="004334C7"/>
    <w:rsid w:val="00440A2D"/>
    <w:rsid w:val="00441C3F"/>
    <w:rsid w:val="004564A7"/>
    <w:rsid w:val="004617BF"/>
    <w:rsid w:val="00463074"/>
    <w:rsid w:val="00463658"/>
    <w:rsid w:val="004637A0"/>
    <w:rsid w:val="004722CC"/>
    <w:rsid w:val="004763F6"/>
    <w:rsid w:val="004936E4"/>
    <w:rsid w:val="00494E60"/>
    <w:rsid w:val="00497487"/>
    <w:rsid w:val="004A4740"/>
    <w:rsid w:val="004A6189"/>
    <w:rsid w:val="004A7390"/>
    <w:rsid w:val="004A776D"/>
    <w:rsid w:val="004B7B76"/>
    <w:rsid w:val="004C239D"/>
    <w:rsid w:val="004C2DCA"/>
    <w:rsid w:val="004C61D2"/>
    <w:rsid w:val="004E552F"/>
    <w:rsid w:val="004E7EC8"/>
    <w:rsid w:val="004F0C4A"/>
    <w:rsid w:val="004F0F38"/>
    <w:rsid w:val="004F26F5"/>
    <w:rsid w:val="004F47D6"/>
    <w:rsid w:val="004F5B62"/>
    <w:rsid w:val="00501921"/>
    <w:rsid w:val="00517023"/>
    <w:rsid w:val="00530354"/>
    <w:rsid w:val="0053175F"/>
    <w:rsid w:val="0053625B"/>
    <w:rsid w:val="00541BFB"/>
    <w:rsid w:val="005434C6"/>
    <w:rsid w:val="00543B39"/>
    <w:rsid w:val="00544C77"/>
    <w:rsid w:val="00545779"/>
    <w:rsid w:val="00546154"/>
    <w:rsid w:val="00550096"/>
    <w:rsid w:val="00555280"/>
    <w:rsid w:val="00557FF9"/>
    <w:rsid w:val="00560093"/>
    <w:rsid w:val="005614A6"/>
    <w:rsid w:val="00562327"/>
    <w:rsid w:val="00565674"/>
    <w:rsid w:val="00566F14"/>
    <w:rsid w:val="005711D5"/>
    <w:rsid w:val="00576378"/>
    <w:rsid w:val="00577130"/>
    <w:rsid w:val="00577945"/>
    <w:rsid w:val="00577E38"/>
    <w:rsid w:val="00585322"/>
    <w:rsid w:val="005857C6"/>
    <w:rsid w:val="00592F6E"/>
    <w:rsid w:val="0059354F"/>
    <w:rsid w:val="00593AD1"/>
    <w:rsid w:val="005A68B6"/>
    <w:rsid w:val="005B08F4"/>
    <w:rsid w:val="005B38C1"/>
    <w:rsid w:val="005C5570"/>
    <w:rsid w:val="005C79A4"/>
    <w:rsid w:val="005D5442"/>
    <w:rsid w:val="005E4193"/>
    <w:rsid w:val="005F69E6"/>
    <w:rsid w:val="00603F32"/>
    <w:rsid w:val="00605AD4"/>
    <w:rsid w:val="00605D63"/>
    <w:rsid w:val="006136D7"/>
    <w:rsid w:val="00625A6E"/>
    <w:rsid w:val="00632398"/>
    <w:rsid w:val="00640FC3"/>
    <w:rsid w:val="00642020"/>
    <w:rsid w:val="0065309E"/>
    <w:rsid w:val="0065337B"/>
    <w:rsid w:val="0065419D"/>
    <w:rsid w:val="006604D8"/>
    <w:rsid w:val="00664A5B"/>
    <w:rsid w:val="00665E67"/>
    <w:rsid w:val="0066735C"/>
    <w:rsid w:val="006763D2"/>
    <w:rsid w:val="00680C08"/>
    <w:rsid w:val="006825C8"/>
    <w:rsid w:val="00682D04"/>
    <w:rsid w:val="0069022E"/>
    <w:rsid w:val="006916A0"/>
    <w:rsid w:val="006931B1"/>
    <w:rsid w:val="006A15C0"/>
    <w:rsid w:val="006B3C70"/>
    <w:rsid w:val="006C3E2A"/>
    <w:rsid w:val="006C58F0"/>
    <w:rsid w:val="006C642F"/>
    <w:rsid w:val="006C7BDC"/>
    <w:rsid w:val="006D03E5"/>
    <w:rsid w:val="006D5D3E"/>
    <w:rsid w:val="006E08B3"/>
    <w:rsid w:val="006E7785"/>
    <w:rsid w:val="006F17AC"/>
    <w:rsid w:val="006F25B8"/>
    <w:rsid w:val="006F3040"/>
    <w:rsid w:val="006F572E"/>
    <w:rsid w:val="006F7B6B"/>
    <w:rsid w:val="007046D6"/>
    <w:rsid w:val="00705DB0"/>
    <w:rsid w:val="007072E8"/>
    <w:rsid w:val="00722B57"/>
    <w:rsid w:val="00730F8A"/>
    <w:rsid w:val="00735A8C"/>
    <w:rsid w:val="00736602"/>
    <w:rsid w:val="0074253D"/>
    <w:rsid w:val="0074429B"/>
    <w:rsid w:val="007504B7"/>
    <w:rsid w:val="007615BC"/>
    <w:rsid w:val="007624A7"/>
    <w:rsid w:val="00762F05"/>
    <w:rsid w:val="007652FF"/>
    <w:rsid w:val="00770CAC"/>
    <w:rsid w:val="00770EF1"/>
    <w:rsid w:val="00773EF7"/>
    <w:rsid w:val="00774E1D"/>
    <w:rsid w:val="00775AE8"/>
    <w:rsid w:val="007765D8"/>
    <w:rsid w:val="0077675A"/>
    <w:rsid w:val="00780355"/>
    <w:rsid w:val="007819FD"/>
    <w:rsid w:val="00781AE3"/>
    <w:rsid w:val="00783A5D"/>
    <w:rsid w:val="00783AA7"/>
    <w:rsid w:val="00785717"/>
    <w:rsid w:val="00785721"/>
    <w:rsid w:val="00793A59"/>
    <w:rsid w:val="007B6132"/>
    <w:rsid w:val="007B6E9F"/>
    <w:rsid w:val="007C1216"/>
    <w:rsid w:val="007C1AF7"/>
    <w:rsid w:val="007C4A74"/>
    <w:rsid w:val="007C6B9B"/>
    <w:rsid w:val="007D3A42"/>
    <w:rsid w:val="007D7AB0"/>
    <w:rsid w:val="00805D27"/>
    <w:rsid w:val="00806DCB"/>
    <w:rsid w:val="00821776"/>
    <w:rsid w:val="00825A1E"/>
    <w:rsid w:val="008321F5"/>
    <w:rsid w:val="00832369"/>
    <w:rsid w:val="00834660"/>
    <w:rsid w:val="00836BC2"/>
    <w:rsid w:val="0085156D"/>
    <w:rsid w:val="0085641B"/>
    <w:rsid w:val="00857136"/>
    <w:rsid w:val="00875A6B"/>
    <w:rsid w:val="00876EA9"/>
    <w:rsid w:val="00885B11"/>
    <w:rsid w:val="00886D15"/>
    <w:rsid w:val="00887637"/>
    <w:rsid w:val="00887DD8"/>
    <w:rsid w:val="00891BA9"/>
    <w:rsid w:val="00896018"/>
    <w:rsid w:val="008960DD"/>
    <w:rsid w:val="0089635C"/>
    <w:rsid w:val="008963E6"/>
    <w:rsid w:val="008A2B9D"/>
    <w:rsid w:val="008A3D9F"/>
    <w:rsid w:val="008A51C0"/>
    <w:rsid w:val="008A5E0B"/>
    <w:rsid w:val="008A6D59"/>
    <w:rsid w:val="008B429F"/>
    <w:rsid w:val="008B4B03"/>
    <w:rsid w:val="008B596F"/>
    <w:rsid w:val="008C159F"/>
    <w:rsid w:val="008C1623"/>
    <w:rsid w:val="008C1850"/>
    <w:rsid w:val="008C2747"/>
    <w:rsid w:val="008C51A9"/>
    <w:rsid w:val="008E0C52"/>
    <w:rsid w:val="008E15CC"/>
    <w:rsid w:val="008E7846"/>
    <w:rsid w:val="008F02E5"/>
    <w:rsid w:val="008F1CCC"/>
    <w:rsid w:val="008F2967"/>
    <w:rsid w:val="008F650E"/>
    <w:rsid w:val="008F66A3"/>
    <w:rsid w:val="008F6943"/>
    <w:rsid w:val="00902A21"/>
    <w:rsid w:val="00920330"/>
    <w:rsid w:val="009219D7"/>
    <w:rsid w:val="00922D53"/>
    <w:rsid w:val="00923B70"/>
    <w:rsid w:val="00924482"/>
    <w:rsid w:val="00930237"/>
    <w:rsid w:val="00932F57"/>
    <w:rsid w:val="00937C17"/>
    <w:rsid w:val="00940A89"/>
    <w:rsid w:val="00946EA5"/>
    <w:rsid w:val="009549F0"/>
    <w:rsid w:val="00955D3E"/>
    <w:rsid w:val="00963C08"/>
    <w:rsid w:val="00964ED7"/>
    <w:rsid w:val="009752A5"/>
    <w:rsid w:val="00983761"/>
    <w:rsid w:val="0098585A"/>
    <w:rsid w:val="00985C26"/>
    <w:rsid w:val="00990BEB"/>
    <w:rsid w:val="00992D05"/>
    <w:rsid w:val="00993625"/>
    <w:rsid w:val="009A4CED"/>
    <w:rsid w:val="009A60CC"/>
    <w:rsid w:val="009A690D"/>
    <w:rsid w:val="009B1D12"/>
    <w:rsid w:val="009B2406"/>
    <w:rsid w:val="009B416B"/>
    <w:rsid w:val="009C4BD5"/>
    <w:rsid w:val="009C5D51"/>
    <w:rsid w:val="009C7A83"/>
    <w:rsid w:val="009C7F79"/>
    <w:rsid w:val="009D1060"/>
    <w:rsid w:val="009D7B77"/>
    <w:rsid w:val="009E0BB0"/>
    <w:rsid w:val="009E3FBB"/>
    <w:rsid w:val="009E6D2C"/>
    <w:rsid w:val="009F7353"/>
    <w:rsid w:val="00A006E7"/>
    <w:rsid w:val="00A04F85"/>
    <w:rsid w:val="00A05FA4"/>
    <w:rsid w:val="00A06A60"/>
    <w:rsid w:val="00A102E4"/>
    <w:rsid w:val="00A12C42"/>
    <w:rsid w:val="00A14DF7"/>
    <w:rsid w:val="00A15E5D"/>
    <w:rsid w:val="00A3246D"/>
    <w:rsid w:val="00A36FA7"/>
    <w:rsid w:val="00A41590"/>
    <w:rsid w:val="00A4353A"/>
    <w:rsid w:val="00A44DDB"/>
    <w:rsid w:val="00A475B7"/>
    <w:rsid w:val="00A47AF7"/>
    <w:rsid w:val="00A47C3E"/>
    <w:rsid w:val="00A50226"/>
    <w:rsid w:val="00A60BAD"/>
    <w:rsid w:val="00A72756"/>
    <w:rsid w:val="00A80B5B"/>
    <w:rsid w:val="00A84E36"/>
    <w:rsid w:val="00A85844"/>
    <w:rsid w:val="00A87E43"/>
    <w:rsid w:val="00A964D1"/>
    <w:rsid w:val="00A971E9"/>
    <w:rsid w:val="00AA0ED0"/>
    <w:rsid w:val="00AB7DA4"/>
    <w:rsid w:val="00AC2B40"/>
    <w:rsid w:val="00AC2BB2"/>
    <w:rsid w:val="00AC2C3C"/>
    <w:rsid w:val="00AC43D9"/>
    <w:rsid w:val="00AC512D"/>
    <w:rsid w:val="00AC60B3"/>
    <w:rsid w:val="00AD0083"/>
    <w:rsid w:val="00AD1576"/>
    <w:rsid w:val="00AD3935"/>
    <w:rsid w:val="00AE01DC"/>
    <w:rsid w:val="00AE65EB"/>
    <w:rsid w:val="00AE67A7"/>
    <w:rsid w:val="00AF1D94"/>
    <w:rsid w:val="00AF45EA"/>
    <w:rsid w:val="00AF60C5"/>
    <w:rsid w:val="00B009C6"/>
    <w:rsid w:val="00B01548"/>
    <w:rsid w:val="00B13EBD"/>
    <w:rsid w:val="00B21D29"/>
    <w:rsid w:val="00B23181"/>
    <w:rsid w:val="00B25034"/>
    <w:rsid w:val="00B33588"/>
    <w:rsid w:val="00B33863"/>
    <w:rsid w:val="00B37D17"/>
    <w:rsid w:val="00B4175E"/>
    <w:rsid w:val="00B44E03"/>
    <w:rsid w:val="00B452CE"/>
    <w:rsid w:val="00B54C25"/>
    <w:rsid w:val="00B67AF5"/>
    <w:rsid w:val="00B7441F"/>
    <w:rsid w:val="00B76B91"/>
    <w:rsid w:val="00B778BE"/>
    <w:rsid w:val="00B77EB1"/>
    <w:rsid w:val="00B811C6"/>
    <w:rsid w:val="00B855B0"/>
    <w:rsid w:val="00B87E9D"/>
    <w:rsid w:val="00B92E08"/>
    <w:rsid w:val="00BA6E65"/>
    <w:rsid w:val="00BB3D79"/>
    <w:rsid w:val="00BC622A"/>
    <w:rsid w:val="00BD15FC"/>
    <w:rsid w:val="00BD5424"/>
    <w:rsid w:val="00BE0A78"/>
    <w:rsid w:val="00BE548A"/>
    <w:rsid w:val="00BE79F0"/>
    <w:rsid w:val="00BF046D"/>
    <w:rsid w:val="00BF1190"/>
    <w:rsid w:val="00BF5D04"/>
    <w:rsid w:val="00C009AA"/>
    <w:rsid w:val="00C02D19"/>
    <w:rsid w:val="00C1164D"/>
    <w:rsid w:val="00C16861"/>
    <w:rsid w:val="00C34166"/>
    <w:rsid w:val="00C345A0"/>
    <w:rsid w:val="00C346AB"/>
    <w:rsid w:val="00C36733"/>
    <w:rsid w:val="00C370A2"/>
    <w:rsid w:val="00C37426"/>
    <w:rsid w:val="00C404A6"/>
    <w:rsid w:val="00C40A36"/>
    <w:rsid w:val="00C44419"/>
    <w:rsid w:val="00C45B41"/>
    <w:rsid w:val="00C45E7B"/>
    <w:rsid w:val="00C471B1"/>
    <w:rsid w:val="00C6316B"/>
    <w:rsid w:val="00C634A9"/>
    <w:rsid w:val="00C64586"/>
    <w:rsid w:val="00C70D53"/>
    <w:rsid w:val="00C73D0B"/>
    <w:rsid w:val="00C74D0B"/>
    <w:rsid w:val="00C772FF"/>
    <w:rsid w:val="00C80137"/>
    <w:rsid w:val="00C801AF"/>
    <w:rsid w:val="00C80256"/>
    <w:rsid w:val="00C82698"/>
    <w:rsid w:val="00C94CD4"/>
    <w:rsid w:val="00C9747E"/>
    <w:rsid w:val="00CA38A2"/>
    <w:rsid w:val="00CB2D41"/>
    <w:rsid w:val="00CB6BC0"/>
    <w:rsid w:val="00CC0FE1"/>
    <w:rsid w:val="00CC1B7C"/>
    <w:rsid w:val="00CC727F"/>
    <w:rsid w:val="00CF15C3"/>
    <w:rsid w:val="00CF1904"/>
    <w:rsid w:val="00CF2B6F"/>
    <w:rsid w:val="00CF2F3E"/>
    <w:rsid w:val="00CF58B6"/>
    <w:rsid w:val="00CF6F5E"/>
    <w:rsid w:val="00D0062D"/>
    <w:rsid w:val="00D017ED"/>
    <w:rsid w:val="00D040D3"/>
    <w:rsid w:val="00D04C65"/>
    <w:rsid w:val="00D201D2"/>
    <w:rsid w:val="00D20E5F"/>
    <w:rsid w:val="00D224FE"/>
    <w:rsid w:val="00D22E11"/>
    <w:rsid w:val="00D23139"/>
    <w:rsid w:val="00D425BB"/>
    <w:rsid w:val="00D52E85"/>
    <w:rsid w:val="00D64438"/>
    <w:rsid w:val="00D6493E"/>
    <w:rsid w:val="00D7195D"/>
    <w:rsid w:val="00D7301E"/>
    <w:rsid w:val="00D83AE1"/>
    <w:rsid w:val="00D855D4"/>
    <w:rsid w:val="00D90166"/>
    <w:rsid w:val="00D902C9"/>
    <w:rsid w:val="00D93466"/>
    <w:rsid w:val="00DA1124"/>
    <w:rsid w:val="00DA21AB"/>
    <w:rsid w:val="00DA2B0D"/>
    <w:rsid w:val="00DB6124"/>
    <w:rsid w:val="00DB750B"/>
    <w:rsid w:val="00DB75B7"/>
    <w:rsid w:val="00DC6E02"/>
    <w:rsid w:val="00DD0125"/>
    <w:rsid w:val="00DD28CD"/>
    <w:rsid w:val="00DD4B69"/>
    <w:rsid w:val="00DE02AE"/>
    <w:rsid w:val="00DE4AD9"/>
    <w:rsid w:val="00DF1D7F"/>
    <w:rsid w:val="00DF4BE4"/>
    <w:rsid w:val="00E02FB4"/>
    <w:rsid w:val="00E13FC7"/>
    <w:rsid w:val="00E16BF9"/>
    <w:rsid w:val="00E20571"/>
    <w:rsid w:val="00E216E7"/>
    <w:rsid w:val="00E229FB"/>
    <w:rsid w:val="00E235F7"/>
    <w:rsid w:val="00E23659"/>
    <w:rsid w:val="00E239D4"/>
    <w:rsid w:val="00E2561A"/>
    <w:rsid w:val="00E26130"/>
    <w:rsid w:val="00E27C29"/>
    <w:rsid w:val="00E40B22"/>
    <w:rsid w:val="00E44ED1"/>
    <w:rsid w:val="00E45619"/>
    <w:rsid w:val="00E4588F"/>
    <w:rsid w:val="00E46DA3"/>
    <w:rsid w:val="00E51BB1"/>
    <w:rsid w:val="00E624A5"/>
    <w:rsid w:val="00E64BA4"/>
    <w:rsid w:val="00E7344E"/>
    <w:rsid w:val="00E82665"/>
    <w:rsid w:val="00E87120"/>
    <w:rsid w:val="00E9366D"/>
    <w:rsid w:val="00EA37BD"/>
    <w:rsid w:val="00EB0798"/>
    <w:rsid w:val="00EB40AD"/>
    <w:rsid w:val="00EB45E9"/>
    <w:rsid w:val="00EB586E"/>
    <w:rsid w:val="00EB5FC8"/>
    <w:rsid w:val="00EC10BC"/>
    <w:rsid w:val="00EC3C78"/>
    <w:rsid w:val="00EC463D"/>
    <w:rsid w:val="00EC7A85"/>
    <w:rsid w:val="00ED2922"/>
    <w:rsid w:val="00ED3CAD"/>
    <w:rsid w:val="00ED5A41"/>
    <w:rsid w:val="00EE1DE8"/>
    <w:rsid w:val="00EE27C2"/>
    <w:rsid w:val="00EE4EFD"/>
    <w:rsid w:val="00EF2F80"/>
    <w:rsid w:val="00EF425E"/>
    <w:rsid w:val="00EF4BAD"/>
    <w:rsid w:val="00EF59DC"/>
    <w:rsid w:val="00F033EC"/>
    <w:rsid w:val="00F04F68"/>
    <w:rsid w:val="00F11022"/>
    <w:rsid w:val="00F112FC"/>
    <w:rsid w:val="00F12670"/>
    <w:rsid w:val="00F14B10"/>
    <w:rsid w:val="00F14B27"/>
    <w:rsid w:val="00F245AE"/>
    <w:rsid w:val="00F26E77"/>
    <w:rsid w:val="00F3148D"/>
    <w:rsid w:val="00F325C5"/>
    <w:rsid w:val="00F32FE0"/>
    <w:rsid w:val="00F35298"/>
    <w:rsid w:val="00F35A48"/>
    <w:rsid w:val="00F37D82"/>
    <w:rsid w:val="00F47333"/>
    <w:rsid w:val="00F47E37"/>
    <w:rsid w:val="00F53C07"/>
    <w:rsid w:val="00F54B65"/>
    <w:rsid w:val="00F606BC"/>
    <w:rsid w:val="00F640B6"/>
    <w:rsid w:val="00F66DF2"/>
    <w:rsid w:val="00F75569"/>
    <w:rsid w:val="00F80E40"/>
    <w:rsid w:val="00F848D9"/>
    <w:rsid w:val="00F87754"/>
    <w:rsid w:val="00F96548"/>
    <w:rsid w:val="00FA5B82"/>
    <w:rsid w:val="00FA639E"/>
    <w:rsid w:val="00FA7A32"/>
    <w:rsid w:val="00FB4E29"/>
    <w:rsid w:val="00FC1FCA"/>
    <w:rsid w:val="00FC25E4"/>
    <w:rsid w:val="00FC4EF7"/>
    <w:rsid w:val="00FD04A4"/>
    <w:rsid w:val="00FD0824"/>
    <w:rsid w:val="00FD119B"/>
    <w:rsid w:val="00FD1EDC"/>
    <w:rsid w:val="00FD22DA"/>
    <w:rsid w:val="00FE1DEE"/>
    <w:rsid w:val="00FE5229"/>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BB48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BodyText">
    <w:name w:val="Body Text"/>
    <w:basedOn w:val="Normal"/>
    <w:link w:val="BodyTextChar"/>
    <w:uiPriority w:val="99"/>
    <w:semiHidden/>
    <w:unhideWhenUsed/>
    <w:rsid w:val="00AB7DA4"/>
  </w:style>
  <w:style w:type="character" w:customStyle="1" w:styleId="BodyTextChar">
    <w:name w:val="Body Text Char"/>
    <w:basedOn w:val="DefaultParagraphFont"/>
    <w:link w:val="BodyText"/>
    <w:uiPriority w:val="99"/>
    <w:semiHidden/>
    <w:rsid w:val="00AB7DA4"/>
    <w:rPr>
      <w:rFonts w:ascii="Cambria" w:eastAsia="Cambria" w:hAnsi="Cambria" w:cs="Times New Roman"/>
    </w:rPr>
  </w:style>
  <w:style w:type="table" w:customStyle="1" w:styleId="TableGridLight1">
    <w:name w:val="Table Grid Light1"/>
    <w:basedOn w:val="TableNormal"/>
    <w:uiPriority w:val="40"/>
    <w:rsid w:val="006E778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itle0">
    <w:name w:val="Table title"/>
    <w:basedOn w:val="Normal"/>
    <w:next w:val="Normal"/>
    <w:rsid w:val="00781AE3"/>
    <w:pPr>
      <w:keepNext/>
      <w:spacing w:after="180"/>
    </w:pPr>
    <w:rPr>
      <w:rFonts w:cstheme="minorBidi"/>
      <w:b/>
    </w:rPr>
  </w:style>
  <w:style w:type="paragraph" w:styleId="ListParagraph">
    <w:name w:val="List Paragraph"/>
    <w:basedOn w:val="Normal"/>
    <w:uiPriority w:val="34"/>
    <w:rsid w:val="005F69E6"/>
    <w:pPr>
      <w:ind w:left="720"/>
      <w:contextualSpacing/>
    </w:pPr>
  </w:style>
  <w:style w:type="paragraph" w:styleId="DocumentMap">
    <w:name w:val="Document Map"/>
    <w:basedOn w:val="Normal"/>
    <w:link w:val="DocumentMapChar"/>
    <w:uiPriority w:val="99"/>
    <w:semiHidden/>
    <w:unhideWhenUsed/>
    <w:rsid w:val="00396F5E"/>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396F5E"/>
    <w:rPr>
      <w:rFonts w:ascii="Times New Roman" w:eastAsia="Cambr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BodyText">
    <w:name w:val="Body Text"/>
    <w:basedOn w:val="Normal"/>
    <w:link w:val="BodyTextChar"/>
    <w:uiPriority w:val="99"/>
    <w:semiHidden/>
    <w:unhideWhenUsed/>
    <w:rsid w:val="00AB7DA4"/>
  </w:style>
  <w:style w:type="character" w:customStyle="1" w:styleId="BodyTextChar">
    <w:name w:val="Body Text Char"/>
    <w:basedOn w:val="DefaultParagraphFont"/>
    <w:link w:val="BodyText"/>
    <w:uiPriority w:val="99"/>
    <w:semiHidden/>
    <w:rsid w:val="00AB7DA4"/>
    <w:rPr>
      <w:rFonts w:ascii="Cambria" w:eastAsia="Cambria" w:hAnsi="Cambria" w:cs="Times New Roman"/>
    </w:rPr>
  </w:style>
  <w:style w:type="table" w:customStyle="1" w:styleId="TableGridLight1">
    <w:name w:val="Table Grid Light1"/>
    <w:basedOn w:val="TableNormal"/>
    <w:uiPriority w:val="40"/>
    <w:rsid w:val="006E778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itle0">
    <w:name w:val="Table title"/>
    <w:basedOn w:val="Normal"/>
    <w:next w:val="Normal"/>
    <w:rsid w:val="00781AE3"/>
    <w:pPr>
      <w:keepNext/>
      <w:spacing w:after="180"/>
    </w:pPr>
    <w:rPr>
      <w:rFonts w:cstheme="minorBidi"/>
      <w:b/>
    </w:rPr>
  </w:style>
  <w:style w:type="paragraph" w:styleId="ListParagraph">
    <w:name w:val="List Paragraph"/>
    <w:basedOn w:val="Normal"/>
    <w:uiPriority w:val="34"/>
    <w:rsid w:val="005F69E6"/>
    <w:pPr>
      <w:ind w:left="720"/>
      <w:contextualSpacing/>
    </w:pPr>
  </w:style>
  <w:style w:type="paragraph" w:styleId="DocumentMap">
    <w:name w:val="Document Map"/>
    <w:basedOn w:val="Normal"/>
    <w:link w:val="DocumentMapChar"/>
    <w:uiPriority w:val="99"/>
    <w:semiHidden/>
    <w:unhideWhenUsed/>
    <w:rsid w:val="00396F5E"/>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396F5E"/>
    <w:rPr>
      <w:rFonts w:ascii="Times New Roman" w:eastAsia="Cambr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42209">
      <w:bodyDiv w:val="1"/>
      <w:marLeft w:val="0"/>
      <w:marRight w:val="0"/>
      <w:marTop w:val="0"/>
      <w:marBottom w:val="0"/>
      <w:divBdr>
        <w:top w:val="none" w:sz="0" w:space="0" w:color="auto"/>
        <w:left w:val="none" w:sz="0" w:space="0" w:color="auto"/>
        <w:bottom w:val="none" w:sz="0" w:space="0" w:color="auto"/>
        <w:right w:val="none" w:sz="0" w:space="0" w:color="auto"/>
      </w:divBdr>
    </w:div>
    <w:div w:id="819420071">
      <w:bodyDiv w:val="1"/>
      <w:marLeft w:val="0"/>
      <w:marRight w:val="0"/>
      <w:marTop w:val="0"/>
      <w:marBottom w:val="0"/>
      <w:divBdr>
        <w:top w:val="none" w:sz="0" w:space="0" w:color="auto"/>
        <w:left w:val="none" w:sz="0" w:space="0" w:color="auto"/>
        <w:bottom w:val="none" w:sz="0" w:space="0" w:color="auto"/>
        <w:right w:val="none" w:sz="0" w:space="0" w:color="auto"/>
      </w:divBdr>
    </w:div>
    <w:div w:id="1209948200">
      <w:bodyDiv w:val="1"/>
      <w:marLeft w:val="0"/>
      <w:marRight w:val="0"/>
      <w:marTop w:val="0"/>
      <w:marBottom w:val="0"/>
      <w:divBdr>
        <w:top w:val="none" w:sz="0" w:space="0" w:color="auto"/>
        <w:left w:val="none" w:sz="0" w:space="0" w:color="auto"/>
        <w:bottom w:val="none" w:sz="0" w:space="0" w:color="auto"/>
        <w:right w:val="none" w:sz="0" w:space="0" w:color="auto"/>
      </w:divBdr>
    </w:div>
    <w:div w:id="1418938662">
      <w:bodyDiv w:val="1"/>
      <w:marLeft w:val="0"/>
      <w:marRight w:val="0"/>
      <w:marTop w:val="0"/>
      <w:marBottom w:val="0"/>
      <w:divBdr>
        <w:top w:val="none" w:sz="0" w:space="0" w:color="auto"/>
        <w:left w:val="none" w:sz="0" w:space="0" w:color="auto"/>
        <w:bottom w:val="none" w:sz="0" w:space="0" w:color="auto"/>
        <w:right w:val="none" w:sz="0" w:space="0" w:color="auto"/>
      </w:divBdr>
    </w:div>
    <w:div w:id="1502698705">
      <w:bodyDiv w:val="1"/>
      <w:marLeft w:val="0"/>
      <w:marRight w:val="0"/>
      <w:marTop w:val="0"/>
      <w:marBottom w:val="0"/>
      <w:divBdr>
        <w:top w:val="none" w:sz="0" w:space="0" w:color="auto"/>
        <w:left w:val="none" w:sz="0" w:space="0" w:color="auto"/>
        <w:bottom w:val="none" w:sz="0" w:space="0" w:color="auto"/>
        <w:right w:val="none" w:sz="0" w:space="0" w:color="auto"/>
      </w:divBdr>
    </w:div>
    <w:div w:id="201938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header" Target="header4.xm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footer" Target="footer3.xm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s://www.tga.gov.au/product-information-pi" TargetMode="External"/><Relationship Id="rId23" Type="http://schemas.openxmlformats.org/officeDocument/2006/relationships/hyperlink" Target="https://www.tga.gov.au/product-information-pi" TargetMode="External"/><Relationship Id="rId28" Type="http://schemas.openxmlformats.org/officeDocument/2006/relationships/hyperlink" Target="mailto:info@tga.gov.au" TargetMode="External"/><Relationship Id="rId36" Type="http://schemas.openxmlformats.org/officeDocument/2006/relationships/theme" Target="theme/theme1.xml"/><Relationship Id="rId10" Type="http://schemas.openxmlformats.org/officeDocument/2006/relationships/hyperlink" Target="mailto:tga.copyright@tga.gov.au" TargetMode="External"/><Relationship Id="rId19" Type="http://schemas.openxmlformats.org/officeDocument/2006/relationships/image" Target="media/image7.emf"/><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image" Target="media/image3.emf"/><Relationship Id="rId22" Type="http://schemas.openxmlformats.org/officeDocument/2006/relationships/image" Target="media/image10.jpeg"/><Relationship Id="rId27" Type="http://schemas.openxmlformats.org/officeDocument/2006/relationships/footer" Target="footer2.xml"/><Relationship Id="rId30" Type="http://schemas.openxmlformats.org/officeDocument/2006/relationships/header" Target="header6.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CBA6B-7A50-49AC-8353-5F1780C80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14537</Words>
  <Characters>76470</Characters>
  <Application>Microsoft Office Word</Application>
  <DocSecurity>0</DocSecurity>
  <Lines>1529</Lines>
  <Paragraphs>866</Paragraphs>
  <ScaleCrop>false</ScaleCrop>
  <HeadingPairs>
    <vt:vector size="2" baseType="variant">
      <vt:variant>
        <vt:lpstr>Title</vt:lpstr>
      </vt:variant>
      <vt:variant>
        <vt:i4>1</vt:i4>
      </vt:variant>
    </vt:vector>
  </HeadingPairs>
  <TitlesOfParts>
    <vt:vector size="1" baseType="lpstr">
      <vt:lpstr>Australian Public Assessment Report for insulin degludec (rys)/insulin aspart (rys)insulin degludec (rys)</vt:lpstr>
    </vt:vector>
  </TitlesOfParts>
  <Company>Department of Health Therapeutic Goods Administration</Company>
  <LinksUpToDate>false</LinksUpToDate>
  <CharactersWithSpaces>90141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insulin degludec (rys)/insulin aspart (rys)insulin degludec (rys)</dc:title>
  <dc:subject>prescription medicine regulation</dc:subject>
  <dc:creator>Therapeutic Goods Administration</dc:creator>
  <cp:keywords>auspar</cp:keywords>
  <cp:lastModifiedBy>LACK, Janet</cp:lastModifiedBy>
  <cp:revision>2</cp:revision>
  <cp:lastPrinted>2015-09-22T23:39:00Z</cp:lastPrinted>
  <dcterms:created xsi:type="dcterms:W3CDTF">2018-07-16T04:41:00Z</dcterms:created>
  <dcterms:modified xsi:type="dcterms:W3CDTF">2018-07-16T04:41:00Z</dcterms:modified>
  <cp:category>external publication</cp:category>
</cp:coreProperties>
</file>