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4DC58542" w14:textId="77777777" w:rsidTr="00BF1190">
        <w:trPr>
          <w:trHeight w:val="1863"/>
        </w:trPr>
        <w:tc>
          <w:tcPr>
            <w:tcW w:w="3652" w:type="dxa"/>
            <w:tcBorders>
              <w:top w:val="nil"/>
              <w:left w:val="nil"/>
              <w:bottom w:val="nil"/>
              <w:right w:val="nil"/>
            </w:tcBorders>
          </w:tcPr>
          <w:p w14:paraId="18714DE2" w14:textId="5F06F269" w:rsidR="008E7846" w:rsidRPr="00096AA7" w:rsidRDefault="00AE0423" w:rsidP="00AE0423">
            <w:pPr>
              <w:rPr>
                <w:rFonts w:ascii="Arial" w:hAnsi="Arial" w:cs="Arial"/>
                <w:b/>
                <w:color w:val="002C47"/>
                <w:sz w:val="36"/>
                <w:szCs w:val="36"/>
              </w:rPr>
            </w:pPr>
            <w:r>
              <w:rPr>
                <w:rFonts w:ascii="Arial" w:hAnsi="Arial" w:cs="Arial"/>
                <w:b/>
                <w:color w:val="002C47"/>
                <w:sz w:val="36"/>
                <w:szCs w:val="36"/>
              </w:rPr>
              <w:t>January</w:t>
            </w:r>
            <w:r w:rsidR="005C4A74">
              <w:rPr>
                <w:rFonts w:ascii="Arial" w:hAnsi="Arial" w:cs="Arial"/>
                <w:b/>
                <w:color w:val="002C47"/>
                <w:sz w:val="36"/>
                <w:szCs w:val="36"/>
              </w:rPr>
              <w:t xml:space="preserve"> </w:t>
            </w:r>
            <w:r w:rsidR="00995A69">
              <w:rPr>
                <w:rFonts w:ascii="Arial" w:hAnsi="Arial" w:cs="Arial"/>
                <w:b/>
                <w:color w:val="002C47"/>
                <w:sz w:val="36"/>
                <w:szCs w:val="36"/>
              </w:rPr>
              <w:t>20</w:t>
            </w:r>
            <w:r w:rsidR="00720B5D">
              <w:rPr>
                <w:rFonts w:ascii="Arial" w:hAnsi="Arial" w:cs="Arial"/>
                <w:b/>
                <w:color w:val="002C47"/>
                <w:sz w:val="36"/>
                <w:szCs w:val="36"/>
              </w:rPr>
              <w:t>20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702240D6" w14:textId="77777777" w:rsidTr="0032583B">
        <w:trPr>
          <w:trHeight w:val="868"/>
        </w:trPr>
        <w:tc>
          <w:tcPr>
            <w:tcW w:w="9079" w:type="dxa"/>
          </w:tcPr>
          <w:p w14:paraId="2D960A9F" w14:textId="77777777" w:rsidR="0032583B" w:rsidRPr="00A964D1" w:rsidRDefault="0032583B" w:rsidP="00780D66">
            <w:pPr>
              <w:pStyle w:val="Title"/>
              <w:rPr>
                <w:color w:val="FFFFFF" w:themeColor="background1"/>
              </w:rPr>
            </w:pPr>
            <w:r w:rsidRPr="00A964D1">
              <w:rPr>
                <w:color w:val="FFFFFF" w:themeColor="background1"/>
              </w:rPr>
              <w:t xml:space="preserve">Australian Public Assessment Report for </w:t>
            </w:r>
            <w:r w:rsidR="00696AC6">
              <w:rPr>
                <w:color w:val="FFFFFF" w:themeColor="background1"/>
              </w:rPr>
              <w:t>Romosozumab</w:t>
            </w:r>
          </w:p>
        </w:tc>
      </w:tr>
      <w:tr w:rsidR="0032583B" w:rsidRPr="00B64760" w14:paraId="3F404267" w14:textId="77777777" w:rsidTr="0032583B">
        <w:tc>
          <w:tcPr>
            <w:tcW w:w="9079" w:type="dxa"/>
          </w:tcPr>
          <w:p w14:paraId="6D1E5218" w14:textId="77777777" w:rsidR="0032583B" w:rsidRPr="008E7846" w:rsidRDefault="0032583B" w:rsidP="00780D66">
            <w:pPr>
              <w:pStyle w:val="Subtitle"/>
              <w:rPr>
                <w:color w:val="FFFFFF" w:themeColor="background1"/>
              </w:rPr>
            </w:pPr>
            <w:r w:rsidRPr="008E7846">
              <w:rPr>
                <w:color w:val="FFFFFF" w:themeColor="background1"/>
              </w:rPr>
              <w:t xml:space="preserve">Proprietary Product Name: </w:t>
            </w:r>
            <w:r w:rsidR="00780D66">
              <w:rPr>
                <w:color w:val="FFFFFF" w:themeColor="background1"/>
              </w:rPr>
              <w:t>Evenity</w:t>
            </w:r>
          </w:p>
        </w:tc>
      </w:tr>
      <w:tr w:rsidR="0032583B" w:rsidRPr="00B64760" w14:paraId="7F21CF7D" w14:textId="77777777" w:rsidTr="0032583B">
        <w:trPr>
          <w:trHeight w:val="486"/>
        </w:trPr>
        <w:tc>
          <w:tcPr>
            <w:tcW w:w="9079" w:type="dxa"/>
          </w:tcPr>
          <w:p w14:paraId="1F40419C" w14:textId="5DC9AABD" w:rsidR="0032583B" w:rsidRPr="008E7846" w:rsidRDefault="0032583B" w:rsidP="00780D66">
            <w:pPr>
              <w:pStyle w:val="Subtitle"/>
              <w:rPr>
                <w:color w:val="FFFFFF" w:themeColor="background1"/>
              </w:rPr>
            </w:pPr>
            <w:r w:rsidRPr="008E7846">
              <w:rPr>
                <w:color w:val="FFFFFF" w:themeColor="background1"/>
              </w:rPr>
              <w:t xml:space="preserve">Sponsor: </w:t>
            </w:r>
            <w:r w:rsidR="00780D66">
              <w:rPr>
                <w:color w:val="FFFFFF" w:themeColor="background1"/>
              </w:rPr>
              <w:t>Amgen Australia Pty. Ltd.</w:t>
            </w:r>
          </w:p>
        </w:tc>
      </w:tr>
    </w:tbl>
    <w:p w14:paraId="4F21FC19" w14:textId="77777777" w:rsidR="008E7846" w:rsidRPr="0085156D" w:rsidRDefault="008E7846" w:rsidP="0085156D">
      <w:r w:rsidRPr="0085156D">
        <w:br w:type="page"/>
      </w:r>
    </w:p>
    <w:p w14:paraId="65D13780" w14:textId="77777777" w:rsidR="008E7846" w:rsidRPr="001F6CBA" w:rsidRDefault="008E7846" w:rsidP="008E7846">
      <w:pPr>
        <w:pStyle w:val="NonTOCHeading2"/>
      </w:pPr>
      <w:r w:rsidRPr="001F6CBA">
        <w:lastRenderedPageBreak/>
        <w:t>About the Therapeutic Goods Administration (TGA)</w:t>
      </w:r>
    </w:p>
    <w:p w14:paraId="264B2356"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2B975B0F"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688D067E"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053F0AE2"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5E914449"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05F5899A" w14:textId="77777777" w:rsidR="008E7846" w:rsidRDefault="008E7846" w:rsidP="00875A6B">
      <w:pPr>
        <w:pStyle w:val="NonTOCHeading2"/>
      </w:pPr>
      <w:r>
        <w:t>About AusPARs</w:t>
      </w:r>
    </w:p>
    <w:p w14:paraId="37AC8DB2"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71C4BAB4" w14:textId="77777777" w:rsidR="008E7846" w:rsidRDefault="008E7846" w:rsidP="008E7846">
      <w:pPr>
        <w:pStyle w:val="ListBullet"/>
        <w:numPr>
          <w:ilvl w:val="0"/>
          <w:numId w:val="3"/>
        </w:numPr>
        <w:ind w:left="357" w:hanging="357"/>
      </w:pPr>
      <w:r>
        <w:t>AusPARs are prepared and published by the TGA.</w:t>
      </w:r>
    </w:p>
    <w:p w14:paraId="233B91D0"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3F55AD4F"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54E673E2"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27F88A2E" w14:textId="77777777" w:rsidR="00924482" w:rsidRPr="00DF1D7F" w:rsidRDefault="00924482" w:rsidP="00F54B65">
      <w:pPr>
        <w:pStyle w:val="LegalSubheading"/>
        <w:spacing w:before="3120"/>
      </w:pPr>
      <w:r w:rsidRPr="00DF1D7F">
        <w:t>Copyright</w:t>
      </w:r>
    </w:p>
    <w:p w14:paraId="04D9E1D4" w14:textId="71F01EAB" w:rsidR="00924482" w:rsidRDefault="00924482" w:rsidP="00924482">
      <w:pPr>
        <w:pStyle w:val="LegalCopy"/>
      </w:pPr>
      <w:r w:rsidRPr="00191B3B">
        <w:rPr>
          <w:rFonts w:cs="Arial"/>
          <w:lang w:val="en-GB"/>
        </w:rPr>
        <w:t>© Comm</w:t>
      </w:r>
      <w:r>
        <w:rPr>
          <w:rFonts w:cs="Arial"/>
          <w:lang w:val="en-GB"/>
        </w:rPr>
        <w:t>onwealth of Australia 20</w:t>
      </w:r>
      <w:r w:rsidR="00B6797F">
        <w:rPr>
          <w:rFonts w:cs="Arial"/>
          <w:lang w:val="en-GB"/>
        </w:rPr>
        <w:t>20</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14:paraId="35B930B2" w14:textId="77777777" w:rsidR="00924482" w:rsidRDefault="00924482" w:rsidP="00924482">
      <w:pPr>
        <w:pStyle w:val="LegalCopy"/>
        <w:sectPr w:rsidR="00924482" w:rsidSect="003D1E62">
          <w:headerReference w:type="even" r:id="rId11"/>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1C8DFCBA" w14:textId="77777777" w:rsidR="0089635C" w:rsidRPr="0089635C" w:rsidRDefault="0089635C" w:rsidP="0010788A">
          <w:pPr>
            <w:pStyle w:val="Contents"/>
          </w:pPr>
          <w:r w:rsidRPr="0010788A">
            <w:t>Conte</w:t>
          </w:r>
          <w:bookmarkStart w:id="2" w:name="_GoBack"/>
          <w:bookmarkEnd w:id="2"/>
          <w:r w:rsidRPr="0010788A">
            <w:t>nts</w:t>
          </w:r>
        </w:p>
        <w:p w14:paraId="74C85719" w14:textId="5C4E1BD7" w:rsidR="009A2699"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2481892" w:history="1">
            <w:r w:rsidR="009A2699" w:rsidRPr="0035721B">
              <w:rPr>
                <w:rStyle w:val="Hyperlink"/>
                <w:noProof/>
              </w:rPr>
              <w:t>Common abbreviations</w:t>
            </w:r>
            <w:r w:rsidR="009A2699">
              <w:rPr>
                <w:noProof/>
                <w:webHidden/>
              </w:rPr>
              <w:tab/>
            </w:r>
            <w:r w:rsidR="009A2699">
              <w:rPr>
                <w:noProof/>
                <w:webHidden/>
              </w:rPr>
              <w:fldChar w:fldCharType="begin"/>
            </w:r>
            <w:r w:rsidR="009A2699">
              <w:rPr>
                <w:noProof/>
                <w:webHidden/>
              </w:rPr>
              <w:instrText xml:space="preserve"> PAGEREF _Toc32481892 \h </w:instrText>
            </w:r>
            <w:r w:rsidR="009A2699">
              <w:rPr>
                <w:noProof/>
                <w:webHidden/>
              </w:rPr>
            </w:r>
            <w:r w:rsidR="009A2699">
              <w:rPr>
                <w:noProof/>
                <w:webHidden/>
              </w:rPr>
              <w:fldChar w:fldCharType="separate"/>
            </w:r>
            <w:r w:rsidR="009A2699">
              <w:rPr>
                <w:noProof/>
                <w:webHidden/>
              </w:rPr>
              <w:t>5</w:t>
            </w:r>
            <w:r w:rsidR="009A2699">
              <w:rPr>
                <w:noProof/>
                <w:webHidden/>
              </w:rPr>
              <w:fldChar w:fldCharType="end"/>
            </w:r>
          </w:hyperlink>
        </w:p>
        <w:p w14:paraId="44C24F45" w14:textId="679E7BF2" w:rsidR="009A2699" w:rsidRDefault="009A2699">
          <w:pPr>
            <w:pStyle w:val="TOC2"/>
            <w:rPr>
              <w:rFonts w:asciiTheme="minorHAnsi" w:eastAsiaTheme="minorEastAsia" w:hAnsiTheme="minorHAnsi" w:cstheme="minorBidi"/>
              <w:b w:val="0"/>
              <w:noProof/>
              <w:sz w:val="22"/>
              <w:lang w:eastAsia="en-AU"/>
            </w:rPr>
          </w:pPr>
          <w:hyperlink w:anchor="_Toc32481893" w:history="1">
            <w:r w:rsidRPr="0035721B">
              <w:rPr>
                <w:rStyle w:val="Hyperlink"/>
                <w:noProof/>
              </w:rPr>
              <w:t>I. Introduction to product submission</w:t>
            </w:r>
            <w:r>
              <w:rPr>
                <w:noProof/>
                <w:webHidden/>
              </w:rPr>
              <w:tab/>
            </w:r>
            <w:r>
              <w:rPr>
                <w:noProof/>
                <w:webHidden/>
              </w:rPr>
              <w:fldChar w:fldCharType="begin"/>
            </w:r>
            <w:r>
              <w:rPr>
                <w:noProof/>
                <w:webHidden/>
              </w:rPr>
              <w:instrText xml:space="preserve"> PAGEREF _Toc32481893 \h </w:instrText>
            </w:r>
            <w:r>
              <w:rPr>
                <w:noProof/>
                <w:webHidden/>
              </w:rPr>
            </w:r>
            <w:r>
              <w:rPr>
                <w:noProof/>
                <w:webHidden/>
              </w:rPr>
              <w:fldChar w:fldCharType="separate"/>
            </w:r>
            <w:r>
              <w:rPr>
                <w:noProof/>
                <w:webHidden/>
              </w:rPr>
              <w:t>8</w:t>
            </w:r>
            <w:r>
              <w:rPr>
                <w:noProof/>
                <w:webHidden/>
              </w:rPr>
              <w:fldChar w:fldCharType="end"/>
            </w:r>
          </w:hyperlink>
        </w:p>
        <w:p w14:paraId="6D67E733" w14:textId="0A2EA9DB" w:rsidR="009A2699" w:rsidRDefault="009A2699">
          <w:pPr>
            <w:pStyle w:val="TOC3"/>
            <w:rPr>
              <w:rFonts w:asciiTheme="minorHAnsi" w:eastAsiaTheme="minorEastAsia" w:hAnsiTheme="minorHAnsi" w:cstheme="minorBidi"/>
              <w:noProof/>
              <w:lang w:eastAsia="en-AU"/>
            </w:rPr>
          </w:pPr>
          <w:hyperlink w:anchor="_Toc32481894" w:history="1">
            <w:r w:rsidRPr="0035721B">
              <w:rPr>
                <w:rStyle w:val="Hyperlink"/>
                <w:noProof/>
                <w:lang w:eastAsia="en-AU"/>
              </w:rPr>
              <w:t>Submission details</w:t>
            </w:r>
            <w:r>
              <w:rPr>
                <w:noProof/>
                <w:webHidden/>
              </w:rPr>
              <w:tab/>
            </w:r>
            <w:r>
              <w:rPr>
                <w:noProof/>
                <w:webHidden/>
              </w:rPr>
              <w:fldChar w:fldCharType="begin"/>
            </w:r>
            <w:r>
              <w:rPr>
                <w:noProof/>
                <w:webHidden/>
              </w:rPr>
              <w:instrText xml:space="preserve"> PAGEREF _Toc32481894 \h </w:instrText>
            </w:r>
            <w:r>
              <w:rPr>
                <w:noProof/>
                <w:webHidden/>
              </w:rPr>
            </w:r>
            <w:r>
              <w:rPr>
                <w:noProof/>
                <w:webHidden/>
              </w:rPr>
              <w:fldChar w:fldCharType="separate"/>
            </w:r>
            <w:r>
              <w:rPr>
                <w:noProof/>
                <w:webHidden/>
              </w:rPr>
              <w:t>8</w:t>
            </w:r>
            <w:r>
              <w:rPr>
                <w:noProof/>
                <w:webHidden/>
              </w:rPr>
              <w:fldChar w:fldCharType="end"/>
            </w:r>
          </w:hyperlink>
        </w:p>
        <w:p w14:paraId="461D8743" w14:textId="15A39A95" w:rsidR="009A2699" w:rsidRDefault="009A2699">
          <w:pPr>
            <w:pStyle w:val="TOC3"/>
            <w:rPr>
              <w:rFonts w:asciiTheme="minorHAnsi" w:eastAsiaTheme="minorEastAsia" w:hAnsiTheme="minorHAnsi" w:cstheme="minorBidi"/>
              <w:noProof/>
              <w:lang w:eastAsia="en-AU"/>
            </w:rPr>
          </w:pPr>
          <w:hyperlink w:anchor="_Toc32481895" w:history="1">
            <w:r w:rsidRPr="0035721B">
              <w:rPr>
                <w:rStyle w:val="Hyperlink"/>
                <w:noProof/>
              </w:rPr>
              <w:t>Product background</w:t>
            </w:r>
            <w:r>
              <w:rPr>
                <w:noProof/>
                <w:webHidden/>
              </w:rPr>
              <w:tab/>
            </w:r>
            <w:r>
              <w:rPr>
                <w:noProof/>
                <w:webHidden/>
              </w:rPr>
              <w:fldChar w:fldCharType="begin"/>
            </w:r>
            <w:r>
              <w:rPr>
                <w:noProof/>
                <w:webHidden/>
              </w:rPr>
              <w:instrText xml:space="preserve"> PAGEREF _Toc32481895 \h </w:instrText>
            </w:r>
            <w:r>
              <w:rPr>
                <w:noProof/>
                <w:webHidden/>
              </w:rPr>
            </w:r>
            <w:r>
              <w:rPr>
                <w:noProof/>
                <w:webHidden/>
              </w:rPr>
              <w:fldChar w:fldCharType="separate"/>
            </w:r>
            <w:r>
              <w:rPr>
                <w:noProof/>
                <w:webHidden/>
              </w:rPr>
              <w:t>9</w:t>
            </w:r>
            <w:r>
              <w:rPr>
                <w:noProof/>
                <w:webHidden/>
              </w:rPr>
              <w:fldChar w:fldCharType="end"/>
            </w:r>
          </w:hyperlink>
        </w:p>
        <w:p w14:paraId="75DAF95E" w14:textId="5895631D" w:rsidR="009A2699" w:rsidRDefault="009A2699">
          <w:pPr>
            <w:pStyle w:val="TOC3"/>
            <w:rPr>
              <w:rFonts w:asciiTheme="minorHAnsi" w:eastAsiaTheme="minorEastAsia" w:hAnsiTheme="minorHAnsi" w:cstheme="minorBidi"/>
              <w:noProof/>
              <w:lang w:eastAsia="en-AU"/>
            </w:rPr>
          </w:pPr>
          <w:hyperlink w:anchor="_Toc32481896" w:history="1">
            <w:r w:rsidRPr="0035721B">
              <w:rPr>
                <w:rStyle w:val="Hyperlink"/>
                <w:noProof/>
              </w:rPr>
              <w:t>Regulatory status</w:t>
            </w:r>
            <w:r>
              <w:rPr>
                <w:noProof/>
                <w:webHidden/>
              </w:rPr>
              <w:tab/>
            </w:r>
            <w:r>
              <w:rPr>
                <w:noProof/>
                <w:webHidden/>
              </w:rPr>
              <w:fldChar w:fldCharType="begin"/>
            </w:r>
            <w:r>
              <w:rPr>
                <w:noProof/>
                <w:webHidden/>
              </w:rPr>
              <w:instrText xml:space="preserve"> PAGEREF _Toc32481896 \h </w:instrText>
            </w:r>
            <w:r>
              <w:rPr>
                <w:noProof/>
                <w:webHidden/>
              </w:rPr>
            </w:r>
            <w:r>
              <w:rPr>
                <w:noProof/>
                <w:webHidden/>
              </w:rPr>
              <w:fldChar w:fldCharType="separate"/>
            </w:r>
            <w:r>
              <w:rPr>
                <w:noProof/>
                <w:webHidden/>
              </w:rPr>
              <w:t>9</w:t>
            </w:r>
            <w:r>
              <w:rPr>
                <w:noProof/>
                <w:webHidden/>
              </w:rPr>
              <w:fldChar w:fldCharType="end"/>
            </w:r>
          </w:hyperlink>
        </w:p>
        <w:p w14:paraId="6C9D77CB" w14:textId="69C44C56" w:rsidR="009A2699" w:rsidRDefault="009A2699">
          <w:pPr>
            <w:pStyle w:val="TOC3"/>
            <w:rPr>
              <w:rFonts w:asciiTheme="minorHAnsi" w:eastAsiaTheme="minorEastAsia" w:hAnsiTheme="minorHAnsi" w:cstheme="minorBidi"/>
              <w:noProof/>
              <w:lang w:eastAsia="en-AU"/>
            </w:rPr>
          </w:pPr>
          <w:hyperlink w:anchor="_Toc32481897" w:history="1">
            <w:r w:rsidRPr="0035721B">
              <w:rPr>
                <w:rStyle w:val="Hyperlink"/>
                <w:noProof/>
              </w:rPr>
              <w:t>Product Information</w:t>
            </w:r>
            <w:r>
              <w:rPr>
                <w:noProof/>
                <w:webHidden/>
              </w:rPr>
              <w:tab/>
            </w:r>
            <w:r>
              <w:rPr>
                <w:noProof/>
                <w:webHidden/>
              </w:rPr>
              <w:fldChar w:fldCharType="begin"/>
            </w:r>
            <w:r>
              <w:rPr>
                <w:noProof/>
                <w:webHidden/>
              </w:rPr>
              <w:instrText xml:space="preserve"> PAGEREF _Toc32481897 \h </w:instrText>
            </w:r>
            <w:r>
              <w:rPr>
                <w:noProof/>
                <w:webHidden/>
              </w:rPr>
            </w:r>
            <w:r>
              <w:rPr>
                <w:noProof/>
                <w:webHidden/>
              </w:rPr>
              <w:fldChar w:fldCharType="separate"/>
            </w:r>
            <w:r>
              <w:rPr>
                <w:noProof/>
                <w:webHidden/>
              </w:rPr>
              <w:t>10</w:t>
            </w:r>
            <w:r>
              <w:rPr>
                <w:noProof/>
                <w:webHidden/>
              </w:rPr>
              <w:fldChar w:fldCharType="end"/>
            </w:r>
          </w:hyperlink>
        </w:p>
        <w:p w14:paraId="70098F45" w14:textId="029DA9C3" w:rsidR="009A2699" w:rsidRDefault="009A2699">
          <w:pPr>
            <w:pStyle w:val="TOC2"/>
            <w:rPr>
              <w:rFonts w:asciiTheme="minorHAnsi" w:eastAsiaTheme="minorEastAsia" w:hAnsiTheme="minorHAnsi" w:cstheme="minorBidi"/>
              <w:b w:val="0"/>
              <w:noProof/>
              <w:sz w:val="22"/>
              <w:lang w:eastAsia="en-AU"/>
            </w:rPr>
          </w:pPr>
          <w:hyperlink w:anchor="_Toc32481898" w:history="1">
            <w:r w:rsidRPr="0035721B">
              <w:rPr>
                <w:rStyle w:val="Hyperlink"/>
                <w:noProof/>
              </w:rPr>
              <w:t>II. Registration time line</w:t>
            </w:r>
            <w:r>
              <w:rPr>
                <w:noProof/>
                <w:webHidden/>
              </w:rPr>
              <w:tab/>
            </w:r>
            <w:r>
              <w:rPr>
                <w:noProof/>
                <w:webHidden/>
              </w:rPr>
              <w:fldChar w:fldCharType="begin"/>
            </w:r>
            <w:r>
              <w:rPr>
                <w:noProof/>
                <w:webHidden/>
              </w:rPr>
              <w:instrText xml:space="preserve"> PAGEREF _Toc32481898 \h </w:instrText>
            </w:r>
            <w:r>
              <w:rPr>
                <w:noProof/>
                <w:webHidden/>
              </w:rPr>
            </w:r>
            <w:r>
              <w:rPr>
                <w:noProof/>
                <w:webHidden/>
              </w:rPr>
              <w:fldChar w:fldCharType="separate"/>
            </w:r>
            <w:r>
              <w:rPr>
                <w:noProof/>
                <w:webHidden/>
              </w:rPr>
              <w:t>10</w:t>
            </w:r>
            <w:r>
              <w:rPr>
                <w:noProof/>
                <w:webHidden/>
              </w:rPr>
              <w:fldChar w:fldCharType="end"/>
            </w:r>
          </w:hyperlink>
        </w:p>
        <w:p w14:paraId="39CA32E4" w14:textId="2A97A630" w:rsidR="009A2699" w:rsidRDefault="009A2699">
          <w:pPr>
            <w:pStyle w:val="TOC2"/>
            <w:rPr>
              <w:rFonts w:asciiTheme="minorHAnsi" w:eastAsiaTheme="minorEastAsia" w:hAnsiTheme="minorHAnsi" w:cstheme="minorBidi"/>
              <w:b w:val="0"/>
              <w:noProof/>
              <w:sz w:val="22"/>
              <w:lang w:eastAsia="en-AU"/>
            </w:rPr>
          </w:pPr>
          <w:hyperlink w:anchor="_Toc32481899" w:history="1">
            <w:r w:rsidRPr="0035721B">
              <w:rPr>
                <w:rStyle w:val="Hyperlink"/>
                <w:noProof/>
              </w:rPr>
              <w:t>III. Quality findings</w:t>
            </w:r>
            <w:r>
              <w:rPr>
                <w:noProof/>
                <w:webHidden/>
              </w:rPr>
              <w:tab/>
            </w:r>
            <w:r>
              <w:rPr>
                <w:noProof/>
                <w:webHidden/>
              </w:rPr>
              <w:fldChar w:fldCharType="begin"/>
            </w:r>
            <w:r>
              <w:rPr>
                <w:noProof/>
                <w:webHidden/>
              </w:rPr>
              <w:instrText xml:space="preserve"> PAGEREF _Toc32481899 \h </w:instrText>
            </w:r>
            <w:r>
              <w:rPr>
                <w:noProof/>
                <w:webHidden/>
              </w:rPr>
            </w:r>
            <w:r>
              <w:rPr>
                <w:noProof/>
                <w:webHidden/>
              </w:rPr>
              <w:fldChar w:fldCharType="separate"/>
            </w:r>
            <w:r>
              <w:rPr>
                <w:noProof/>
                <w:webHidden/>
              </w:rPr>
              <w:t>11</w:t>
            </w:r>
            <w:r>
              <w:rPr>
                <w:noProof/>
                <w:webHidden/>
              </w:rPr>
              <w:fldChar w:fldCharType="end"/>
            </w:r>
          </w:hyperlink>
        </w:p>
        <w:p w14:paraId="1D0F332A" w14:textId="2A563FE2" w:rsidR="009A2699" w:rsidRDefault="009A2699">
          <w:pPr>
            <w:pStyle w:val="TOC3"/>
            <w:rPr>
              <w:rFonts w:asciiTheme="minorHAnsi" w:eastAsiaTheme="minorEastAsia" w:hAnsiTheme="minorHAnsi" w:cstheme="minorBidi"/>
              <w:noProof/>
              <w:lang w:eastAsia="en-AU"/>
            </w:rPr>
          </w:pPr>
          <w:hyperlink w:anchor="_Toc32481900" w:history="1">
            <w:r w:rsidRPr="0035721B">
              <w:rPr>
                <w:rStyle w:val="Hyperlink"/>
                <w:noProof/>
              </w:rPr>
              <w:t>Drug substance (active ingredient)</w:t>
            </w:r>
            <w:r>
              <w:rPr>
                <w:noProof/>
                <w:webHidden/>
              </w:rPr>
              <w:tab/>
            </w:r>
            <w:r>
              <w:rPr>
                <w:noProof/>
                <w:webHidden/>
              </w:rPr>
              <w:fldChar w:fldCharType="begin"/>
            </w:r>
            <w:r>
              <w:rPr>
                <w:noProof/>
                <w:webHidden/>
              </w:rPr>
              <w:instrText xml:space="preserve"> PAGEREF _Toc32481900 \h </w:instrText>
            </w:r>
            <w:r>
              <w:rPr>
                <w:noProof/>
                <w:webHidden/>
              </w:rPr>
            </w:r>
            <w:r>
              <w:rPr>
                <w:noProof/>
                <w:webHidden/>
              </w:rPr>
              <w:fldChar w:fldCharType="separate"/>
            </w:r>
            <w:r>
              <w:rPr>
                <w:noProof/>
                <w:webHidden/>
              </w:rPr>
              <w:t>11</w:t>
            </w:r>
            <w:r>
              <w:rPr>
                <w:noProof/>
                <w:webHidden/>
              </w:rPr>
              <w:fldChar w:fldCharType="end"/>
            </w:r>
          </w:hyperlink>
        </w:p>
        <w:p w14:paraId="6B2AA008" w14:textId="4989A64F" w:rsidR="009A2699" w:rsidRDefault="009A2699">
          <w:pPr>
            <w:pStyle w:val="TOC3"/>
            <w:rPr>
              <w:rFonts w:asciiTheme="minorHAnsi" w:eastAsiaTheme="minorEastAsia" w:hAnsiTheme="minorHAnsi" w:cstheme="minorBidi"/>
              <w:noProof/>
              <w:lang w:eastAsia="en-AU"/>
            </w:rPr>
          </w:pPr>
          <w:hyperlink w:anchor="_Toc32481901" w:history="1">
            <w:r w:rsidRPr="0035721B">
              <w:rPr>
                <w:rStyle w:val="Hyperlink"/>
                <w:noProof/>
              </w:rPr>
              <w:t>Drug product</w:t>
            </w:r>
            <w:r>
              <w:rPr>
                <w:noProof/>
                <w:webHidden/>
              </w:rPr>
              <w:tab/>
            </w:r>
            <w:r>
              <w:rPr>
                <w:noProof/>
                <w:webHidden/>
              </w:rPr>
              <w:fldChar w:fldCharType="begin"/>
            </w:r>
            <w:r>
              <w:rPr>
                <w:noProof/>
                <w:webHidden/>
              </w:rPr>
              <w:instrText xml:space="preserve"> PAGEREF _Toc32481901 \h </w:instrText>
            </w:r>
            <w:r>
              <w:rPr>
                <w:noProof/>
                <w:webHidden/>
              </w:rPr>
            </w:r>
            <w:r>
              <w:rPr>
                <w:noProof/>
                <w:webHidden/>
              </w:rPr>
              <w:fldChar w:fldCharType="separate"/>
            </w:r>
            <w:r>
              <w:rPr>
                <w:noProof/>
                <w:webHidden/>
              </w:rPr>
              <w:t>12</w:t>
            </w:r>
            <w:r>
              <w:rPr>
                <w:noProof/>
                <w:webHidden/>
              </w:rPr>
              <w:fldChar w:fldCharType="end"/>
            </w:r>
          </w:hyperlink>
        </w:p>
        <w:p w14:paraId="5D4A4193" w14:textId="0ECC6E07" w:rsidR="009A2699" w:rsidRDefault="009A2699">
          <w:pPr>
            <w:pStyle w:val="TOC3"/>
            <w:rPr>
              <w:rFonts w:asciiTheme="minorHAnsi" w:eastAsiaTheme="minorEastAsia" w:hAnsiTheme="minorHAnsi" w:cstheme="minorBidi"/>
              <w:noProof/>
              <w:lang w:eastAsia="en-AU"/>
            </w:rPr>
          </w:pPr>
          <w:hyperlink w:anchor="_Toc32481902" w:history="1">
            <w:r w:rsidRPr="0035721B">
              <w:rPr>
                <w:rStyle w:val="Hyperlink"/>
                <w:noProof/>
              </w:rPr>
              <w:t>Quality summary and conclusions</w:t>
            </w:r>
            <w:r>
              <w:rPr>
                <w:noProof/>
                <w:webHidden/>
              </w:rPr>
              <w:tab/>
            </w:r>
            <w:r>
              <w:rPr>
                <w:noProof/>
                <w:webHidden/>
              </w:rPr>
              <w:fldChar w:fldCharType="begin"/>
            </w:r>
            <w:r>
              <w:rPr>
                <w:noProof/>
                <w:webHidden/>
              </w:rPr>
              <w:instrText xml:space="preserve"> PAGEREF _Toc32481902 \h </w:instrText>
            </w:r>
            <w:r>
              <w:rPr>
                <w:noProof/>
                <w:webHidden/>
              </w:rPr>
            </w:r>
            <w:r>
              <w:rPr>
                <w:noProof/>
                <w:webHidden/>
              </w:rPr>
              <w:fldChar w:fldCharType="separate"/>
            </w:r>
            <w:r>
              <w:rPr>
                <w:noProof/>
                <w:webHidden/>
              </w:rPr>
              <w:t>12</w:t>
            </w:r>
            <w:r>
              <w:rPr>
                <w:noProof/>
                <w:webHidden/>
              </w:rPr>
              <w:fldChar w:fldCharType="end"/>
            </w:r>
          </w:hyperlink>
        </w:p>
        <w:p w14:paraId="04C2892F" w14:textId="51F9EBC7" w:rsidR="009A2699" w:rsidRDefault="009A2699">
          <w:pPr>
            <w:pStyle w:val="TOC2"/>
            <w:rPr>
              <w:rFonts w:asciiTheme="minorHAnsi" w:eastAsiaTheme="minorEastAsia" w:hAnsiTheme="minorHAnsi" w:cstheme="minorBidi"/>
              <w:b w:val="0"/>
              <w:noProof/>
              <w:sz w:val="22"/>
              <w:lang w:eastAsia="en-AU"/>
            </w:rPr>
          </w:pPr>
          <w:hyperlink w:anchor="_Toc32481903" w:history="1">
            <w:r w:rsidRPr="0035721B">
              <w:rPr>
                <w:rStyle w:val="Hyperlink"/>
                <w:noProof/>
              </w:rPr>
              <w:t>IV. Nonclinical findings</w:t>
            </w:r>
            <w:r>
              <w:rPr>
                <w:noProof/>
                <w:webHidden/>
              </w:rPr>
              <w:tab/>
            </w:r>
            <w:r>
              <w:rPr>
                <w:noProof/>
                <w:webHidden/>
              </w:rPr>
              <w:fldChar w:fldCharType="begin"/>
            </w:r>
            <w:r>
              <w:rPr>
                <w:noProof/>
                <w:webHidden/>
              </w:rPr>
              <w:instrText xml:space="preserve"> PAGEREF _Toc32481903 \h </w:instrText>
            </w:r>
            <w:r>
              <w:rPr>
                <w:noProof/>
                <w:webHidden/>
              </w:rPr>
            </w:r>
            <w:r>
              <w:rPr>
                <w:noProof/>
                <w:webHidden/>
              </w:rPr>
              <w:fldChar w:fldCharType="separate"/>
            </w:r>
            <w:r>
              <w:rPr>
                <w:noProof/>
                <w:webHidden/>
              </w:rPr>
              <w:t>13</w:t>
            </w:r>
            <w:r>
              <w:rPr>
                <w:noProof/>
                <w:webHidden/>
              </w:rPr>
              <w:fldChar w:fldCharType="end"/>
            </w:r>
          </w:hyperlink>
        </w:p>
        <w:p w14:paraId="36158F51" w14:textId="4B589702" w:rsidR="009A2699" w:rsidRDefault="009A2699">
          <w:pPr>
            <w:pStyle w:val="TOC3"/>
            <w:rPr>
              <w:rFonts w:asciiTheme="minorHAnsi" w:eastAsiaTheme="minorEastAsia" w:hAnsiTheme="minorHAnsi" w:cstheme="minorBidi"/>
              <w:noProof/>
              <w:lang w:eastAsia="en-AU"/>
            </w:rPr>
          </w:pPr>
          <w:hyperlink w:anchor="_Toc32481904" w:history="1">
            <w:r w:rsidRPr="0035721B">
              <w:rPr>
                <w:rStyle w:val="Hyperlink"/>
                <w:noProof/>
              </w:rPr>
              <w:t>Introduction</w:t>
            </w:r>
            <w:r>
              <w:rPr>
                <w:noProof/>
                <w:webHidden/>
              </w:rPr>
              <w:tab/>
            </w:r>
            <w:r>
              <w:rPr>
                <w:noProof/>
                <w:webHidden/>
              </w:rPr>
              <w:fldChar w:fldCharType="begin"/>
            </w:r>
            <w:r>
              <w:rPr>
                <w:noProof/>
                <w:webHidden/>
              </w:rPr>
              <w:instrText xml:space="preserve"> PAGEREF _Toc32481904 \h </w:instrText>
            </w:r>
            <w:r>
              <w:rPr>
                <w:noProof/>
                <w:webHidden/>
              </w:rPr>
            </w:r>
            <w:r>
              <w:rPr>
                <w:noProof/>
                <w:webHidden/>
              </w:rPr>
              <w:fldChar w:fldCharType="separate"/>
            </w:r>
            <w:r>
              <w:rPr>
                <w:noProof/>
                <w:webHidden/>
              </w:rPr>
              <w:t>13</w:t>
            </w:r>
            <w:r>
              <w:rPr>
                <w:noProof/>
                <w:webHidden/>
              </w:rPr>
              <w:fldChar w:fldCharType="end"/>
            </w:r>
          </w:hyperlink>
        </w:p>
        <w:p w14:paraId="7427D596" w14:textId="5382D0A9" w:rsidR="009A2699" w:rsidRDefault="009A2699">
          <w:pPr>
            <w:pStyle w:val="TOC3"/>
            <w:rPr>
              <w:rFonts w:asciiTheme="minorHAnsi" w:eastAsiaTheme="minorEastAsia" w:hAnsiTheme="minorHAnsi" w:cstheme="minorBidi"/>
              <w:noProof/>
              <w:lang w:eastAsia="en-AU"/>
            </w:rPr>
          </w:pPr>
          <w:hyperlink w:anchor="_Toc32481905" w:history="1">
            <w:r w:rsidRPr="0035721B">
              <w:rPr>
                <w:rStyle w:val="Hyperlink"/>
                <w:noProof/>
              </w:rPr>
              <w:t>Pharmacology</w:t>
            </w:r>
            <w:r>
              <w:rPr>
                <w:noProof/>
                <w:webHidden/>
              </w:rPr>
              <w:tab/>
            </w:r>
            <w:r>
              <w:rPr>
                <w:noProof/>
                <w:webHidden/>
              </w:rPr>
              <w:fldChar w:fldCharType="begin"/>
            </w:r>
            <w:r>
              <w:rPr>
                <w:noProof/>
                <w:webHidden/>
              </w:rPr>
              <w:instrText xml:space="preserve"> PAGEREF _Toc32481905 \h </w:instrText>
            </w:r>
            <w:r>
              <w:rPr>
                <w:noProof/>
                <w:webHidden/>
              </w:rPr>
            </w:r>
            <w:r>
              <w:rPr>
                <w:noProof/>
                <w:webHidden/>
              </w:rPr>
              <w:fldChar w:fldCharType="separate"/>
            </w:r>
            <w:r>
              <w:rPr>
                <w:noProof/>
                <w:webHidden/>
              </w:rPr>
              <w:t>13</w:t>
            </w:r>
            <w:r>
              <w:rPr>
                <w:noProof/>
                <w:webHidden/>
              </w:rPr>
              <w:fldChar w:fldCharType="end"/>
            </w:r>
          </w:hyperlink>
        </w:p>
        <w:p w14:paraId="3739E06A" w14:textId="321BA7AD" w:rsidR="009A2699" w:rsidRDefault="009A2699">
          <w:pPr>
            <w:pStyle w:val="TOC3"/>
            <w:rPr>
              <w:rFonts w:asciiTheme="minorHAnsi" w:eastAsiaTheme="minorEastAsia" w:hAnsiTheme="minorHAnsi" w:cstheme="minorBidi"/>
              <w:noProof/>
              <w:lang w:eastAsia="en-AU"/>
            </w:rPr>
          </w:pPr>
          <w:hyperlink w:anchor="_Toc32481906" w:history="1">
            <w:r w:rsidRPr="0035721B">
              <w:rPr>
                <w:rStyle w:val="Hyperlink"/>
                <w:noProof/>
              </w:rPr>
              <w:t>Pharmacokinetics</w:t>
            </w:r>
            <w:r>
              <w:rPr>
                <w:noProof/>
                <w:webHidden/>
              </w:rPr>
              <w:tab/>
            </w:r>
            <w:r>
              <w:rPr>
                <w:noProof/>
                <w:webHidden/>
              </w:rPr>
              <w:fldChar w:fldCharType="begin"/>
            </w:r>
            <w:r>
              <w:rPr>
                <w:noProof/>
                <w:webHidden/>
              </w:rPr>
              <w:instrText xml:space="preserve"> PAGEREF _Toc32481906 \h </w:instrText>
            </w:r>
            <w:r>
              <w:rPr>
                <w:noProof/>
                <w:webHidden/>
              </w:rPr>
            </w:r>
            <w:r>
              <w:rPr>
                <w:noProof/>
                <w:webHidden/>
              </w:rPr>
              <w:fldChar w:fldCharType="separate"/>
            </w:r>
            <w:r>
              <w:rPr>
                <w:noProof/>
                <w:webHidden/>
              </w:rPr>
              <w:t>15</w:t>
            </w:r>
            <w:r>
              <w:rPr>
                <w:noProof/>
                <w:webHidden/>
              </w:rPr>
              <w:fldChar w:fldCharType="end"/>
            </w:r>
          </w:hyperlink>
        </w:p>
        <w:p w14:paraId="42632557" w14:textId="0D2295A8" w:rsidR="009A2699" w:rsidRDefault="009A2699">
          <w:pPr>
            <w:pStyle w:val="TOC3"/>
            <w:rPr>
              <w:rFonts w:asciiTheme="minorHAnsi" w:eastAsiaTheme="minorEastAsia" w:hAnsiTheme="minorHAnsi" w:cstheme="minorBidi"/>
              <w:noProof/>
              <w:lang w:eastAsia="en-AU"/>
            </w:rPr>
          </w:pPr>
          <w:hyperlink w:anchor="_Toc32481907" w:history="1">
            <w:r w:rsidRPr="0035721B">
              <w:rPr>
                <w:rStyle w:val="Hyperlink"/>
                <w:noProof/>
              </w:rPr>
              <w:t>Toxicology</w:t>
            </w:r>
            <w:r>
              <w:rPr>
                <w:noProof/>
                <w:webHidden/>
              </w:rPr>
              <w:tab/>
            </w:r>
            <w:r>
              <w:rPr>
                <w:noProof/>
                <w:webHidden/>
              </w:rPr>
              <w:fldChar w:fldCharType="begin"/>
            </w:r>
            <w:r>
              <w:rPr>
                <w:noProof/>
                <w:webHidden/>
              </w:rPr>
              <w:instrText xml:space="preserve"> PAGEREF _Toc32481907 \h </w:instrText>
            </w:r>
            <w:r>
              <w:rPr>
                <w:noProof/>
                <w:webHidden/>
              </w:rPr>
            </w:r>
            <w:r>
              <w:rPr>
                <w:noProof/>
                <w:webHidden/>
              </w:rPr>
              <w:fldChar w:fldCharType="separate"/>
            </w:r>
            <w:r>
              <w:rPr>
                <w:noProof/>
                <w:webHidden/>
              </w:rPr>
              <w:t>15</w:t>
            </w:r>
            <w:r>
              <w:rPr>
                <w:noProof/>
                <w:webHidden/>
              </w:rPr>
              <w:fldChar w:fldCharType="end"/>
            </w:r>
          </w:hyperlink>
        </w:p>
        <w:p w14:paraId="709C447B" w14:textId="26AEF665" w:rsidR="009A2699" w:rsidRDefault="009A2699">
          <w:pPr>
            <w:pStyle w:val="TOC3"/>
            <w:rPr>
              <w:rFonts w:asciiTheme="minorHAnsi" w:eastAsiaTheme="minorEastAsia" w:hAnsiTheme="minorHAnsi" w:cstheme="minorBidi"/>
              <w:noProof/>
              <w:lang w:eastAsia="en-AU"/>
            </w:rPr>
          </w:pPr>
          <w:hyperlink w:anchor="_Toc32481908" w:history="1">
            <w:r w:rsidRPr="0035721B">
              <w:rPr>
                <w:rStyle w:val="Hyperlink"/>
                <w:noProof/>
              </w:rPr>
              <w:t>Nonclinical summary and conclusions</w:t>
            </w:r>
            <w:r>
              <w:rPr>
                <w:noProof/>
                <w:webHidden/>
              </w:rPr>
              <w:tab/>
            </w:r>
            <w:r>
              <w:rPr>
                <w:noProof/>
                <w:webHidden/>
              </w:rPr>
              <w:fldChar w:fldCharType="begin"/>
            </w:r>
            <w:r>
              <w:rPr>
                <w:noProof/>
                <w:webHidden/>
              </w:rPr>
              <w:instrText xml:space="preserve"> PAGEREF _Toc32481908 \h </w:instrText>
            </w:r>
            <w:r>
              <w:rPr>
                <w:noProof/>
                <w:webHidden/>
              </w:rPr>
            </w:r>
            <w:r>
              <w:rPr>
                <w:noProof/>
                <w:webHidden/>
              </w:rPr>
              <w:fldChar w:fldCharType="separate"/>
            </w:r>
            <w:r>
              <w:rPr>
                <w:noProof/>
                <w:webHidden/>
              </w:rPr>
              <w:t>20</w:t>
            </w:r>
            <w:r>
              <w:rPr>
                <w:noProof/>
                <w:webHidden/>
              </w:rPr>
              <w:fldChar w:fldCharType="end"/>
            </w:r>
          </w:hyperlink>
        </w:p>
        <w:p w14:paraId="35FC26A2" w14:textId="22A9FFB0" w:rsidR="009A2699" w:rsidRDefault="009A2699">
          <w:pPr>
            <w:pStyle w:val="TOC2"/>
            <w:rPr>
              <w:rFonts w:asciiTheme="minorHAnsi" w:eastAsiaTheme="minorEastAsia" w:hAnsiTheme="minorHAnsi" w:cstheme="minorBidi"/>
              <w:b w:val="0"/>
              <w:noProof/>
              <w:sz w:val="22"/>
              <w:lang w:eastAsia="en-AU"/>
            </w:rPr>
          </w:pPr>
          <w:hyperlink w:anchor="_Toc32481909" w:history="1">
            <w:r w:rsidRPr="0035721B">
              <w:rPr>
                <w:rStyle w:val="Hyperlink"/>
                <w:noProof/>
              </w:rPr>
              <w:t>V. Clinical findings</w:t>
            </w:r>
            <w:r>
              <w:rPr>
                <w:noProof/>
                <w:webHidden/>
              </w:rPr>
              <w:tab/>
            </w:r>
            <w:r>
              <w:rPr>
                <w:noProof/>
                <w:webHidden/>
              </w:rPr>
              <w:fldChar w:fldCharType="begin"/>
            </w:r>
            <w:r>
              <w:rPr>
                <w:noProof/>
                <w:webHidden/>
              </w:rPr>
              <w:instrText xml:space="preserve"> PAGEREF _Toc32481909 \h </w:instrText>
            </w:r>
            <w:r>
              <w:rPr>
                <w:noProof/>
                <w:webHidden/>
              </w:rPr>
            </w:r>
            <w:r>
              <w:rPr>
                <w:noProof/>
                <w:webHidden/>
              </w:rPr>
              <w:fldChar w:fldCharType="separate"/>
            </w:r>
            <w:r>
              <w:rPr>
                <w:noProof/>
                <w:webHidden/>
              </w:rPr>
              <w:t>21</w:t>
            </w:r>
            <w:r>
              <w:rPr>
                <w:noProof/>
                <w:webHidden/>
              </w:rPr>
              <w:fldChar w:fldCharType="end"/>
            </w:r>
          </w:hyperlink>
        </w:p>
        <w:p w14:paraId="2562E9BF" w14:textId="4FC3401A" w:rsidR="009A2699" w:rsidRDefault="009A2699">
          <w:pPr>
            <w:pStyle w:val="TOC3"/>
            <w:rPr>
              <w:rFonts w:asciiTheme="minorHAnsi" w:eastAsiaTheme="minorEastAsia" w:hAnsiTheme="minorHAnsi" w:cstheme="minorBidi"/>
              <w:noProof/>
              <w:lang w:eastAsia="en-AU"/>
            </w:rPr>
          </w:pPr>
          <w:hyperlink w:anchor="_Toc32481910" w:history="1">
            <w:r w:rsidRPr="0035721B">
              <w:rPr>
                <w:rStyle w:val="Hyperlink"/>
                <w:noProof/>
              </w:rPr>
              <w:t>Introduction</w:t>
            </w:r>
            <w:r>
              <w:rPr>
                <w:noProof/>
                <w:webHidden/>
              </w:rPr>
              <w:tab/>
            </w:r>
            <w:r>
              <w:rPr>
                <w:noProof/>
                <w:webHidden/>
              </w:rPr>
              <w:fldChar w:fldCharType="begin"/>
            </w:r>
            <w:r>
              <w:rPr>
                <w:noProof/>
                <w:webHidden/>
              </w:rPr>
              <w:instrText xml:space="preserve"> PAGEREF _Toc32481910 \h </w:instrText>
            </w:r>
            <w:r>
              <w:rPr>
                <w:noProof/>
                <w:webHidden/>
              </w:rPr>
            </w:r>
            <w:r>
              <w:rPr>
                <w:noProof/>
                <w:webHidden/>
              </w:rPr>
              <w:fldChar w:fldCharType="separate"/>
            </w:r>
            <w:r>
              <w:rPr>
                <w:noProof/>
                <w:webHidden/>
              </w:rPr>
              <w:t>21</w:t>
            </w:r>
            <w:r>
              <w:rPr>
                <w:noProof/>
                <w:webHidden/>
              </w:rPr>
              <w:fldChar w:fldCharType="end"/>
            </w:r>
          </w:hyperlink>
        </w:p>
        <w:p w14:paraId="5EAE1682" w14:textId="4AF1E7B7" w:rsidR="009A2699" w:rsidRDefault="009A2699">
          <w:pPr>
            <w:pStyle w:val="TOC3"/>
            <w:rPr>
              <w:rFonts w:asciiTheme="minorHAnsi" w:eastAsiaTheme="minorEastAsia" w:hAnsiTheme="minorHAnsi" w:cstheme="minorBidi"/>
              <w:noProof/>
              <w:lang w:eastAsia="en-AU"/>
            </w:rPr>
          </w:pPr>
          <w:hyperlink w:anchor="_Toc32481911" w:history="1">
            <w:r w:rsidRPr="0035721B">
              <w:rPr>
                <w:rStyle w:val="Hyperlink"/>
                <w:noProof/>
              </w:rPr>
              <w:t>Pharmacokinetics</w:t>
            </w:r>
            <w:r>
              <w:rPr>
                <w:noProof/>
                <w:webHidden/>
              </w:rPr>
              <w:tab/>
            </w:r>
            <w:r>
              <w:rPr>
                <w:noProof/>
                <w:webHidden/>
              </w:rPr>
              <w:fldChar w:fldCharType="begin"/>
            </w:r>
            <w:r>
              <w:rPr>
                <w:noProof/>
                <w:webHidden/>
              </w:rPr>
              <w:instrText xml:space="preserve"> PAGEREF _Toc32481911 \h </w:instrText>
            </w:r>
            <w:r>
              <w:rPr>
                <w:noProof/>
                <w:webHidden/>
              </w:rPr>
            </w:r>
            <w:r>
              <w:rPr>
                <w:noProof/>
                <w:webHidden/>
              </w:rPr>
              <w:fldChar w:fldCharType="separate"/>
            </w:r>
            <w:r>
              <w:rPr>
                <w:noProof/>
                <w:webHidden/>
              </w:rPr>
              <w:t>26</w:t>
            </w:r>
            <w:r>
              <w:rPr>
                <w:noProof/>
                <w:webHidden/>
              </w:rPr>
              <w:fldChar w:fldCharType="end"/>
            </w:r>
          </w:hyperlink>
        </w:p>
        <w:p w14:paraId="57A25610" w14:textId="4DBE23B4" w:rsidR="009A2699" w:rsidRDefault="009A2699">
          <w:pPr>
            <w:pStyle w:val="TOC3"/>
            <w:rPr>
              <w:rFonts w:asciiTheme="minorHAnsi" w:eastAsiaTheme="minorEastAsia" w:hAnsiTheme="minorHAnsi" w:cstheme="minorBidi"/>
              <w:noProof/>
              <w:lang w:eastAsia="en-AU"/>
            </w:rPr>
          </w:pPr>
          <w:hyperlink w:anchor="_Toc32481912" w:history="1">
            <w:r w:rsidRPr="0035721B">
              <w:rPr>
                <w:rStyle w:val="Hyperlink"/>
                <w:noProof/>
              </w:rPr>
              <w:t>Pharmacodynamics</w:t>
            </w:r>
            <w:r>
              <w:rPr>
                <w:noProof/>
                <w:webHidden/>
              </w:rPr>
              <w:tab/>
            </w:r>
            <w:r>
              <w:rPr>
                <w:noProof/>
                <w:webHidden/>
              </w:rPr>
              <w:fldChar w:fldCharType="begin"/>
            </w:r>
            <w:r>
              <w:rPr>
                <w:noProof/>
                <w:webHidden/>
              </w:rPr>
              <w:instrText xml:space="preserve"> PAGEREF _Toc32481912 \h </w:instrText>
            </w:r>
            <w:r>
              <w:rPr>
                <w:noProof/>
                <w:webHidden/>
              </w:rPr>
            </w:r>
            <w:r>
              <w:rPr>
                <w:noProof/>
                <w:webHidden/>
              </w:rPr>
              <w:fldChar w:fldCharType="separate"/>
            </w:r>
            <w:r>
              <w:rPr>
                <w:noProof/>
                <w:webHidden/>
              </w:rPr>
              <w:t>27</w:t>
            </w:r>
            <w:r>
              <w:rPr>
                <w:noProof/>
                <w:webHidden/>
              </w:rPr>
              <w:fldChar w:fldCharType="end"/>
            </w:r>
          </w:hyperlink>
        </w:p>
        <w:p w14:paraId="09CC7FAE" w14:textId="1F0C3FD9" w:rsidR="009A2699" w:rsidRDefault="009A2699">
          <w:pPr>
            <w:pStyle w:val="TOC3"/>
            <w:rPr>
              <w:rFonts w:asciiTheme="minorHAnsi" w:eastAsiaTheme="minorEastAsia" w:hAnsiTheme="minorHAnsi" w:cstheme="minorBidi"/>
              <w:noProof/>
              <w:lang w:eastAsia="en-AU"/>
            </w:rPr>
          </w:pPr>
          <w:hyperlink w:anchor="_Toc32481913" w:history="1">
            <w:r w:rsidRPr="0035721B">
              <w:rPr>
                <w:rStyle w:val="Hyperlink"/>
                <w:noProof/>
              </w:rPr>
              <w:t>Dosage selection for the pivotal studies</w:t>
            </w:r>
            <w:r>
              <w:rPr>
                <w:noProof/>
                <w:webHidden/>
              </w:rPr>
              <w:tab/>
            </w:r>
            <w:r>
              <w:rPr>
                <w:noProof/>
                <w:webHidden/>
              </w:rPr>
              <w:fldChar w:fldCharType="begin"/>
            </w:r>
            <w:r>
              <w:rPr>
                <w:noProof/>
                <w:webHidden/>
              </w:rPr>
              <w:instrText xml:space="preserve"> PAGEREF _Toc32481913 \h </w:instrText>
            </w:r>
            <w:r>
              <w:rPr>
                <w:noProof/>
                <w:webHidden/>
              </w:rPr>
            </w:r>
            <w:r>
              <w:rPr>
                <w:noProof/>
                <w:webHidden/>
              </w:rPr>
              <w:fldChar w:fldCharType="separate"/>
            </w:r>
            <w:r>
              <w:rPr>
                <w:noProof/>
                <w:webHidden/>
              </w:rPr>
              <w:t>28</w:t>
            </w:r>
            <w:r>
              <w:rPr>
                <w:noProof/>
                <w:webHidden/>
              </w:rPr>
              <w:fldChar w:fldCharType="end"/>
            </w:r>
          </w:hyperlink>
        </w:p>
        <w:p w14:paraId="054ADDDA" w14:textId="3DE7DE52" w:rsidR="009A2699" w:rsidRDefault="009A2699">
          <w:pPr>
            <w:pStyle w:val="TOC3"/>
            <w:rPr>
              <w:rFonts w:asciiTheme="minorHAnsi" w:eastAsiaTheme="minorEastAsia" w:hAnsiTheme="minorHAnsi" w:cstheme="minorBidi"/>
              <w:noProof/>
              <w:lang w:eastAsia="en-AU"/>
            </w:rPr>
          </w:pPr>
          <w:hyperlink w:anchor="_Toc32481914" w:history="1">
            <w:r w:rsidRPr="0035721B">
              <w:rPr>
                <w:rStyle w:val="Hyperlink"/>
                <w:noProof/>
              </w:rPr>
              <w:t>Efficacy</w:t>
            </w:r>
            <w:r>
              <w:rPr>
                <w:noProof/>
                <w:webHidden/>
              </w:rPr>
              <w:tab/>
            </w:r>
            <w:r>
              <w:rPr>
                <w:noProof/>
                <w:webHidden/>
              </w:rPr>
              <w:fldChar w:fldCharType="begin"/>
            </w:r>
            <w:r>
              <w:rPr>
                <w:noProof/>
                <w:webHidden/>
              </w:rPr>
              <w:instrText xml:space="preserve"> PAGEREF _Toc32481914 \h </w:instrText>
            </w:r>
            <w:r>
              <w:rPr>
                <w:noProof/>
                <w:webHidden/>
              </w:rPr>
            </w:r>
            <w:r>
              <w:rPr>
                <w:noProof/>
                <w:webHidden/>
              </w:rPr>
              <w:fldChar w:fldCharType="separate"/>
            </w:r>
            <w:r>
              <w:rPr>
                <w:noProof/>
                <w:webHidden/>
              </w:rPr>
              <w:t>30</w:t>
            </w:r>
            <w:r>
              <w:rPr>
                <w:noProof/>
                <w:webHidden/>
              </w:rPr>
              <w:fldChar w:fldCharType="end"/>
            </w:r>
          </w:hyperlink>
        </w:p>
        <w:p w14:paraId="242DAB0B" w14:textId="0C0E163F" w:rsidR="009A2699" w:rsidRDefault="009A2699">
          <w:pPr>
            <w:pStyle w:val="TOC3"/>
            <w:rPr>
              <w:rFonts w:asciiTheme="minorHAnsi" w:eastAsiaTheme="minorEastAsia" w:hAnsiTheme="minorHAnsi" w:cstheme="minorBidi"/>
              <w:noProof/>
              <w:lang w:eastAsia="en-AU"/>
            </w:rPr>
          </w:pPr>
          <w:hyperlink w:anchor="_Toc32481915" w:history="1">
            <w:r w:rsidRPr="0035721B">
              <w:rPr>
                <w:rStyle w:val="Hyperlink"/>
                <w:noProof/>
              </w:rPr>
              <w:t>Safety</w:t>
            </w:r>
            <w:r>
              <w:rPr>
                <w:noProof/>
                <w:webHidden/>
              </w:rPr>
              <w:tab/>
            </w:r>
            <w:r>
              <w:rPr>
                <w:noProof/>
                <w:webHidden/>
              </w:rPr>
              <w:fldChar w:fldCharType="begin"/>
            </w:r>
            <w:r>
              <w:rPr>
                <w:noProof/>
                <w:webHidden/>
              </w:rPr>
              <w:instrText xml:space="preserve"> PAGEREF _Toc32481915 \h </w:instrText>
            </w:r>
            <w:r>
              <w:rPr>
                <w:noProof/>
                <w:webHidden/>
              </w:rPr>
            </w:r>
            <w:r>
              <w:rPr>
                <w:noProof/>
                <w:webHidden/>
              </w:rPr>
              <w:fldChar w:fldCharType="separate"/>
            </w:r>
            <w:r>
              <w:rPr>
                <w:noProof/>
                <w:webHidden/>
              </w:rPr>
              <w:t>39</w:t>
            </w:r>
            <w:r>
              <w:rPr>
                <w:noProof/>
                <w:webHidden/>
              </w:rPr>
              <w:fldChar w:fldCharType="end"/>
            </w:r>
          </w:hyperlink>
        </w:p>
        <w:p w14:paraId="07079D57" w14:textId="51675EEB" w:rsidR="009A2699" w:rsidRDefault="009A2699">
          <w:pPr>
            <w:pStyle w:val="TOC3"/>
            <w:rPr>
              <w:rFonts w:asciiTheme="minorHAnsi" w:eastAsiaTheme="minorEastAsia" w:hAnsiTheme="minorHAnsi" w:cstheme="minorBidi"/>
              <w:noProof/>
              <w:lang w:eastAsia="en-AU"/>
            </w:rPr>
          </w:pPr>
          <w:hyperlink w:anchor="_Toc32481916" w:history="1">
            <w:r w:rsidRPr="0035721B">
              <w:rPr>
                <w:rStyle w:val="Hyperlink"/>
                <w:noProof/>
              </w:rPr>
              <w:t>First round benefit-risk assessment</w:t>
            </w:r>
            <w:r>
              <w:rPr>
                <w:noProof/>
                <w:webHidden/>
              </w:rPr>
              <w:tab/>
            </w:r>
            <w:r>
              <w:rPr>
                <w:noProof/>
                <w:webHidden/>
              </w:rPr>
              <w:fldChar w:fldCharType="begin"/>
            </w:r>
            <w:r>
              <w:rPr>
                <w:noProof/>
                <w:webHidden/>
              </w:rPr>
              <w:instrText xml:space="preserve"> PAGEREF _Toc32481916 \h </w:instrText>
            </w:r>
            <w:r>
              <w:rPr>
                <w:noProof/>
                <w:webHidden/>
              </w:rPr>
            </w:r>
            <w:r>
              <w:rPr>
                <w:noProof/>
                <w:webHidden/>
              </w:rPr>
              <w:fldChar w:fldCharType="separate"/>
            </w:r>
            <w:r>
              <w:rPr>
                <w:noProof/>
                <w:webHidden/>
              </w:rPr>
              <w:t>65</w:t>
            </w:r>
            <w:r>
              <w:rPr>
                <w:noProof/>
                <w:webHidden/>
              </w:rPr>
              <w:fldChar w:fldCharType="end"/>
            </w:r>
          </w:hyperlink>
        </w:p>
        <w:p w14:paraId="4A2BCC00" w14:textId="5EBA5EE0" w:rsidR="009A2699" w:rsidRDefault="009A2699">
          <w:pPr>
            <w:pStyle w:val="TOC3"/>
            <w:rPr>
              <w:rFonts w:asciiTheme="minorHAnsi" w:eastAsiaTheme="minorEastAsia" w:hAnsiTheme="minorHAnsi" w:cstheme="minorBidi"/>
              <w:noProof/>
              <w:lang w:eastAsia="en-AU"/>
            </w:rPr>
          </w:pPr>
          <w:hyperlink w:anchor="_Toc32481917" w:history="1">
            <w:r w:rsidRPr="0035721B">
              <w:rPr>
                <w:rStyle w:val="Hyperlink"/>
                <w:noProof/>
              </w:rPr>
              <w:t>First round recommendation regarding authorisation</w:t>
            </w:r>
            <w:r>
              <w:rPr>
                <w:noProof/>
                <w:webHidden/>
              </w:rPr>
              <w:tab/>
            </w:r>
            <w:r>
              <w:rPr>
                <w:noProof/>
                <w:webHidden/>
              </w:rPr>
              <w:fldChar w:fldCharType="begin"/>
            </w:r>
            <w:r>
              <w:rPr>
                <w:noProof/>
                <w:webHidden/>
              </w:rPr>
              <w:instrText xml:space="preserve"> PAGEREF _Toc32481917 \h </w:instrText>
            </w:r>
            <w:r>
              <w:rPr>
                <w:noProof/>
                <w:webHidden/>
              </w:rPr>
            </w:r>
            <w:r>
              <w:rPr>
                <w:noProof/>
                <w:webHidden/>
              </w:rPr>
              <w:fldChar w:fldCharType="separate"/>
            </w:r>
            <w:r>
              <w:rPr>
                <w:noProof/>
                <w:webHidden/>
              </w:rPr>
              <w:t>71</w:t>
            </w:r>
            <w:r>
              <w:rPr>
                <w:noProof/>
                <w:webHidden/>
              </w:rPr>
              <w:fldChar w:fldCharType="end"/>
            </w:r>
          </w:hyperlink>
        </w:p>
        <w:p w14:paraId="0D3DFB16" w14:textId="26C4E670" w:rsidR="009A2699" w:rsidRDefault="009A2699">
          <w:pPr>
            <w:pStyle w:val="TOC3"/>
            <w:rPr>
              <w:rFonts w:asciiTheme="minorHAnsi" w:eastAsiaTheme="minorEastAsia" w:hAnsiTheme="minorHAnsi" w:cstheme="minorBidi"/>
              <w:noProof/>
              <w:lang w:eastAsia="en-AU"/>
            </w:rPr>
          </w:pPr>
          <w:hyperlink w:anchor="_Toc32481918" w:history="1">
            <w:r w:rsidRPr="0035721B">
              <w:rPr>
                <w:rStyle w:val="Hyperlink"/>
                <w:noProof/>
              </w:rPr>
              <w:t>Clinical questions and second round evaluation</w:t>
            </w:r>
            <w:r>
              <w:rPr>
                <w:noProof/>
                <w:webHidden/>
              </w:rPr>
              <w:tab/>
            </w:r>
            <w:r>
              <w:rPr>
                <w:noProof/>
                <w:webHidden/>
              </w:rPr>
              <w:fldChar w:fldCharType="begin"/>
            </w:r>
            <w:r>
              <w:rPr>
                <w:noProof/>
                <w:webHidden/>
              </w:rPr>
              <w:instrText xml:space="preserve"> PAGEREF _Toc32481918 \h </w:instrText>
            </w:r>
            <w:r>
              <w:rPr>
                <w:noProof/>
                <w:webHidden/>
              </w:rPr>
            </w:r>
            <w:r>
              <w:rPr>
                <w:noProof/>
                <w:webHidden/>
              </w:rPr>
              <w:fldChar w:fldCharType="separate"/>
            </w:r>
            <w:r>
              <w:rPr>
                <w:noProof/>
                <w:webHidden/>
              </w:rPr>
              <w:t>71</w:t>
            </w:r>
            <w:r>
              <w:rPr>
                <w:noProof/>
                <w:webHidden/>
              </w:rPr>
              <w:fldChar w:fldCharType="end"/>
            </w:r>
          </w:hyperlink>
        </w:p>
        <w:p w14:paraId="1DD641BA" w14:textId="4D8A926C" w:rsidR="009A2699" w:rsidRDefault="009A2699">
          <w:pPr>
            <w:pStyle w:val="TOC3"/>
            <w:rPr>
              <w:rFonts w:asciiTheme="minorHAnsi" w:eastAsiaTheme="minorEastAsia" w:hAnsiTheme="minorHAnsi" w:cstheme="minorBidi"/>
              <w:noProof/>
              <w:lang w:eastAsia="en-AU"/>
            </w:rPr>
          </w:pPr>
          <w:hyperlink w:anchor="_Toc32481919" w:history="1">
            <w:r w:rsidRPr="0035721B">
              <w:rPr>
                <w:rStyle w:val="Hyperlink"/>
                <w:noProof/>
              </w:rPr>
              <w:t>Second round benefit-risk assessment</w:t>
            </w:r>
            <w:r>
              <w:rPr>
                <w:noProof/>
                <w:webHidden/>
              </w:rPr>
              <w:tab/>
            </w:r>
            <w:r>
              <w:rPr>
                <w:noProof/>
                <w:webHidden/>
              </w:rPr>
              <w:fldChar w:fldCharType="begin"/>
            </w:r>
            <w:r>
              <w:rPr>
                <w:noProof/>
                <w:webHidden/>
              </w:rPr>
              <w:instrText xml:space="preserve"> PAGEREF _Toc32481919 \h </w:instrText>
            </w:r>
            <w:r>
              <w:rPr>
                <w:noProof/>
                <w:webHidden/>
              </w:rPr>
            </w:r>
            <w:r>
              <w:rPr>
                <w:noProof/>
                <w:webHidden/>
              </w:rPr>
              <w:fldChar w:fldCharType="separate"/>
            </w:r>
            <w:r>
              <w:rPr>
                <w:noProof/>
                <w:webHidden/>
              </w:rPr>
              <w:t>77</w:t>
            </w:r>
            <w:r>
              <w:rPr>
                <w:noProof/>
                <w:webHidden/>
              </w:rPr>
              <w:fldChar w:fldCharType="end"/>
            </w:r>
          </w:hyperlink>
        </w:p>
        <w:p w14:paraId="3FA44207" w14:textId="66EA72C2" w:rsidR="009A2699" w:rsidRDefault="009A2699">
          <w:pPr>
            <w:pStyle w:val="TOC2"/>
            <w:rPr>
              <w:rFonts w:asciiTheme="minorHAnsi" w:eastAsiaTheme="minorEastAsia" w:hAnsiTheme="minorHAnsi" w:cstheme="minorBidi"/>
              <w:b w:val="0"/>
              <w:noProof/>
              <w:sz w:val="22"/>
              <w:lang w:eastAsia="en-AU"/>
            </w:rPr>
          </w:pPr>
          <w:hyperlink w:anchor="_Toc32481920" w:history="1">
            <w:r w:rsidRPr="0035721B">
              <w:rPr>
                <w:rStyle w:val="Hyperlink"/>
                <w:noProof/>
              </w:rPr>
              <w:t>VI. Pharmacovigilance findings</w:t>
            </w:r>
            <w:r>
              <w:rPr>
                <w:noProof/>
                <w:webHidden/>
              </w:rPr>
              <w:tab/>
            </w:r>
            <w:r>
              <w:rPr>
                <w:noProof/>
                <w:webHidden/>
              </w:rPr>
              <w:fldChar w:fldCharType="begin"/>
            </w:r>
            <w:r>
              <w:rPr>
                <w:noProof/>
                <w:webHidden/>
              </w:rPr>
              <w:instrText xml:space="preserve"> PAGEREF _Toc32481920 \h </w:instrText>
            </w:r>
            <w:r>
              <w:rPr>
                <w:noProof/>
                <w:webHidden/>
              </w:rPr>
            </w:r>
            <w:r>
              <w:rPr>
                <w:noProof/>
                <w:webHidden/>
              </w:rPr>
              <w:fldChar w:fldCharType="separate"/>
            </w:r>
            <w:r>
              <w:rPr>
                <w:noProof/>
                <w:webHidden/>
              </w:rPr>
              <w:t>79</w:t>
            </w:r>
            <w:r>
              <w:rPr>
                <w:noProof/>
                <w:webHidden/>
              </w:rPr>
              <w:fldChar w:fldCharType="end"/>
            </w:r>
          </w:hyperlink>
        </w:p>
        <w:p w14:paraId="1B85EEFF" w14:textId="03CDB84E" w:rsidR="009A2699" w:rsidRDefault="009A2699">
          <w:pPr>
            <w:pStyle w:val="TOC3"/>
            <w:rPr>
              <w:rFonts w:asciiTheme="minorHAnsi" w:eastAsiaTheme="minorEastAsia" w:hAnsiTheme="minorHAnsi" w:cstheme="minorBidi"/>
              <w:noProof/>
              <w:lang w:eastAsia="en-AU"/>
            </w:rPr>
          </w:pPr>
          <w:hyperlink w:anchor="_Toc32481921" w:history="1">
            <w:r w:rsidRPr="0035721B">
              <w:rPr>
                <w:rStyle w:val="Hyperlink"/>
                <w:noProof/>
                <w:lang w:eastAsia="en-AU"/>
              </w:rPr>
              <w:t>Risk management plan</w:t>
            </w:r>
            <w:r>
              <w:rPr>
                <w:noProof/>
                <w:webHidden/>
              </w:rPr>
              <w:tab/>
            </w:r>
            <w:r>
              <w:rPr>
                <w:noProof/>
                <w:webHidden/>
              </w:rPr>
              <w:fldChar w:fldCharType="begin"/>
            </w:r>
            <w:r>
              <w:rPr>
                <w:noProof/>
                <w:webHidden/>
              </w:rPr>
              <w:instrText xml:space="preserve"> PAGEREF _Toc32481921 \h </w:instrText>
            </w:r>
            <w:r>
              <w:rPr>
                <w:noProof/>
                <w:webHidden/>
              </w:rPr>
            </w:r>
            <w:r>
              <w:rPr>
                <w:noProof/>
                <w:webHidden/>
              </w:rPr>
              <w:fldChar w:fldCharType="separate"/>
            </w:r>
            <w:r>
              <w:rPr>
                <w:noProof/>
                <w:webHidden/>
              </w:rPr>
              <w:t>79</w:t>
            </w:r>
            <w:r>
              <w:rPr>
                <w:noProof/>
                <w:webHidden/>
              </w:rPr>
              <w:fldChar w:fldCharType="end"/>
            </w:r>
          </w:hyperlink>
        </w:p>
        <w:p w14:paraId="7C2E680D" w14:textId="389D391D" w:rsidR="009A2699" w:rsidRDefault="009A2699">
          <w:pPr>
            <w:pStyle w:val="TOC2"/>
            <w:rPr>
              <w:rFonts w:asciiTheme="minorHAnsi" w:eastAsiaTheme="minorEastAsia" w:hAnsiTheme="minorHAnsi" w:cstheme="minorBidi"/>
              <w:b w:val="0"/>
              <w:noProof/>
              <w:sz w:val="22"/>
              <w:lang w:eastAsia="en-AU"/>
            </w:rPr>
          </w:pPr>
          <w:hyperlink w:anchor="_Toc32481922" w:history="1">
            <w:r w:rsidRPr="0035721B">
              <w:rPr>
                <w:rStyle w:val="Hyperlink"/>
                <w:noProof/>
              </w:rPr>
              <w:t>VII. Overall conclusion and risk/benefit assessment</w:t>
            </w:r>
            <w:r>
              <w:rPr>
                <w:noProof/>
                <w:webHidden/>
              </w:rPr>
              <w:tab/>
            </w:r>
            <w:r>
              <w:rPr>
                <w:noProof/>
                <w:webHidden/>
              </w:rPr>
              <w:fldChar w:fldCharType="begin"/>
            </w:r>
            <w:r>
              <w:rPr>
                <w:noProof/>
                <w:webHidden/>
              </w:rPr>
              <w:instrText xml:space="preserve"> PAGEREF _Toc32481922 \h </w:instrText>
            </w:r>
            <w:r>
              <w:rPr>
                <w:noProof/>
                <w:webHidden/>
              </w:rPr>
            </w:r>
            <w:r>
              <w:rPr>
                <w:noProof/>
                <w:webHidden/>
              </w:rPr>
              <w:fldChar w:fldCharType="separate"/>
            </w:r>
            <w:r>
              <w:rPr>
                <w:noProof/>
                <w:webHidden/>
              </w:rPr>
              <w:t>81</w:t>
            </w:r>
            <w:r>
              <w:rPr>
                <w:noProof/>
                <w:webHidden/>
              </w:rPr>
              <w:fldChar w:fldCharType="end"/>
            </w:r>
          </w:hyperlink>
        </w:p>
        <w:p w14:paraId="1B5ABC80" w14:textId="4050832C" w:rsidR="009A2699" w:rsidRDefault="009A2699">
          <w:pPr>
            <w:pStyle w:val="TOC3"/>
            <w:rPr>
              <w:rFonts w:asciiTheme="minorHAnsi" w:eastAsiaTheme="minorEastAsia" w:hAnsiTheme="minorHAnsi" w:cstheme="minorBidi"/>
              <w:noProof/>
              <w:lang w:eastAsia="en-AU"/>
            </w:rPr>
          </w:pPr>
          <w:hyperlink w:anchor="_Toc32481923" w:history="1">
            <w:r w:rsidRPr="0035721B">
              <w:rPr>
                <w:rStyle w:val="Hyperlink"/>
                <w:noProof/>
              </w:rPr>
              <w:t>Background</w:t>
            </w:r>
            <w:r>
              <w:rPr>
                <w:noProof/>
                <w:webHidden/>
              </w:rPr>
              <w:tab/>
            </w:r>
            <w:r>
              <w:rPr>
                <w:noProof/>
                <w:webHidden/>
              </w:rPr>
              <w:fldChar w:fldCharType="begin"/>
            </w:r>
            <w:r>
              <w:rPr>
                <w:noProof/>
                <w:webHidden/>
              </w:rPr>
              <w:instrText xml:space="preserve"> PAGEREF _Toc32481923 \h </w:instrText>
            </w:r>
            <w:r>
              <w:rPr>
                <w:noProof/>
                <w:webHidden/>
              </w:rPr>
            </w:r>
            <w:r>
              <w:rPr>
                <w:noProof/>
                <w:webHidden/>
              </w:rPr>
              <w:fldChar w:fldCharType="separate"/>
            </w:r>
            <w:r>
              <w:rPr>
                <w:noProof/>
                <w:webHidden/>
              </w:rPr>
              <w:t>81</w:t>
            </w:r>
            <w:r>
              <w:rPr>
                <w:noProof/>
                <w:webHidden/>
              </w:rPr>
              <w:fldChar w:fldCharType="end"/>
            </w:r>
          </w:hyperlink>
        </w:p>
        <w:p w14:paraId="02FE450F" w14:textId="61AD1665" w:rsidR="009A2699" w:rsidRDefault="009A2699">
          <w:pPr>
            <w:pStyle w:val="TOC3"/>
            <w:rPr>
              <w:rFonts w:asciiTheme="minorHAnsi" w:eastAsiaTheme="minorEastAsia" w:hAnsiTheme="minorHAnsi" w:cstheme="minorBidi"/>
              <w:noProof/>
              <w:lang w:eastAsia="en-AU"/>
            </w:rPr>
          </w:pPr>
          <w:hyperlink w:anchor="_Toc32481924" w:history="1">
            <w:r w:rsidRPr="0035721B">
              <w:rPr>
                <w:rStyle w:val="Hyperlink"/>
                <w:noProof/>
              </w:rPr>
              <w:t>Quality</w:t>
            </w:r>
            <w:r>
              <w:rPr>
                <w:noProof/>
                <w:webHidden/>
              </w:rPr>
              <w:tab/>
            </w:r>
            <w:r>
              <w:rPr>
                <w:noProof/>
                <w:webHidden/>
              </w:rPr>
              <w:fldChar w:fldCharType="begin"/>
            </w:r>
            <w:r>
              <w:rPr>
                <w:noProof/>
                <w:webHidden/>
              </w:rPr>
              <w:instrText xml:space="preserve"> PAGEREF _Toc32481924 \h </w:instrText>
            </w:r>
            <w:r>
              <w:rPr>
                <w:noProof/>
                <w:webHidden/>
              </w:rPr>
            </w:r>
            <w:r>
              <w:rPr>
                <w:noProof/>
                <w:webHidden/>
              </w:rPr>
              <w:fldChar w:fldCharType="separate"/>
            </w:r>
            <w:r>
              <w:rPr>
                <w:noProof/>
                <w:webHidden/>
              </w:rPr>
              <w:t>84</w:t>
            </w:r>
            <w:r>
              <w:rPr>
                <w:noProof/>
                <w:webHidden/>
              </w:rPr>
              <w:fldChar w:fldCharType="end"/>
            </w:r>
          </w:hyperlink>
        </w:p>
        <w:p w14:paraId="6FABF9A8" w14:textId="3221C412" w:rsidR="009A2699" w:rsidRDefault="009A2699">
          <w:pPr>
            <w:pStyle w:val="TOC3"/>
            <w:rPr>
              <w:rFonts w:asciiTheme="minorHAnsi" w:eastAsiaTheme="minorEastAsia" w:hAnsiTheme="minorHAnsi" w:cstheme="minorBidi"/>
              <w:noProof/>
              <w:lang w:eastAsia="en-AU"/>
            </w:rPr>
          </w:pPr>
          <w:hyperlink w:anchor="_Toc32481925" w:history="1">
            <w:r w:rsidRPr="0035721B">
              <w:rPr>
                <w:rStyle w:val="Hyperlink"/>
                <w:noProof/>
              </w:rPr>
              <w:t>Nonclinical</w:t>
            </w:r>
            <w:r>
              <w:rPr>
                <w:noProof/>
                <w:webHidden/>
              </w:rPr>
              <w:tab/>
            </w:r>
            <w:r>
              <w:rPr>
                <w:noProof/>
                <w:webHidden/>
              </w:rPr>
              <w:fldChar w:fldCharType="begin"/>
            </w:r>
            <w:r>
              <w:rPr>
                <w:noProof/>
                <w:webHidden/>
              </w:rPr>
              <w:instrText xml:space="preserve"> PAGEREF _Toc32481925 \h </w:instrText>
            </w:r>
            <w:r>
              <w:rPr>
                <w:noProof/>
                <w:webHidden/>
              </w:rPr>
            </w:r>
            <w:r>
              <w:rPr>
                <w:noProof/>
                <w:webHidden/>
              </w:rPr>
              <w:fldChar w:fldCharType="separate"/>
            </w:r>
            <w:r>
              <w:rPr>
                <w:noProof/>
                <w:webHidden/>
              </w:rPr>
              <w:t>84</w:t>
            </w:r>
            <w:r>
              <w:rPr>
                <w:noProof/>
                <w:webHidden/>
              </w:rPr>
              <w:fldChar w:fldCharType="end"/>
            </w:r>
          </w:hyperlink>
        </w:p>
        <w:p w14:paraId="33959E7E" w14:textId="70CAEB3E" w:rsidR="009A2699" w:rsidRDefault="009A2699">
          <w:pPr>
            <w:pStyle w:val="TOC3"/>
            <w:rPr>
              <w:rFonts w:asciiTheme="minorHAnsi" w:eastAsiaTheme="minorEastAsia" w:hAnsiTheme="minorHAnsi" w:cstheme="minorBidi"/>
              <w:noProof/>
              <w:lang w:eastAsia="en-AU"/>
            </w:rPr>
          </w:pPr>
          <w:hyperlink w:anchor="_Toc32481926" w:history="1">
            <w:r w:rsidRPr="0035721B">
              <w:rPr>
                <w:rStyle w:val="Hyperlink"/>
                <w:noProof/>
              </w:rPr>
              <w:t>Clinical</w:t>
            </w:r>
            <w:r>
              <w:rPr>
                <w:noProof/>
                <w:webHidden/>
              </w:rPr>
              <w:tab/>
            </w:r>
            <w:r>
              <w:rPr>
                <w:noProof/>
                <w:webHidden/>
              </w:rPr>
              <w:fldChar w:fldCharType="begin"/>
            </w:r>
            <w:r>
              <w:rPr>
                <w:noProof/>
                <w:webHidden/>
              </w:rPr>
              <w:instrText xml:space="preserve"> PAGEREF _Toc32481926 \h </w:instrText>
            </w:r>
            <w:r>
              <w:rPr>
                <w:noProof/>
                <w:webHidden/>
              </w:rPr>
            </w:r>
            <w:r>
              <w:rPr>
                <w:noProof/>
                <w:webHidden/>
              </w:rPr>
              <w:fldChar w:fldCharType="separate"/>
            </w:r>
            <w:r>
              <w:rPr>
                <w:noProof/>
                <w:webHidden/>
              </w:rPr>
              <w:t>85</w:t>
            </w:r>
            <w:r>
              <w:rPr>
                <w:noProof/>
                <w:webHidden/>
              </w:rPr>
              <w:fldChar w:fldCharType="end"/>
            </w:r>
          </w:hyperlink>
        </w:p>
        <w:p w14:paraId="0DEE06F1" w14:textId="45905328" w:rsidR="009A2699" w:rsidRDefault="009A2699">
          <w:pPr>
            <w:pStyle w:val="TOC3"/>
            <w:rPr>
              <w:rFonts w:asciiTheme="minorHAnsi" w:eastAsiaTheme="minorEastAsia" w:hAnsiTheme="minorHAnsi" w:cstheme="minorBidi"/>
              <w:noProof/>
              <w:lang w:eastAsia="en-AU"/>
            </w:rPr>
          </w:pPr>
          <w:hyperlink w:anchor="_Toc32481927" w:history="1">
            <w:r w:rsidRPr="0035721B">
              <w:rPr>
                <w:rStyle w:val="Hyperlink"/>
                <w:noProof/>
                <w:lang w:eastAsia="en-AU"/>
              </w:rPr>
              <w:t>Risk management plan</w:t>
            </w:r>
            <w:r>
              <w:rPr>
                <w:noProof/>
                <w:webHidden/>
              </w:rPr>
              <w:tab/>
            </w:r>
            <w:r>
              <w:rPr>
                <w:noProof/>
                <w:webHidden/>
              </w:rPr>
              <w:fldChar w:fldCharType="begin"/>
            </w:r>
            <w:r>
              <w:rPr>
                <w:noProof/>
                <w:webHidden/>
              </w:rPr>
              <w:instrText xml:space="preserve"> PAGEREF _Toc32481927 \h </w:instrText>
            </w:r>
            <w:r>
              <w:rPr>
                <w:noProof/>
                <w:webHidden/>
              </w:rPr>
            </w:r>
            <w:r>
              <w:rPr>
                <w:noProof/>
                <w:webHidden/>
              </w:rPr>
              <w:fldChar w:fldCharType="separate"/>
            </w:r>
            <w:r>
              <w:rPr>
                <w:noProof/>
                <w:webHidden/>
              </w:rPr>
              <w:t>93</w:t>
            </w:r>
            <w:r>
              <w:rPr>
                <w:noProof/>
                <w:webHidden/>
              </w:rPr>
              <w:fldChar w:fldCharType="end"/>
            </w:r>
          </w:hyperlink>
        </w:p>
        <w:p w14:paraId="7F8D03BE" w14:textId="0D01AB83" w:rsidR="009A2699" w:rsidRDefault="009A2699">
          <w:pPr>
            <w:pStyle w:val="TOC3"/>
            <w:rPr>
              <w:rFonts w:asciiTheme="minorHAnsi" w:eastAsiaTheme="minorEastAsia" w:hAnsiTheme="minorHAnsi" w:cstheme="minorBidi"/>
              <w:noProof/>
              <w:lang w:eastAsia="en-AU"/>
            </w:rPr>
          </w:pPr>
          <w:hyperlink w:anchor="_Toc32481928" w:history="1">
            <w:r w:rsidRPr="0035721B">
              <w:rPr>
                <w:rStyle w:val="Hyperlink"/>
                <w:noProof/>
              </w:rPr>
              <w:t>Risk-benefit analysis</w:t>
            </w:r>
            <w:r>
              <w:rPr>
                <w:noProof/>
                <w:webHidden/>
              </w:rPr>
              <w:tab/>
            </w:r>
            <w:r>
              <w:rPr>
                <w:noProof/>
                <w:webHidden/>
              </w:rPr>
              <w:fldChar w:fldCharType="begin"/>
            </w:r>
            <w:r>
              <w:rPr>
                <w:noProof/>
                <w:webHidden/>
              </w:rPr>
              <w:instrText xml:space="preserve"> PAGEREF _Toc32481928 \h </w:instrText>
            </w:r>
            <w:r>
              <w:rPr>
                <w:noProof/>
                <w:webHidden/>
              </w:rPr>
            </w:r>
            <w:r>
              <w:rPr>
                <w:noProof/>
                <w:webHidden/>
              </w:rPr>
              <w:fldChar w:fldCharType="separate"/>
            </w:r>
            <w:r>
              <w:rPr>
                <w:noProof/>
                <w:webHidden/>
              </w:rPr>
              <w:t>93</w:t>
            </w:r>
            <w:r>
              <w:rPr>
                <w:noProof/>
                <w:webHidden/>
              </w:rPr>
              <w:fldChar w:fldCharType="end"/>
            </w:r>
          </w:hyperlink>
        </w:p>
        <w:p w14:paraId="5FD59911" w14:textId="60A104FB" w:rsidR="009A2699" w:rsidRDefault="009A2699">
          <w:pPr>
            <w:pStyle w:val="TOC3"/>
            <w:rPr>
              <w:rFonts w:asciiTheme="minorHAnsi" w:eastAsiaTheme="minorEastAsia" w:hAnsiTheme="minorHAnsi" w:cstheme="minorBidi"/>
              <w:noProof/>
              <w:lang w:eastAsia="en-AU"/>
            </w:rPr>
          </w:pPr>
          <w:hyperlink w:anchor="_Toc32481929" w:history="1">
            <w:r w:rsidRPr="0035721B">
              <w:rPr>
                <w:rStyle w:val="Hyperlink"/>
                <w:noProof/>
              </w:rPr>
              <w:t>Outcome</w:t>
            </w:r>
            <w:r>
              <w:rPr>
                <w:noProof/>
                <w:webHidden/>
              </w:rPr>
              <w:tab/>
            </w:r>
            <w:r>
              <w:rPr>
                <w:noProof/>
                <w:webHidden/>
              </w:rPr>
              <w:fldChar w:fldCharType="begin"/>
            </w:r>
            <w:r>
              <w:rPr>
                <w:noProof/>
                <w:webHidden/>
              </w:rPr>
              <w:instrText xml:space="preserve"> PAGEREF _Toc32481929 \h </w:instrText>
            </w:r>
            <w:r>
              <w:rPr>
                <w:noProof/>
                <w:webHidden/>
              </w:rPr>
            </w:r>
            <w:r>
              <w:rPr>
                <w:noProof/>
                <w:webHidden/>
              </w:rPr>
              <w:fldChar w:fldCharType="separate"/>
            </w:r>
            <w:r>
              <w:rPr>
                <w:noProof/>
                <w:webHidden/>
              </w:rPr>
              <w:t>112</w:t>
            </w:r>
            <w:r>
              <w:rPr>
                <w:noProof/>
                <w:webHidden/>
              </w:rPr>
              <w:fldChar w:fldCharType="end"/>
            </w:r>
          </w:hyperlink>
        </w:p>
        <w:p w14:paraId="205E038F" w14:textId="213FC974" w:rsidR="009A2699" w:rsidRDefault="009A2699">
          <w:pPr>
            <w:pStyle w:val="TOC2"/>
            <w:rPr>
              <w:rFonts w:asciiTheme="minorHAnsi" w:eastAsiaTheme="minorEastAsia" w:hAnsiTheme="minorHAnsi" w:cstheme="minorBidi"/>
              <w:b w:val="0"/>
              <w:noProof/>
              <w:sz w:val="22"/>
              <w:lang w:eastAsia="en-AU"/>
            </w:rPr>
          </w:pPr>
          <w:hyperlink w:anchor="_Toc32481930" w:history="1">
            <w:r w:rsidRPr="0035721B">
              <w:rPr>
                <w:rStyle w:val="Hyperlink"/>
                <w:noProof/>
              </w:rPr>
              <w:t>Attachment 1. Product Information</w:t>
            </w:r>
            <w:r>
              <w:rPr>
                <w:noProof/>
                <w:webHidden/>
              </w:rPr>
              <w:tab/>
            </w:r>
            <w:r>
              <w:rPr>
                <w:noProof/>
                <w:webHidden/>
              </w:rPr>
              <w:fldChar w:fldCharType="begin"/>
            </w:r>
            <w:r>
              <w:rPr>
                <w:noProof/>
                <w:webHidden/>
              </w:rPr>
              <w:instrText xml:space="preserve"> PAGEREF _Toc32481930 \h </w:instrText>
            </w:r>
            <w:r>
              <w:rPr>
                <w:noProof/>
                <w:webHidden/>
              </w:rPr>
            </w:r>
            <w:r>
              <w:rPr>
                <w:noProof/>
                <w:webHidden/>
              </w:rPr>
              <w:fldChar w:fldCharType="separate"/>
            </w:r>
            <w:r>
              <w:rPr>
                <w:noProof/>
                <w:webHidden/>
              </w:rPr>
              <w:t>113</w:t>
            </w:r>
            <w:r>
              <w:rPr>
                <w:noProof/>
                <w:webHidden/>
              </w:rPr>
              <w:fldChar w:fldCharType="end"/>
            </w:r>
          </w:hyperlink>
        </w:p>
        <w:p w14:paraId="529AFCE8" w14:textId="543AF4A6" w:rsidR="003A7F6C" w:rsidRPr="00B811C6" w:rsidRDefault="00DB6124" w:rsidP="00B811C6">
          <w:pPr>
            <w:pStyle w:val="TOC2"/>
          </w:pPr>
          <w:r>
            <w:fldChar w:fldCharType="end"/>
          </w:r>
        </w:p>
      </w:sdtContent>
    </w:sdt>
    <w:bookmarkStart w:id="3" w:name="_Toc314842482" w:displacedByCustomXml="prev"/>
    <w:p w14:paraId="1EE54339" w14:textId="77777777" w:rsidR="00FD119B" w:rsidRDefault="00FD119B">
      <w:pPr>
        <w:spacing w:before="0" w:after="200" w:line="0" w:lineRule="auto"/>
      </w:pPr>
      <w:r>
        <w:br w:type="page"/>
      </w:r>
    </w:p>
    <w:p w14:paraId="5C50AD9C" w14:textId="77777777"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32481892"/>
      <w:r>
        <w:lastRenderedPageBreak/>
        <w:t>Common</w:t>
      </w:r>
      <w:r w:rsidR="00FD119B" w:rsidRPr="00FD119B">
        <w:t xml:space="preserve"> abbreviations</w:t>
      </w:r>
      <w:bookmarkEnd w:id="4"/>
      <w:bookmarkEnd w:id="5"/>
      <w:bookmarkEnd w:id="6"/>
      <w:bookmarkEnd w:id="7"/>
      <w:bookmarkEnd w:id="8"/>
    </w:p>
    <w:tbl>
      <w:tblPr>
        <w:tblStyle w:val="TableTGAblue"/>
        <w:tblW w:w="9106" w:type="dxa"/>
        <w:tblLook w:val="04A0" w:firstRow="1" w:lastRow="0" w:firstColumn="1" w:lastColumn="0" w:noHBand="0" w:noVBand="1"/>
      </w:tblPr>
      <w:tblGrid>
        <w:gridCol w:w="2195"/>
        <w:gridCol w:w="6911"/>
      </w:tblGrid>
      <w:tr w:rsidR="00E66116" w:rsidRPr="00B861F7" w14:paraId="7537FF9E" w14:textId="77777777" w:rsidTr="00E66116">
        <w:trPr>
          <w:cnfStyle w:val="100000000000" w:firstRow="1" w:lastRow="0" w:firstColumn="0" w:lastColumn="0" w:oddVBand="0" w:evenVBand="0" w:oddHBand="0" w:evenHBand="0" w:firstRowFirstColumn="0" w:firstRowLastColumn="0" w:lastRowFirstColumn="0" w:lastRowLastColumn="0"/>
        </w:trPr>
        <w:tc>
          <w:tcPr>
            <w:tcW w:w="2195" w:type="dxa"/>
          </w:tcPr>
          <w:p w14:paraId="1E211397" w14:textId="77777777" w:rsidR="00E66116" w:rsidRPr="00B861F7" w:rsidRDefault="00E66116" w:rsidP="00902632">
            <w:r w:rsidRPr="00B861F7">
              <w:t>Abbreviation</w:t>
            </w:r>
          </w:p>
        </w:tc>
        <w:tc>
          <w:tcPr>
            <w:tcW w:w="6911" w:type="dxa"/>
          </w:tcPr>
          <w:p w14:paraId="75F93A21" w14:textId="77777777" w:rsidR="00E66116" w:rsidRPr="00B861F7" w:rsidRDefault="00E66116" w:rsidP="00902632">
            <w:r w:rsidRPr="00B861F7">
              <w:t>Meaning</w:t>
            </w:r>
          </w:p>
        </w:tc>
      </w:tr>
      <w:tr w:rsidR="00E66116" w:rsidRPr="00B861F7" w14:paraId="5A634D07" w14:textId="77777777" w:rsidTr="00E66116">
        <w:tc>
          <w:tcPr>
            <w:tcW w:w="2195" w:type="dxa"/>
          </w:tcPr>
          <w:p w14:paraId="0D9F6888" w14:textId="77777777" w:rsidR="00E66116" w:rsidRPr="00B861F7" w:rsidRDefault="00E66116" w:rsidP="00902632">
            <w:r>
              <w:t>AESI</w:t>
            </w:r>
          </w:p>
        </w:tc>
        <w:tc>
          <w:tcPr>
            <w:tcW w:w="6911" w:type="dxa"/>
          </w:tcPr>
          <w:p w14:paraId="3779E56D" w14:textId="77777777" w:rsidR="00E66116" w:rsidRPr="00B861F7" w:rsidRDefault="00E66116" w:rsidP="00902632">
            <w:r>
              <w:t>Adverse event of special interest</w:t>
            </w:r>
          </w:p>
        </w:tc>
      </w:tr>
      <w:tr w:rsidR="00E66116" w:rsidRPr="00B861F7" w14:paraId="23907946" w14:textId="77777777" w:rsidTr="00E66116">
        <w:tc>
          <w:tcPr>
            <w:tcW w:w="2195" w:type="dxa"/>
          </w:tcPr>
          <w:p w14:paraId="2E8EFBDB" w14:textId="77777777" w:rsidR="00E66116" w:rsidRPr="00B861F7" w:rsidRDefault="00E66116" w:rsidP="00902632">
            <w:r w:rsidRPr="00B861F7">
              <w:t>AFF</w:t>
            </w:r>
          </w:p>
        </w:tc>
        <w:tc>
          <w:tcPr>
            <w:tcW w:w="6911" w:type="dxa"/>
          </w:tcPr>
          <w:p w14:paraId="3E60D321" w14:textId="77777777" w:rsidR="00E66116" w:rsidRPr="00B861F7" w:rsidRDefault="00E66116" w:rsidP="00902632">
            <w:r w:rsidRPr="00B861F7">
              <w:t>Atypical femoral fractures</w:t>
            </w:r>
          </w:p>
        </w:tc>
      </w:tr>
      <w:tr w:rsidR="00E66116" w:rsidRPr="00B861F7" w14:paraId="18DE972E" w14:textId="77777777" w:rsidTr="00E66116">
        <w:tc>
          <w:tcPr>
            <w:tcW w:w="2195" w:type="dxa"/>
          </w:tcPr>
          <w:p w14:paraId="741DF38D" w14:textId="77777777" w:rsidR="00E66116" w:rsidRPr="00B861F7" w:rsidRDefault="00E66116" w:rsidP="00902632">
            <w:r w:rsidRPr="00B861F7">
              <w:t>AMG785</w:t>
            </w:r>
          </w:p>
        </w:tc>
        <w:tc>
          <w:tcPr>
            <w:tcW w:w="6911" w:type="dxa"/>
          </w:tcPr>
          <w:p w14:paraId="3C155159" w14:textId="1AD89EA8" w:rsidR="00E66116" w:rsidRPr="00B861F7" w:rsidRDefault="00E66116" w:rsidP="00902632">
            <w:r w:rsidRPr="00B861F7">
              <w:t>Romosozumab</w:t>
            </w:r>
            <w:r w:rsidR="00AE0423">
              <w:t xml:space="preserve"> (drug development name)</w:t>
            </w:r>
          </w:p>
        </w:tc>
      </w:tr>
      <w:tr w:rsidR="00E66116" w:rsidRPr="00B861F7" w14:paraId="50BB9D3D" w14:textId="77777777" w:rsidTr="00E66116">
        <w:tc>
          <w:tcPr>
            <w:tcW w:w="2195" w:type="dxa"/>
          </w:tcPr>
          <w:p w14:paraId="2E5A7D01" w14:textId="77777777" w:rsidR="00E66116" w:rsidRPr="00B861F7" w:rsidRDefault="00E66116" w:rsidP="00902632">
            <w:r w:rsidRPr="00B861F7">
              <w:t>ANCOVA</w:t>
            </w:r>
          </w:p>
        </w:tc>
        <w:tc>
          <w:tcPr>
            <w:tcW w:w="6911" w:type="dxa"/>
          </w:tcPr>
          <w:p w14:paraId="607A592A" w14:textId="7AFA2221" w:rsidR="00E66116" w:rsidRPr="00B861F7" w:rsidRDefault="00AE0423" w:rsidP="00902632">
            <w:r>
              <w:t>A</w:t>
            </w:r>
            <w:r w:rsidRPr="00B861F7">
              <w:t xml:space="preserve">nalysis </w:t>
            </w:r>
            <w:r w:rsidR="00E66116" w:rsidRPr="00B861F7">
              <w:t>of covariance</w:t>
            </w:r>
          </w:p>
        </w:tc>
      </w:tr>
      <w:tr w:rsidR="00E66116" w:rsidRPr="00B861F7" w14:paraId="3AA41530" w14:textId="77777777" w:rsidTr="00E66116">
        <w:tc>
          <w:tcPr>
            <w:tcW w:w="2195" w:type="dxa"/>
          </w:tcPr>
          <w:p w14:paraId="488C061A" w14:textId="77777777" w:rsidR="00E66116" w:rsidRPr="00B861F7" w:rsidRDefault="00E66116" w:rsidP="00902632">
            <w:r w:rsidRPr="00B861F7">
              <w:t>AUC</w:t>
            </w:r>
          </w:p>
        </w:tc>
        <w:tc>
          <w:tcPr>
            <w:tcW w:w="6911" w:type="dxa"/>
          </w:tcPr>
          <w:p w14:paraId="3ED2DE39" w14:textId="77777777" w:rsidR="00E66116" w:rsidRPr="00B861F7" w:rsidRDefault="00E66116" w:rsidP="00902632">
            <w:r w:rsidRPr="00B861F7">
              <w:t>Area under the curve</w:t>
            </w:r>
          </w:p>
        </w:tc>
      </w:tr>
      <w:tr w:rsidR="00E66116" w:rsidRPr="00B861F7" w14:paraId="11B3504F" w14:textId="77777777" w:rsidTr="00E66116">
        <w:tc>
          <w:tcPr>
            <w:tcW w:w="2195" w:type="dxa"/>
          </w:tcPr>
          <w:p w14:paraId="1D582A0C" w14:textId="77777777" w:rsidR="00E66116" w:rsidRPr="00B861F7" w:rsidRDefault="00E66116" w:rsidP="00902632">
            <w:proofErr w:type="spellStart"/>
            <w:r w:rsidRPr="00B861F7">
              <w:t>AUC</w:t>
            </w:r>
            <w:r w:rsidRPr="00B861F7">
              <w:rPr>
                <w:vertAlign w:val="subscript"/>
              </w:rPr>
              <w:t>inf</w:t>
            </w:r>
            <w:proofErr w:type="spellEnd"/>
          </w:p>
        </w:tc>
        <w:tc>
          <w:tcPr>
            <w:tcW w:w="6911" w:type="dxa"/>
          </w:tcPr>
          <w:p w14:paraId="5A51DDB5" w14:textId="77777777" w:rsidR="00E66116" w:rsidRPr="00B861F7" w:rsidRDefault="00E66116" w:rsidP="00902632">
            <w:r w:rsidRPr="00B861F7">
              <w:t>Area under the concentration-time curve from time 0 to infinity</w:t>
            </w:r>
          </w:p>
        </w:tc>
      </w:tr>
      <w:tr w:rsidR="00E66116" w:rsidRPr="00B861F7" w14:paraId="5DC3C135" w14:textId="77777777" w:rsidTr="00E66116">
        <w:tc>
          <w:tcPr>
            <w:tcW w:w="2195" w:type="dxa"/>
          </w:tcPr>
          <w:p w14:paraId="68D22D41" w14:textId="77777777" w:rsidR="00E66116" w:rsidRPr="00B861F7" w:rsidRDefault="00E66116" w:rsidP="00902632">
            <w:r w:rsidRPr="00B861F7">
              <w:t>BMD</w:t>
            </w:r>
          </w:p>
        </w:tc>
        <w:tc>
          <w:tcPr>
            <w:tcW w:w="6911" w:type="dxa"/>
          </w:tcPr>
          <w:p w14:paraId="621F170A" w14:textId="77777777" w:rsidR="00E66116" w:rsidRPr="00B861F7" w:rsidRDefault="00E66116" w:rsidP="00902632">
            <w:r w:rsidRPr="00B861F7">
              <w:t>Bone mineral density</w:t>
            </w:r>
          </w:p>
        </w:tc>
      </w:tr>
      <w:tr w:rsidR="00E66116" w:rsidRPr="00B861F7" w14:paraId="7E6001DC" w14:textId="77777777" w:rsidTr="00E66116">
        <w:tc>
          <w:tcPr>
            <w:tcW w:w="2195" w:type="dxa"/>
          </w:tcPr>
          <w:p w14:paraId="5F837FD6" w14:textId="77777777" w:rsidR="00E66116" w:rsidRPr="00B861F7" w:rsidRDefault="00E66116" w:rsidP="00902632">
            <w:r w:rsidRPr="00B861F7">
              <w:t>CHMP</w:t>
            </w:r>
          </w:p>
        </w:tc>
        <w:tc>
          <w:tcPr>
            <w:tcW w:w="6911" w:type="dxa"/>
          </w:tcPr>
          <w:p w14:paraId="52CC3026" w14:textId="68BC3BF8" w:rsidR="00E66116" w:rsidRPr="00B861F7" w:rsidRDefault="00E66116" w:rsidP="00902632">
            <w:r w:rsidRPr="00B861F7">
              <w:t>Committee for Medicinal Products for Human Use</w:t>
            </w:r>
            <w:r w:rsidR="00AE0423">
              <w:t xml:space="preserve"> (EMA/EU)</w:t>
            </w:r>
          </w:p>
        </w:tc>
      </w:tr>
      <w:tr w:rsidR="00E66116" w:rsidRPr="00B861F7" w14:paraId="26BCDB04" w14:textId="77777777" w:rsidTr="00E66116">
        <w:tc>
          <w:tcPr>
            <w:tcW w:w="2195" w:type="dxa"/>
          </w:tcPr>
          <w:p w14:paraId="3E7C60EC" w14:textId="77777777" w:rsidR="00E66116" w:rsidRPr="00B861F7" w:rsidRDefault="00E66116" w:rsidP="00902632">
            <w:r w:rsidRPr="00B861F7">
              <w:t>CL</w:t>
            </w:r>
          </w:p>
        </w:tc>
        <w:tc>
          <w:tcPr>
            <w:tcW w:w="6911" w:type="dxa"/>
          </w:tcPr>
          <w:p w14:paraId="449F1A32" w14:textId="77777777" w:rsidR="00E66116" w:rsidRPr="00B861F7" w:rsidRDefault="00E66116" w:rsidP="00902632">
            <w:r w:rsidRPr="00B861F7">
              <w:t>Linear clearance</w:t>
            </w:r>
          </w:p>
        </w:tc>
      </w:tr>
      <w:tr w:rsidR="00E66116" w:rsidRPr="00B861F7" w14:paraId="0D2C13A7" w14:textId="77777777" w:rsidTr="00E66116">
        <w:tc>
          <w:tcPr>
            <w:tcW w:w="2195" w:type="dxa"/>
          </w:tcPr>
          <w:p w14:paraId="362ADCAE" w14:textId="77777777" w:rsidR="00E66116" w:rsidRPr="00B861F7" w:rsidRDefault="00E66116" w:rsidP="00902632">
            <w:r w:rsidRPr="00B861F7">
              <w:t>CL/F</w:t>
            </w:r>
          </w:p>
        </w:tc>
        <w:tc>
          <w:tcPr>
            <w:tcW w:w="6911" w:type="dxa"/>
          </w:tcPr>
          <w:p w14:paraId="2560C9D7" w14:textId="77777777" w:rsidR="00E66116" w:rsidRPr="00B861F7" w:rsidRDefault="00E66116" w:rsidP="00902632">
            <w:r w:rsidRPr="00B861F7">
              <w:t>Apparent clearance</w:t>
            </w:r>
          </w:p>
        </w:tc>
      </w:tr>
      <w:tr w:rsidR="00E66116" w:rsidRPr="00B861F7" w14:paraId="3A4EF57B" w14:textId="77777777" w:rsidTr="00E66116">
        <w:tc>
          <w:tcPr>
            <w:tcW w:w="2195" w:type="dxa"/>
          </w:tcPr>
          <w:p w14:paraId="6EFA9946" w14:textId="77777777" w:rsidR="00E66116" w:rsidRPr="00B861F7" w:rsidRDefault="00E66116" w:rsidP="00902632">
            <w:proofErr w:type="spellStart"/>
            <w:r w:rsidRPr="00B861F7">
              <w:t>C</w:t>
            </w:r>
            <w:r w:rsidRPr="00977DF9">
              <w:rPr>
                <w:vertAlign w:val="subscript"/>
              </w:rPr>
              <w:t>max</w:t>
            </w:r>
            <w:proofErr w:type="spellEnd"/>
          </w:p>
        </w:tc>
        <w:tc>
          <w:tcPr>
            <w:tcW w:w="6911" w:type="dxa"/>
          </w:tcPr>
          <w:p w14:paraId="1ED707B2" w14:textId="77777777" w:rsidR="00E66116" w:rsidRPr="00B861F7" w:rsidRDefault="00E66116" w:rsidP="00902632">
            <w:r w:rsidRPr="00B861F7">
              <w:t>Maximum observed concentration</w:t>
            </w:r>
          </w:p>
        </w:tc>
      </w:tr>
      <w:tr w:rsidR="00E66116" w:rsidRPr="00B861F7" w14:paraId="5C303A66" w14:textId="77777777" w:rsidTr="00E66116">
        <w:tc>
          <w:tcPr>
            <w:tcW w:w="2195" w:type="dxa"/>
          </w:tcPr>
          <w:p w14:paraId="6491F316" w14:textId="77777777" w:rsidR="00E66116" w:rsidRPr="00B861F7" w:rsidRDefault="00E66116" w:rsidP="00902632">
            <w:r w:rsidRPr="00B861F7">
              <w:t>CPMP/EWP</w:t>
            </w:r>
          </w:p>
        </w:tc>
        <w:tc>
          <w:tcPr>
            <w:tcW w:w="6911" w:type="dxa"/>
          </w:tcPr>
          <w:p w14:paraId="4E277E97" w14:textId="18557EDA" w:rsidR="00E66116" w:rsidRPr="00B861F7" w:rsidRDefault="00E66116" w:rsidP="00902632">
            <w:r w:rsidRPr="00B861F7">
              <w:t>Committee for Proprietary Medicinal Products/Efficacy Working Party</w:t>
            </w:r>
            <w:r w:rsidR="00AE0423">
              <w:t xml:space="preserve"> (EMA/EU)</w:t>
            </w:r>
          </w:p>
        </w:tc>
      </w:tr>
      <w:tr w:rsidR="00E66116" w:rsidRPr="00B861F7" w14:paraId="72C7CC86" w14:textId="77777777" w:rsidTr="00E66116">
        <w:tc>
          <w:tcPr>
            <w:tcW w:w="2195" w:type="dxa"/>
          </w:tcPr>
          <w:p w14:paraId="403A1306" w14:textId="77777777" w:rsidR="00E66116" w:rsidRPr="00B861F7" w:rsidRDefault="00E66116" w:rsidP="00902632">
            <w:r w:rsidRPr="00B861F7">
              <w:t>CTCAE</w:t>
            </w:r>
          </w:p>
        </w:tc>
        <w:tc>
          <w:tcPr>
            <w:tcW w:w="6911" w:type="dxa"/>
          </w:tcPr>
          <w:p w14:paraId="0EF89DBB" w14:textId="0A645B7F" w:rsidR="00E66116" w:rsidRPr="00B861F7" w:rsidRDefault="00E66116" w:rsidP="00902632">
            <w:r w:rsidRPr="00B861F7">
              <w:t xml:space="preserve">Common terminology criteria for </w:t>
            </w:r>
            <w:r w:rsidR="00AE0423">
              <w:t>adverse events</w:t>
            </w:r>
          </w:p>
        </w:tc>
      </w:tr>
      <w:tr w:rsidR="00E66116" w:rsidRPr="00B861F7" w14:paraId="6378229A" w14:textId="77777777" w:rsidTr="00E66116">
        <w:tc>
          <w:tcPr>
            <w:tcW w:w="2195" w:type="dxa"/>
          </w:tcPr>
          <w:p w14:paraId="61D93445" w14:textId="77777777" w:rsidR="00E66116" w:rsidRPr="00B861F7" w:rsidRDefault="00E66116" w:rsidP="00902632">
            <w:r w:rsidRPr="00B861F7">
              <w:t>DXA</w:t>
            </w:r>
          </w:p>
        </w:tc>
        <w:tc>
          <w:tcPr>
            <w:tcW w:w="6911" w:type="dxa"/>
          </w:tcPr>
          <w:p w14:paraId="64B734F9" w14:textId="77777777" w:rsidR="00E66116" w:rsidRPr="00B861F7" w:rsidRDefault="00E66116" w:rsidP="00902632">
            <w:r w:rsidRPr="00B861F7">
              <w:t>Dual energy X-ray absorptiometry</w:t>
            </w:r>
          </w:p>
        </w:tc>
      </w:tr>
      <w:tr w:rsidR="00E66116" w:rsidRPr="00B861F7" w14:paraId="691DCA08" w14:textId="77777777" w:rsidTr="00E66116">
        <w:tc>
          <w:tcPr>
            <w:tcW w:w="2195" w:type="dxa"/>
          </w:tcPr>
          <w:p w14:paraId="12D4483D" w14:textId="77777777" w:rsidR="00E66116" w:rsidRPr="00B861F7" w:rsidRDefault="00E66116" w:rsidP="00902632">
            <w:r w:rsidRPr="00B861F7">
              <w:t>ECG</w:t>
            </w:r>
          </w:p>
        </w:tc>
        <w:tc>
          <w:tcPr>
            <w:tcW w:w="6911" w:type="dxa"/>
          </w:tcPr>
          <w:p w14:paraId="74E3FAEA" w14:textId="77777777" w:rsidR="00E66116" w:rsidRPr="00B861F7" w:rsidRDefault="00E66116" w:rsidP="00902632">
            <w:r w:rsidRPr="00B861F7">
              <w:t>Electrocardiogram</w:t>
            </w:r>
          </w:p>
        </w:tc>
      </w:tr>
      <w:tr w:rsidR="00E66116" w:rsidRPr="00B861F7" w14:paraId="24E4016B" w14:textId="77777777" w:rsidTr="00E66116">
        <w:tc>
          <w:tcPr>
            <w:tcW w:w="2195" w:type="dxa"/>
          </w:tcPr>
          <w:p w14:paraId="36DC8BD1" w14:textId="77777777" w:rsidR="00E66116" w:rsidRPr="00B861F7" w:rsidRDefault="00E66116" w:rsidP="00902632">
            <w:r w:rsidRPr="00B861F7">
              <w:t>eGFR</w:t>
            </w:r>
          </w:p>
        </w:tc>
        <w:tc>
          <w:tcPr>
            <w:tcW w:w="6911" w:type="dxa"/>
          </w:tcPr>
          <w:p w14:paraId="45ECB4E1" w14:textId="77777777" w:rsidR="00E66116" w:rsidRPr="00B861F7" w:rsidRDefault="00E66116" w:rsidP="00902632">
            <w:r w:rsidRPr="00B861F7">
              <w:t>Estimated glomerular filtration rate</w:t>
            </w:r>
          </w:p>
        </w:tc>
      </w:tr>
      <w:tr w:rsidR="00E66116" w:rsidRPr="00B861F7" w14:paraId="08922788" w14:textId="77777777" w:rsidTr="00E66116">
        <w:tc>
          <w:tcPr>
            <w:tcW w:w="2195" w:type="dxa"/>
          </w:tcPr>
          <w:p w14:paraId="5A172C01" w14:textId="77777777" w:rsidR="00E66116" w:rsidRPr="00B861F7" w:rsidRDefault="00E66116" w:rsidP="00902632">
            <w:r w:rsidRPr="00B861F7">
              <w:t>ELISA</w:t>
            </w:r>
          </w:p>
        </w:tc>
        <w:tc>
          <w:tcPr>
            <w:tcW w:w="6911" w:type="dxa"/>
          </w:tcPr>
          <w:p w14:paraId="45FFFCCD" w14:textId="77777777" w:rsidR="00E66116" w:rsidRPr="00B861F7" w:rsidRDefault="00E66116" w:rsidP="00902632">
            <w:r w:rsidRPr="00B861F7">
              <w:t>Enzyme-linked immunosorbent assay</w:t>
            </w:r>
          </w:p>
        </w:tc>
      </w:tr>
      <w:tr w:rsidR="00E66116" w:rsidRPr="00B861F7" w14:paraId="7A50DC1A" w14:textId="77777777" w:rsidTr="00E66116">
        <w:tc>
          <w:tcPr>
            <w:tcW w:w="2195" w:type="dxa"/>
          </w:tcPr>
          <w:p w14:paraId="6A0344D3" w14:textId="77777777" w:rsidR="00E66116" w:rsidRPr="00B861F7" w:rsidRDefault="00E66116" w:rsidP="00902632">
            <w:r w:rsidRPr="00B861F7">
              <w:t>EMA</w:t>
            </w:r>
          </w:p>
        </w:tc>
        <w:tc>
          <w:tcPr>
            <w:tcW w:w="6911" w:type="dxa"/>
          </w:tcPr>
          <w:p w14:paraId="1A744A3E" w14:textId="73457A70" w:rsidR="00E66116" w:rsidRPr="00B861F7" w:rsidRDefault="00E66116" w:rsidP="00902632">
            <w:r w:rsidRPr="00B861F7">
              <w:t>European Medicines Agency</w:t>
            </w:r>
            <w:r w:rsidR="00AE0423">
              <w:t xml:space="preserve"> (EU)</w:t>
            </w:r>
          </w:p>
        </w:tc>
      </w:tr>
      <w:tr w:rsidR="00E66116" w:rsidRPr="00B861F7" w14:paraId="214AF791" w14:textId="77777777" w:rsidTr="00E66116">
        <w:tc>
          <w:tcPr>
            <w:tcW w:w="2195" w:type="dxa"/>
          </w:tcPr>
          <w:p w14:paraId="5F9528EB" w14:textId="77777777" w:rsidR="00E66116" w:rsidRPr="00B861F7" w:rsidRDefault="00E66116" w:rsidP="00902632">
            <w:r w:rsidRPr="00B861F7">
              <w:t>ESRD</w:t>
            </w:r>
          </w:p>
        </w:tc>
        <w:tc>
          <w:tcPr>
            <w:tcW w:w="6911" w:type="dxa"/>
          </w:tcPr>
          <w:p w14:paraId="784F9D1A" w14:textId="77777777" w:rsidR="00E66116" w:rsidRPr="00B861F7" w:rsidRDefault="00E66116" w:rsidP="00902632">
            <w:r w:rsidRPr="00B861F7">
              <w:t>End stage renal disease</w:t>
            </w:r>
          </w:p>
        </w:tc>
      </w:tr>
      <w:tr w:rsidR="00E66116" w:rsidRPr="00B861F7" w14:paraId="66EDB0C0" w14:textId="77777777" w:rsidTr="00E66116">
        <w:tc>
          <w:tcPr>
            <w:tcW w:w="2195" w:type="dxa"/>
          </w:tcPr>
          <w:p w14:paraId="540838BC" w14:textId="77777777" w:rsidR="00E66116" w:rsidRPr="00B861F7" w:rsidRDefault="00E66116" w:rsidP="00902632">
            <w:r w:rsidRPr="00B861F7">
              <w:t>EU</w:t>
            </w:r>
          </w:p>
        </w:tc>
        <w:tc>
          <w:tcPr>
            <w:tcW w:w="6911" w:type="dxa"/>
          </w:tcPr>
          <w:p w14:paraId="5A7573F0" w14:textId="77777777" w:rsidR="00E66116" w:rsidRPr="00B861F7" w:rsidRDefault="00E66116" w:rsidP="00902632">
            <w:r w:rsidRPr="00B861F7">
              <w:t>European Union</w:t>
            </w:r>
          </w:p>
        </w:tc>
      </w:tr>
      <w:tr w:rsidR="00E66116" w:rsidRPr="00B861F7" w14:paraId="7CEF43E6" w14:textId="77777777" w:rsidTr="00E66116">
        <w:tc>
          <w:tcPr>
            <w:tcW w:w="2195" w:type="dxa"/>
          </w:tcPr>
          <w:p w14:paraId="782DDD2E" w14:textId="77777777" w:rsidR="00E66116" w:rsidRPr="00B861F7" w:rsidRDefault="00E66116" w:rsidP="00902632">
            <w:r w:rsidRPr="00B861F7">
              <w:t>FDA</w:t>
            </w:r>
          </w:p>
        </w:tc>
        <w:tc>
          <w:tcPr>
            <w:tcW w:w="6911" w:type="dxa"/>
          </w:tcPr>
          <w:p w14:paraId="128B169D" w14:textId="4B76FEF1" w:rsidR="00E66116" w:rsidRPr="00B861F7" w:rsidRDefault="00E66116" w:rsidP="00902632">
            <w:r w:rsidRPr="00B861F7">
              <w:t>Food and Drug Administration</w:t>
            </w:r>
            <w:r w:rsidR="00AE0423">
              <w:t xml:space="preserve"> (USA)</w:t>
            </w:r>
          </w:p>
        </w:tc>
      </w:tr>
      <w:tr w:rsidR="00E66116" w:rsidRPr="00B861F7" w14:paraId="584E0CB9" w14:textId="77777777" w:rsidTr="00E66116">
        <w:tc>
          <w:tcPr>
            <w:tcW w:w="2195" w:type="dxa"/>
          </w:tcPr>
          <w:p w14:paraId="020CB79C" w14:textId="77777777" w:rsidR="00E66116" w:rsidRPr="00B861F7" w:rsidRDefault="00E66116" w:rsidP="00902632">
            <w:r w:rsidRPr="00B861F7">
              <w:t>FEA</w:t>
            </w:r>
          </w:p>
        </w:tc>
        <w:tc>
          <w:tcPr>
            <w:tcW w:w="6911" w:type="dxa"/>
          </w:tcPr>
          <w:p w14:paraId="3CEC8243" w14:textId="77777777" w:rsidR="00E66116" w:rsidRPr="00B861F7" w:rsidRDefault="00E66116" w:rsidP="00902632">
            <w:r w:rsidRPr="00B861F7">
              <w:t>Finite element analysis</w:t>
            </w:r>
          </w:p>
        </w:tc>
      </w:tr>
      <w:tr w:rsidR="00E66116" w:rsidRPr="00B861F7" w14:paraId="5D2DBFB0" w14:textId="77777777" w:rsidTr="00E66116">
        <w:tc>
          <w:tcPr>
            <w:tcW w:w="2195" w:type="dxa"/>
          </w:tcPr>
          <w:p w14:paraId="454AF185" w14:textId="77777777" w:rsidR="00E66116" w:rsidRPr="00B861F7" w:rsidRDefault="00E66116" w:rsidP="00902632">
            <w:r w:rsidRPr="00B861F7">
              <w:t>FRAX</w:t>
            </w:r>
          </w:p>
        </w:tc>
        <w:tc>
          <w:tcPr>
            <w:tcW w:w="6911" w:type="dxa"/>
          </w:tcPr>
          <w:p w14:paraId="67204CC3" w14:textId="75C5C0DE" w:rsidR="00E66116" w:rsidRPr="00B861F7" w:rsidRDefault="00E66116" w:rsidP="00902632">
            <w:r w:rsidRPr="00B861F7">
              <w:t>Fract</w:t>
            </w:r>
            <w:r>
              <w:t>ure</w:t>
            </w:r>
            <w:r w:rsidRPr="00B861F7">
              <w:t xml:space="preserve"> </w:t>
            </w:r>
            <w:r w:rsidR="007710AA" w:rsidRPr="00B861F7">
              <w:t xml:space="preserve">risk assessment </w:t>
            </w:r>
            <w:r w:rsidRPr="00B861F7">
              <w:t>tool</w:t>
            </w:r>
          </w:p>
        </w:tc>
      </w:tr>
      <w:tr w:rsidR="00E66116" w:rsidRPr="00B861F7" w14:paraId="65FD3E70" w14:textId="77777777" w:rsidTr="00E66116">
        <w:tc>
          <w:tcPr>
            <w:tcW w:w="2195" w:type="dxa"/>
          </w:tcPr>
          <w:p w14:paraId="53A7DDF7" w14:textId="77777777" w:rsidR="00E66116" w:rsidRPr="00B861F7" w:rsidRDefault="00E66116" w:rsidP="00902632">
            <w:r w:rsidRPr="00B861F7">
              <w:t>ICH</w:t>
            </w:r>
          </w:p>
        </w:tc>
        <w:tc>
          <w:tcPr>
            <w:tcW w:w="6911" w:type="dxa"/>
          </w:tcPr>
          <w:p w14:paraId="69FB3A6C" w14:textId="77777777" w:rsidR="00E66116" w:rsidRPr="00B861F7" w:rsidRDefault="00E66116" w:rsidP="00902632">
            <w:r w:rsidRPr="00B861F7">
              <w:t>International Council for Harmonisation</w:t>
            </w:r>
          </w:p>
        </w:tc>
      </w:tr>
      <w:tr w:rsidR="00E66116" w:rsidRPr="00B861F7" w14:paraId="5AA27AAD" w14:textId="77777777" w:rsidTr="00E66116">
        <w:tc>
          <w:tcPr>
            <w:tcW w:w="2195" w:type="dxa"/>
          </w:tcPr>
          <w:p w14:paraId="3F513C88" w14:textId="77777777" w:rsidR="00E66116" w:rsidRPr="00B861F7" w:rsidRDefault="00E66116" w:rsidP="00902632">
            <w:r w:rsidRPr="00B861F7">
              <w:lastRenderedPageBreak/>
              <w:t>IgG2</w:t>
            </w:r>
          </w:p>
        </w:tc>
        <w:tc>
          <w:tcPr>
            <w:tcW w:w="6911" w:type="dxa"/>
          </w:tcPr>
          <w:p w14:paraId="2A8C1230" w14:textId="77777777" w:rsidR="00E66116" w:rsidRPr="00B861F7" w:rsidRDefault="00E66116" w:rsidP="00902632">
            <w:r w:rsidRPr="00B861F7">
              <w:t>Immunoglobulin G2</w:t>
            </w:r>
          </w:p>
        </w:tc>
      </w:tr>
      <w:tr w:rsidR="00E66116" w:rsidRPr="00B861F7" w14:paraId="0EC75075" w14:textId="77777777" w:rsidTr="00E66116">
        <w:tc>
          <w:tcPr>
            <w:tcW w:w="2195" w:type="dxa"/>
          </w:tcPr>
          <w:p w14:paraId="0B833993" w14:textId="77777777" w:rsidR="00E66116" w:rsidRPr="00B861F7" w:rsidRDefault="00E66116" w:rsidP="00902632">
            <w:r w:rsidRPr="00B861F7">
              <w:t>IV</w:t>
            </w:r>
          </w:p>
        </w:tc>
        <w:tc>
          <w:tcPr>
            <w:tcW w:w="6911" w:type="dxa"/>
          </w:tcPr>
          <w:p w14:paraId="44446444" w14:textId="77777777" w:rsidR="00E66116" w:rsidRPr="00B861F7" w:rsidRDefault="00E66116" w:rsidP="00902632">
            <w:r w:rsidRPr="00B861F7">
              <w:t>Intravenous</w:t>
            </w:r>
          </w:p>
        </w:tc>
      </w:tr>
      <w:tr w:rsidR="00E66116" w:rsidRPr="00B861F7" w14:paraId="191616C9" w14:textId="77777777" w:rsidTr="00E66116">
        <w:tc>
          <w:tcPr>
            <w:tcW w:w="2195" w:type="dxa"/>
          </w:tcPr>
          <w:p w14:paraId="28E441CF" w14:textId="77777777" w:rsidR="00E66116" w:rsidRPr="00B861F7" w:rsidRDefault="00E66116" w:rsidP="00902632">
            <w:r w:rsidRPr="00B861F7">
              <w:t>LRP5</w:t>
            </w:r>
          </w:p>
        </w:tc>
        <w:tc>
          <w:tcPr>
            <w:tcW w:w="6911" w:type="dxa"/>
          </w:tcPr>
          <w:p w14:paraId="57BD6D47" w14:textId="77777777" w:rsidR="00E66116" w:rsidRPr="00B861F7" w:rsidRDefault="00E66116" w:rsidP="00902632">
            <w:r w:rsidRPr="00B861F7">
              <w:t>Low density lipoprotein related receptor 5</w:t>
            </w:r>
          </w:p>
        </w:tc>
      </w:tr>
      <w:tr w:rsidR="00E66116" w:rsidRPr="00B861F7" w14:paraId="5B68DD3E" w14:textId="77777777" w:rsidTr="00E66116">
        <w:tc>
          <w:tcPr>
            <w:tcW w:w="2195" w:type="dxa"/>
          </w:tcPr>
          <w:p w14:paraId="7F74D643" w14:textId="77777777" w:rsidR="00E66116" w:rsidRPr="00B861F7" w:rsidRDefault="00E66116" w:rsidP="00902632">
            <w:r w:rsidRPr="00B861F7">
              <w:t>LRP6</w:t>
            </w:r>
          </w:p>
        </w:tc>
        <w:tc>
          <w:tcPr>
            <w:tcW w:w="6911" w:type="dxa"/>
          </w:tcPr>
          <w:p w14:paraId="404CBFDA" w14:textId="77777777" w:rsidR="00E66116" w:rsidRPr="00B861F7" w:rsidRDefault="00E66116" w:rsidP="00902632">
            <w:r w:rsidRPr="00B861F7">
              <w:t>Low density lipoprotein related receptor 6</w:t>
            </w:r>
          </w:p>
        </w:tc>
      </w:tr>
      <w:tr w:rsidR="00E66116" w:rsidRPr="00B861F7" w14:paraId="64FEAE93" w14:textId="77777777" w:rsidTr="00E66116">
        <w:tc>
          <w:tcPr>
            <w:tcW w:w="2195" w:type="dxa"/>
          </w:tcPr>
          <w:p w14:paraId="60FC8590" w14:textId="77777777" w:rsidR="00E66116" w:rsidRPr="00B861F7" w:rsidRDefault="00E66116" w:rsidP="00902632">
            <w:proofErr w:type="spellStart"/>
            <w:r w:rsidRPr="00B861F7">
              <w:t>MedDRA</w:t>
            </w:r>
            <w:proofErr w:type="spellEnd"/>
          </w:p>
        </w:tc>
        <w:tc>
          <w:tcPr>
            <w:tcW w:w="6911" w:type="dxa"/>
          </w:tcPr>
          <w:p w14:paraId="529CD0AF" w14:textId="77777777" w:rsidR="00E66116" w:rsidRPr="00B861F7" w:rsidRDefault="00E66116" w:rsidP="00902632">
            <w:r w:rsidRPr="00B861F7">
              <w:t>Medical Dictionary for Regulatory Activities</w:t>
            </w:r>
          </w:p>
        </w:tc>
      </w:tr>
      <w:tr w:rsidR="00E66116" w:rsidRPr="00B861F7" w14:paraId="2F0CAC3C" w14:textId="77777777" w:rsidTr="00E66116">
        <w:tc>
          <w:tcPr>
            <w:tcW w:w="2195" w:type="dxa"/>
          </w:tcPr>
          <w:p w14:paraId="1663D098" w14:textId="77777777" w:rsidR="00E66116" w:rsidRPr="00B861F7" w:rsidRDefault="00E66116" w:rsidP="00902632">
            <w:r w:rsidRPr="00B861F7">
              <w:t>NOF</w:t>
            </w:r>
          </w:p>
        </w:tc>
        <w:tc>
          <w:tcPr>
            <w:tcW w:w="6911" w:type="dxa"/>
          </w:tcPr>
          <w:p w14:paraId="0E4603CE" w14:textId="2F1F3EBD" w:rsidR="00E66116" w:rsidRPr="00B861F7" w:rsidRDefault="00E66116" w:rsidP="00902632">
            <w:r w:rsidRPr="00B861F7">
              <w:t>National Osteoporosis Foundation</w:t>
            </w:r>
            <w:r w:rsidR="00AE0423">
              <w:t xml:space="preserve"> (USA)</w:t>
            </w:r>
          </w:p>
        </w:tc>
      </w:tr>
      <w:tr w:rsidR="00E66116" w:rsidRPr="00B861F7" w14:paraId="3FC53EB8" w14:textId="77777777" w:rsidTr="00E66116">
        <w:tc>
          <w:tcPr>
            <w:tcW w:w="2195" w:type="dxa"/>
          </w:tcPr>
          <w:p w14:paraId="1C345336" w14:textId="77777777" w:rsidR="00E66116" w:rsidRPr="00B861F7" w:rsidRDefault="00E66116" w:rsidP="00902632">
            <w:r w:rsidRPr="00B861F7">
              <w:t>OSG</w:t>
            </w:r>
          </w:p>
        </w:tc>
        <w:tc>
          <w:tcPr>
            <w:tcW w:w="6911" w:type="dxa"/>
          </w:tcPr>
          <w:p w14:paraId="1E691131" w14:textId="5CB6B4AC" w:rsidR="00E66116" w:rsidRPr="00B861F7" w:rsidRDefault="00E66116" w:rsidP="00902632">
            <w:r w:rsidRPr="00B861F7">
              <w:t>Office of the Surgeon General</w:t>
            </w:r>
            <w:r w:rsidR="00AE0423">
              <w:t xml:space="preserve"> (USA)</w:t>
            </w:r>
          </w:p>
        </w:tc>
      </w:tr>
      <w:tr w:rsidR="00E66116" w:rsidRPr="00B861F7" w14:paraId="7B26BE6C" w14:textId="77777777" w:rsidTr="00E66116">
        <w:tc>
          <w:tcPr>
            <w:tcW w:w="2195" w:type="dxa"/>
          </w:tcPr>
          <w:p w14:paraId="0D040259" w14:textId="77777777" w:rsidR="00E66116" w:rsidRPr="00B861F7" w:rsidRDefault="00E66116" w:rsidP="00902632">
            <w:r w:rsidRPr="00B861F7">
              <w:t>P1NP</w:t>
            </w:r>
          </w:p>
        </w:tc>
        <w:tc>
          <w:tcPr>
            <w:tcW w:w="6911" w:type="dxa"/>
          </w:tcPr>
          <w:p w14:paraId="6DDABA37" w14:textId="1C8731CC" w:rsidR="00E66116" w:rsidRPr="00B861F7" w:rsidRDefault="00E66116" w:rsidP="00902632">
            <w:r w:rsidRPr="00B861F7">
              <w:t xml:space="preserve">Serum type 1 </w:t>
            </w:r>
            <w:proofErr w:type="spellStart"/>
            <w:r w:rsidRPr="00B861F7">
              <w:t>aminoterminal</w:t>
            </w:r>
            <w:proofErr w:type="spellEnd"/>
            <w:r w:rsidRPr="00B861F7">
              <w:t xml:space="preserve"> </w:t>
            </w:r>
            <w:proofErr w:type="spellStart"/>
            <w:r w:rsidRPr="00B861F7">
              <w:t>propeptide</w:t>
            </w:r>
            <w:proofErr w:type="spellEnd"/>
            <w:r>
              <w:t xml:space="preserve"> or procollagen type 1 N</w:t>
            </w:r>
            <w:r w:rsidR="00AE0423">
              <w:noBreakHyphen/>
            </w:r>
            <w:proofErr w:type="spellStart"/>
            <w:r>
              <w:t>telopeptide</w:t>
            </w:r>
            <w:proofErr w:type="spellEnd"/>
          </w:p>
        </w:tc>
      </w:tr>
      <w:tr w:rsidR="00E66116" w:rsidRPr="00B861F7" w14:paraId="4CACF667" w14:textId="77777777" w:rsidTr="00E66116">
        <w:tc>
          <w:tcPr>
            <w:tcW w:w="2195" w:type="dxa"/>
          </w:tcPr>
          <w:p w14:paraId="5E2B3730" w14:textId="77777777" w:rsidR="00E66116" w:rsidRPr="00B861F7" w:rsidRDefault="00E66116" w:rsidP="00902632">
            <w:r w:rsidRPr="00B861F7">
              <w:t>PK</w:t>
            </w:r>
          </w:p>
        </w:tc>
        <w:tc>
          <w:tcPr>
            <w:tcW w:w="6911" w:type="dxa"/>
          </w:tcPr>
          <w:p w14:paraId="3AF10DD8" w14:textId="77777777" w:rsidR="00E66116" w:rsidRPr="00B861F7" w:rsidRDefault="00E66116" w:rsidP="00902632">
            <w:r w:rsidRPr="00B861F7">
              <w:t>Pharmacokinetics</w:t>
            </w:r>
          </w:p>
        </w:tc>
      </w:tr>
      <w:tr w:rsidR="00E66116" w:rsidRPr="00B861F7" w14:paraId="6A75F7EE" w14:textId="77777777" w:rsidTr="00E66116">
        <w:tc>
          <w:tcPr>
            <w:tcW w:w="2195" w:type="dxa"/>
          </w:tcPr>
          <w:p w14:paraId="2275AC94" w14:textId="77777777" w:rsidR="00E66116" w:rsidRPr="00B861F7" w:rsidRDefault="00E66116" w:rsidP="00902632">
            <w:r w:rsidRPr="00B861F7">
              <w:t>PMDA</w:t>
            </w:r>
          </w:p>
        </w:tc>
        <w:tc>
          <w:tcPr>
            <w:tcW w:w="6911" w:type="dxa"/>
          </w:tcPr>
          <w:p w14:paraId="176A7778" w14:textId="2E893234" w:rsidR="00E66116" w:rsidRPr="00B861F7" w:rsidRDefault="00E66116" w:rsidP="00902632">
            <w:r w:rsidRPr="00B861F7">
              <w:t>Pharmaceuticals and Medical Devices Agency</w:t>
            </w:r>
            <w:r w:rsidR="00AE0423">
              <w:t xml:space="preserve"> (Japan)</w:t>
            </w:r>
          </w:p>
        </w:tc>
      </w:tr>
      <w:tr w:rsidR="00E66116" w:rsidRPr="00B861F7" w14:paraId="44DE6094" w14:textId="77777777" w:rsidTr="00E66116">
        <w:tc>
          <w:tcPr>
            <w:tcW w:w="2195" w:type="dxa"/>
          </w:tcPr>
          <w:p w14:paraId="414148A8" w14:textId="77777777" w:rsidR="00E66116" w:rsidRPr="00B861F7" w:rsidRDefault="00E66116" w:rsidP="00902632">
            <w:r w:rsidRPr="00B861F7">
              <w:t>PMSB/ELD</w:t>
            </w:r>
          </w:p>
        </w:tc>
        <w:tc>
          <w:tcPr>
            <w:tcW w:w="6911" w:type="dxa"/>
          </w:tcPr>
          <w:p w14:paraId="008D395D" w14:textId="588C3B39" w:rsidR="00E66116" w:rsidRPr="00B861F7" w:rsidRDefault="00E66116" w:rsidP="00902632">
            <w:r w:rsidRPr="00B861F7">
              <w:t>Evaluating and Licensing Division of the Pharmaceutical and Medical Safety Bureau</w:t>
            </w:r>
            <w:r w:rsidR="00AE0423">
              <w:t xml:space="preserve"> (Japan)</w:t>
            </w:r>
          </w:p>
        </w:tc>
      </w:tr>
      <w:tr w:rsidR="008610E8" w:rsidRPr="00B861F7" w14:paraId="54BBDFC0" w14:textId="77777777" w:rsidTr="00E66116">
        <w:tc>
          <w:tcPr>
            <w:tcW w:w="2195" w:type="dxa"/>
          </w:tcPr>
          <w:p w14:paraId="2F18BE9C" w14:textId="63DF3F95" w:rsidR="008610E8" w:rsidRPr="00B861F7" w:rsidRDefault="008610E8" w:rsidP="00902632">
            <w:proofErr w:type="spellStart"/>
            <w:r>
              <w:t>PopPK</w:t>
            </w:r>
            <w:proofErr w:type="spellEnd"/>
          </w:p>
        </w:tc>
        <w:tc>
          <w:tcPr>
            <w:tcW w:w="6911" w:type="dxa"/>
          </w:tcPr>
          <w:p w14:paraId="635526BC" w14:textId="15E2EF3F" w:rsidR="008610E8" w:rsidRPr="00B861F7" w:rsidRDefault="008610E8" w:rsidP="00902632">
            <w:r>
              <w:t>Population pharmacokinetics</w:t>
            </w:r>
          </w:p>
        </w:tc>
      </w:tr>
      <w:tr w:rsidR="00E66116" w:rsidRPr="00B861F7" w14:paraId="202F1F64" w14:textId="77777777" w:rsidTr="00E66116">
        <w:tc>
          <w:tcPr>
            <w:tcW w:w="2195" w:type="dxa"/>
          </w:tcPr>
          <w:p w14:paraId="090FFDA1" w14:textId="77777777" w:rsidR="00E66116" w:rsidRPr="00B861F7" w:rsidRDefault="00E66116" w:rsidP="00902632">
            <w:r w:rsidRPr="00B861F7">
              <w:t>PTH</w:t>
            </w:r>
          </w:p>
        </w:tc>
        <w:tc>
          <w:tcPr>
            <w:tcW w:w="6911" w:type="dxa"/>
          </w:tcPr>
          <w:p w14:paraId="4581D0AC" w14:textId="77777777" w:rsidR="00E66116" w:rsidRPr="00B861F7" w:rsidRDefault="00E66116" w:rsidP="00902632">
            <w:r>
              <w:t>P</w:t>
            </w:r>
            <w:r w:rsidRPr="00B861F7">
              <w:t>arathyroid hormone</w:t>
            </w:r>
          </w:p>
        </w:tc>
      </w:tr>
      <w:tr w:rsidR="00E66116" w:rsidRPr="00B861F7" w14:paraId="0EA0B1C4" w14:textId="77777777" w:rsidTr="00E66116">
        <w:tc>
          <w:tcPr>
            <w:tcW w:w="2195" w:type="dxa"/>
          </w:tcPr>
          <w:p w14:paraId="3E621898" w14:textId="77777777" w:rsidR="00E66116" w:rsidRPr="00B861F7" w:rsidRDefault="00E66116" w:rsidP="00902632">
            <w:r w:rsidRPr="00B861F7">
              <w:t>Q6M</w:t>
            </w:r>
          </w:p>
        </w:tc>
        <w:tc>
          <w:tcPr>
            <w:tcW w:w="6911" w:type="dxa"/>
          </w:tcPr>
          <w:p w14:paraId="54565250" w14:textId="77777777" w:rsidR="00E66116" w:rsidRPr="00B861F7" w:rsidRDefault="00E66116" w:rsidP="00902632">
            <w:r w:rsidRPr="00B861F7">
              <w:t>Every 6 months</w:t>
            </w:r>
          </w:p>
        </w:tc>
      </w:tr>
      <w:tr w:rsidR="00E66116" w:rsidRPr="00B861F7" w14:paraId="757E518E" w14:textId="77777777" w:rsidTr="00E66116">
        <w:tc>
          <w:tcPr>
            <w:tcW w:w="2195" w:type="dxa"/>
          </w:tcPr>
          <w:p w14:paraId="3DF1E650" w14:textId="77777777" w:rsidR="00E66116" w:rsidRPr="00B861F7" w:rsidRDefault="00E66116" w:rsidP="00902632">
            <w:r w:rsidRPr="00B861F7">
              <w:t>QM</w:t>
            </w:r>
          </w:p>
        </w:tc>
        <w:tc>
          <w:tcPr>
            <w:tcW w:w="6911" w:type="dxa"/>
          </w:tcPr>
          <w:p w14:paraId="041D5CD0" w14:textId="77777777" w:rsidR="00E66116" w:rsidRPr="00B861F7" w:rsidRDefault="00E66116" w:rsidP="00902632">
            <w:r w:rsidRPr="00B861F7">
              <w:t>Once monthly</w:t>
            </w:r>
          </w:p>
        </w:tc>
      </w:tr>
      <w:tr w:rsidR="00E66116" w:rsidRPr="00B861F7" w14:paraId="3F0712D8" w14:textId="77777777" w:rsidTr="00E66116">
        <w:tc>
          <w:tcPr>
            <w:tcW w:w="2195" w:type="dxa"/>
          </w:tcPr>
          <w:p w14:paraId="602E7271" w14:textId="45F4DECF" w:rsidR="00E66116" w:rsidRPr="00B861F7" w:rsidRDefault="00E66116" w:rsidP="00902632">
            <w:r>
              <w:t>RR</w:t>
            </w:r>
            <w:r w:rsidR="003B40F2">
              <w:t>R</w:t>
            </w:r>
          </w:p>
        </w:tc>
        <w:tc>
          <w:tcPr>
            <w:tcW w:w="6911" w:type="dxa"/>
          </w:tcPr>
          <w:p w14:paraId="70E93E47" w14:textId="61790B1B" w:rsidR="00E66116" w:rsidRPr="00B861F7" w:rsidRDefault="00E66116" w:rsidP="00902632">
            <w:r>
              <w:t>Relative risk</w:t>
            </w:r>
            <w:r w:rsidR="003B40F2">
              <w:t xml:space="preserve"> reduction</w:t>
            </w:r>
          </w:p>
        </w:tc>
      </w:tr>
      <w:tr w:rsidR="00E66116" w:rsidRPr="00B861F7" w14:paraId="1CBD4AB6" w14:textId="77777777" w:rsidTr="00E66116">
        <w:tc>
          <w:tcPr>
            <w:tcW w:w="2195" w:type="dxa"/>
          </w:tcPr>
          <w:p w14:paraId="0D6AB56C" w14:textId="77777777" w:rsidR="00E66116" w:rsidRPr="00B861F7" w:rsidRDefault="00E66116" w:rsidP="00902632">
            <w:r w:rsidRPr="00B861F7">
              <w:t>SAE</w:t>
            </w:r>
          </w:p>
        </w:tc>
        <w:tc>
          <w:tcPr>
            <w:tcW w:w="6911" w:type="dxa"/>
          </w:tcPr>
          <w:p w14:paraId="51BEB89D" w14:textId="1E3D564B" w:rsidR="00E66116" w:rsidRPr="00B861F7" w:rsidRDefault="003B40F2" w:rsidP="00902632">
            <w:r>
              <w:t>Serious adverse event</w:t>
            </w:r>
          </w:p>
        </w:tc>
      </w:tr>
      <w:tr w:rsidR="00E66116" w:rsidRPr="00B861F7" w14:paraId="0EBB0ED1" w14:textId="77777777" w:rsidTr="00E66116">
        <w:tc>
          <w:tcPr>
            <w:tcW w:w="2195" w:type="dxa"/>
          </w:tcPr>
          <w:p w14:paraId="6E3A178B" w14:textId="77777777" w:rsidR="00E66116" w:rsidRPr="00B861F7" w:rsidRDefault="00E66116" w:rsidP="00902632">
            <w:r w:rsidRPr="00B861F7">
              <w:t>SC</w:t>
            </w:r>
          </w:p>
        </w:tc>
        <w:tc>
          <w:tcPr>
            <w:tcW w:w="6911" w:type="dxa"/>
          </w:tcPr>
          <w:p w14:paraId="45A60FDB" w14:textId="77777777" w:rsidR="00E66116" w:rsidRPr="00B861F7" w:rsidRDefault="00E66116" w:rsidP="00902632">
            <w:r w:rsidRPr="00B861F7">
              <w:t>Subcutaneous(</w:t>
            </w:r>
            <w:proofErr w:type="spellStart"/>
            <w:r w:rsidRPr="00B861F7">
              <w:t>ly</w:t>
            </w:r>
            <w:proofErr w:type="spellEnd"/>
            <w:r w:rsidRPr="00B861F7">
              <w:t>)</w:t>
            </w:r>
          </w:p>
        </w:tc>
      </w:tr>
      <w:tr w:rsidR="00E66116" w:rsidRPr="00B861F7" w14:paraId="77A5596A" w14:textId="77777777" w:rsidTr="00E66116">
        <w:tc>
          <w:tcPr>
            <w:tcW w:w="2195" w:type="dxa"/>
          </w:tcPr>
          <w:p w14:paraId="39341BA1" w14:textId="77777777" w:rsidR="00E66116" w:rsidRPr="00B861F7" w:rsidRDefault="00E66116" w:rsidP="00902632">
            <w:proofErr w:type="spellStart"/>
            <w:r w:rsidRPr="00B861F7">
              <w:t>sCTx</w:t>
            </w:r>
            <w:proofErr w:type="spellEnd"/>
          </w:p>
        </w:tc>
        <w:tc>
          <w:tcPr>
            <w:tcW w:w="6911" w:type="dxa"/>
          </w:tcPr>
          <w:p w14:paraId="1F14AFB4" w14:textId="77777777" w:rsidR="00E66116" w:rsidRPr="00B861F7" w:rsidRDefault="00E66116" w:rsidP="00902632">
            <w:r w:rsidRPr="00B861F7">
              <w:t>Serum C-</w:t>
            </w:r>
            <w:proofErr w:type="spellStart"/>
            <w:r w:rsidRPr="00B861F7">
              <w:t>telopeptide</w:t>
            </w:r>
            <w:proofErr w:type="spellEnd"/>
          </w:p>
        </w:tc>
      </w:tr>
      <w:tr w:rsidR="00E66116" w:rsidRPr="00B861F7" w14:paraId="2E7570F7" w14:textId="77777777" w:rsidTr="00E66116">
        <w:tc>
          <w:tcPr>
            <w:tcW w:w="2195" w:type="dxa"/>
          </w:tcPr>
          <w:p w14:paraId="48350FA8" w14:textId="77777777" w:rsidR="00E66116" w:rsidRPr="00B861F7" w:rsidRDefault="00E66116" w:rsidP="00902632">
            <w:r w:rsidRPr="00B861F7">
              <w:t>SE</w:t>
            </w:r>
          </w:p>
        </w:tc>
        <w:tc>
          <w:tcPr>
            <w:tcW w:w="6911" w:type="dxa"/>
          </w:tcPr>
          <w:p w14:paraId="36A68CD4" w14:textId="67393621" w:rsidR="00E66116" w:rsidRPr="00B861F7" w:rsidRDefault="00AE0423" w:rsidP="00902632">
            <w:r>
              <w:t>S</w:t>
            </w:r>
            <w:r w:rsidR="00E66116" w:rsidRPr="00B861F7">
              <w:t>tandard error</w:t>
            </w:r>
          </w:p>
        </w:tc>
      </w:tr>
      <w:tr w:rsidR="00E66116" w:rsidRPr="00B861F7" w14:paraId="599B5F1C" w14:textId="77777777" w:rsidTr="00E66116">
        <w:tc>
          <w:tcPr>
            <w:tcW w:w="2195" w:type="dxa"/>
          </w:tcPr>
          <w:p w14:paraId="6A7B864D" w14:textId="77777777" w:rsidR="00E66116" w:rsidRPr="00B861F7" w:rsidRDefault="00E66116" w:rsidP="00902632">
            <w:r w:rsidRPr="00B861F7">
              <w:t>SMQ</w:t>
            </w:r>
          </w:p>
        </w:tc>
        <w:tc>
          <w:tcPr>
            <w:tcW w:w="6911" w:type="dxa"/>
          </w:tcPr>
          <w:p w14:paraId="1FDC1842" w14:textId="77777777" w:rsidR="00E66116" w:rsidRPr="00B861F7" w:rsidRDefault="00E66116" w:rsidP="00902632">
            <w:r w:rsidRPr="00B861F7">
              <w:t xml:space="preserve">Standardised </w:t>
            </w:r>
            <w:proofErr w:type="spellStart"/>
            <w:r w:rsidRPr="00B861F7">
              <w:t>MedDRA</w:t>
            </w:r>
            <w:proofErr w:type="spellEnd"/>
            <w:r w:rsidRPr="00B861F7">
              <w:t xml:space="preserve"> query</w:t>
            </w:r>
          </w:p>
        </w:tc>
      </w:tr>
      <w:tr w:rsidR="00E66116" w:rsidRPr="00B861F7" w14:paraId="3E0754BF" w14:textId="77777777" w:rsidTr="00E66116">
        <w:tc>
          <w:tcPr>
            <w:tcW w:w="2195" w:type="dxa"/>
          </w:tcPr>
          <w:p w14:paraId="36E7AC99" w14:textId="77777777" w:rsidR="00E66116" w:rsidRPr="00B861F7" w:rsidRDefault="00E66116" w:rsidP="00902632">
            <w:r w:rsidRPr="00B861F7">
              <w:t>SOST</w:t>
            </w:r>
          </w:p>
        </w:tc>
        <w:tc>
          <w:tcPr>
            <w:tcW w:w="6911" w:type="dxa"/>
          </w:tcPr>
          <w:p w14:paraId="70D532B6" w14:textId="77777777" w:rsidR="00E66116" w:rsidRPr="00B861F7" w:rsidRDefault="00E66116" w:rsidP="00902632">
            <w:r w:rsidRPr="00B861F7">
              <w:t>Sclerostin gene</w:t>
            </w:r>
          </w:p>
        </w:tc>
      </w:tr>
      <w:tr w:rsidR="00E66116" w:rsidRPr="00B861F7" w14:paraId="41A79FE4" w14:textId="77777777" w:rsidTr="00E66116">
        <w:tc>
          <w:tcPr>
            <w:tcW w:w="2195" w:type="dxa"/>
          </w:tcPr>
          <w:p w14:paraId="760A0CC2" w14:textId="77777777" w:rsidR="00E66116" w:rsidRPr="00B861F7" w:rsidRDefault="00E66116" w:rsidP="00902632">
            <w:r w:rsidRPr="00B861F7">
              <w:t>TNF</w:t>
            </w:r>
          </w:p>
        </w:tc>
        <w:tc>
          <w:tcPr>
            <w:tcW w:w="6911" w:type="dxa"/>
          </w:tcPr>
          <w:p w14:paraId="7A985952" w14:textId="77777777" w:rsidR="00E66116" w:rsidRPr="00B861F7" w:rsidRDefault="00E66116" w:rsidP="00902632">
            <w:r w:rsidRPr="00B861F7">
              <w:t>Tumour necrosis factor</w:t>
            </w:r>
          </w:p>
        </w:tc>
      </w:tr>
      <w:tr w:rsidR="00E66116" w:rsidRPr="00B861F7" w14:paraId="55B533CF" w14:textId="77777777" w:rsidTr="00E66116">
        <w:tc>
          <w:tcPr>
            <w:tcW w:w="2195" w:type="dxa"/>
          </w:tcPr>
          <w:p w14:paraId="2CBBB6B2" w14:textId="3BD31684" w:rsidR="00E66116" w:rsidRPr="00B861F7" w:rsidRDefault="00E66116" w:rsidP="00902632">
            <w:r w:rsidRPr="00B861F7">
              <w:t>US</w:t>
            </w:r>
            <w:r w:rsidR="00AE0423">
              <w:t>(A)</w:t>
            </w:r>
          </w:p>
        </w:tc>
        <w:tc>
          <w:tcPr>
            <w:tcW w:w="6911" w:type="dxa"/>
          </w:tcPr>
          <w:p w14:paraId="385CA866" w14:textId="2C13960E" w:rsidR="00E66116" w:rsidRPr="00B861F7" w:rsidRDefault="00E66116" w:rsidP="00902632">
            <w:r w:rsidRPr="00B861F7">
              <w:t>United States</w:t>
            </w:r>
            <w:r w:rsidR="00AE0423">
              <w:t xml:space="preserve"> (of America)</w:t>
            </w:r>
          </w:p>
        </w:tc>
      </w:tr>
      <w:tr w:rsidR="00E66116" w:rsidRPr="00B861F7" w14:paraId="2B724234" w14:textId="77777777" w:rsidTr="00E66116">
        <w:tc>
          <w:tcPr>
            <w:tcW w:w="2195" w:type="dxa"/>
          </w:tcPr>
          <w:p w14:paraId="2391757A" w14:textId="77777777" w:rsidR="00E66116" w:rsidRPr="00B861F7" w:rsidRDefault="00E66116" w:rsidP="00902632">
            <w:r w:rsidRPr="00B861F7">
              <w:t>WHO</w:t>
            </w:r>
          </w:p>
        </w:tc>
        <w:tc>
          <w:tcPr>
            <w:tcW w:w="6911" w:type="dxa"/>
          </w:tcPr>
          <w:p w14:paraId="1E5484AA" w14:textId="0FC6A248" w:rsidR="00E66116" w:rsidRPr="00B861F7" w:rsidRDefault="00E66116" w:rsidP="00902632">
            <w:r w:rsidRPr="00B861F7">
              <w:t>World Health Organi</w:t>
            </w:r>
            <w:r w:rsidR="00AE0423">
              <w:t>z</w:t>
            </w:r>
            <w:r w:rsidRPr="00B861F7">
              <w:t>ation</w:t>
            </w:r>
          </w:p>
        </w:tc>
      </w:tr>
      <w:tr w:rsidR="00E66116" w:rsidRPr="00B861F7" w14:paraId="38FC9AFD" w14:textId="77777777" w:rsidTr="00E66116">
        <w:tc>
          <w:tcPr>
            <w:tcW w:w="2195" w:type="dxa"/>
          </w:tcPr>
          <w:p w14:paraId="59629390" w14:textId="77777777" w:rsidR="00E66116" w:rsidRPr="00B861F7" w:rsidRDefault="00E66116" w:rsidP="00902632">
            <w:proofErr w:type="spellStart"/>
            <w:r w:rsidRPr="00B861F7">
              <w:lastRenderedPageBreak/>
              <w:t>Wnt</w:t>
            </w:r>
            <w:proofErr w:type="spellEnd"/>
          </w:p>
        </w:tc>
        <w:tc>
          <w:tcPr>
            <w:tcW w:w="6911" w:type="dxa"/>
          </w:tcPr>
          <w:p w14:paraId="35C3F0E0" w14:textId="77777777" w:rsidR="00E66116" w:rsidRPr="00B861F7" w:rsidRDefault="00E66116" w:rsidP="00902632">
            <w:r w:rsidRPr="00B861F7">
              <w:t>Wingless-related integration site</w:t>
            </w:r>
          </w:p>
        </w:tc>
      </w:tr>
    </w:tbl>
    <w:p w14:paraId="5F7FA17E" w14:textId="77777777" w:rsidR="00FD119B" w:rsidRDefault="00FD119B" w:rsidP="00FD119B"/>
    <w:p w14:paraId="3E634234" w14:textId="77777777" w:rsidR="00FD119B" w:rsidRPr="00FD119B" w:rsidRDefault="00FD119B" w:rsidP="00FD119B">
      <w:pPr>
        <w:spacing w:before="0" w:after="200" w:line="0" w:lineRule="auto"/>
        <w:rPr>
          <w:b/>
          <w:i/>
          <w:sz w:val="24"/>
          <w:szCs w:val="24"/>
        </w:rPr>
      </w:pPr>
      <w:r w:rsidRPr="00FD119B">
        <w:rPr>
          <w:b/>
          <w:i/>
          <w:sz w:val="24"/>
          <w:szCs w:val="24"/>
        </w:rPr>
        <w:br w:type="page"/>
      </w:r>
    </w:p>
    <w:p w14:paraId="00EFA028" w14:textId="77777777" w:rsidR="008E7846" w:rsidRDefault="00F53C07" w:rsidP="008E7846">
      <w:pPr>
        <w:pStyle w:val="Heading2"/>
      </w:pPr>
      <w:bookmarkStart w:id="9" w:name="_Toc32481893"/>
      <w:r>
        <w:lastRenderedPageBreak/>
        <w:t>I.</w:t>
      </w:r>
      <w:r w:rsidR="008E7846">
        <w:t xml:space="preserve"> Introduction to product submission</w:t>
      </w:r>
      <w:bookmarkEnd w:id="3"/>
      <w:bookmarkEnd w:id="0"/>
      <w:bookmarkEnd w:id="9"/>
    </w:p>
    <w:p w14:paraId="03DFDB27" w14:textId="77777777" w:rsidR="008E7846" w:rsidRDefault="008E7846" w:rsidP="008E7846">
      <w:pPr>
        <w:pStyle w:val="Heading3"/>
        <w:rPr>
          <w:lang w:eastAsia="en-AU"/>
        </w:rPr>
      </w:pPr>
      <w:bookmarkStart w:id="10" w:name="_Toc247691502"/>
      <w:bookmarkStart w:id="11" w:name="_Toc314842483"/>
      <w:bookmarkStart w:id="12" w:name="_Toc32481894"/>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095B2C8F" w14:textId="77777777" w:rsidTr="003735BC">
        <w:tc>
          <w:tcPr>
            <w:tcW w:w="2907" w:type="dxa"/>
          </w:tcPr>
          <w:p w14:paraId="3DE7189F"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65A86C9A" w14:textId="77777777" w:rsidR="008E7846" w:rsidRPr="003D1E62" w:rsidRDefault="008E7846" w:rsidP="00780D66">
            <w:r w:rsidRPr="003D1E62">
              <w:t xml:space="preserve">New </w:t>
            </w:r>
            <w:r w:rsidR="001B5C90">
              <w:t>c</w:t>
            </w:r>
            <w:r w:rsidRPr="003D1E62">
              <w:t xml:space="preserve">hemical </w:t>
            </w:r>
            <w:r w:rsidR="001B5C90">
              <w:t>e</w:t>
            </w:r>
            <w:r w:rsidR="00780D66">
              <w:t>ntity</w:t>
            </w:r>
          </w:p>
        </w:tc>
      </w:tr>
      <w:tr w:rsidR="008E7846" w:rsidRPr="003D1E62" w14:paraId="144CAC08" w14:textId="77777777" w:rsidTr="003735BC">
        <w:tc>
          <w:tcPr>
            <w:tcW w:w="2907" w:type="dxa"/>
          </w:tcPr>
          <w:p w14:paraId="09C930E9" w14:textId="77777777" w:rsidR="008E7846" w:rsidRPr="003D1E62" w:rsidRDefault="008E7846" w:rsidP="003D1E62">
            <w:r w:rsidRPr="003D1E62">
              <w:rPr>
                <w:i/>
              </w:rPr>
              <w:t>Decision</w:t>
            </w:r>
            <w:r w:rsidRPr="003D1E62">
              <w:t>:</w:t>
            </w:r>
          </w:p>
        </w:tc>
        <w:tc>
          <w:tcPr>
            <w:tcW w:w="6307" w:type="dxa"/>
          </w:tcPr>
          <w:p w14:paraId="06660EA6" w14:textId="77777777" w:rsidR="008E7846" w:rsidRPr="003D1E62" w:rsidRDefault="00D672B8" w:rsidP="001B5C90">
            <w:r>
              <w:t>Approved</w:t>
            </w:r>
          </w:p>
        </w:tc>
      </w:tr>
      <w:tr w:rsidR="008E7846" w:rsidRPr="003D1E62" w14:paraId="531A3297" w14:textId="77777777" w:rsidTr="003735BC">
        <w:tc>
          <w:tcPr>
            <w:tcW w:w="2907" w:type="dxa"/>
          </w:tcPr>
          <w:p w14:paraId="5C706B72"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5FD6EBA0" w14:textId="77777777" w:rsidR="008E7846" w:rsidRPr="003D1E62" w:rsidRDefault="00D672B8" w:rsidP="001B5C90">
            <w:r>
              <w:t>21 June 2019</w:t>
            </w:r>
          </w:p>
        </w:tc>
      </w:tr>
      <w:tr w:rsidR="00ED2922" w:rsidRPr="003D1E62" w14:paraId="7298A168" w14:textId="77777777" w:rsidTr="003735BC">
        <w:tc>
          <w:tcPr>
            <w:tcW w:w="2907" w:type="dxa"/>
          </w:tcPr>
          <w:p w14:paraId="2F13A00D" w14:textId="77777777" w:rsidR="00ED2922" w:rsidRPr="00441C3F" w:rsidRDefault="00ED2922" w:rsidP="001B5C90">
            <w:pPr>
              <w:rPr>
                <w:i/>
              </w:rPr>
            </w:pPr>
            <w:r w:rsidRPr="00441C3F">
              <w:rPr>
                <w:i/>
              </w:rPr>
              <w:t>Date of entry onto ARTG</w:t>
            </w:r>
            <w:r w:rsidR="00500337">
              <w:rPr>
                <w:i/>
              </w:rPr>
              <w:t>:</w:t>
            </w:r>
          </w:p>
        </w:tc>
        <w:tc>
          <w:tcPr>
            <w:tcW w:w="6307" w:type="dxa"/>
          </w:tcPr>
          <w:p w14:paraId="1EEFDA5B" w14:textId="77777777" w:rsidR="00ED2922" w:rsidRPr="00441C3F" w:rsidRDefault="00D672B8" w:rsidP="00EC463D">
            <w:pPr>
              <w:rPr>
                <w:i/>
              </w:rPr>
            </w:pPr>
            <w:r>
              <w:t>1 July 2019</w:t>
            </w:r>
          </w:p>
        </w:tc>
      </w:tr>
      <w:tr w:rsidR="00500337" w:rsidRPr="003D1E62" w14:paraId="79BBB155" w14:textId="77777777" w:rsidTr="003735BC">
        <w:tc>
          <w:tcPr>
            <w:tcW w:w="2907" w:type="dxa"/>
          </w:tcPr>
          <w:p w14:paraId="64751681" w14:textId="77777777" w:rsidR="00500337" w:rsidRPr="00441C3F" w:rsidRDefault="00863929" w:rsidP="001B5C90">
            <w:pPr>
              <w:rPr>
                <w:i/>
              </w:rPr>
            </w:pPr>
            <w:r>
              <w:rPr>
                <w:i/>
              </w:rPr>
              <w:t>ARTG numbers</w:t>
            </w:r>
            <w:r w:rsidR="00500337">
              <w:rPr>
                <w:i/>
              </w:rPr>
              <w:t>:</w:t>
            </w:r>
          </w:p>
        </w:tc>
        <w:tc>
          <w:tcPr>
            <w:tcW w:w="6307" w:type="dxa"/>
          </w:tcPr>
          <w:p w14:paraId="7AED3949" w14:textId="77777777" w:rsidR="00500337" w:rsidRPr="00441C3F" w:rsidRDefault="004A31B7" w:rsidP="00EC463D">
            <w:r w:rsidRPr="004A31B7">
              <w:t>296830, 296831</w:t>
            </w:r>
          </w:p>
        </w:tc>
      </w:tr>
      <w:tr w:rsidR="003735BC" w:rsidRPr="003D1E62" w14:paraId="6F8F434B" w14:textId="77777777" w:rsidTr="003735BC">
        <w:tc>
          <w:tcPr>
            <w:tcW w:w="2907" w:type="dxa"/>
          </w:tcPr>
          <w:p w14:paraId="308F07FC"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14:paraId="7A321CFE" w14:textId="77777777" w:rsidR="003735BC" w:rsidRPr="00487162" w:rsidRDefault="002835DA" w:rsidP="003735BC">
            <w:r>
              <w:t>Yes</w:t>
            </w:r>
          </w:p>
        </w:tc>
      </w:tr>
      <w:tr w:rsidR="008E7846" w:rsidRPr="00487162" w14:paraId="61E55D2C" w14:textId="77777777" w:rsidTr="00BF1190">
        <w:tc>
          <w:tcPr>
            <w:tcW w:w="2907" w:type="dxa"/>
          </w:tcPr>
          <w:p w14:paraId="61047E87" w14:textId="77777777" w:rsidR="008E7846" w:rsidRPr="00487162" w:rsidRDefault="00863929" w:rsidP="00E45619">
            <w:pPr>
              <w:rPr>
                <w:i/>
              </w:rPr>
            </w:pPr>
            <w:r>
              <w:rPr>
                <w:i/>
              </w:rPr>
              <w:t>Active ingredient</w:t>
            </w:r>
            <w:r w:rsidR="001B5C90">
              <w:rPr>
                <w:i/>
              </w:rPr>
              <w:t>:</w:t>
            </w:r>
          </w:p>
        </w:tc>
        <w:tc>
          <w:tcPr>
            <w:tcW w:w="6307" w:type="dxa"/>
          </w:tcPr>
          <w:p w14:paraId="0476F017" w14:textId="77777777" w:rsidR="008E7846" w:rsidRPr="00487162" w:rsidRDefault="00696AC6" w:rsidP="00E45619">
            <w:r>
              <w:t>Romosozumab</w:t>
            </w:r>
          </w:p>
        </w:tc>
      </w:tr>
      <w:tr w:rsidR="008E7846" w:rsidRPr="00487162" w14:paraId="687C04A1" w14:textId="77777777" w:rsidTr="00BF1190">
        <w:tc>
          <w:tcPr>
            <w:tcW w:w="2907" w:type="dxa"/>
          </w:tcPr>
          <w:p w14:paraId="37345161" w14:textId="77777777" w:rsidR="008E7846" w:rsidRPr="00487162" w:rsidRDefault="008E7846" w:rsidP="001B5C90">
            <w:pPr>
              <w:rPr>
                <w:i/>
              </w:rPr>
            </w:pPr>
            <w:r w:rsidRPr="00487162">
              <w:rPr>
                <w:i/>
              </w:rPr>
              <w:t>Product</w:t>
            </w:r>
            <w:r w:rsidR="00863929">
              <w:rPr>
                <w:i/>
              </w:rPr>
              <w:t xml:space="preserve"> name</w:t>
            </w:r>
            <w:r w:rsidR="001B5C90">
              <w:rPr>
                <w:i/>
              </w:rPr>
              <w:t>:</w:t>
            </w:r>
          </w:p>
        </w:tc>
        <w:tc>
          <w:tcPr>
            <w:tcW w:w="6307" w:type="dxa"/>
          </w:tcPr>
          <w:p w14:paraId="6D22BB65" w14:textId="77777777" w:rsidR="008E7846" w:rsidRPr="00487162" w:rsidRDefault="00780D66" w:rsidP="00E45619">
            <w:r>
              <w:t>Evenity</w:t>
            </w:r>
          </w:p>
        </w:tc>
      </w:tr>
      <w:tr w:rsidR="008E7846" w:rsidRPr="00487162" w14:paraId="7480228F" w14:textId="77777777" w:rsidTr="00BF1190">
        <w:tc>
          <w:tcPr>
            <w:tcW w:w="2907" w:type="dxa"/>
          </w:tcPr>
          <w:p w14:paraId="78CA86E7"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0CA633C6" w14:textId="77777777" w:rsidR="008E7846" w:rsidRDefault="00780D66" w:rsidP="00E45619">
            <w:r>
              <w:t>Amgen Australia Pty. Ltd.</w:t>
            </w:r>
          </w:p>
          <w:p w14:paraId="5F1CDD1D" w14:textId="77777777" w:rsidR="00780D66" w:rsidRDefault="00780D66" w:rsidP="00780D66">
            <w:r>
              <w:t>Mezzanine Level,</w:t>
            </w:r>
          </w:p>
          <w:p w14:paraId="715B857D" w14:textId="77777777" w:rsidR="00780D66" w:rsidRDefault="00780D66" w:rsidP="00780D66">
            <w:r>
              <w:t>115 Cotham Road</w:t>
            </w:r>
          </w:p>
          <w:p w14:paraId="5F1CF216" w14:textId="77777777" w:rsidR="00780D66" w:rsidRPr="00487162" w:rsidRDefault="00780D66" w:rsidP="00780D66">
            <w:r>
              <w:t>KEW VIC 3101</w:t>
            </w:r>
          </w:p>
        </w:tc>
      </w:tr>
      <w:tr w:rsidR="008E7846" w:rsidRPr="00487162" w14:paraId="6A214586" w14:textId="77777777" w:rsidTr="00BF1190">
        <w:tc>
          <w:tcPr>
            <w:tcW w:w="2907" w:type="dxa"/>
          </w:tcPr>
          <w:p w14:paraId="72BACFB7" w14:textId="77777777" w:rsidR="008E7846" w:rsidRPr="00487162" w:rsidRDefault="00863929" w:rsidP="00E45619">
            <w:pPr>
              <w:rPr>
                <w:i/>
              </w:rPr>
            </w:pPr>
            <w:r>
              <w:rPr>
                <w:i/>
              </w:rPr>
              <w:t>Dose form</w:t>
            </w:r>
            <w:r w:rsidR="001B5C90">
              <w:rPr>
                <w:i/>
              </w:rPr>
              <w:t>:</w:t>
            </w:r>
          </w:p>
        </w:tc>
        <w:tc>
          <w:tcPr>
            <w:tcW w:w="6307" w:type="dxa"/>
          </w:tcPr>
          <w:p w14:paraId="03BFA4C8" w14:textId="77777777" w:rsidR="008E7846" w:rsidRPr="00487162" w:rsidRDefault="00780D66" w:rsidP="00E45619">
            <w:r>
              <w:t>Solution for injection</w:t>
            </w:r>
          </w:p>
        </w:tc>
      </w:tr>
      <w:tr w:rsidR="008E7846" w:rsidRPr="00487162" w14:paraId="446A9ADD" w14:textId="77777777" w:rsidTr="00BF1190">
        <w:tc>
          <w:tcPr>
            <w:tcW w:w="2907" w:type="dxa"/>
          </w:tcPr>
          <w:p w14:paraId="197520B7" w14:textId="77777777" w:rsidR="008E7846" w:rsidRPr="00487162" w:rsidRDefault="00863929" w:rsidP="00E45619">
            <w:pPr>
              <w:rPr>
                <w:i/>
              </w:rPr>
            </w:pPr>
            <w:r>
              <w:rPr>
                <w:i/>
              </w:rPr>
              <w:t>Strength:</w:t>
            </w:r>
          </w:p>
        </w:tc>
        <w:tc>
          <w:tcPr>
            <w:tcW w:w="6307" w:type="dxa"/>
          </w:tcPr>
          <w:p w14:paraId="3D74C9B3" w14:textId="77777777" w:rsidR="008E7846" w:rsidRPr="00487162" w:rsidRDefault="00780D66" w:rsidP="00E45619">
            <w:r>
              <w:t xml:space="preserve">105 mg </w:t>
            </w:r>
            <w:r w:rsidR="00995A69">
              <w:t xml:space="preserve">in </w:t>
            </w:r>
            <w:r>
              <w:t>1.17 mL</w:t>
            </w:r>
          </w:p>
        </w:tc>
      </w:tr>
      <w:tr w:rsidR="008E7846" w:rsidRPr="00487162" w14:paraId="14ADF6B1" w14:textId="77777777" w:rsidTr="00BF1190">
        <w:tc>
          <w:tcPr>
            <w:tcW w:w="2907" w:type="dxa"/>
          </w:tcPr>
          <w:p w14:paraId="48C3EB06" w14:textId="77777777" w:rsidR="008E7846" w:rsidRPr="00487162" w:rsidRDefault="00863929" w:rsidP="00E45619">
            <w:pPr>
              <w:rPr>
                <w:i/>
              </w:rPr>
            </w:pPr>
            <w:r>
              <w:rPr>
                <w:i/>
              </w:rPr>
              <w:t>Container</w:t>
            </w:r>
            <w:r w:rsidR="008E7846" w:rsidRPr="00487162">
              <w:rPr>
                <w:i/>
              </w:rPr>
              <w:t>:</w:t>
            </w:r>
          </w:p>
        </w:tc>
        <w:tc>
          <w:tcPr>
            <w:tcW w:w="6307" w:type="dxa"/>
          </w:tcPr>
          <w:p w14:paraId="1F1C1DBF" w14:textId="77777777" w:rsidR="008E7846" w:rsidRPr="00487162" w:rsidRDefault="00780D66" w:rsidP="002835DA">
            <w:r>
              <w:t>Syringe</w:t>
            </w:r>
            <w:r w:rsidR="002835DA">
              <w:t xml:space="preserve"> or</w:t>
            </w:r>
            <w:r>
              <w:t xml:space="preserve"> syringe with pen injector</w:t>
            </w:r>
          </w:p>
        </w:tc>
      </w:tr>
      <w:tr w:rsidR="008E7846" w:rsidRPr="00487162" w14:paraId="41365795" w14:textId="77777777" w:rsidTr="00BF1190">
        <w:tc>
          <w:tcPr>
            <w:tcW w:w="2907" w:type="dxa"/>
          </w:tcPr>
          <w:p w14:paraId="70DD90A8" w14:textId="77777777" w:rsidR="008E7846" w:rsidRPr="00487162" w:rsidRDefault="00D672B8" w:rsidP="00E45619">
            <w:pPr>
              <w:rPr>
                <w:i/>
              </w:rPr>
            </w:pPr>
            <w:r>
              <w:rPr>
                <w:i/>
              </w:rPr>
              <w:t>Pack size</w:t>
            </w:r>
            <w:r w:rsidR="008E7846" w:rsidRPr="00487162">
              <w:rPr>
                <w:i/>
              </w:rPr>
              <w:t>:</w:t>
            </w:r>
          </w:p>
        </w:tc>
        <w:tc>
          <w:tcPr>
            <w:tcW w:w="6307" w:type="dxa"/>
          </w:tcPr>
          <w:p w14:paraId="7F036B3F" w14:textId="77777777" w:rsidR="008E7846" w:rsidRPr="00487162" w:rsidRDefault="00D672B8" w:rsidP="00E45619">
            <w:r>
              <w:t>2</w:t>
            </w:r>
          </w:p>
        </w:tc>
      </w:tr>
      <w:tr w:rsidR="008E7846" w:rsidRPr="00487162" w14:paraId="34A9F850" w14:textId="77777777" w:rsidTr="00BF1190">
        <w:tc>
          <w:tcPr>
            <w:tcW w:w="2907" w:type="dxa"/>
          </w:tcPr>
          <w:p w14:paraId="5CCAC72B"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6A47A6DE" w14:textId="77777777" w:rsidR="00D672B8" w:rsidRPr="00D672B8" w:rsidRDefault="00BB1B9E" w:rsidP="00E45619">
            <w:pPr>
              <w:rPr>
                <w:rFonts w:asciiTheme="minorHAnsi" w:hAnsiTheme="minorHAnsi" w:cs="Arial"/>
                <w:i/>
                <w:iCs/>
              </w:rPr>
            </w:pPr>
            <w:r w:rsidRPr="00D672B8">
              <w:rPr>
                <w:rFonts w:asciiTheme="minorHAnsi" w:hAnsiTheme="minorHAnsi" w:cs="Arial"/>
                <w:i/>
                <w:iCs/>
              </w:rPr>
              <w:t>Evenity</w:t>
            </w:r>
            <w:r w:rsidR="00995A69" w:rsidRPr="00D672B8">
              <w:rPr>
                <w:rFonts w:asciiTheme="minorHAnsi" w:hAnsiTheme="minorHAnsi" w:cs="Arial"/>
                <w:i/>
                <w:iCs/>
              </w:rPr>
              <w:t xml:space="preserve"> is indicated</w:t>
            </w:r>
            <w:r w:rsidR="00D672B8" w:rsidRPr="00D672B8">
              <w:rPr>
                <w:rFonts w:asciiTheme="minorHAnsi" w:hAnsiTheme="minorHAnsi" w:cs="Arial"/>
                <w:i/>
                <w:iCs/>
              </w:rPr>
              <w:t xml:space="preserve"> for:</w:t>
            </w:r>
          </w:p>
          <w:p w14:paraId="59D98237" w14:textId="1DE91C7A" w:rsidR="00D672B8" w:rsidRPr="00D672B8" w:rsidRDefault="00D672B8" w:rsidP="00D672B8">
            <w:pPr>
              <w:pStyle w:val="ListBullet"/>
              <w:rPr>
                <w:i/>
              </w:rPr>
            </w:pPr>
            <w:r w:rsidRPr="00D672B8">
              <w:rPr>
                <w:i/>
              </w:rPr>
              <w:t>T</w:t>
            </w:r>
            <w:r w:rsidR="00995A69" w:rsidRPr="00D672B8">
              <w:rPr>
                <w:i/>
              </w:rPr>
              <w:t xml:space="preserve">he treatment of osteoporosis in postmenopausal women at </w:t>
            </w:r>
            <w:r w:rsidRPr="00D672B8">
              <w:rPr>
                <w:i/>
              </w:rPr>
              <w:t>high</w:t>
            </w:r>
            <w:r w:rsidR="00995A69" w:rsidRPr="00D672B8">
              <w:rPr>
                <w:i/>
              </w:rPr>
              <w:t xml:space="preserve"> risk of fracture</w:t>
            </w:r>
            <w:r w:rsidRPr="00D672B8">
              <w:rPr>
                <w:i/>
              </w:rPr>
              <w:t xml:space="preserve"> (see Section 5.1</w:t>
            </w:r>
            <w:r w:rsidR="00AE0423">
              <w:rPr>
                <w:i/>
              </w:rPr>
              <w:t xml:space="preserve"> </w:t>
            </w:r>
            <w:r w:rsidRPr="00D672B8">
              <w:rPr>
                <w:i/>
              </w:rPr>
              <w:t>Pharmacodynamic properties, Clinical trials).</w:t>
            </w:r>
          </w:p>
          <w:p w14:paraId="08656395" w14:textId="4EBC8B37" w:rsidR="008E7846" w:rsidRPr="00995A69" w:rsidRDefault="00D672B8" w:rsidP="00A33AEA">
            <w:pPr>
              <w:pStyle w:val="ListBullet"/>
              <w:rPr>
                <w:rFonts w:eastAsia="MS Mincho"/>
                <w:lang w:eastAsia="ja-JP"/>
              </w:rPr>
            </w:pPr>
            <w:r w:rsidRPr="00D672B8">
              <w:rPr>
                <w:i/>
              </w:rPr>
              <w:t>T</w:t>
            </w:r>
            <w:r w:rsidR="00995A69" w:rsidRPr="00D672B8">
              <w:rPr>
                <w:i/>
              </w:rPr>
              <w:t xml:space="preserve">reatment </w:t>
            </w:r>
            <w:r w:rsidR="007975AF">
              <w:rPr>
                <w:i/>
              </w:rPr>
              <w:t xml:space="preserve">to increase bone mass in </w:t>
            </w:r>
            <w:r w:rsidR="00995A69" w:rsidRPr="00D672B8">
              <w:rPr>
                <w:i/>
              </w:rPr>
              <w:t xml:space="preserve">men </w:t>
            </w:r>
            <w:r w:rsidRPr="00D672B8">
              <w:rPr>
                <w:i/>
              </w:rPr>
              <w:t xml:space="preserve">with osteoporosis </w:t>
            </w:r>
            <w:r w:rsidR="00995A69" w:rsidRPr="00D672B8">
              <w:rPr>
                <w:i/>
              </w:rPr>
              <w:t xml:space="preserve">at </w:t>
            </w:r>
            <w:r w:rsidRPr="00D672B8">
              <w:rPr>
                <w:i/>
              </w:rPr>
              <w:t>high risk of fracture.</w:t>
            </w:r>
          </w:p>
        </w:tc>
      </w:tr>
      <w:tr w:rsidR="008E7846" w:rsidRPr="00487162" w14:paraId="351EFBAC" w14:textId="77777777" w:rsidTr="00BF1190">
        <w:tc>
          <w:tcPr>
            <w:tcW w:w="2907" w:type="dxa"/>
          </w:tcPr>
          <w:p w14:paraId="77A7DCD7" w14:textId="77777777" w:rsidR="008E7846" w:rsidRPr="00487162" w:rsidRDefault="00863929" w:rsidP="00E45619">
            <w:pPr>
              <w:rPr>
                <w:i/>
              </w:rPr>
            </w:pPr>
            <w:r>
              <w:rPr>
                <w:i/>
              </w:rPr>
              <w:t>Route</w:t>
            </w:r>
            <w:r w:rsidR="008E7846" w:rsidRPr="00487162">
              <w:rPr>
                <w:i/>
              </w:rPr>
              <w:t xml:space="preserve"> of administration:</w:t>
            </w:r>
          </w:p>
        </w:tc>
        <w:tc>
          <w:tcPr>
            <w:tcW w:w="6307" w:type="dxa"/>
          </w:tcPr>
          <w:p w14:paraId="7DD024C1" w14:textId="77777777" w:rsidR="008E7846" w:rsidRPr="00995A69" w:rsidRDefault="00995A69" w:rsidP="00995A69">
            <w:r>
              <w:t>Subcutaneous injection</w:t>
            </w:r>
          </w:p>
        </w:tc>
      </w:tr>
      <w:tr w:rsidR="00995A69" w:rsidRPr="00487162" w14:paraId="48958281" w14:textId="77777777" w:rsidTr="00BF1190">
        <w:tc>
          <w:tcPr>
            <w:tcW w:w="2907" w:type="dxa"/>
          </w:tcPr>
          <w:p w14:paraId="00A9BD32" w14:textId="77777777" w:rsidR="00995A69" w:rsidRPr="00487162" w:rsidRDefault="00995A69" w:rsidP="00E45619">
            <w:pPr>
              <w:rPr>
                <w:i/>
              </w:rPr>
            </w:pPr>
            <w:r w:rsidRPr="00487162">
              <w:rPr>
                <w:i/>
              </w:rPr>
              <w:t>Dosage:</w:t>
            </w:r>
          </w:p>
        </w:tc>
        <w:tc>
          <w:tcPr>
            <w:tcW w:w="6307" w:type="dxa"/>
          </w:tcPr>
          <w:p w14:paraId="12F63835" w14:textId="77777777" w:rsidR="00AE0423" w:rsidRDefault="00995A69" w:rsidP="00995A69">
            <w:pPr>
              <w:rPr>
                <w:rFonts w:asciiTheme="minorHAnsi" w:eastAsiaTheme="minorHAnsi" w:hAnsiTheme="minorHAnsi" w:cs="Arial"/>
              </w:rPr>
            </w:pPr>
            <w:r w:rsidRPr="007D2934">
              <w:rPr>
                <w:rFonts w:asciiTheme="minorHAnsi" w:eastAsiaTheme="minorHAnsi" w:hAnsiTheme="minorHAnsi" w:cs="Arial"/>
              </w:rPr>
              <w:t xml:space="preserve">The recommended dose of </w:t>
            </w:r>
            <w:r w:rsidR="00BB1B9E" w:rsidRPr="007D2934">
              <w:rPr>
                <w:rFonts w:asciiTheme="minorHAnsi" w:eastAsiaTheme="minorHAnsi" w:hAnsiTheme="minorHAnsi" w:cs="Arial"/>
              </w:rPr>
              <w:t>Evenity</w:t>
            </w:r>
            <w:r w:rsidRPr="007D2934">
              <w:rPr>
                <w:rFonts w:asciiTheme="minorHAnsi" w:eastAsiaTheme="minorHAnsi" w:hAnsiTheme="minorHAnsi" w:cs="Arial"/>
              </w:rPr>
              <w:t xml:space="preserve"> is 210 mg administered subcutaneously.</w:t>
            </w:r>
          </w:p>
          <w:p w14:paraId="77EBFE19" w14:textId="6A8A4268" w:rsidR="00AE0423" w:rsidRDefault="00995A69" w:rsidP="00995A69">
            <w:pPr>
              <w:rPr>
                <w:rFonts w:asciiTheme="minorHAnsi" w:eastAsiaTheme="minorHAnsi" w:hAnsiTheme="minorHAnsi" w:cs="Arial"/>
              </w:rPr>
            </w:pPr>
            <w:r w:rsidRPr="007D2934">
              <w:rPr>
                <w:rFonts w:asciiTheme="minorHAnsi" w:eastAsiaTheme="minorHAnsi" w:hAnsiTheme="minorHAnsi" w:cs="Arial"/>
              </w:rPr>
              <w:t xml:space="preserve">To administer the 210 mg dose, give 2 subcutaneous injections of </w:t>
            </w:r>
            <w:r w:rsidR="00BB1B9E" w:rsidRPr="007D2934">
              <w:rPr>
                <w:rFonts w:asciiTheme="minorHAnsi" w:eastAsiaTheme="minorHAnsi" w:hAnsiTheme="minorHAnsi" w:cs="Arial"/>
              </w:rPr>
              <w:t>Evenity</w:t>
            </w:r>
            <w:r w:rsidR="00D672B8" w:rsidRPr="007D2934">
              <w:rPr>
                <w:rFonts w:asciiTheme="minorHAnsi" w:eastAsiaTheme="minorHAnsi" w:hAnsiTheme="minorHAnsi" w:cs="Arial"/>
              </w:rPr>
              <w:t>.</w:t>
            </w:r>
          </w:p>
          <w:p w14:paraId="0ACBD420" w14:textId="401CC088" w:rsidR="00995A69" w:rsidRPr="007D2934" w:rsidRDefault="00D672B8" w:rsidP="00995A69">
            <w:r w:rsidRPr="007D2934">
              <w:rPr>
                <w:rFonts w:asciiTheme="minorHAnsi" w:eastAsiaTheme="minorHAnsi" w:hAnsiTheme="minorHAnsi" w:cs="Arial"/>
              </w:rPr>
              <w:t>Administer Evenity once every month for 12 doses</w:t>
            </w:r>
          </w:p>
        </w:tc>
      </w:tr>
    </w:tbl>
    <w:p w14:paraId="2ABC5AA8" w14:textId="77777777" w:rsidR="008E7846" w:rsidRDefault="008E7846" w:rsidP="008E7846">
      <w:pPr>
        <w:pStyle w:val="Heading3"/>
      </w:pPr>
      <w:bookmarkStart w:id="13" w:name="_Toc247691503"/>
      <w:bookmarkStart w:id="14" w:name="_Toc314842484"/>
      <w:bookmarkStart w:id="15" w:name="_Toc32481895"/>
      <w:r>
        <w:lastRenderedPageBreak/>
        <w:t>Product background</w:t>
      </w:r>
      <w:bookmarkEnd w:id="13"/>
      <w:bookmarkEnd w:id="14"/>
      <w:bookmarkEnd w:id="15"/>
    </w:p>
    <w:p w14:paraId="16EE9B47" w14:textId="50661E21" w:rsidR="002835DA" w:rsidRDefault="00940A89" w:rsidP="00940A89">
      <w:r w:rsidRPr="00940A89">
        <w:t>This AusPAR describes the application by</w:t>
      </w:r>
      <w:r w:rsidR="007D2934">
        <w:t xml:space="preserve"> Amgen Australia Pty Ltd (</w:t>
      </w:r>
      <w:r w:rsidRPr="00940A89">
        <w:t>the sponsor</w:t>
      </w:r>
      <w:r w:rsidR="007D2934">
        <w:t>)</w:t>
      </w:r>
      <w:r w:rsidRPr="00940A89">
        <w:t xml:space="preserve"> to register </w:t>
      </w:r>
      <w:r w:rsidR="00AE0423">
        <w:t xml:space="preserve">Evenity </w:t>
      </w:r>
      <w:r w:rsidR="007242A1">
        <w:t>romosozumab</w:t>
      </w:r>
      <w:r w:rsidRPr="00940A89">
        <w:t xml:space="preserve"> for the follow</w:t>
      </w:r>
      <w:r w:rsidR="002835DA">
        <w:t>ing indication:</w:t>
      </w:r>
    </w:p>
    <w:p w14:paraId="5AC7A7C4" w14:textId="77777777" w:rsidR="002835DA" w:rsidRPr="004A31B7" w:rsidRDefault="002835DA" w:rsidP="004A31B7">
      <w:pPr>
        <w:ind w:left="720"/>
        <w:rPr>
          <w:i/>
        </w:rPr>
      </w:pPr>
      <w:r w:rsidRPr="004A31B7">
        <w:rPr>
          <w:i/>
        </w:rPr>
        <w:t>Evenity is indicated for the treatment of osteoporosis in postmenopausal women at increased risk of fracture. Evenity reduces the risk of vertebral, clinical, and non-vertebral fractures.</w:t>
      </w:r>
    </w:p>
    <w:p w14:paraId="387BF427" w14:textId="77777777" w:rsidR="008E7846" w:rsidRPr="004A31B7" w:rsidRDefault="002835DA" w:rsidP="004A31B7">
      <w:pPr>
        <w:ind w:left="720"/>
        <w:rPr>
          <w:i/>
        </w:rPr>
      </w:pPr>
      <w:r w:rsidRPr="004A31B7">
        <w:rPr>
          <w:i/>
        </w:rPr>
        <w:t>Evenity is indicated for the treatment of osteoporosis in men at increased risk of fractu</w:t>
      </w:r>
      <w:r w:rsidR="004A31B7">
        <w:rPr>
          <w:i/>
        </w:rPr>
        <w:t>re. Evenity increases bone mass</w:t>
      </w:r>
    </w:p>
    <w:p w14:paraId="06524FDE" w14:textId="77777777" w:rsidR="008D74BF" w:rsidRDefault="00696AC6" w:rsidP="004C0EC2">
      <w:r>
        <w:t>Romosozumab</w:t>
      </w:r>
      <w:r w:rsidR="004C0EC2" w:rsidRPr="004C0EC2">
        <w:t xml:space="preserve"> is a humanised immunoglobulin G2 (IgG2) monoclonal antibody that binds and inhibits sclerostin. </w:t>
      </w:r>
      <w:r>
        <w:t>Romosozumab</w:t>
      </w:r>
      <w:r w:rsidR="004C0EC2" w:rsidRPr="004C0EC2">
        <w:t xml:space="preserve"> increases bone formation due to the activation of bone lining cells, increased bone matrix production by osteoblasts, and recruitment of </w:t>
      </w:r>
      <w:proofErr w:type="spellStart"/>
      <w:r w:rsidR="004C0EC2" w:rsidRPr="004C0EC2">
        <w:t>osteoprogenitor</w:t>
      </w:r>
      <w:proofErr w:type="spellEnd"/>
      <w:r w:rsidR="004C0EC2" w:rsidRPr="004C0EC2">
        <w:t xml:space="preserve"> cells. Additionally, romosozumab results in changes to expression of osteoclast mediators, thereby decreasing bone resorption. Together, this dual</w:t>
      </w:r>
      <w:r w:rsidR="004C0EC2">
        <w:t xml:space="preserve"> </w:t>
      </w:r>
      <w:r w:rsidR="004C0EC2" w:rsidRPr="004C0EC2">
        <w:t>effect of increasing bone formation and decreasing bone resorption results in rapid increases in trabecular and cortical bone mass, improvements in bone structure and strength, and fracture risk reduction</w:t>
      </w:r>
      <w:r w:rsidR="008D74BF">
        <w:t>.</w:t>
      </w:r>
    </w:p>
    <w:p w14:paraId="1ECEA701" w14:textId="77777777" w:rsidR="004C0EC2" w:rsidRDefault="004C0EC2" w:rsidP="004C0EC2">
      <w:r w:rsidRPr="004C0EC2">
        <w:t>Osteoporosis is a major public health problem that affects 15% to 38% of women age 50</w:t>
      </w:r>
      <w:r w:rsidR="004A31B7">
        <w:t> </w:t>
      </w:r>
      <w:r w:rsidRPr="004C0EC2">
        <w:t>years or older. While osteoporosis and osteoporotic fractures are most commonly associated with postmenopausal women, osteoporosis in men is also an important clinical and public health issue</w:t>
      </w:r>
      <w:r>
        <w:t>.</w:t>
      </w:r>
    </w:p>
    <w:p w14:paraId="78E9A368" w14:textId="447C9479" w:rsidR="004C0EC2" w:rsidRDefault="00EA2CCD" w:rsidP="002835DA">
      <w:r w:rsidRPr="00EA2CCD">
        <w:t xml:space="preserve">The current treatment guidelines for the management of post-menopausal osteoporosis by the </w:t>
      </w:r>
      <w:r w:rsidR="00AE0423" w:rsidRPr="00AE0423">
        <w:t xml:space="preserve">Royal Australian College of General Practitioners </w:t>
      </w:r>
      <w:r w:rsidR="00AE0423">
        <w:t>(</w:t>
      </w:r>
      <w:r w:rsidRPr="00EA2CCD">
        <w:t>RACGP</w:t>
      </w:r>
      <w:r w:rsidR="00AE0423">
        <w:t>)</w:t>
      </w:r>
      <w:r w:rsidRPr="00EA2CCD">
        <w:t xml:space="preserve"> and osteoporosis Australia recommend bisphosphonates or denosumab as first line therapy.</w:t>
      </w:r>
      <w:r w:rsidR="008D74BF">
        <w:t xml:space="preserve"> </w:t>
      </w:r>
      <w:r w:rsidRPr="00EA2CCD">
        <w:t>Denosumab has advantages over bisphosphonates in terms of greater efficacy, and better compliance. Teriparatide is used when patients sustain fractures despite treatment with other anti-</w:t>
      </w:r>
      <w:proofErr w:type="spellStart"/>
      <w:r w:rsidRPr="00EA2CCD">
        <w:t>resorptive</w:t>
      </w:r>
      <w:proofErr w:type="spellEnd"/>
      <w:r w:rsidRPr="00EA2CCD">
        <w:t xml:space="preserve"> treatments. In men, alendronate and denosumab are considered to be a treatment option for osteoporosis.</w:t>
      </w:r>
    </w:p>
    <w:p w14:paraId="362EC903" w14:textId="45900422" w:rsidR="00EA2CCD" w:rsidRPr="00EA2CCD" w:rsidRDefault="00EA2CCD" w:rsidP="00EA2CCD">
      <w:pPr>
        <w:spacing w:before="0" w:after="0" w:line="240" w:lineRule="auto"/>
        <w:rPr>
          <w:rFonts w:asciiTheme="minorHAnsi" w:hAnsiTheme="minorHAnsi"/>
        </w:rPr>
      </w:pPr>
      <w:r>
        <w:rPr>
          <w:rFonts w:asciiTheme="minorHAnsi" w:hAnsiTheme="minorHAnsi"/>
        </w:rPr>
        <w:t>There are c</w:t>
      </w:r>
      <w:r w:rsidRPr="00CD1F47">
        <w:rPr>
          <w:rFonts w:asciiTheme="minorHAnsi" w:hAnsiTheme="minorHAnsi"/>
        </w:rPr>
        <w:t>oncurrent applications</w:t>
      </w:r>
      <w:r>
        <w:rPr>
          <w:rFonts w:asciiTheme="minorHAnsi" w:hAnsiTheme="minorHAnsi"/>
        </w:rPr>
        <w:t xml:space="preserve"> under review</w:t>
      </w:r>
      <w:r w:rsidRPr="00CD1F47">
        <w:rPr>
          <w:rFonts w:asciiTheme="minorHAnsi" w:hAnsiTheme="minorHAnsi"/>
        </w:rPr>
        <w:t xml:space="preserve"> in </w:t>
      </w:r>
      <w:r w:rsidR="00AE0423">
        <w:rPr>
          <w:rFonts w:asciiTheme="minorHAnsi" w:hAnsiTheme="minorHAnsi"/>
        </w:rPr>
        <w:t xml:space="preserve">the </w:t>
      </w:r>
      <w:r w:rsidR="00654353">
        <w:t>United States</w:t>
      </w:r>
      <w:r w:rsidR="00654353" w:rsidRPr="00CD1F47">
        <w:rPr>
          <w:rFonts w:asciiTheme="minorHAnsi" w:hAnsiTheme="minorHAnsi"/>
        </w:rPr>
        <w:t xml:space="preserve"> </w:t>
      </w:r>
      <w:r w:rsidR="00654353">
        <w:rPr>
          <w:rFonts w:asciiTheme="minorHAnsi" w:hAnsiTheme="minorHAnsi"/>
        </w:rPr>
        <w:t>of America (</w:t>
      </w:r>
      <w:r w:rsidRPr="00CD1F47">
        <w:rPr>
          <w:rFonts w:asciiTheme="minorHAnsi" w:hAnsiTheme="minorHAnsi"/>
        </w:rPr>
        <w:t>USA</w:t>
      </w:r>
      <w:r w:rsidR="00654353">
        <w:rPr>
          <w:rFonts w:asciiTheme="minorHAnsi" w:hAnsiTheme="minorHAnsi"/>
        </w:rPr>
        <w:t>)</w:t>
      </w:r>
      <w:r w:rsidRPr="00CD1F47">
        <w:rPr>
          <w:rFonts w:asciiTheme="minorHAnsi" w:hAnsiTheme="minorHAnsi"/>
        </w:rPr>
        <w:t>, Europe, Canada and Japan.</w:t>
      </w:r>
    </w:p>
    <w:p w14:paraId="3BE25839" w14:textId="77777777" w:rsidR="008E7846" w:rsidRPr="003F31A2" w:rsidRDefault="00386150" w:rsidP="002835DA">
      <w:pPr>
        <w:pStyle w:val="Heading3"/>
      </w:pPr>
      <w:bookmarkStart w:id="16" w:name="_Toc314842485"/>
      <w:bookmarkStart w:id="17" w:name="_Toc247691504"/>
      <w:bookmarkStart w:id="18" w:name="_Toc32481896"/>
      <w:r>
        <w:t>Regulatory s</w:t>
      </w:r>
      <w:r w:rsidR="008E7846">
        <w:t>tatus</w:t>
      </w:r>
      <w:bookmarkEnd w:id="16"/>
      <w:bookmarkEnd w:id="17"/>
      <w:bookmarkEnd w:id="18"/>
    </w:p>
    <w:p w14:paraId="755F5E44" w14:textId="3AA0EF34" w:rsidR="00940A89" w:rsidRDefault="00940A89" w:rsidP="00940A89">
      <w:bookmarkStart w:id="19" w:name="_Toc247691505"/>
      <w:bookmarkStart w:id="20" w:name="_Toc314842486"/>
      <w:r w:rsidRPr="00940A89">
        <w:t>At the time the TGA considered this application, a similar application was under co</w:t>
      </w:r>
      <w:r>
        <w:t>nsideration in</w:t>
      </w:r>
      <w:r w:rsidR="00EA2CCD">
        <w:t xml:space="preserve"> the countries specified below</w:t>
      </w:r>
      <w:r>
        <w:t>.</w:t>
      </w:r>
    </w:p>
    <w:p w14:paraId="66B0558E" w14:textId="677219C5" w:rsidR="00EA2CCD" w:rsidRDefault="00EA2CCD" w:rsidP="003732D9">
      <w:pPr>
        <w:pStyle w:val="TableTitle"/>
      </w:pPr>
      <w:r>
        <w:t>Table</w:t>
      </w:r>
      <w:r w:rsidR="003732D9">
        <w:t xml:space="preserve"> 1: International </w:t>
      </w:r>
      <w:r w:rsidR="00AE0423">
        <w:t>r</w:t>
      </w:r>
      <w:r w:rsidR="003732D9">
        <w:t>egulatory status</w:t>
      </w:r>
    </w:p>
    <w:tbl>
      <w:tblPr>
        <w:tblStyle w:val="TableTGAblue"/>
        <w:tblW w:w="0" w:type="auto"/>
        <w:tblLook w:val="04A0" w:firstRow="1" w:lastRow="0" w:firstColumn="1" w:lastColumn="0" w:noHBand="0" w:noVBand="1"/>
      </w:tblPr>
      <w:tblGrid>
        <w:gridCol w:w="1951"/>
        <w:gridCol w:w="3827"/>
        <w:gridCol w:w="2942"/>
      </w:tblGrid>
      <w:tr w:rsidR="00416EB3" w14:paraId="5D7B9947" w14:textId="77777777" w:rsidTr="00675A1D">
        <w:trPr>
          <w:cnfStyle w:val="100000000000" w:firstRow="1" w:lastRow="0" w:firstColumn="0" w:lastColumn="0" w:oddVBand="0" w:evenVBand="0" w:oddHBand="0" w:evenHBand="0" w:firstRowFirstColumn="0" w:firstRowLastColumn="0" w:lastRowFirstColumn="0" w:lastRowLastColumn="0"/>
          <w:cantSplit/>
        </w:trPr>
        <w:tc>
          <w:tcPr>
            <w:tcW w:w="1951" w:type="dxa"/>
          </w:tcPr>
          <w:p w14:paraId="7AFF48A2" w14:textId="6414DF0A" w:rsidR="00416EB3" w:rsidRPr="00F117DF" w:rsidRDefault="00416EB3" w:rsidP="00675A1D">
            <w:pPr>
              <w:ind w:left="0"/>
            </w:pPr>
            <w:r w:rsidRPr="00F117DF">
              <w:t>Country /region</w:t>
            </w:r>
            <w:r w:rsidR="003B221A" w:rsidRPr="00F117DF">
              <w:t>; regulatory agency</w:t>
            </w:r>
          </w:p>
        </w:tc>
        <w:tc>
          <w:tcPr>
            <w:tcW w:w="3827" w:type="dxa"/>
          </w:tcPr>
          <w:p w14:paraId="2E926A7C" w14:textId="291042E6" w:rsidR="00416EB3" w:rsidRPr="00F117DF" w:rsidRDefault="00416EB3" w:rsidP="00675A1D">
            <w:pPr>
              <w:ind w:left="0"/>
            </w:pPr>
            <w:r w:rsidRPr="00F117DF">
              <w:t xml:space="preserve">Date of submission </w:t>
            </w:r>
          </w:p>
        </w:tc>
        <w:tc>
          <w:tcPr>
            <w:tcW w:w="2942" w:type="dxa"/>
          </w:tcPr>
          <w:p w14:paraId="420BE5CC" w14:textId="3C0D791E" w:rsidR="00416EB3" w:rsidRPr="00F117DF" w:rsidRDefault="00416EB3" w:rsidP="00675A1D">
            <w:pPr>
              <w:ind w:left="40"/>
            </w:pPr>
            <w:r w:rsidRPr="00F117DF">
              <w:t>Status</w:t>
            </w:r>
          </w:p>
        </w:tc>
      </w:tr>
      <w:tr w:rsidR="00416EB3" w14:paraId="497BFD01" w14:textId="77777777" w:rsidTr="00675A1D">
        <w:tc>
          <w:tcPr>
            <w:tcW w:w="1951" w:type="dxa"/>
          </w:tcPr>
          <w:p w14:paraId="69B40E49" w14:textId="70DEA51D" w:rsidR="00416EB3" w:rsidRPr="00F117DF" w:rsidRDefault="00416EB3" w:rsidP="00675A1D">
            <w:pPr>
              <w:ind w:left="0"/>
            </w:pPr>
            <w:r w:rsidRPr="00F117DF">
              <w:t>USA</w:t>
            </w:r>
            <w:r w:rsidR="003B221A" w:rsidRPr="00F117DF">
              <w:t xml:space="preserve"> (FDA)</w:t>
            </w:r>
          </w:p>
        </w:tc>
        <w:tc>
          <w:tcPr>
            <w:tcW w:w="3827" w:type="dxa"/>
          </w:tcPr>
          <w:p w14:paraId="2534BFA5" w14:textId="49F8BF99" w:rsidR="00416EB3" w:rsidRPr="00F117DF" w:rsidRDefault="00416EB3" w:rsidP="00675A1D">
            <w:pPr>
              <w:ind w:left="0"/>
            </w:pPr>
            <w:r w:rsidRPr="00F117DF">
              <w:t xml:space="preserve">19 July 2016 (original </w:t>
            </w:r>
            <w:r w:rsidR="008C1A13" w:rsidRPr="00F117DF">
              <w:t>application)</w:t>
            </w:r>
          </w:p>
          <w:p w14:paraId="3B94EA06" w14:textId="5A9B5C89" w:rsidR="00416EB3" w:rsidRPr="00F117DF" w:rsidRDefault="00416EB3" w:rsidP="00675A1D">
            <w:pPr>
              <w:ind w:left="0"/>
            </w:pPr>
            <w:r w:rsidRPr="00F117DF">
              <w:t>9 July</w:t>
            </w:r>
            <w:r w:rsidR="00A808F5" w:rsidRPr="00F117DF">
              <w:t xml:space="preserve"> 2018 (CRL </w:t>
            </w:r>
            <w:r w:rsidRPr="00F117DF">
              <w:t>resubmission)</w:t>
            </w:r>
          </w:p>
        </w:tc>
        <w:tc>
          <w:tcPr>
            <w:tcW w:w="2942" w:type="dxa"/>
          </w:tcPr>
          <w:p w14:paraId="5AE2CA69" w14:textId="588181C1" w:rsidR="00416EB3" w:rsidRPr="00F117DF" w:rsidRDefault="00EE759A" w:rsidP="00675A1D">
            <w:pPr>
              <w:ind w:left="40"/>
            </w:pPr>
            <w:r w:rsidRPr="00F117DF">
              <w:t>Approved</w:t>
            </w:r>
            <w:r w:rsidR="00777541" w:rsidRPr="00F117DF">
              <w:t xml:space="preserve"> 9 April 2019</w:t>
            </w:r>
          </w:p>
        </w:tc>
      </w:tr>
      <w:tr w:rsidR="00416EB3" w14:paraId="58E88527" w14:textId="77777777" w:rsidTr="00675A1D">
        <w:tc>
          <w:tcPr>
            <w:tcW w:w="1951" w:type="dxa"/>
          </w:tcPr>
          <w:p w14:paraId="34A5E78E" w14:textId="28714877" w:rsidR="00416EB3" w:rsidRPr="00F117DF" w:rsidRDefault="00416EB3" w:rsidP="00675A1D">
            <w:pPr>
              <w:ind w:left="0"/>
            </w:pPr>
            <w:r w:rsidRPr="00F117DF">
              <w:t>Canada</w:t>
            </w:r>
            <w:r w:rsidR="003B221A" w:rsidRPr="00F117DF">
              <w:t xml:space="preserve"> (Health Canada)</w:t>
            </w:r>
          </w:p>
        </w:tc>
        <w:tc>
          <w:tcPr>
            <w:tcW w:w="3827" w:type="dxa"/>
          </w:tcPr>
          <w:p w14:paraId="351B3D9D" w14:textId="77777777" w:rsidR="00A808F5" w:rsidRPr="00F117DF" w:rsidRDefault="00416EB3" w:rsidP="00675A1D">
            <w:pPr>
              <w:ind w:left="0"/>
            </w:pPr>
            <w:r w:rsidRPr="00F117DF">
              <w:t>17 Aug</w:t>
            </w:r>
            <w:r w:rsidR="00A808F5" w:rsidRPr="00F117DF">
              <w:t>ust 2016 (original NDA)</w:t>
            </w:r>
          </w:p>
          <w:p w14:paraId="5BB10468" w14:textId="7DB65AA7" w:rsidR="00416EB3" w:rsidRPr="00F117DF" w:rsidRDefault="00416EB3" w:rsidP="00675A1D">
            <w:pPr>
              <w:ind w:left="0"/>
            </w:pPr>
            <w:r w:rsidRPr="00F117DF">
              <w:t>8 Aug</w:t>
            </w:r>
            <w:r w:rsidR="00A808F5" w:rsidRPr="00F117DF">
              <w:t>ust 20</w:t>
            </w:r>
            <w:r w:rsidRPr="00F117DF">
              <w:t>18 (NOD response)</w:t>
            </w:r>
          </w:p>
        </w:tc>
        <w:tc>
          <w:tcPr>
            <w:tcW w:w="2942" w:type="dxa"/>
          </w:tcPr>
          <w:p w14:paraId="3102F11C" w14:textId="2E840E57" w:rsidR="00416EB3" w:rsidRPr="00EF4879" w:rsidRDefault="00EE759A" w:rsidP="00675A1D">
            <w:pPr>
              <w:ind w:left="40"/>
            </w:pPr>
            <w:r w:rsidRPr="00EF4879">
              <w:t>Approved</w:t>
            </w:r>
            <w:r w:rsidR="00777541" w:rsidRPr="00EF4879">
              <w:t xml:space="preserve"> 17 June 2019</w:t>
            </w:r>
          </w:p>
        </w:tc>
      </w:tr>
      <w:tr w:rsidR="00416EB3" w14:paraId="592A7E70" w14:textId="77777777" w:rsidTr="00675A1D">
        <w:tc>
          <w:tcPr>
            <w:tcW w:w="1951" w:type="dxa"/>
          </w:tcPr>
          <w:p w14:paraId="6B491C08" w14:textId="748ECBD8" w:rsidR="00416EB3" w:rsidRPr="00EF4879" w:rsidRDefault="00416EB3" w:rsidP="00675A1D">
            <w:pPr>
              <w:ind w:left="0"/>
            </w:pPr>
            <w:r w:rsidRPr="00EF4879">
              <w:t>Japan</w:t>
            </w:r>
            <w:r w:rsidR="003B221A" w:rsidRPr="00EF4879">
              <w:t xml:space="preserve"> (PMDA)</w:t>
            </w:r>
          </w:p>
        </w:tc>
        <w:tc>
          <w:tcPr>
            <w:tcW w:w="3827" w:type="dxa"/>
          </w:tcPr>
          <w:p w14:paraId="6EC54A33" w14:textId="66B63A87" w:rsidR="00416EB3" w:rsidRPr="00EF4879" w:rsidRDefault="00416EB3" w:rsidP="00675A1D">
            <w:pPr>
              <w:ind w:left="0"/>
            </w:pPr>
            <w:r w:rsidRPr="00EF4879">
              <w:t>19 Dec</w:t>
            </w:r>
            <w:r w:rsidR="00A808F5" w:rsidRPr="00EF4879">
              <w:t>ember</w:t>
            </w:r>
            <w:r w:rsidRPr="00EF4879">
              <w:t xml:space="preserve"> </w:t>
            </w:r>
            <w:r w:rsidR="00A808F5" w:rsidRPr="00EF4879">
              <w:t>20</w:t>
            </w:r>
            <w:r w:rsidRPr="00EF4879">
              <w:t>16 (original JNDA)</w:t>
            </w:r>
          </w:p>
        </w:tc>
        <w:tc>
          <w:tcPr>
            <w:tcW w:w="2942" w:type="dxa"/>
          </w:tcPr>
          <w:p w14:paraId="21BC8AEE" w14:textId="27054CCD" w:rsidR="00416EB3" w:rsidRPr="00EF4879" w:rsidRDefault="00EE759A" w:rsidP="00675A1D">
            <w:pPr>
              <w:ind w:left="40"/>
            </w:pPr>
            <w:r w:rsidRPr="00EF4879">
              <w:t>Approved</w:t>
            </w:r>
            <w:r w:rsidR="00777541" w:rsidRPr="00EF4879">
              <w:t xml:space="preserve"> </w:t>
            </w:r>
            <w:r w:rsidR="007C4813" w:rsidRPr="00EF4879">
              <w:t>8 January 2019</w:t>
            </w:r>
          </w:p>
        </w:tc>
      </w:tr>
      <w:tr w:rsidR="00416EB3" w14:paraId="76EF7E41" w14:textId="77777777" w:rsidTr="00675A1D">
        <w:tc>
          <w:tcPr>
            <w:tcW w:w="1951" w:type="dxa"/>
          </w:tcPr>
          <w:p w14:paraId="4E416E72" w14:textId="3B443F80" w:rsidR="00416EB3" w:rsidRPr="00EF4879" w:rsidRDefault="00416EB3" w:rsidP="00675A1D">
            <w:pPr>
              <w:ind w:left="0"/>
            </w:pPr>
            <w:r w:rsidRPr="00EF4879">
              <w:lastRenderedPageBreak/>
              <w:t>E</w:t>
            </w:r>
            <w:r w:rsidR="003B221A" w:rsidRPr="00EF4879">
              <w:t>uropean Union (EU) via the</w:t>
            </w:r>
            <w:r w:rsidRPr="00EF4879">
              <w:t xml:space="preserve"> Centralised procedure</w:t>
            </w:r>
            <w:r w:rsidR="003B221A" w:rsidRPr="00EF4879">
              <w:t xml:space="preserve"> (EMA)</w:t>
            </w:r>
          </w:p>
        </w:tc>
        <w:tc>
          <w:tcPr>
            <w:tcW w:w="3827" w:type="dxa"/>
          </w:tcPr>
          <w:p w14:paraId="3F36EA80" w14:textId="23DE2346" w:rsidR="00416EB3" w:rsidRPr="00EF4879" w:rsidRDefault="00416EB3" w:rsidP="00675A1D">
            <w:pPr>
              <w:ind w:left="0"/>
            </w:pPr>
            <w:r w:rsidRPr="00EF4879">
              <w:t>20 Nov</w:t>
            </w:r>
            <w:r w:rsidR="00A808F5" w:rsidRPr="00EF4879">
              <w:t>ember</w:t>
            </w:r>
            <w:r w:rsidRPr="00EF4879">
              <w:t xml:space="preserve"> </w:t>
            </w:r>
            <w:r w:rsidR="00A808F5" w:rsidRPr="00EF4879">
              <w:t>20</w:t>
            </w:r>
            <w:r w:rsidRPr="00EF4879">
              <w:t>17</w:t>
            </w:r>
          </w:p>
        </w:tc>
        <w:tc>
          <w:tcPr>
            <w:tcW w:w="2942" w:type="dxa"/>
          </w:tcPr>
          <w:p w14:paraId="38CEF73C" w14:textId="036CB89C" w:rsidR="00416EB3" w:rsidRPr="00EF4879" w:rsidRDefault="00BB6B6D" w:rsidP="00675A1D">
            <w:pPr>
              <w:ind w:left="40"/>
            </w:pPr>
            <w:r w:rsidRPr="00EF4879">
              <w:t>CHMP p</w:t>
            </w:r>
            <w:r w:rsidR="007C4813" w:rsidRPr="00EF4879">
              <w:t>ositive opinion 17 October 2019</w:t>
            </w:r>
            <w:r w:rsidRPr="00EF4879">
              <w:t xml:space="preserve">. </w:t>
            </w:r>
            <w:r w:rsidR="00505FB6" w:rsidRPr="00EF4879">
              <w:t>EC decision anticipated Dec</w:t>
            </w:r>
            <w:r w:rsidR="003B221A" w:rsidRPr="00EF4879">
              <w:t>ember</w:t>
            </w:r>
            <w:r w:rsidR="00505FB6" w:rsidRPr="00EF4879">
              <w:t xml:space="preserve"> 2019.</w:t>
            </w:r>
          </w:p>
        </w:tc>
      </w:tr>
      <w:tr w:rsidR="00416EB3" w14:paraId="76799A5D" w14:textId="77777777" w:rsidTr="00675A1D">
        <w:tc>
          <w:tcPr>
            <w:tcW w:w="1951" w:type="dxa"/>
          </w:tcPr>
          <w:p w14:paraId="5A5F6BA0" w14:textId="0C69EE78" w:rsidR="00416EB3" w:rsidRPr="00EF4879" w:rsidRDefault="00416EB3" w:rsidP="00675A1D">
            <w:pPr>
              <w:ind w:left="0"/>
            </w:pPr>
            <w:r w:rsidRPr="00EF4879">
              <w:t>Switzerland</w:t>
            </w:r>
            <w:r w:rsidR="003B221A" w:rsidRPr="00EF4879">
              <w:t xml:space="preserve"> (</w:t>
            </w:r>
            <w:proofErr w:type="spellStart"/>
            <w:r w:rsidR="003B221A" w:rsidRPr="00EF4879">
              <w:t>SwissMedic</w:t>
            </w:r>
            <w:proofErr w:type="spellEnd"/>
            <w:r w:rsidR="003B221A" w:rsidRPr="00EF4879">
              <w:t>)</w:t>
            </w:r>
          </w:p>
        </w:tc>
        <w:tc>
          <w:tcPr>
            <w:tcW w:w="3827" w:type="dxa"/>
          </w:tcPr>
          <w:p w14:paraId="19B0AE79" w14:textId="560AF60B" w:rsidR="00416EB3" w:rsidRPr="00EF4879" w:rsidRDefault="00416EB3" w:rsidP="00675A1D">
            <w:pPr>
              <w:ind w:left="0"/>
            </w:pPr>
            <w:r w:rsidRPr="00EF4879">
              <w:t>25 Jan</w:t>
            </w:r>
            <w:r w:rsidR="00A808F5" w:rsidRPr="00EF4879">
              <w:t>uary</w:t>
            </w:r>
            <w:r w:rsidRPr="00EF4879">
              <w:t xml:space="preserve"> </w:t>
            </w:r>
            <w:r w:rsidR="00A808F5" w:rsidRPr="00EF4879">
              <w:t>20</w:t>
            </w:r>
            <w:r w:rsidRPr="00EF4879">
              <w:t>18</w:t>
            </w:r>
          </w:p>
        </w:tc>
        <w:tc>
          <w:tcPr>
            <w:tcW w:w="2942" w:type="dxa"/>
          </w:tcPr>
          <w:p w14:paraId="2A22072A" w14:textId="2B91E2D9" w:rsidR="00416EB3" w:rsidRPr="00EF4879" w:rsidRDefault="00416EB3" w:rsidP="00675A1D">
            <w:pPr>
              <w:ind w:left="40"/>
            </w:pPr>
            <w:r w:rsidRPr="00EF4879">
              <w:t>Outcome pending</w:t>
            </w:r>
          </w:p>
        </w:tc>
      </w:tr>
    </w:tbl>
    <w:p w14:paraId="15CF165C" w14:textId="44236F4E" w:rsidR="00EA2CCD" w:rsidRDefault="003B221A" w:rsidP="00EF4879">
      <w:pPr>
        <w:pStyle w:val="Tabletext"/>
      </w:pPr>
      <w:r>
        <w:t xml:space="preserve">FDA = (United States) Food and Drug Administration; </w:t>
      </w:r>
      <w:r w:rsidR="00AE0423">
        <w:t>CRL = C</w:t>
      </w:r>
      <w:r>
        <w:t xml:space="preserve">omplete Response Letter (FDA); NDA = New Drug Application (FDA; Health Canada); NOD = Notice of deficiency (Health Canada); PMDA = Pharmaceuticals and Medical Devices Agency (Japan); JNDA = Japanese New Drug Application (PMDA); EMA = European Medicines Agency; CHMP = </w:t>
      </w:r>
      <w:r w:rsidRPr="003B221A">
        <w:t>Committee for Medicinal Products for Human Use</w:t>
      </w:r>
      <w:r w:rsidR="00675A1D">
        <w:t xml:space="preserve"> (EU);</w:t>
      </w:r>
    </w:p>
    <w:p w14:paraId="44997EDE" w14:textId="77777777" w:rsidR="008D74BF" w:rsidRDefault="00EA2CCD" w:rsidP="00940A89">
      <w:r w:rsidRPr="00EA2CCD">
        <w:t>The marketing application has not been deferred, withdrawn or rejected by any of the countries in which a marketing application has been submitted</w:t>
      </w:r>
      <w:r w:rsidR="008D74BF">
        <w:t>.</w:t>
      </w:r>
    </w:p>
    <w:p w14:paraId="4FA4F45F" w14:textId="77777777" w:rsidR="008E7846" w:rsidRDefault="008E7846" w:rsidP="00940A89">
      <w:pPr>
        <w:pStyle w:val="Heading3"/>
      </w:pPr>
      <w:bookmarkStart w:id="21" w:name="_Toc32481897"/>
      <w:r>
        <w:t>Product Information</w:t>
      </w:r>
      <w:bookmarkEnd w:id="19"/>
      <w:bookmarkEnd w:id="20"/>
      <w:bookmarkEnd w:id="21"/>
    </w:p>
    <w:p w14:paraId="063FC5AB" w14:textId="77777777"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7" w:history="1">
        <w:r w:rsidR="00441C3F" w:rsidRPr="00441C3F">
          <w:rPr>
            <w:rStyle w:val="Hyperlink"/>
          </w:rPr>
          <w:t>https://www.tga.gov.au/product-information-pi</w:t>
        </w:r>
      </w:hyperlink>
      <w:r w:rsidR="00441C3F">
        <w:t>&gt;</w:t>
      </w:r>
      <w:r w:rsidR="00940A89" w:rsidRPr="00940A89">
        <w:t>.</w:t>
      </w:r>
    </w:p>
    <w:p w14:paraId="578EECD6" w14:textId="77777777" w:rsidR="00500337" w:rsidRDefault="00500337" w:rsidP="00500337">
      <w:pPr>
        <w:pStyle w:val="Heading2"/>
      </w:pPr>
      <w:bookmarkStart w:id="24" w:name="_Toc504480011"/>
      <w:bookmarkStart w:id="25" w:name="_Toc32481898"/>
      <w:r>
        <w:t>II. Registration time line</w:t>
      </w:r>
      <w:bookmarkEnd w:id="24"/>
      <w:bookmarkEnd w:id="25"/>
    </w:p>
    <w:p w14:paraId="2120C508" w14:textId="267EFD7D" w:rsidR="00500337" w:rsidRDefault="00500337" w:rsidP="00500337">
      <w:r>
        <w:t>The following table captures the key steps and dates for this application and which are detailed and discussed in this AusPAR.</w:t>
      </w:r>
    </w:p>
    <w:p w14:paraId="70CF7149" w14:textId="75589872" w:rsidR="00A808F5" w:rsidRDefault="00A808F5" w:rsidP="00A808F5">
      <w:pPr>
        <w:pStyle w:val="TableTitle"/>
      </w:pPr>
      <w:r>
        <w:t>Table 2. Time line for Submission PM-2017-04339-1-5</w:t>
      </w:r>
    </w:p>
    <w:tbl>
      <w:tblPr>
        <w:tblStyle w:val="TableTGAblue"/>
        <w:tblW w:w="0" w:type="auto"/>
        <w:tblLook w:val="04A0" w:firstRow="1" w:lastRow="0" w:firstColumn="1" w:lastColumn="0" w:noHBand="0" w:noVBand="1"/>
      </w:tblPr>
      <w:tblGrid>
        <w:gridCol w:w="6204"/>
        <w:gridCol w:w="2516"/>
      </w:tblGrid>
      <w:tr w:rsidR="00500337" w14:paraId="2AB30933" w14:textId="77777777" w:rsidTr="00675A1D">
        <w:trPr>
          <w:cnfStyle w:val="100000000000" w:firstRow="1" w:lastRow="0" w:firstColumn="0" w:lastColumn="0" w:oddVBand="0" w:evenVBand="0" w:oddHBand="0" w:evenHBand="0" w:firstRowFirstColumn="0" w:firstRowLastColumn="0" w:lastRowFirstColumn="0" w:lastRowLastColumn="0"/>
          <w:cantSplit/>
        </w:trPr>
        <w:tc>
          <w:tcPr>
            <w:tcW w:w="6204" w:type="dxa"/>
          </w:tcPr>
          <w:p w14:paraId="01337DFB" w14:textId="77777777" w:rsidR="00500337" w:rsidRDefault="00500337" w:rsidP="00675A1D">
            <w:r>
              <w:t>Description</w:t>
            </w:r>
          </w:p>
        </w:tc>
        <w:tc>
          <w:tcPr>
            <w:tcW w:w="2516" w:type="dxa"/>
          </w:tcPr>
          <w:p w14:paraId="2F74B0E5" w14:textId="77777777" w:rsidR="00500337" w:rsidRDefault="00500337" w:rsidP="00675A1D">
            <w:r>
              <w:t>Date</w:t>
            </w:r>
          </w:p>
        </w:tc>
      </w:tr>
      <w:tr w:rsidR="00500337" w14:paraId="4EA8F0B7" w14:textId="77777777" w:rsidTr="00675A1D">
        <w:tc>
          <w:tcPr>
            <w:tcW w:w="6204" w:type="dxa"/>
          </w:tcPr>
          <w:p w14:paraId="3174BDDC" w14:textId="77777777" w:rsidR="00500337" w:rsidRDefault="00500337" w:rsidP="00675A1D">
            <w:r>
              <w:t>Submission dossier accepted and first round evaluation commenced</w:t>
            </w:r>
          </w:p>
        </w:tc>
        <w:tc>
          <w:tcPr>
            <w:tcW w:w="2516" w:type="dxa"/>
          </w:tcPr>
          <w:p w14:paraId="66A47853" w14:textId="77777777" w:rsidR="00500337" w:rsidRDefault="00863929" w:rsidP="00675A1D">
            <w:r>
              <w:t>5 January 2018</w:t>
            </w:r>
          </w:p>
        </w:tc>
      </w:tr>
      <w:tr w:rsidR="00500337" w14:paraId="0D527076" w14:textId="77777777" w:rsidTr="00675A1D">
        <w:tc>
          <w:tcPr>
            <w:tcW w:w="6204" w:type="dxa"/>
          </w:tcPr>
          <w:p w14:paraId="4227757F" w14:textId="77777777" w:rsidR="00500337" w:rsidRDefault="00500337" w:rsidP="00675A1D">
            <w:r>
              <w:t>First round evaluation completed</w:t>
            </w:r>
          </w:p>
        </w:tc>
        <w:tc>
          <w:tcPr>
            <w:tcW w:w="2516" w:type="dxa"/>
          </w:tcPr>
          <w:p w14:paraId="7ED35AE1" w14:textId="77777777" w:rsidR="00500337" w:rsidRDefault="00863929" w:rsidP="00675A1D">
            <w:r>
              <w:t>31 May 2018</w:t>
            </w:r>
          </w:p>
        </w:tc>
      </w:tr>
      <w:tr w:rsidR="00500337" w14:paraId="14ACAABB" w14:textId="77777777" w:rsidTr="00675A1D">
        <w:tc>
          <w:tcPr>
            <w:tcW w:w="6204" w:type="dxa"/>
          </w:tcPr>
          <w:p w14:paraId="2EB1291F" w14:textId="77777777" w:rsidR="00500337" w:rsidRDefault="00500337" w:rsidP="00675A1D">
            <w:r>
              <w:t>Sponsor provides responses on questions raised in first round evaluation</w:t>
            </w:r>
          </w:p>
        </w:tc>
        <w:tc>
          <w:tcPr>
            <w:tcW w:w="2516" w:type="dxa"/>
          </w:tcPr>
          <w:p w14:paraId="5D836453" w14:textId="77777777" w:rsidR="00500337" w:rsidRDefault="00863929" w:rsidP="00675A1D">
            <w:r>
              <w:t>2 July 2018</w:t>
            </w:r>
          </w:p>
        </w:tc>
      </w:tr>
      <w:tr w:rsidR="00500337" w14:paraId="6A020407" w14:textId="77777777" w:rsidTr="00675A1D">
        <w:tc>
          <w:tcPr>
            <w:tcW w:w="6204" w:type="dxa"/>
          </w:tcPr>
          <w:p w14:paraId="3F1E94F6" w14:textId="77777777" w:rsidR="00500337" w:rsidRDefault="00500337" w:rsidP="00675A1D">
            <w:r>
              <w:t>Second round evaluation completed</w:t>
            </w:r>
          </w:p>
        </w:tc>
        <w:tc>
          <w:tcPr>
            <w:tcW w:w="2516" w:type="dxa"/>
          </w:tcPr>
          <w:p w14:paraId="134570B8" w14:textId="77777777" w:rsidR="00500337" w:rsidRDefault="00863929" w:rsidP="00675A1D">
            <w:r>
              <w:t>13 August 2018</w:t>
            </w:r>
          </w:p>
        </w:tc>
      </w:tr>
      <w:tr w:rsidR="00500337" w14:paraId="29CA704F" w14:textId="77777777" w:rsidTr="00675A1D">
        <w:tc>
          <w:tcPr>
            <w:tcW w:w="6204" w:type="dxa"/>
          </w:tcPr>
          <w:p w14:paraId="6A6181CB" w14:textId="77777777" w:rsidR="00500337" w:rsidRDefault="00500337" w:rsidP="00675A1D">
            <w:r>
              <w:t>Delegate’s Overall benefit-risk assessment and request for Advisory Committee advice</w:t>
            </w:r>
          </w:p>
        </w:tc>
        <w:tc>
          <w:tcPr>
            <w:tcW w:w="2516" w:type="dxa"/>
          </w:tcPr>
          <w:p w14:paraId="39BD2F40" w14:textId="77777777" w:rsidR="00500337" w:rsidRDefault="007D2934" w:rsidP="00675A1D">
            <w:r>
              <w:t>3 September 2018</w:t>
            </w:r>
          </w:p>
        </w:tc>
      </w:tr>
      <w:tr w:rsidR="00500337" w14:paraId="6A961284" w14:textId="77777777" w:rsidTr="00675A1D">
        <w:tc>
          <w:tcPr>
            <w:tcW w:w="6204" w:type="dxa"/>
          </w:tcPr>
          <w:p w14:paraId="56435A2B" w14:textId="77777777" w:rsidR="00500337" w:rsidRDefault="00500337" w:rsidP="00675A1D">
            <w:r>
              <w:t>Sponsor’s pre-Advisory Committee response</w:t>
            </w:r>
          </w:p>
        </w:tc>
        <w:tc>
          <w:tcPr>
            <w:tcW w:w="2516" w:type="dxa"/>
          </w:tcPr>
          <w:p w14:paraId="70E70ACB" w14:textId="77777777" w:rsidR="00500337" w:rsidRDefault="007D2934" w:rsidP="00675A1D">
            <w:r>
              <w:t>17 September 2018</w:t>
            </w:r>
          </w:p>
        </w:tc>
      </w:tr>
      <w:tr w:rsidR="00500337" w14:paraId="527975B7" w14:textId="77777777" w:rsidTr="00675A1D">
        <w:tc>
          <w:tcPr>
            <w:tcW w:w="6204" w:type="dxa"/>
          </w:tcPr>
          <w:p w14:paraId="1A514D10" w14:textId="77777777" w:rsidR="00500337" w:rsidRDefault="00500337" w:rsidP="00675A1D">
            <w:r>
              <w:lastRenderedPageBreak/>
              <w:t>Advisory Committee meeting</w:t>
            </w:r>
          </w:p>
        </w:tc>
        <w:tc>
          <w:tcPr>
            <w:tcW w:w="2516" w:type="dxa"/>
          </w:tcPr>
          <w:p w14:paraId="3C0622FF" w14:textId="77777777" w:rsidR="00500337" w:rsidRDefault="007D2934" w:rsidP="00675A1D">
            <w:r>
              <w:t>4 October 2018</w:t>
            </w:r>
          </w:p>
        </w:tc>
      </w:tr>
      <w:tr w:rsidR="00500337" w14:paraId="37009E66" w14:textId="77777777" w:rsidTr="00675A1D">
        <w:tc>
          <w:tcPr>
            <w:tcW w:w="6204" w:type="dxa"/>
          </w:tcPr>
          <w:p w14:paraId="18A5C899" w14:textId="77777777" w:rsidR="00500337" w:rsidRDefault="00500337" w:rsidP="00675A1D">
            <w:r>
              <w:t>Registration decision (Outcome)</w:t>
            </w:r>
          </w:p>
        </w:tc>
        <w:tc>
          <w:tcPr>
            <w:tcW w:w="2516" w:type="dxa"/>
          </w:tcPr>
          <w:p w14:paraId="2B0D4444" w14:textId="77777777" w:rsidR="00500337" w:rsidRDefault="007D2934" w:rsidP="00675A1D">
            <w:r>
              <w:t>21 June 2019</w:t>
            </w:r>
          </w:p>
        </w:tc>
      </w:tr>
      <w:tr w:rsidR="00500337" w14:paraId="07BC2555" w14:textId="77777777" w:rsidTr="00675A1D">
        <w:tc>
          <w:tcPr>
            <w:tcW w:w="6204" w:type="dxa"/>
          </w:tcPr>
          <w:p w14:paraId="2DC983A6" w14:textId="77777777" w:rsidR="00500337" w:rsidRDefault="00500337" w:rsidP="00675A1D">
            <w:r>
              <w:t>Completion of administrative activities and registration on ARTG</w:t>
            </w:r>
          </w:p>
        </w:tc>
        <w:tc>
          <w:tcPr>
            <w:tcW w:w="2516" w:type="dxa"/>
          </w:tcPr>
          <w:p w14:paraId="26CC53EB" w14:textId="77777777" w:rsidR="00500337" w:rsidRDefault="007D2934" w:rsidP="00675A1D">
            <w:r>
              <w:t>1 July 2019</w:t>
            </w:r>
          </w:p>
        </w:tc>
      </w:tr>
      <w:tr w:rsidR="00500337" w14:paraId="2627918F" w14:textId="77777777" w:rsidTr="00675A1D">
        <w:tc>
          <w:tcPr>
            <w:tcW w:w="6204" w:type="dxa"/>
          </w:tcPr>
          <w:p w14:paraId="57F0E1E1" w14:textId="77777777" w:rsidR="00500337" w:rsidRDefault="00500337" w:rsidP="00675A1D">
            <w:r>
              <w:t>Number of working days from submission dossier acceptance to registration decision*</w:t>
            </w:r>
          </w:p>
        </w:tc>
        <w:tc>
          <w:tcPr>
            <w:tcW w:w="2516" w:type="dxa"/>
          </w:tcPr>
          <w:p w14:paraId="4F1650D3" w14:textId="77777777" w:rsidR="00500337" w:rsidRDefault="007D2934" w:rsidP="00675A1D">
            <w:r>
              <w:t>239</w:t>
            </w:r>
          </w:p>
        </w:tc>
      </w:tr>
    </w:tbl>
    <w:p w14:paraId="5707EBCC"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65EDCA92" w14:textId="77777777" w:rsidR="008E7846" w:rsidRPr="003602A9" w:rsidRDefault="00500337" w:rsidP="008E7846">
      <w:pPr>
        <w:pStyle w:val="Heading2"/>
        <w:ind w:left="-11"/>
      </w:pPr>
      <w:bookmarkStart w:id="26" w:name="_Toc32481899"/>
      <w:r>
        <w:t>I</w:t>
      </w:r>
      <w:r w:rsidR="008E7846">
        <w:t>II. Quality</w:t>
      </w:r>
      <w:bookmarkEnd w:id="1"/>
      <w:r w:rsidR="008E7846">
        <w:t xml:space="preserve"> findings</w:t>
      </w:r>
      <w:bookmarkEnd w:id="22"/>
      <w:bookmarkEnd w:id="23"/>
      <w:bookmarkEnd w:id="26"/>
    </w:p>
    <w:p w14:paraId="6E813E98" w14:textId="77777777" w:rsidR="00794417" w:rsidRDefault="008E7846" w:rsidP="007D2934">
      <w:pPr>
        <w:pStyle w:val="Heading3"/>
      </w:pPr>
      <w:bookmarkStart w:id="27" w:name="_Toc247691507"/>
      <w:bookmarkStart w:id="28" w:name="_Toc314842488"/>
      <w:bookmarkStart w:id="29" w:name="_Toc32481900"/>
      <w:r w:rsidRPr="008751DC">
        <w:t xml:space="preserve">Drug </w:t>
      </w:r>
      <w:r>
        <w:t>s</w:t>
      </w:r>
      <w:r w:rsidRPr="008751DC">
        <w:t>ubstance</w:t>
      </w:r>
      <w:r>
        <w:t xml:space="preserve"> (active ingredient)</w:t>
      </w:r>
      <w:bookmarkEnd w:id="27"/>
      <w:bookmarkEnd w:id="28"/>
      <w:bookmarkEnd w:id="29"/>
    </w:p>
    <w:p w14:paraId="6F4B3B36" w14:textId="6363C8DE" w:rsidR="008D74BF" w:rsidRDefault="00794417" w:rsidP="004A31B7">
      <w:r>
        <w:t>Romosozumab</w:t>
      </w:r>
      <w:r w:rsidRPr="004C0EC2">
        <w:t xml:space="preserve"> is a humanised immunoglobulin G2 (IgG2) monoclonal antibody that </w:t>
      </w:r>
      <w:r>
        <w:t>is produced in Chinese hamster ovary cells. It</w:t>
      </w:r>
      <w:r w:rsidR="004A31B7">
        <w:t xml:space="preserve"> consists of </w:t>
      </w:r>
      <w:r w:rsidR="008A6D15">
        <w:t>two</w:t>
      </w:r>
      <w:r w:rsidR="004A31B7">
        <w:t xml:space="preserve"> heavy chains of the lgG2 subclass and </w:t>
      </w:r>
      <w:r w:rsidR="008A6D15">
        <w:t>two</w:t>
      </w:r>
      <w:r w:rsidR="004A31B7">
        <w:t xml:space="preserve"> light chains of the human kappa subclass. Each heavy chain contains 449 amino acid</w:t>
      </w:r>
      <w:r w:rsidR="00A808F5">
        <w:t xml:space="preserve">s with 4 </w:t>
      </w:r>
      <w:proofErr w:type="spellStart"/>
      <w:r w:rsidR="00A808F5">
        <w:t>intrachain</w:t>
      </w:r>
      <w:proofErr w:type="spellEnd"/>
      <w:r w:rsidR="00A808F5">
        <w:t xml:space="preserve"> </w:t>
      </w:r>
      <w:proofErr w:type="spellStart"/>
      <w:r w:rsidR="00A808F5">
        <w:t>disulfides</w:t>
      </w:r>
      <w:proofErr w:type="spellEnd"/>
      <w:r w:rsidR="00A808F5">
        <w:t>.</w:t>
      </w:r>
    </w:p>
    <w:p w14:paraId="342B7955" w14:textId="77777777" w:rsidR="008D74BF" w:rsidRDefault="004A31B7" w:rsidP="004A31B7">
      <w:r>
        <w:t xml:space="preserve">The theoretical mass of fully assembled, glycosylated (containing 2 N-linked </w:t>
      </w:r>
      <w:proofErr w:type="spellStart"/>
      <w:r>
        <w:t>glycans</w:t>
      </w:r>
      <w:proofErr w:type="spellEnd"/>
      <w:r>
        <w:t xml:space="preserve"> (1 per heavy chain)) and </w:t>
      </w:r>
      <w:r w:rsidR="008A6D15">
        <w:t xml:space="preserve">disulphide </w:t>
      </w:r>
      <w:r>
        <w:t>bonded with heavy chain C-terminal glycine romosozumab antibody is 148,511 Da. The theoretical mass is in agreement with experimentally determined predominant romosozumab mass</w:t>
      </w:r>
      <w:r w:rsidR="008D74BF">
        <w:t>.</w:t>
      </w:r>
    </w:p>
    <w:p w14:paraId="02DA8F52" w14:textId="77777777" w:rsidR="004A31B7" w:rsidRDefault="004A31B7" w:rsidP="004A31B7">
      <w:r>
        <w:t>Asn299 is a consensus glycosylation site. Lys449 is removed during cell culture process. Schematic of romosozumab antibody is given below:</w:t>
      </w:r>
    </w:p>
    <w:p w14:paraId="15B8DD50" w14:textId="77777777" w:rsidR="003732D9" w:rsidRDefault="003732D9" w:rsidP="003732D9">
      <w:pPr>
        <w:pStyle w:val="FigureTitle"/>
      </w:pPr>
      <w:r>
        <w:t xml:space="preserve">Figure 1: Schematic structure of </w:t>
      </w:r>
      <w:r w:rsidR="00863929">
        <w:t>romosozumab</w:t>
      </w:r>
    </w:p>
    <w:p w14:paraId="700EF318" w14:textId="77777777" w:rsidR="004A31B7" w:rsidRDefault="004A31B7" w:rsidP="008638DE">
      <w:r>
        <w:rPr>
          <w:noProof/>
          <w:lang w:eastAsia="en-AU"/>
        </w:rPr>
        <w:drawing>
          <wp:inline distT="0" distB="0" distL="0" distR="0" wp14:anchorId="7A4A225D" wp14:editId="32EF6054">
            <wp:extent cx="3956685" cy="3507740"/>
            <wp:effectExtent l="0" t="0" r="5715" b="0"/>
            <wp:docPr id="26" name="Picture 9" descr="Schematic structure of romosoz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l="3306" t="6139" r="11157"/>
                    <a:stretch/>
                  </pic:blipFill>
                  <pic:spPr bwMode="auto">
                    <a:xfrm>
                      <a:off x="0" y="0"/>
                      <a:ext cx="3956685" cy="3507740"/>
                    </a:xfrm>
                    <a:prstGeom prst="rect">
                      <a:avLst/>
                    </a:prstGeom>
                    <a:noFill/>
                    <a:ln>
                      <a:noFill/>
                    </a:ln>
                    <a:extLst/>
                  </pic:spPr>
                </pic:pic>
              </a:graphicData>
            </a:graphic>
          </wp:inline>
        </w:drawing>
      </w:r>
    </w:p>
    <w:p w14:paraId="0890D6EF" w14:textId="77777777" w:rsidR="00671F6E" w:rsidRDefault="00794417" w:rsidP="004A31B7">
      <w:r>
        <w:lastRenderedPageBreak/>
        <w:t xml:space="preserve">After production by cell culture and harvesting the antibody is purified </w:t>
      </w:r>
      <w:r w:rsidR="00671F6E">
        <w:t>using a series of chromatography and filtration steps including viral inactivation.</w:t>
      </w:r>
    </w:p>
    <w:p w14:paraId="37924200" w14:textId="53E8E3BB" w:rsidR="00671F6E" w:rsidRPr="00671F6E" w:rsidRDefault="00671F6E" w:rsidP="00EF4879">
      <w:r w:rsidRPr="00671F6E">
        <w:t xml:space="preserve">The characterisation and testing of </w:t>
      </w:r>
      <w:r>
        <w:t>the master and working cell banks</w:t>
      </w:r>
      <w:r w:rsidRPr="00671F6E">
        <w:t xml:space="preserve">, comply with </w:t>
      </w:r>
      <w:r w:rsidR="007710AA">
        <w:t>International Council for Harmonisation</w:t>
      </w:r>
      <w:r w:rsidR="007710AA" w:rsidRPr="00671F6E">
        <w:t xml:space="preserve"> </w:t>
      </w:r>
      <w:r w:rsidR="007710AA">
        <w:t>(</w:t>
      </w:r>
      <w:r w:rsidRPr="00671F6E">
        <w:t>ICH</w:t>
      </w:r>
      <w:r w:rsidR="007710AA">
        <w:t>)</w:t>
      </w:r>
      <w:r w:rsidRPr="00671F6E">
        <w:t xml:space="preserve"> guidelines CPMP/ICH139/95 ICHQ5B</w:t>
      </w:r>
      <w:r w:rsidR="00A808F5">
        <w:t>;</w:t>
      </w:r>
      <w:r w:rsidR="00A808F5">
        <w:rPr>
          <w:rStyle w:val="FootnoteReference"/>
        </w:rPr>
        <w:footnoteReference w:id="1"/>
      </w:r>
      <w:r w:rsidRPr="00671F6E">
        <w:t xml:space="preserve"> and 3AB1a</w:t>
      </w:r>
      <w:r w:rsidR="00A808F5">
        <w:t>;</w:t>
      </w:r>
      <w:r w:rsidR="00A808F5">
        <w:rPr>
          <w:rStyle w:val="FootnoteReference"/>
        </w:rPr>
        <w:footnoteReference w:id="2"/>
      </w:r>
      <w:r w:rsidRPr="00671F6E">
        <w:t xml:space="preserve">. Both cell banks were confirmed to be of Chinese hamster origin by </w:t>
      </w:r>
      <w:proofErr w:type="spellStart"/>
      <w:r w:rsidRPr="00671F6E">
        <w:t>isoenzyme</w:t>
      </w:r>
      <w:proofErr w:type="spellEnd"/>
      <w:r w:rsidRPr="00671F6E">
        <w:t xml:space="preserve"> analysis and the expression of the expected </w:t>
      </w:r>
      <w:r w:rsidR="00466840">
        <w:t>complementary DNA (</w:t>
      </w:r>
      <w:r w:rsidRPr="00671F6E">
        <w:t>cDNA</w:t>
      </w:r>
      <w:r w:rsidR="00466840">
        <w:t>)</w:t>
      </w:r>
      <w:r w:rsidRPr="00671F6E">
        <w:t xml:space="preserve"> sequence was also confirmed.</w:t>
      </w:r>
      <w:r w:rsidRPr="00671F6E">
        <w:rPr>
          <w:rFonts w:ascii="Arial" w:eastAsiaTheme="minorHAnsi" w:hAnsi="Arial" w:cs="Arial"/>
        </w:rPr>
        <w:t xml:space="preserve"> </w:t>
      </w:r>
      <w:r w:rsidRPr="00671F6E">
        <w:rPr>
          <w:rFonts w:asciiTheme="minorHAnsi" w:hAnsiTheme="minorHAnsi"/>
        </w:rPr>
        <w:t xml:space="preserve">No animal derived material is used in the growth medium for </w:t>
      </w:r>
      <w:r w:rsidR="00654353">
        <w:rPr>
          <w:rFonts w:asciiTheme="minorHAnsi" w:hAnsiTheme="minorHAnsi"/>
        </w:rPr>
        <w:t xml:space="preserve">master cell bank </w:t>
      </w:r>
      <w:r w:rsidRPr="00671F6E">
        <w:rPr>
          <w:rFonts w:asciiTheme="minorHAnsi" w:hAnsiTheme="minorHAnsi"/>
        </w:rPr>
        <w:t xml:space="preserve">or </w:t>
      </w:r>
      <w:r w:rsidR="00654353">
        <w:rPr>
          <w:rFonts w:asciiTheme="minorHAnsi" w:hAnsiTheme="minorHAnsi"/>
        </w:rPr>
        <w:t>working cell bank</w:t>
      </w:r>
      <w:r w:rsidRPr="00671F6E">
        <w:t>.</w:t>
      </w:r>
    </w:p>
    <w:p w14:paraId="00FAD62A" w14:textId="77777777" w:rsidR="008638DE" w:rsidRPr="008638DE" w:rsidRDefault="008638DE" w:rsidP="008638DE">
      <w:r w:rsidRPr="008638DE">
        <w:t>Critical process parameters and In-process controls for the manufacturing of romosozumab drug substance are defined and appeared to be well-controlled.</w:t>
      </w:r>
    </w:p>
    <w:p w14:paraId="31F6CCC5" w14:textId="0E0C3BD3" w:rsidR="008638DE" w:rsidRPr="008638DE" w:rsidRDefault="008638DE" w:rsidP="008638DE">
      <w:pPr>
        <w:rPr>
          <w:lang w:val="en-US"/>
        </w:rPr>
      </w:pPr>
      <w:r w:rsidRPr="008638DE">
        <w:t>Process validation studies demonstrated both cleaning effectiveness as well as performance over the lifetime of the chromatography re</w:t>
      </w:r>
      <w:r w:rsidR="00654353">
        <w:t>sin and ultrafiltration/</w:t>
      </w:r>
      <w:proofErr w:type="spellStart"/>
      <w:r w:rsidR="00654353">
        <w:t>diafilt</w:t>
      </w:r>
      <w:r w:rsidRPr="008638DE">
        <w:t>ration</w:t>
      </w:r>
      <w:proofErr w:type="spellEnd"/>
      <w:r w:rsidRPr="008638DE">
        <w:t xml:space="preserve"> (UF/DF) membrane. </w:t>
      </w:r>
      <w:r w:rsidRPr="008638DE">
        <w:rPr>
          <w:lang w:val="en-US"/>
        </w:rPr>
        <w:t>Reproducibility of the manufacturing process and consistency of romosozumab drug substance is demonstrated to meet predetermined acceptance criteria.</w:t>
      </w:r>
    </w:p>
    <w:p w14:paraId="641A6E4B" w14:textId="77777777" w:rsidR="008638DE" w:rsidRPr="008638DE" w:rsidRDefault="008638DE" w:rsidP="008638DE">
      <w:pPr>
        <w:rPr>
          <w:lang w:val="en-US"/>
        </w:rPr>
      </w:pPr>
      <w:r w:rsidRPr="008638DE">
        <w:rPr>
          <w:lang w:val="en-US"/>
        </w:rPr>
        <w:t xml:space="preserve">Taken together the results of </w:t>
      </w:r>
      <w:proofErr w:type="spellStart"/>
      <w:r w:rsidRPr="008638DE">
        <w:rPr>
          <w:lang w:val="en-US"/>
        </w:rPr>
        <w:t>characterisation</w:t>
      </w:r>
      <w:proofErr w:type="spellEnd"/>
      <w:r w:rsidRPr="008638DE">
        <w:rPr>
          <w:lang w:val="en-US"/>
        </w:rPr>
        <w:t xml:space="preserve"> studies, forced degradation studies and studies of specific impurities indicated that process-related and product-related impurities have been well characterised, can be detected by various methods employed, controlled and cleared via the manufacturing process. Testing results have shown that the romosozumab </w:t>
      </w:r>
      <w:r w:rsidR="007D2934">
        <w:rPr>
          <w:lang w:val="en-US"/>
        </w:rPr>
        <w:t>drug substance</w:t>
      </w:r>
      <w:r w:rsidRPr="008638DE">
        <w:rPr>
          <w:lang w:val="en-US"/>
        </w:rPr>
        <w:t xml:space="preserve"> manufacturing process could effectively reduce process-related impurities to satisfactory levels. </w:t>
      </w:r>
    </w:p>
    <w:p w14:paraId="65061896" w14:textId="77777777" w:rsidR="008638DE" w:rsidRPr="008638DE" w:rsidRDefault="008638DE" w:rsidP="008638DE">
      <w:r w:rsidRPr="008638DE">
        <w:t>The specifications used are in accordance or more stringent than those applied in the process validation studies.</w:t>
      </w:r>
      <w:r w:rsidR="007D2934">
        <w:t xml:space="preserve"> </w:t>
      </w:r>
      <w:r w:rsidRPr="008638DE">
        <w:t>These specificatio</w:t>
      </w:r>
      <w:r w:rsidR="007D2934">
        <w:t>ns are consistent with ICH Q6B.</w:t>
      </w:r>
      <w:r w:rsidR="007D2934">
        <w:rPr>
          <w:rStyle w:val="FootnoteReference"/>
        </w:rPr>
        <w:footnoteReference w:id="3"/>
      </w:r>
    </w:p>
    <w:p w14:paraId="35EA12DA" w14:textId="0C370AD2" w:rsidR="00794417" w:rsidRPr="007D2934" w:rsidRDefault="009C5DDC" w:rsidP="004A31B7">
      <w:pPr>
        <w:rPr>
          <w:lang w:val="en-GB"/>
        </w:rPr>
      </w:pPr>
      <w:r w:rsidRPr="0095765C">
        <w:t xml:space="preserve">Analytical procedures were validated in accordance with </w:t>
      </w:r>
      <w:r w:rsidR="00466840">
        <w:t xml:space="preserve">the </w:t>
      </w:r>
      <w:r w:rsidRPr="0095765C">
        <w:t xml:space="preserve">ICH </w:t>
      </w:r>
      <w:r w:rsidR="00466840">
        <w:t>g</w:t>
      </w:r>
      <w:r w:rsidRPr="0095765C">
        <w:t>uide</w:t>
      </w:r>
      <w:r w:rsidR="00466840">
        <w:t>line</w:t>
      </w:r>
      <w:r w:rsidR="007D2934">
        <w:t>.</w:t>
      </w:r>
      <w:r w:rsidR="007D2934">
        <w:rPr>
          <w:rStyle w:val="FootnoteReference"/>
        </w:rPr>
        <w:footnoteReference w:id="4"/>
      </w:r>
      <w:r>
        <w:t xml:space="preserve"> </w:t>
      </w:r>
      <w:proofErr w:type="spellStart"/>
      <w:r w:rsidRPr="0095765C">
        <w:t>Compendial</w:t>
      </w:r>
      <w:proofErr w:type="spellEnd"/>
      <w:r w:rsidRPr="0095765C">
        <w:t xml:space="preserve"> methods are appropriately qualified for their intended use.</w:t>
      </w:r>
      <w:r>
        <w:t xml:space="preserve"> </w:t>
      </w:r>
      <w:r w:rsidR="008638DE" w:rsidRPr="00670531">
        <w:t xml:space="preserve">The method validation, </w:t>
      </w:r>
      <w:r w:rsidR="008638DE">
        <w:t xml:space="preserve">specificity, </w:t>
      </w:r>
      <w:r w:rsidR="008638DE" w:rsidRPr="00670531">
        <w:t>accuracy,</w:t>
      </w:r>
      <w:r w:rsidR="008638DE">
        <w:t xml:space="preserve"> linearity and precision</w:t>
      </w:r>
      <w:r w:rsidR="008638DE" w:rsidRPr="00670531">
        <w:t xml:space="preserve"> of all non-</w:t>
      </w:r>
      <w:proofErr w:type="spellStart"/>
      <w:r w:rsidR="008638DE" w:rsidRPr="00670531">
        <w:t>compendial</w:t>
      </w:r>
      <w:proofErr w:type="spellEnd"/>
      <w:r w:rsidR="008638DE" w:rsidRPr="00670531">
        <w:t xml:space="preserve"> methods is provided and found acceptable.</w:t>
      </w:r>
    </w:p>
    <w:p w14:paraId="6FE1FF4C" w14:textId="77777777" w:rsidR="003F09E4" w:rsidRDefault="008E7846" w:rsidP="008E7846">
      <w:pPr>
        <w:pStyle w:val="Heading3"/>
      </w:pPr>
      <w:bookmarkStart w:id="30" w:name="_Toc247691508"/>
      <w:bookmarkStart w:id="31" w:name="_Toc314842490"/>
      <w:bookmarkStart w:id="32" w:name="_Toc32481901"/>
      <w:r w:rsidRPr="008751DC">
        <w:t xml:space="preserve">Drug </w:t>
      </w:r>
      <w:r>
        <w:t>p</w:t>
      </w:r>
      <w:r w:rsidRPr="008751DC">
        <w:t>roduct</w:t>
      </w:r>
      <w:bookmarkEnd w:id="30"/>
      <w:bookmarkEnd w:id="31"/>
      <w:bookmarkEnd w:id="32"/>
    </w:p>
    <w:p w14:paraId="4C0BF919" w14:textId="77777777" w:rsidR="008A6D15" w:rsidRDefault="008D74BF" w:rsidP="004A31B7">
      <w:r>
        <w:t xml:space="preserve">The finished product is formulated to control viscosity and </w:t>
      </w:r>
      <w:proofErr w:type="spellStart"/>
      <w:r>
        <w:t>pH.</w:t>
      </w:r>
      <w:proofErr w:type="spellEnd"/>
    </w:p>
    <w:p w14:paraId="026022E8" w14:textId="27D6A65E" w:rsidR="004A31B7" w:rsidRPr="004A31B7" w:rsidRDefault="004A31B7" w:rsidP="004A31B7">
      <w:r w:rsidRPr="004A31B7">
        <w:t>The recommended shelf-life of the drug product is 36 months at 2</w:t>
      </w:r>
      <w:r>
        <w:t xml:space="preserve"> to </w:t>
      </w:r>
      <w:r w:rsidRPr="004A31B7">
        <w:t>8</w:t>
      </w:r>
      <w:r w:rsidR="00654353">
        <w:t>°</w:t>
      </w:r>
      <w:r w:rsidRPr="004A31B7">
        <w:t>C and a short</w:t>
      </w:r>
      <w:r>
        <w:t xml:space="preserve"> </w:t>
      </w:r>
      <w:r w:rsidRPr="004A31B7">
        <w:t>term room temperature exposure (controlled, 25</w:t>
      </w:r>
      <w:r w:rsidR="00654353">
        <w:t>°</w:t>
      </w:r>
      <w:r w:rsidRPr="004A31B7">
        <w:t>C or less) for up to 30 days within the 36</w:t>
      </w:r>
      <w:r>
        <w:t> </w:t>
      </w:r>
      <w:r w:rsidRPr="004A31B7">
        <w:t xml:space="preserve">months shelf life, protected from light for both romosozumab </w:t>
      </w:r>
      <w:r>
        <w:t>prefilled syringe</w:t>
      </w:r>
      <w:r w:rsidRPr="004A31B7">
        <w:t xml:space="preserve"> and </w:t>
      </w:r>
      <w:proofErr w:type="spellStart"/>
      <w:r w:rsidR="00A808F5">
        <w:t>autoinjector</w:t>
      </w:r>
      <w:proofErr w:type="spellEnd"/>
      <w:r w:rsidR="00A808F5">
        <w:t xml:space="preserve"> </w:t>
      </w:r>
      <w:r w:rsidR="008D74BF">
        <w:t>pen</w:t>
      </w:r>
      <w:r w:rsidRPr="004A31B7">
        <w:t>. Following short term storage at room temperature (below 25</w:t>
      </w:r>
      <w:r w:rsidR="00654353">
        <w:t>°</w:t>
      </w:r>
      <w:r w:rsidRPr="004A31B7">
        <w:t>C) for not more than 30 days, E</w:t>
      </w:r>
      <w:r>
        <w:t>venity</w:t>
      </w:r>
      <w:r w:rsidRPr="004A31B7">
        <w:t xml:space="preserve"> (romosozumab) should be discarded.</w:t>
      </w:r>
    </w:p>
    <w:p w14:paraId="3D27C432" w14:textId="77777777" w:rsidR="003F09E4" w:rsidRDefault="008E7846" w:rsidP="008E7846">
      <w:pPr>
        <w:pStyle w:val="Heading3"/>
      </w:pPr>
      <w:bookmarkStart w:id="33" w:name="_Toc247691509"/>
      <w:bookmarkStart w:id="34" w:name="_Toc314842493"/>
      <w:bookmarkStart w:id="35" w:name="_Toc32481902"/>
      <w:r>
        <w:t>Quality s</w:t>
      </w:r>
      <w:r w:rsidRPr="008751DC">
        <w:t>ummary</w:t>
      </w:r>
      <w:r>
        <w:t xml:space="preserve"> and conclusions</w:t>
      </w:r>
      <w:bookmarkEnd w:id="33"/>
      <w:bookmarkEnd w:id="34"/>
      <w:bookmarkEnd w:id="35"/>
    </w:p>
    <w:p w14:paraId="399E888F" w14:textId="77777777" w:rsidR="004A31B7" w:rsidRDefault="004A31B7" w:rsidP="004A31B7">
      <w:r w:rsidRPr="004A31B7">
        <w:t>There are no objections on quality grounds to the approval of E</w:t>
      </w:r>
      <w:r>
        <w:t>venity</w:t>
      </w:r>
      <w:r w:rsidRPr="004A31B7">
        <w:t>.</w:t>
      </w:r>
    </w:p>
    <w:p w14:paraId="11E9B0FD" w14:textId="77777777" w:rsidR="007D2934" w:rsidRDefault="007D2934" w:rsidP="007D2934">
      <w:pPr>
        <w:pStyle w:val="Heading4"/>
      </w:pPr>
      <w:r w:rsidRPr="001F48AA">
        <w:t>Proposed</w:t>
      </w:r>
      <w:r>
        <w:t xml:space="preserve"> conditions of r</w:t>
      </w:r>
      <w:r w:rsidRPr="001F48AA">
        <w:t>egistration</w:t>
      </w:r>
    </w:p>
    <w:p w14:paraId="4D37A7FC" w14:textId="77777777" w:rsidR="007D2934" w:rsidRPr="001F48AA" w:rsidRDefault="007D2934" w:rsidP="007D2934">
      <w:pPr>
        <w:pStyle w:val="ListBullet"/>
      </w:pPr>
      <w:r>
        <w:t>Batch r</w:t>
      </w:r>
      <w:r w:rsidRPr="001F48AA">
        <w:t xml:space="preserve">elease </w:t>
      </w:r>
      <w:r>
        <w:t>t</w:t>
      </w:r>
      <w:r w:rsidRPr="001F48AA">
        <w:t xml:space="preserve">esting </w:t>
      </w:r>
      <w:r>
        <w:t>and</w:t>
      </w:r>
      <w:r w:rsidRPr="001F48AA">
        <w:t xml:space="preserve"> </w:t>
      </w:r>
      <w:r>
        <w:t>c</w:t>
      </w:r>
      <w:r w:rsidRPr="001F48AA">
        <w:t>ompliance with Certified Product Details (CPD)</w:t>
      </w:r>
    </w:p>
    <w:p w14:paraId="6B3452B9" w14:textId="77777777" w:rsidR="007D2934" w:rsidRPr="00AC0DC6" w:rsidRDefault="007D2934" w:rsidP="007D2934">
      <w:pPr>
        <w:ind w:left="360"/>
      </w:pPr>
      <w:r w:rsidRPr="00AC0DC6">
        <w:lastRenderedPageBreak/>
        <w:t xml:space="preserve">The sponsor should be prepared to provide product samples, reference materials and documentary evidence as defined by the TGA Laboratories branch. The sponsor must contact </w:t>
      </w:r>
      <w:r w:rsidRPr="007D2934">
        <w:rPr>
          <w:rFonts w:asciiTheme="minorHAnsi" w:hAnsiTheme="minorHAnsi"/>
        </w:rPr>
        <w:t>Biochemistry.Testing@health.gov.au</w:t>
      </w:r>
      <w:r w:rsidRPr="007D2934">
        <w:t xml:space="preserve"> for </w:t>
      </w:r>
      <w:r w:rsidRPr="00AC0DC6">
        <w:t xml:space="preserve">specific material requirements related to the batch release testing/assessment of the product. More information on TGA testing of biological medicines is available at </w:t>
      </w:r>
      <w:r w:rsidRPr="007D2934">
        <w:t>https://www.tga.gov.au/publication/testing-biological-medicines</w:t>
      </w:r>
      <w:r w:rsidRPr="00AC0DC6">
        <w:t>.</w:t>
      </w:r>
    </w:p>
    <w:p w14:paraId="51567DCA" w14:textId="77777777" w:rsidR="007D2934" w:rsidRPr="007D2934" w:rsidRDefault="007D2934" w:rsidP="007D2934">
      <w:pPr>
        <w:ind w:left="360"/>
        <w:rPr>
          <w:b/>
        </w:rPr>
      </w:pPr>
      <w:r w:rsidRPr="00AC0DC6">
        <w:t>This batch release condition will be reviewed and may be modified on the basis of actual batch quality and consistency</w:t>
      </w:r>
      <w:r w:rsidRPr="007D2934">
        <w:t>. This condition remains in place until you are notified in writing of any variation.</w:t>
      </w:r>
    </w:p>
    <w:p w14:paraId="7E248E83" w14:textId="002DF648" w:rsidR="007D2934" w:rsidRPr="007D2934" w:rsidRDefault="007D2934" w:rsidP="007D2934">
      <w:pPr>
        <w:ind w:left="360"/>
      </w:pPr>
      <w:r w:rsidRPr="001F48AA">
        <w:t xml:space="preserve">The Certified Product Details (CPD), as described in Guidance 7: Certified Product Details of the Australian Regulatory Guidelines for Prescription Medicines (ARGPM) </w:t>
      </w:r>
      <w:r w:rsidR="00654353">
        <w:t>(</w:t>
      </w:r>
      <w:hyperlink r:id="rId19" w:history="1">
        <w:r w:rsidRPr="007D2934">
          <w:rPr>
            <w:rStyle w:val="Hyperlink"/>
            <w:color w:val="auto"/>
            <w:u w:val="none"/>
          </w:rPr>
          <w:t>http://www.tga.gov.au/industry/pm-argpm-guidance-7.htm</w:t>
        </w:r>
      </w:hyperlink>
      <w:r w:rsidR="00654353">
        <w:t>)</w:t>
      </w:r>
      <w:r w:rsidRPr="001F48AA">
        <w:t>,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5B7C3984" w14:textId="77777777" w:rsidR="008E7846" w:rsidRDefault="008E7846" w:rsidP="008E7846">
      <w:pPr>
        <w:pStyle w:val="Heading2"/>
      </w:pPr>
      <w:bookmarkStart w:id="36" w:name="_Toc196046439"/>
      <w:bookmarkStart w:id="37" w:name="_Toc247691510"/>
      <w:bookmarkStart w:id="38" w:name="_Toc314842494"/>
      <w:bookmarkStart w:id="39" w:name="_Toc32481903"/>
      <w:r>
        <w:t>I</w:t>
      </w:r>
      <w:r w:rsidR="00500337">
        <w:t>V</w:t>
      </w:r>
      <w:r>
        <w:t>. Nonclinical</w:t>
      </w:r>
      <w:bookmarkEnd w:id="36"/>
      <w:r>
        <w:t xml:space="preserve"> findings</w:t>
      </w:r>
      <w:bookmarkEnd w:id="37"/>
      <w:bookmarkEnd w:id="38"/>
      <w:bookmarkEnd w:id="39"/>
    </w:p>
    <w:p w14:paraId="47B75598" w14:textId="77777777" w:rsidR="003F09E4" w:rsidRDefault="008E7846" w:rsidP="00940A89">
      <w:pPr>
        <w:pStyle w:val="Heading3"/>
      </w:pPr>
      <w:bookmarkStart w:id="40" w:name="_Toc247691511"/>
      <w:bookmarkStart w:id="41" w:name="_Toc314842495"/>
      <w:bookmarkStart w:id="42" w:name="_Toc32481904"/>
      <w:r>
        <w:t>Introduction</w:t>
      </w:r>
      <w:bookmarkEnd w:id="40"/>
      <w:bookmarkEnd w:id="41"/>
      <w:bookmarkEnd w:id="42"/>
    </w:p>
    <w:p w14:paraId="5F5B7D7C" w14:textId="77C5E0FC" w:rsidR="00110727" w:rsidRDefault="00466840" w:rsidP="00110727">
      <w:r>
        <w:t>The sponsor</w:t>
      </w:r>
      <w:r w:rsidR="00110727">
        <w:t xml:space="preserve"> has applied to register a new biological entity, romosozumab, a monoclonal antibody against sclerostin. </w:t>
      </w:r>
      <w:r w:rsidR="00C10DAA">
        <w:t>Evenity</w:t>
      </w:r>
      <w:r w:rsidR="00110727">
        <w:t xml:space="preserve"> is proposed to be used for the treatment of osteoporosis in postmenopausal women and in men at increased risk of fracture. The proposed dose is 210 mg, given as two </w:t>
      </w:r>
      <w:r w:rsidR="003B40F2">
        <w:t>subcutaneous (</w:t>
      </w:r>
      <w:r w:rsidR="00110727">
        <w:t>SC</w:t>
      </w:r>
      <w:r w:rsidR="003B40F2">
        <w:t>)</w:t>
      </w:r>
      <w:r w:rsidR="00110727">
        <w:t xml:space="preserve"> injections, once per month. Treatment is for a maximum of 12 months.</w:t>
      </w:r>
    </w:p>
    <w:p w14:paraId="53E9F302" w14:textId="1BF74D84" w:rsidR="00110727" w:rsidRPr="00110727" w:rsidRDefault="00110727" w:rsidP="00110727">
      <w:r>
        <w:t xml:space="preserve">The nonclinical dossier was of good overall good quality, and in general accordance with relevant TGA-adopted guidelines, including ICH S6 (R1) </w:t>
      </w:r>
      <w:r w:rsidR="00654353">
        <w:t>(</w:t>
      </w:r>
      <w:r>
        <w:t xml:space="preserve">Preclinical </w:t>
      </w:r>
      <w:r w:rsidR="00466840">
        <w:t>safety evaluation of biotechnology-derived pharmaceuticals</w:t>
      </w:r>
      <w:r w:rsidR="00654353">
        <w:t>)</w:t>
      </w:r>
      <w:r w:rsidR="00466840">
        <w:t>;</w:t>
      </w:r>
      <w:bookmarkStart w:id="43" w:name="_Ref30101836"/>
      <w:r w:rsidR="00466840">
        <w:rPr>
          <w:rStyle w:val="FootnoteReference"/>
        </w:rPr>
        <w:footnoteReference w:id="5"/>
      </w:r>
      <w:bookmarkEnd w:id="43"/>
      <w:r>
        <w:t xml:space="preserve"> and CPMP/EWP/552/95 Rev. 2 </w:t>
      </w:r>
      <w:r w:rsidR="00654353">
        <w:t>(</w:t>
      </w:r>
      <w:r w:rsidR="00466840">
        <w:t>Guideline on the evaluation of medicinal products in the treatment of primary osteoporosis</w:t>
      </w:r>
      <w:r w:rsidR="00654353">
        <w:t>)</w:t>
      </w:r>
      <w:r>
        <w:t>.</w:t>
      </w:r>
      <w:r w:rsidR="00466840">
        <w:rPr>
          <w:rStyle w:val="FootnoteReference"/>
        </w:rPr>
        <w:footnoteReference w:id="6"/>
      </w:r>
      <w:r>
        <w:t xml:space="preserve"> All pivotal safety-related studies were conducted according to G</w:t>
      </w:r>
      <w:r w:rsidR="00466840">
        <w:t xml:space="preserve">ood </w:t>
      </w:r>
      <w:r>
        <w:t>L</w:t>
      </w:r>
      <w:r w:rsidR="00466840">
        <w:t xml:space="preserve">aboratory </w:t>
      </w:r>
      <w:r>
        <w:t>P</w:t>
      </w:r>
      <w:r w:rsidR="00466840">
        <w:t>ractices (GLP)</w:t>
      </w:r>
      <w:r>
        <w:t>.</w:t>
      </w:r>
    </w:p>
    <w:p w14:paraId="511C8252" w14:textId="77777777" w:rsidR="003F09E4" w:rsidRDefault="008E7846" w:rsidP="008E7846">
      <w:pPr>
        <w:pStyle w:val="Heading3"/>
      </w:pPr>
      <w:bookmarkStart w:id="44" w:name="_Toc247691512"/>
      <w:bookmarkStart w:id="45" w:name="_Toc314842496"/>
      <w:bookmarkStart w:id="46" w:name="_Toc32481905"/>
      <w:r w:rsidRPr="00020030">
        <w:t>Pharmacology</w:t>
      </w:r>
      <w:bookmarkEnd w:id="44"/>
      <w:bookmarkEnd w:id="45"/>
      <w:bookmarkEnd w:id="46"/>
    </w:p>
    <w:p w14:paraId="4DC06186" w14:textId="77777777" w:rsidR="00110727" w:rsidRDefault="00110727" w:rsidP="00C10DAA">
      <w:pPr>
        <w:pStyle w:val="Heading4"/>
      </w:pPr>
      <w:r>
        <w:t>Primary pharmacology</w:t>
      </w:r>
    </w:p>
    <w:p w14:paraId="686A346F" w14:textId="77777777" w:rsidR="00110727" w:rsidRDefault="00110727" w:rsidP="00110727">
      <w:r>
        <w:t>Sclerostin is a negative regulator of bone formation predominantly secreted by mature osteocytes. By binding to sclerostin, romosozumab is intended to increase bone formation and decrease bone resorption.</w:t>
      </w:r>
    </w:p>
    <w:p w14:paraId="4D6A6F99" w14:textId="468319BB" w:rsidR="00110727" w:rsidRDefault="00110727" w:rsidP="00110727">
      <w:r w:rsidRPr="007D2934">
        <w:rPr>
          <w:i/>
        </w:rPr>
        <w:t>In vitro</w:t>
      </w:r>
      <w:r>
        <w:t xml:space="preserve"> studies showed that romosozumab binds to human </w:t>
      </w:r>
      <w:proofErr w:type="spellStart"/>
      <w:r>
        <w:t>sclerostin</w:t>
      </w:r>
      <w:proofErr w:type="spellEnd"/>
      <w:r>
        <w:t xml:space="preserve"> with </w:t>
      </w:r>
      <w:proofErr w:type="spellStart"/>
      <w:r>
        <w:t>picomolar</w:t>
      </w:r>
      <w:proofErr w:type="spellEnd"/>
      <w:r>
        <w:t xml:space="preserve"> </w:t>
      </w:r>
      <w:r w:rsidR="00466840">
        <w:t>(</w:t>
      </w:r>
      <w:proofErr w:type="spellStart"/>
      <w:r w:rsidR="00466840">
        <w:t>pM</w:t>
      </w:r>
      <w:proofErr w:type="spellEnd"/>
      <w:r w:rsidR="00466840">
        <w:t xml:space="preserve">) </w:t>
      </w:r>
      <w:r>
        <w:t xml:space="preserve">affinity </w:t>
      </w:r>
      <w:r w:rsidRPr="005579F3">
        <w:t>(</w:t>
      </w:r>
      <w:r w:rsidR="00466840" w:rsidRPr="00466840">
        <w:t xml:space="preserve">equilibrium dissociation constant </w:t>
      </w:r>
      <w:r w:rsidR="00466840">
        <w:t>(</w:t>
      </w:r>
      <w:r w:rsidRPr="005579F3">
        <w:t>K</w:t>
      </w:r>
      <w:r w:rsidRPr="00EF4879">
        <w:rPr>
          <w:vertAlign w:val="subscript"/>
        </w:rPr>
        <w:t>D</w:t>
      </w:r>
      <w:r w:rsidR="00466840">
        <w:t>)</w:t>
      </w:r>
      <w:r>
        <w:t xml:space="preserve"> 11 </w:t>
      </w:r>
      <w:proofErr w:type="spellStart"/>
      <w:r>
        <w:t>pM</w:t>
      </w:r>
      <w:proofErr w:type="spellEnd"/>
      <w:r>
        <w:t>). The affinity of the antibody for the cynomolgus monkey and rat forms of sclerostin was similarly high cf. human (respective K</w:t>
      </w:r>
      <w:r w:rsidRPr="00EF4879">
        <w:rPr>
          <w:vertAlign w:val="subscript"/>
        </w:rPr>
        <w:t>D</w:t>
      </w:r>
      <w:r>
        <w:t xml:space="preserve"> values, 23 and 3 </w:t>
      </w:r>
      <w:proofErr w:type="spellStart"/>
      <w:r>
        <w:t>pM</w:t>
      </w:r>
      <w:proofErr w:type="spellEnd"/>
      <w:r>
        <w:t xml:space="preserve">), consistent with </w:t>
      </w:r>
      <w:proofErr w:type="spellStart"/>
      <w:r>
        <w:t>sclerostin</w:t>
      </w:r>
      <w:proofErr w:type="spellEnd"/>
      <w:r>
        <w:t xml:space="preserve"> being well conserved across species (98% and 92% amino acid identity with human for the two animal species).</w:t>
      </w:r>
    </w:p>
    <w:p w14:paraId="0748224B" w14:textId="77777777" w:rsidR="00110727" w:rsidRDefault="00110727" w:rsidP="00110727">
      <w:r>
        <w:lastRenderedPageBreak/>
        <w:t xml:space="preserve">Sclerostin binds to LRP5 and LRP6 (low density lipoprotein receptor-related proteins 5 and 6) to antagonise the canonical </w:t>
      </w:r>
      <w:r w:rsidR="0079374F" w:rsidRPr="0079374F">
        <w:t>Wingless-related integration site</w:t>
      </w:r>
      <w:r w:rsidR="0079374F">
        <w:t xml:space="preserve"> (</w:t>
      </w:r>
      <w:proofErr w:type="spellStart"/>
      <w:r>
        <w:t>Wnt</w:t>
      </w:r>
      <w:proofErr w:type="spellEnd"/>
      <w:r w:rsidR="0079374F">
        <w:t>)</w:t>
      </w:r>
      <w:r>
        <w:t xml:space="preserve"> signalling pathway; it also interacts with LRP4 (required for the inhibitory action of sclerostin)</w:t>
      </w:r>
      <w:r w:rsidR="009944A1">
        <w:rPr>
          <w:rStyle w:val="FootnoteReference"/>
        </w:rPr>
        <w:footnoteReference w:id="7"/>
      </w:r>
      <w:r>
        <w:t xml:space="preserve">. Immunoprecipitation assays showed that romosozumab inhibits the binding of sclerostin to LRP5 and LRP6, but not to LRP4. </w:t>
      </w:r>
      <w:r w:rsidR="00696AC6">
        <w:t>Romosozumab</w:t>
      </w:r>
      <w:r>
        <w:t xml:space="preserve"> was demonstrated to antagonise the inhibitory effects of sclerostin (mouse, rat, cynomolgus monkey and human forms) on mineralisation in vitro in assays using a mouse osteoblast cell line.</w:t>
      </w:r>
    </w:p>
    <w:p w14:paraId="75584553" w14:textId="37AA414F" w:rsidR="00110727" w:rsidRDefault="00110727" w:rsidP="00110727">
      <w:r w:rsidRPr="008C1A13">
        <w:rPr>
          <w:i/>
        </w:rPr>
        <w:t>In vivo</w:t>
      </w:r>
      <w:r>
        <w:t xml:space="preserve">, once weekly treatment with romosozumab dose-dependently increased bone mineral content, </w:t>
      </w:r>
      <w:r w:rsidR="008C1A13">
        <w:t>bone mineral density (</w:t>
      </w:r>
      <w:r w:rsidR="00881772">
        <w:t>BMD</w:t>
      </w:r>
      <w:r w:rsidR="008C1A13">
        <w:t>)</w:t>
      </w:r>
      <w:r>
        <w:t>, bone mass, bone thickness and bone strength (long bones and vertebrae) in ovariectomised rats and cynomolgus monkeys (</w:t>
      </w:r>
      <w:r w:rsidR="008C1A13">
        <w:t>well established models of post</w:t>
      </w:r>
      <w:r>
        <w:t>menopausal bone loss), with efficacy seen at all doses tested (≥</w:t>
      </w:r>
      <w:r w:rsidR="007C6420">
        <w:t> </w:t>
      </w:r>
      <w:r>
        <w:t>3</w:t>
      </w:r>
      <w:r w:rsidR="007C6420">
        <w:t> </w:t>
      </w:r>
      <w:r>
        <w:t>mg/kg/week SC for 12</w:t>
      </w:r>
      <w:r w:rsidR="007C6420">
        <w:t xml:space="preserve"> to </w:t>
      </w:r>
      <w:r>
        <w:t>52 weeks). This was accompanied by increases in bone formation biomarkers (</w:t>
      </w:r>
      <w:proofErr w:type="spellStart"/>
      <w:r>
        <w:t>osteocalcin</w:t>
      </w:r>
      <w:proofErr w:type="spellEnd"/>
      <w:r>
        <w:t xml:space="preserve">, pro-collagen type 1 N terminal </w:t>
      </w:r>
      <w:proofErr w:type="spellStart"/>
      <w:r>
        <w:t>propeptide</w:t>
      </w:r>
      <w:proofErr w:type="spellEnd"/>
      <w:r>
        <w:t xml:space="preserve"> </w:t>
      </w:r>
      <w:r w:rsidR="00654353">
        <w:t>(</w:t>
      </w:r>
      <w:r>
        <w:t>P1NP</w:t>
      </w:r>
      <w:r w:rsidR="00654353">
        <w:t>)</w:t>
      </w:r>
      <w:r>
        <w:t>, and bone</w:t>
      </w:r>
      <w:r w:rsidR="00C10DAA">
        <w:t xml:space="preserve"> </w:t>
      </w:r>
      <w:r>
        <w:t xml:space="preserve">specific alkaline phosphatase </w:t>
      </w:r>
      <w:r w:rsidR="00654353">
        <w:t>(</w:t>
      </w:r>
      <w:r>
        <w:t>ALP</w:t>
      </w:r>
      <w:r w:rsidR="00654353">
        <w:t>)</w:t>
      </w:r>
      <w:r>
        <w:t>). Partial reversal of the increases in bone parameters was seen after withdrawal of treatment. Efficacy was also evident in studies on fibular fracture healing in male cynomolgus monkeys, with the fracture gap area significantly reduced in animals treated with romosozumab (30 mg/kg SC twice weekly for 10</w:t>
      </w:r>
      <w:r w:rsidR="007C6420">
        <w:t xml:space="preserve"> to </w:t>
      </w:r>
      <w:r>
        <w:t>28</w:t>
      </w:r>
      <w:r w:rsidR="007C6420">
        <w:t> </w:t>
      </w:r>
      <w:r>
        <w:t xml:space="preserve">weeks), and bone formation rate, </w:t>
      </w:r>
      <w:r w:rsidR="00881772">
        <w:t>BMD</w:t>
      </w:r>
      <w:r>
        <w:t xml:space="preserve"> and bone strength increased. Positive effects on bone were also evident in the repeat-dose toxicity studies conducted in intact male and female rats and cynomolgus monkeys.</w:t>
      </w:r>
    </w:p>
    <w:p w14:paraId="56687630" w14:textId="6B58DE2F" w:rsidR="00110727" w:rsidRDefault="00696AC6" w:rsidP="00110727">
      <w:r>
        <w:t>Romosozumab</w:t>
      </w:r>
      <w:r w:rsidR="00110727">
        <w:t xml:space="preserve"> is a humanised IgG2 antibody. Studies conducted with rodent surrogate antibodies (containing mouse or rat Fc regions </w:t>
      </w:r>
      <w:r w:rsidR="00654353">
        <w:t>(</w:t>
      </w:r>
      <w:r w:rsidR="00110727">
        <w:t>to reduce or avoid immunogenicity</w:t>
      </w:r>
      <w:r w:rsidR="00654353">
        <w:t>)</w:t>
      </w:r>
      <w:r w:rsidR="00110727">
        <w:t xml:space="preserve"> and displaying similar affinity for sclerostin as romosozumab) also showed increases in </w:t>
      </w:r>
      <w:r w:rsidR="00881772">
        <w:t>BMD</w:t>
      </w:r>
      <w:r w:rsidR="00110727">
        <w:t>, bone mineral content, bone formation parameters and bone strength in treated ovariectomised rats.</w:t>
      </w:r>
    </w:p>
    <w:p w14:paraId="008B0527" w14:textId="77777777" w:rsidR="00110727" w:rsidRDefault="00110727" w:rsidP="00C10DAA">
      <w:pPr>
        <w:pStyle w:val="Heading4"/>
      </w:pPr>
      <w:r>
        <w:t>Secondary pharmacodynamics and cross-reactivity</w:t>
      </w:r>
    </w:p>
    <w:p w14:paraId="70516A5A" w14:textId="77777777" w:rsidR="00110727" w:rsidRDefault="00110727" w:rsidP="00110727">
      <w:r>
        <w:t>Treatment with the rat surrogate antibody (or its Fab fragment) was shown to produce positive effects on bone in various other rodent models of osteoporosis (androgen ablation, inflammatory bone loss, and reduced mechanical loading), but did not affect the progression of osteoarthritis.</w:t>
      </w:r>
    </w:p>
    <w:p w14:paraId="7E69FFF2" w14:textId="66A937F1" w:rsidR="00110727" w:rsidRPr="009944A1" w:rsidRDefault="00110727" w:rsidP="00110727">
      <w:r>
        <w:t xml:space="preserve">The expression profile of sclerostin was investigated in human and laboratory animal tissues in studies submitted by the sponsor. Expression of the sclerostin gene was detected in the pulmonary artery, left atria and kidney (human), aorta (human, mouse, monkey), heart (mouse), bone (mouse, rat, monkey </w:t>
      </w:r>
      <w:r w:rsidR="00654353">
        <w:t>(</w:t>
      </w:r>
      <w:r>
        <w:t>human not analysed</w:t>
      </w:r>
      <w:r w:rsidR="00654353">
        <w:t>)</w:t>
      </w:r>
      <w:r>
        <w:t>) and male reproductive tract (mouse and rat). Sclerostin gene and/or protein expr</w:t>
      </w:r>
      <w:r w:rsidR="00654353">
        <w:t>ession has been reported in non-</w:t>
      </w:r>
      <w:r>
        <w:t>mineralised human tissues including heart, aorta, liver, lung and kidney in the literature</w:t>
      </w:r>
      <w:r w:rsidR="007D2934">
        <w:t>.</w:t>
      </w:r>
      <w:r w:rsidR="009944A1">
        <w:rPr>
          <w:rStyle w:val="FootnoteReference"/>
        </w:rPr>
        <w:footnoteReference w:id="8"/>
      </w:r>
      <w:r w:rsidR="009944A1">
        <w:rPr>
          <w:vertAlign w:val="superscript"/>
        </w:rPr>
        <w:t>,</w:t>
      </w:r>
      <w:r w:rsidR="009944A1">
        <w:rPr>
          <w:rStyle w:val="FootnoteReference"/>
        </w:rPr>
        <w:footnoteReference w:id="9"/>
      </w:r>
      <w:r w:rsidR="009944A1">
        <w:rPr>
          <w:vertAlign w:val="superscript"/>
        </w:rPr>
        <w:t>,</w:t>
      </w:r>
      <w:r w:rsidR="009944A1">
        <w:rPr>
          <w:rStyle w:val="FootnoteReference"/>
        </w:rPr>
        <w:footnoteReference w:id="10"/>
      </w:r>
    </w:p>
    <w:p w14:paraId="438CD908" w14:textId="77777777" w:rsidR="00110727" w:rsidRDefault="00110727" w:rsidP="00110727">
      <w:r>
        <w:t>Immunohistochemical assays examining cross-</w:t>
      </w:r>
      <w:r w:rsidR="007D2934" w:rsidRPr="007D2934">
        <w:t>reactivity</w:t>
      </w:r>
      <w:r w:rsidR="007D2934">
        <w:t>,</w:t>
      </w:r>
      <w:r w:rsidR="007D2934" w:rsidRPr="007D2934">
        <w:t> involving</w:t>
      </w:r>
      <w:r w:rsidRPr="007D2934">
        <w:t xml:space="preserve"> a suitably</w:t>
      </w:r>
      <w:r>
        <w:t xml:space="preserve"> comprehensive panel of tissues</w:t>
      </w:r>
      <w:r w:rsidR="007C6420">
        <w:t>, r</w:t>
      </w:r>
      <w:r>
        <w:t xml:space="preserve">evealed no off-target binding for romosozumab, with staining limited to osteocytes (human, monkey, rabbit) and aorta or pulmonary artery (monkey), consistent with known or expected sclerostin expression; no staining was </w:t>
      </w:r>
      <w:r>
        <w:lastRenderedPageBreak/>
        <w:t>observed in rats. It is noted that binding to human aorta and pulmonary artery was not examined in the experiments.</w:t>
      </w:r>
    </w:p>
    <w:p w14:paraId="0D6ED3F6" w14:textId="77777777" w:rsidR="00110727" w:rsidRDefault="00110727" w:rsidP="00C10DAA">
      <w:pPr>
        <w:pStyle w:val="Heading4"/>
      </w:pPr>
      <w:r>
        <w:t>Safety pharmacology</w:t>
      </w:r>
    </w:p>
    <w:p w14:paraId="6FC645DA" w14:textId="368FD793" w:rsidR="00110727" w:rsidRPr="00110727" w:rsidRDefault="00110727" w:rsidP="00110727">
      <w:r>
        <w:t xml:space="preserve">Specialised safety pharmacology studies with romosozumab covered the core battery of systems. </w:t>
      </w:r>
      <w:r w:rsidR="00C10DAA">
        <w:t>Central nervous system</w:t>
      </w:r>
      <w:r>
        <w:t xml:space="preserve"> function was unaffected in rats and </w:t>
      </w:r>
      <w:r w:rsidR="007710AA">
        <w:t>electrocardiogram (</w:t>
      </w:r>
      <w:r>
        <w:t>ECG</w:t>
      </w:r>
      <w:r w:rsidR="007710AA">
        <w:t>)</w:t>
      </w:r>
      <w:r>
        <w:t xml:space="preserve"> parameters were unaffected in cynomolgus monkeys (tested up to 300 mg/kg </w:t>
      </w:r>
      <w:r w:rsidR="007710AA">
        <w:t>intravenously (</w:t>
      </w:r>
      <w:r>
        <w:t>IV</w:t>
      </w:r>
      <w:r w:rsidR="007710AA">
        <w:t>)</w:t>
      </w:r>
      <w:r>
        <w:t xml:space="preserve"> in each species). Notable increases in heart rate, blood pressure and respiratory rate (each by around 20</w:t>
      </w:r>
      <w:r w:rsidR="007C6420">
        <w:t xml:space="preserve"> to</w:t>
      </w:r>
      <w:r>
        <w:t>30% at multiple time points) were observed in monkeys at 300 mg/kg IV, but only during the light-on phases of the post dose period rather than continuously. There was no treatment-related effect at 100 mg/kg IV in the study, and monitoring incorporated into the general repeat</w:t>
      </w:r>
      <w:r w:rsidR="007C6420">
        <w:t xml:space="preserve"> </w:t>
      </w:r>
      <w:r>
        <w:t>dose toxicity studies in monkeys revealed no treatment-related effects on cardiovascular function (≤</w:t>
      </w:r>
      <w:r w:rsidR="00466840">
        <w:t> </w:t>
      </w:r>
      <w:r>
        <w:t>300</w:t>
      </w:r>
      <w:r w:rsidR="00466840">
        <w:t> </w:t>
      </w:r>
      <w:r>
        <w:t>mg/kg/week SC for 4 weeks and ≤</w:t>
      </w:r>
      <w:r w:rsidR="007C6420">
        <w:t xml:space="preserve"> </w:t>
      </w:r>
      <w:r>
        <w:t>100 mg/kg/week SC for 26 weeks).</w:t>
      </w:r>
    </w:p>
    <w:p w14:paraId="2472B2F5" w14:textId="77777777" w:rsidR="003F09E4" w:rsidRDefault="008E7846" w:rsidP="008E7846">
      <w:pPr>
        <w:pStyle w:val="Heading3"/>
      </w:pPr>
      <w:bookmarkStart w:id="47" w:name="_Toc247691513"/>
      <w:bookmarkStart w:id="48" w:name="_Toc314842497"/>
      <w:bookmarkStart w:id="49" w:name="_Toc32481906"/>
      <w:r>
        <w:t>Pharmacokinetics</w:t>
      </w:r>
      <w:bookmarkEnd w:id="47"/>
      <w:bookmarkEnd w:id="48"/>
      <w:bookmarkEnd w:id="49"/>
    </w:p>
    <w:p w14:paraId="5F483718" w14:textId="2B69E097" w:rsidR="00110727" w:rsidRDefault="00696AC6" w:rsidP="00110727">
      <w:r>
        <w:t>Romosozumab</w:t>
      </w:r>
      <w:r w:rsidR="00110727">
        <w:t xml:space="preserve"> showed a pharmacokinetic profile typical of an IgG antibody, and similar in laboratory animal species and humans. Absorption after SC administration was slow, with peak serum levels were typically reached 2 or 3 days post dose in rats and cynomolgus monkeys </w:t>
      </w:r>
      <w:r w:rsidR="007D2934">
        <w:t>(compared with</w:t>
      </w:r>
      <w:r w:rsidR="00110727">
        <w:t xml:space="preserve"> 5 days post dose in patients). Peak and overall exposure were approximately dose-proportional in animals and humans except at the lowest doses tested, where greater than dose-proportional exposure was seen; this is consistent with the involvement of target-specific binding and clearance. Bioavailability of romosozumab was moderate in rats (50% at 35 mg/kg), high in monkeys </w:t>
      </w:r>
      <w:r w:rsidR="002D5FB9">
        <w:t xml:space="preserve">(around </w:t>
      </w:r>
      <w:r w:rsidR="00110727">
        <w:t xml:space="preserve">75% at 300 mg/kg) and moderate to high in humans </w:t>
      </w:r>
      <w:r w:rsidR="002D5FB9">
        <w:t xml:space="preserve">(around </w:t>
      </w:r>
      <w:r w:rsidR="00110727">
        <w:t>50</w:t>
      </w:r>
      <w:r w:rsidR="007C6420">
        <w:t xml:space="preserve"> to </w:t>
      </w:r>
      <w:r w:rsidR="00110727">
        <w:t>80% at various doses). The half-life was very long in all species (</w:t>
      </w:r>
      <w:r w:rsidR="007C6420">
        <w:t>for example</w:t>
      </w:r>
      <w:r w:rsidR="00110727">
        <w:t xml:space="preserve">, </w:t>
      </w:r>
      <w:r w:rsidR="002D5FB9">
        <w:t xml:space="preserve">around </w:t>
      </w:r>
      <w:r w:rsidR="00110727">
        <w:t>40</w:t>
      </w:r>
      <w:r w:rsidR="007C6420">
        <w:t xml:space="preserve"> </w:t>
      </w:r>
      <w:r w:rsidR="007C6420" w:rsidRPr="007D2934">
        <w:t>to</w:t>
      </w:r>
      <w:r w:rsidR="007D2934">
        <w:t xml:space="preserve">70 </w:t>
      </w:r>
      <w:r w:rsidR="00110727" w:rsidRPr="007D2934">
        <w:t>h</w:t>
      </w:r>
      <w:r w:rsidR="007D2934">
        <w:t>ours</w:t>
      </w:r>
      <w:r w:rsidR="00110727" w:rsidRPr="007D2934">
        <w:t xml:space="preserve"> in</w:t>
      </w:r>
      <w:r w:rsidR="00110727">
        <w:t xml:space="preserve"> monkeys). As expected, a low volume of distribution was evident for the mouse surrogate antibody in rats and for romosozumab in humans, consistent with limited extravascular distribution.</w:t>
      </w:r>
    </w:p>
    <w:p w14:paraId="7076889B" w14:textId="77777777" w:rsidR="00110727" w:rsidRPr="00110727" w:rsidRDefault="00110727" w:rsidP="00110727">
      <w:r>
        <w:t>No specific studies on tissue distribution, metabolism, excretion or pharmacokinetic interactions were conducted. This is acceptable given the protein nature of the drug, in accordance with ICH S6 (R1).</w:t>
      </w:r>
      <w:bookmarkStart w:id="50" w:name="_Ref23437694"/>
      <w:r w:rsidR="003F6251">
        <w:rPr>
          <w:rStyle w:val="FootnoteReference"/>
        </w:rPr>
        <w:footnoteReference w:id="11"/>
      </w:r>
      <w:bookmarkEnd w:id="50"/>
      <w:r>
        <w:t xml:space="preserve"> It is expected that romosozumab will be eliminated by normal protein degradation pathways for IgG molecules.</w:t>
      </w:r>
    </w:p>
    <w:p w14:paraId="0E6389F0" w14:textId="77777777" w:rsidR="003F09E4" w:rsidRDefault="008E7846" w:rsidP="001B5C90">
      <w:pPr>
        <w:pStyle w:val="Heading3"/>
      </w:pPr>
      <w:bookmarkStart w:id="51" w:name="_Toc247691514"/>
      <w:bookmarkStart w:id="52" w:name="_Toc314842498"/>
      <w:bookmarkStart w:id="53" w:name="_Toc32481907"/>
      <w:r>
        <w:t>Toxicology</w:t>
      </w:r>
      <w:bookmarkEnd w:id="51"/>
      <w:bookmarkEnd w:id="52"/>
      <w:bookmarkEnd w:id="53"/>
    </w:p>
    <w:p w14:paraId="1BAF77C2" w14:textId="77777777" w:rsidR="00110727" w:rsidRDefault="00110727" w:rsidP="007C6420">
      <w:pPr>
        <w:pStyle w:val="Heading4"/>
      </w:pPr>
      <w:r>
        <w:t>Acute toxicity</w:t>
      </w:r>
    </w:p>
    <w:p w14:paraId="35921077" w14:textId="77777777" w:rsidR="00110727" w:rsidRDefault="00110727" w:rsidP="00110727">
      <w:r>
        <w:t>No dedicated single-dose toxicity studies were performed. This is acceptable, with relevant information on acute toxicity available from repeat-dose toxicity studies instead. No acute toxic effects were apparent in rats and monkeys in those studies up to the highest dos</w:t>
      </w:r>
      <w:r w:rsidR="007C6420">
        <w:t>e tested (300 mg/kg SC and IV).</w:t>
      </w:r>
    </w:p>
    <w:p w14:paraId="3F8E678B" w14:textId="77777777" w:rsidR="00110727" w:rsidRDefault="007C6420" w:rsidP="007C6420">
      <w:pPr>
        <w:pStyle w:val="Heading4"/>
      </w:pPr>
      <w:r>
        <w:t xml:space="preserve">Repeat </w:t>
      </w:r>
      <w:r w:rsidR="00110727">
        <w:t>dose toxicity</w:t>
      </w:r>
    </w:p>
    <w:p w14:paraId="55270FD1" w14:textId="77777777" w:rsidR="00110727" w:rsidRPr="00110727" w:rsidRDefault="007C6420" w:rsidP="00110727">
      <w:r>
        <w:t xml:space="preserve">Repeat </w:t>
      </w:r>
      <w:r w:rsidR="00110727">
        <w:t>dose toxicity studies were conducted in rats (2, 4, 6 and 26 weeks), rabbits (4</w:t>
      </w:r>
      <w:r>
        <w:t> </w:t>
      </w:r>
      <w:r w:rsidR="00110727">
        <w:t>weeks) and cynomolgus monkeys (2, 4 and 26 weeks). Administration was once weekly in all studies (</w:t>
      </w:r>
      <w:r w:rsidR="009F249C">
        <w:t>that is</w:t>
      </w:r>
      <w:r w:rsidR="00110727">
        <w:t xml:space="preserve">, given more frequently than the once a month regimen in patients) and by the clinical route (SC); additional IV treatment groups were included in some of the </w:t>
      </w:r>
      <w:r w:rsidR="00110727">
        <w:lastRenderedPageBreak/>
        <w:t>shorter studies (2</w:t>
      </w:r>
      <w:r>
        <w:t xml:space="preserve"> week rat; 2 </w:t>
      </w:r>
      <w:r w:rsidR="00110727">
        <w:t>and 4</w:t>
      </w:r>
      <w:r>
        <w:t xml:space="preserve"> </w:t>
      </w:r>
      <w:r w:rsidR="00110727">
        <w:t>week monkey). The pivotal studies were appropriately designed and conducted in terms of the species used (rat and cynomolgus monkeys), duration (6 months), group size and range of endpoints examined.</w:t>
      </w:r>
    </w:p>
    <w:p w14:paraId="5696BA56" w14:textId="77777777" w:rsidR="00500337" w:rsidRDefault="00500337" w:rsidP="00500337">
      <w:pPr>
        <w:pStyle w:val="Heading4"/>
      </w:pPr>
      <w:r w:rsidRPr="00500337">
        <w:t>Exposure ratios</w:t>
      </w:r>
    </w:p>
    <w:p w14:paraId="6F776748" w14:textId="25F77122" w:rsidR="00110727" w:rsidRPr="00110727" w:rsidRDefault="00110727" w:rsidP="00110727">
      <w:bookmarkStart w:id="54" w:name="_Toc247691515"/>
      <w:bookmarkStart w:id="55" w:name="_Toc314842499"/>
      <w:r w:rsidRPr="00110727">
        <w:t>Animal:</w:t>
      </w:r>
      <w:r w:rsidR="002D5FB9">
        <w:t xml:space="preserve"> </w:t>
      </w:r>
      <w:r w:rsidRPr="00110727">
        <w:t xml:space="preserve">human exposure multiples achieved in the key toxicity studies are calculated below based on comparison of serum </w:t>
      </w:r>
      <w:r w:rsidR="008C1A13">
        <w:t>area under the curve</w:t>
      </w:r>
      <w:r w:rsidR="008C1A13" w:rsidRPr="00110727">
        <w:t xml:space="preserve"> </w:t>
      </w:r>
      <w:r w:rsidR="008C1A13">
        <w:t>(</w:t>
      </w:r>
      <w:r w:rsidRPr="00110727">
        <w:t>AUC</w:t>
      </w:r>
      <w:r w:rsidR="008C1A13">
        <w:t>)</w:t>
      </w:r>
      <w:r w:rsidRPr="00110727">
        <w:t xml:space="preserve"> for romosozumab, adjusted for differences in dosing frequency (</w:t>
      </w:r>
      <w:r w:rsidR="009F249C">
        <w:t>that is</w:t>
      </w:r>
      <w:r w:rsidRPr="00110727">
        <w:t xml:space="preserve">, animal values are multiplied by 4 to account for weekly </w:t>
      </w:r>
      <w:r w:rsidR="007C6420">
        <w:t xml:space="preserve">compared to </w:t>
      </w:r>
      <w:r w:rsidRPr="00110727">
        <w:t>monthly dosing). Very high multiples of the human exposure were obtained at the highest doses tested.</w:t>
      </w:r>
    </w:p>
    <w:p w14:paraId="52C22087" w14:textId="0C072278" w:rsidR="00110727" w:rsidRDefault="00110727" w:rsidP="006F4B1F">
      <w:pPr>
        <w:pStyle w:val="TableTitle"/>
      </w:pPr>
      <w:r w:rsidRPr="00110727">
        <w:t>Table</w:t>
      </w:r>
      <w:r w:rsidR="00A808F5">
        <w:t xml:space="preserve"> 3</w:t>
      </w:r>
      <w:r w:rsidR="006F4B1F">
        <w:t>:</w:t>
      </w:r>
      <w:r w:rsidRPr="00110727">
        <w:t xml:space="preserve">  Relative exposure in key repeat-dose toxicity studies</w:t>
      </w:r>
    </w:p>
    <w:tbl>
      <w:tblPr>
        <w:tblStyle w:val="TableTGAblue"/>
        <w:tblW w:w="8613" w:type="dxa"/>
        <w:tblLayout w:type="fixed"/>
        <w:tblLook w:val="01E0" w:firstRow="1" w:lastRow="1" w:firstColumn="1" w:lastColumn="1" w:noHBand="0" w:noVBand="0"/>
      </w:tblPr>
      <w:tblGrid>
        <w:gridCol w:w="1668"/>
        <w:gridCol w:w="1559"/>
        <w:gridCol w:w="1276"/>
        <w:gridCol w:w="850"/>
        <w:gridCol w:w="1701"/>
        <w:gridCol w:w="1559"/>
      </w:tblGrid>
      <w:tr w:rsidR="00110727" w:rsidRPr="003F6251" w14:paraId="34CE9633" w14:textId="77777777" w:rsidTr="00675A1D">
        <w:trPr>
          <w:cnfStyle w:val="100000000000" w:firstRow="1" w:lastRow="0" w:firstColumn="0" w:lastColumn="0" w:oddVBand="0" w:evenVBand="0" w:oddHBand="0" w:evenHBand="0" w:firstRowFirstColumn="0" w:firstRowLastColumn="0" w:lastRowFirstColumn="0" w:lastRowLastColumn="0"/>
          <w:cantSplit/>
          <w:trHeight w:val="1076"/>
        </w:trPr>
        <w:tc>
          <w:tcPr>
            <w:tcW w:w="1668" w:type="dxa"/>
          </w:tcPr>
          <w:p w14:paraId="7C66C01E" w14:textId="77777777" w:rsidR="00110727" w:rsidRPr="00EF4879" w:rsidRDefault="00110727" w:rsidP="00EF4879">
            <w:pPr>
              <w:ind w:left="0"/>
              <w:rPr>
                <w:sz w:val="20"/>
              </w:rPr>
            </w:pPr>
            <w:r w:rsidRPr="00EF4879">
              <w:rPr>
                <w:sz w:val="20"/>
              </w:rPr>
              <w:t>Species</w:t>
            </w:r>
          </w:p>
        </w:tc>
        <w:tc>
          <w:tcPr>
            <w:tcW w:w="1559" w:type="dxa"/>
          </w:tcPr>
          <w:p w14:paraId="0CE54061" w14:textId="53994E29" w:rsidR="00110727" w:rsidRPr="00EF4879" w:rsidRDefault="003F6251" w:rsidP="00EF4879">
            <w:pPr>
              <w:ind w:left="0"/>
              <w:rPr>
                <w:sz w:val="20"/>
              </w:rPr>
            </w:pPr>
            <w:r w:rsidRPr="00EF4879">
              <w:rPr>
                <w:sz w:val="20"/>
              </w:rPr>
              <w:t xml:space="preserve">Study duration </w:t>
            </w:r>
            <w:r w:rsidR="00654353" w:rsidRPr="00EF4879">
              <w:rPr>
                <w:sz w:val="20"/>
              </w:rPr>
              <w:t>(</w:t>
            </w:r>
            <w:r w:rsidR="00110727" w:rsidRPr="00EF4879">
              <w:rPr>
                <w:sz w:val="20"/>
              </w:rPr>
              <w:t>Study no.</w:t>
            </w:r>
            <w:r w:rsidR="00654353" w:rsidRPr="00EF4879">
              <w:rPr>
                <w:sz w:val="20"/>
              </w:rPr>
              <w:t>)</w:t>
            </w:r>
          </w:p>
        </w:tc>
        <w:tc>
          <w:tcPr>
            <w:tcW w:w="2126" w:type="dxa"/>
            <w:gridSpan w:val="2"/>
          </w:tcPr>
          <w:p w14:paraId="51E377EB" w14:textId="77777777" w:rsidR="00110727" w:rsidRPr="00EF4879" w:rsidRDefault="00110727" w:rsidP="00EF4879">
            <w:pPr>
              <w:ind w:left="0"/>
              <w:rPr>
                <w:sz w:val="20"/>
              </w:rPr>
            </w:pPr>
            <w:r w:rsidRPr="00EF4879">
              <w:rPr>
                <w:sz w:val="20"/>
              </w:rPr>
              <w:t>Dose (mg/kg/week); route</w:t>
            </w:r>
          </w:p>
        </w:tc>
        <w:tc>
          <w:tcPr>
            <w:tcW w:w="1701" w:type="dxa"/>
          </w:tcPr>
          <w:p w14:paraId="1E7C526E" w14:textId="77777777" w:rsidR="00110727" w:rsidRPr="00EF4879" w:rsidRDefault="00110727" w:rsidP="00EF4879">
            <w:pPr>
              <w:ind w:left="0"/>
              <w:rPr>
                <w:sz w:val="20"/>
              </w:rPr>
            </w:pPr>
            <w:r w:rsidRPr="00EF4879">
              <w:rPr>
                <w:sz w:val="20"/>
              </w:rPr>
              <w:t>AUC</w:t>
            </w:r>
            <w:r w:rsidRPr="00EF4879">
              <w:rPr>
                <w:sz w:val="20"/>
                <w:vertAlign w:val="subscript"/>
              </w:rPr>
              <w:t>0–t</w:t>
            </w:r>
            <w:r w:rsidR="003F6251" w:rsidRPr="00EF4879">
              <w:rPr>
                <w:sz w:val="20"/>
                <w:vertAlign w:val="superscript"/>
              </w:rPr>
              <w:t>^</w:t>
            </w:r>
            <w:r w:rsidR="003F6251" w:rsidRPr="00EF4879">
              <w:rPr>
                <w:sz w:val="20"/>
              </w:rPr>
              <w:t xml:space="preserve"> </w:t>
            </w:r>
            <w:r w:rsidRPr="00EF4879">
              <w:rPr>
                <w:sz w:val="20"/>
              </w:rPr>
              <w:t>(</w:t>
            </w:r>
            <w:proofErr w:type="spellStart"/>
            <w:r w:rsidRPr="00EF4879">
              <w:rPr>
                <w:sz w:val="20"/>
              </w:rPr>
              <w:t>μg∙h</w:t>
            </w:r>
            <w:proofErr w:type="spellEnd"/>
            <w:r w:rsidRPr="00EF4879">
              <w:rPr>
                <w:sz w:val="20"/>
              </w:rPr>
              <w:t>/mL)</w:t>
            </w:r>
          </w:p>
        </w:tc>
        <w:tc>
          <w:tcPr>
            <w:tcW w:w="1559" w:type="dxa"/>
          </w:tcPr>
          <w:p w14:paraId="22731A8F" w14:textId="77777777" w:rsidR="00110727" w:rsidRPr="00EF4879" w:rsidRDefault="003F6251" w:rsidP="00EF4879">
            <w:pPr>
              <w:ind w:left="0"/>
              <w:rPr>
                <w:sz w:val="20"/>
              </w:rPr>
            </w:pPr>
            <w:r w:rsidRPr="00EF4879">
              <w:rPr>
                <w:sz w:val="20"/>
              </w:rPr>
              <w:t xml:space="preserve">Exposure </w:t>
            </w:r>
            <w:r w:rsidR="00110727" w:rsidRPr="00EF4879">
              <w:rPr>
                <w:sz w:val="20"/>
              </w:rPr>
              <w:t>ratio</w:t>
            </w:r>
            <w:r w:rsidR="00110727" w:rsidRPr="00EF4879">
              <w:rPr>
                <w:sz w:val="20"/>
                <w:vertAlign w:val="superscript"/>
              </w:rPr>
              <w:t>#</w:t>
            </w:r>
          </w:p>
        </w:tc>
      </w:tr>
      <w:tr w:rsidR="00110727" w:rsidRPr="002D5FB9" w14:paraId="0066953F" w14:textId="77777777" w:rsidTr="00EF4879">
        <w:trPr>
          <w:trHeight w:val="227"/>
        </w:trPr>
        <w:tc>
          <w:tcPr>
            <w:tcW w:w="1668" w:type="dxa"/>
            <w:vMerge w:val="restart"/>
          </w:tcPr>
          <w:p w14:paraId="7464E97B" w14:textId="77777777" w:rsidR="00110727" w:rsidRPr="003F6251" w:rsidRDefault="003F6251" w:rsidP="00EF4879">
            <w:pPr>
              <w:ind w:left="0"/>
              <w:rPr>
                <w:color w:val="auto"/>
                <w:kern w:val="2"/>
                <w:sz w:val="20"/>
                <w:szCs w:val="22"/>
                <w:lang w:eastAsia="en-US"/>
              </w:rPr>
            </w:pPr>
            <w:r>
              <w:rPr>
                <w:kern w:val="2"/>
                <w:sz w:val="20"/>
              </w:rPr>
              <w:t xml:space="preserve">Rat </w:t>
            </w:r>
            <w:r w:rsidR="00110727" w:rsidRPr="003F6251">
              <w:rPr>
                <w:kern w:val="2"/>
                <w:sz w:val="20"/>
              </w:rPr>
              <w:t>(SD)</w:t>
            </w:r>
          </w:p>
        </w:tc>
        <w:tc>
          <w:tcPr>
            <w:tcW w:w="1559" w:type="dxa"/>
            <w:vMerge w:val="restart"/>
          </w:tcPr>
          <w:p w14:paraId="5E5E1469" w14:textId="4AD67281" w:rsidR="00110727" w:rsidRPr="003F6251" w:rsidRDefault="003F6251" w:rsidP="00EF4879">
            <w:pPr>
              <w:ind w:left="0"/>
              <w:rPr>
                <w:color w:val="auto"/>
                <w:kern w:val="2"/>
                <w:sz w:val="20"/>
                <w:szCs w:val="22"/>
                <w:lang w:eastAsia="en-US"/>
              </w:rPr>
            </w:pPr>
            <w:r>
              <w:rPr>
                <w:kern w:val="2"/>
                <w:sz w:val="20"/>
              </w:rPr>
              <w:t xml:space="preserve">2 weeks </w:t>
            </w:r>
            <w:r w:rsidR="00654353">
              <w:rPr>
                <w:kern w:val="2"/>
                <w:sz w:val="20"/>
              </w:rPr>
              <w:t>(</w:t>
            </w:r>
            <w:r w:rsidR="00110727" w:rsidRPr="003F6251">
              <w:rPr>
                <w:kern w:val="2"/>
                <w:sz w:val="20"/>
              </w:rPr>
              <w:t>105909</w:t>
            </w:r>
            <w:r w:rsidR="00654353">
              <w:rPr>
                <w:kern w:val="2"/>
                <w:sz w:val="20"/>
              </w:rPr>
              <w:t>)</w:t>
            </w:r>
          </w:p>
        </w:tc>
        <w:tc>
          <w:tcPr>
            <w:tcW w:w="1276" w:type="dxa"/>
          </w:tcPr>
          <w:p w14:paraId="5A41DC61" w14:textId="77777777" w:rsidR="00110727" w:rsidRPr="003F6251" w:rsidRDefault="00110727" w:rsidP="00A0498F">
            <w:pPr>
              <w:rPr>
                <w:kern w:val="2"/>
                <w:sz w:val="20"/>
              </w:rPr>
            </w:pPr>
            <w:r w:rsidRPr="003F6251">
              <w:rPr>
                <w:kern w:val="2"/>
                <w:sz w:val="20"/>
              </w:rPr>
              <w:t>30</w:t>
            </w:r>
          </w:p>
        </w:tc>
        <w:tc>
          <w:tcPr>
            <w:tcW w:w="850" w:type="dxa"/>
            <w:vMerge w:val="restart"/>
          </w:tcPr>
          <w:p w14:paraId="2BB06615" w14:textId="77777777" w:rsidR="00110727" w:rsidRPr="00EF4879" w:rsidRDefault="00110727" w:rsidP="00EF4879">
            <w:pPr>
              <w:rPr>
                <w:sz w:val="20"/>
              </w:rPr>
            </w:pPr>
            <w:r w:rsidRPr="00EF4879">
              <w:rPr>
                <w:sz w:val="20"/>
              </w:rPr>
              <w:t>SC</w:t>
            </w:r>
          </w:p>
        </w:tc>
        <w:tc>
          <w:tcPr>
            <w:tcW w:w="1701" w:type="dxa"/>
          </w:tcPr>
          <w:p w14:paraId="2948FC3C" w14:textId="77777777" w:rsidR="00110727" w:rsidRPr="003F6251" w:rsidRDefault="00110727" w:rsidP="00A0498F">
            <w:pPr>
              <w:tabs>
                <w:tab w:val="decimal" w:pos="959"/>
              </w:tabs>
              <w:rPr>
                <w:kern w:val="2"/>
                <w:sz w:val="20"/>
              </w:rPr>
            </w:pPr>
            <w:r w:rsidRPr="003F6251">
              <w:rPr>
                <w:kern w:val="2"/>
                <w:sz w:val="20"/>
              </w:rPr>
              <w:t>41100</w:t>
            </w:r>
          </w:p>
        </w:tc>
        <w:tc>
          <w:tcPr>
            <w:tcW w:w="1559" w:type="dxa"/>
          </w:tcPr>
          <w:p w14:paraId="70016402" w14:textId="77777777" w:rsidR="00110727" w:rsidRPr="00EF4879" w:rsidRDefault="00110727" w:rsidP="00EF4879">
            <w:pPr>
              <w:rPr>
                <w:sz w:val="20"/>
              </w:rPr>
            </w:pPr>
            <w:r w:rsidRPr="00EF4879">
              <w:rPr>
                <w:sz w:val="20"/>
              </w:rPr>
              <w:t>13</w:t>
            </w:r>
          </w:p>
        </w:tc>
      </w:tr>
      <w:tr w:rsidR="00110727" w:rsidRPr="002D5FB9" w14:paraId="5C7A0A21" w14:textId="77777777" w:rsidTr="00EF4879">
        <w:trPr>
          <w:trHeight w:val="227"/>
        </w:trPr>
        <w:tc>
          <w:tcPr>
            <w:tcW w:w="1668" w:type="dxa"/>
            <w:vMerge/>
          </w:tcPr>
          <w:p w14:paraId="7A783061" w14:textId="77777777" w:rsidR="00110727" w:rsidRPr="003F6251" w:rsidRDefault="00110727" w:rsidP="00A0498F">
            <w:pPr>
              <w:rPr>
                <w:kern w:val="2"/>
                <w:sz w:val="20"/>
              </w:rPr>
            </w:pPr>
          </w:p>
        </w:tc>
        <w:tc>
          <w:tcPr>
            <w:tcW w:w="1559" w:type="dxa"/>
            <w:vMerge/>
          </w:tcPr>
          <w:p w14:paraId="6FE4F6AB" w14:textId="77777777" w:rsidR="00110727" w:rsidRPr="003F6251" w:rsidRDefault="00110727" w:rsidP="00A0498F">
            <w:pPr>
              <w:rPr>
                <w:kern w:val="2"/>
                <w:sz w:val="20"/>
              </w:rPr>
            </w:pPr>
          </w:p>
        </w:tc>
        <w:tc>
          <w:tcPr>
            <w:tcW w:w="1276" w:type="dxa"/>
          </w:tcPr>
          <w:p w14:paraId="3DD7E8E5" w14:textId="77777777" w:rsidR="00110727" w:rsidRPr="003F6251" w:rsidRDefault="00110727" w:rsidP="00A0498F">
            <w:pPr>
              <w:rPr>
                <w:kern w:val="2"/>
                <w:sz w:val="20"/>
              </w:rPr>
            </w:pPr>
            <w:r w:rsidRPr="003F6251">
              <w:rPr>
                <w:kern w:val="2"/>
                <w:sz w:val="20"/>
              </w:rPr>
              <w:t>100</w:t>
            </w:r>
          </w:p>
        </w:tc>
        <w:tc>
          <w:tcPr>
            <w:tcW w:w="850" w:type="dxa"/>
            <w:vMerge/>
          </w:tcPr>
          <w:p w14:paraId="1F0E6CE3" w14:textId="77777777" w:rsidR="00110727" w:rsidRPr="00EF4879" w:rsidRDefault="00110727" w:rsidP="00EF4879">
            <w:pPr>
              <w:rPr>
                <w:sz w:val="20"/>
              </w:rPr>
            </w:pPr>
          </w:p>
        </w:tc>
        <w:tc>
          <w:tcPr>
            <w:tcW w:w="1701" w:type="dxa"/>
          </w:tcPr>
          <w:p w14:paraId="07741630" w14:textId="77777777" w:rsidR="00110727" w:rsidRPr="003F6251" w:rsidRDefault="00110727" w:rsidP="00A0498F">
            <w:pPr>
              <w:tabs>
                <w:tab w:val="decimal" w:pos="959"/>
              </w:tabs>
              <w:rPr>
                <w:kern w:val="2"/>
                <w:sz w:val="20"/>
              </w:rPr>
            </w:pPr>
            <w:r w:rsidRPr="003F6251">
              <w:rPr>
                <w:kern w:val="2"/>
                <w:sz w:val="20"/>
              </w:rPr>
              <w:t>106500</w:t>
            </w:r>
          </w:p>
        </w:tc>
        <w:tc>
          <w:tcPr>
            <w:tcW w:w="1559" w:type="dxa"/>
          </w:tcPr>
          <w:p w14:paraId="0B83DB20" w14:textId="77777777" w:rsidR="00110727" w:rsidRPr="00EF4879" w:rsidRDefault="00110727" w:rsidP="00EF4879">
            <w:pPr>
              <w:rPr>
                <w:sz w:val="20"/>
              </w:rPr>
            </w:pPr>
            <w:r w:rsidRPr="00EF4879">
              <w:rPr>
                <w:sz w:val="20"/>
              </w:rPr>
              <w:t>35</w:t>
            </w:r>
          </w:p>
        </w:tc>
      </w:tr>
      <w:tr w:rsidR="00110727" w:rsidRPr="002D5FB9" w14:paraId="470E8E9D" w14:textId="77777777" w:rsidTr="00EF4879">
        <w:trPr>
          <w:trHeight w:val="227"/>
        </w:trPr>
        <w:tc>
          <w:tcPr>
            <w:tcW w:w="1668" w:type="dxa"/>
            <w:vMerge/>
          </w:tcPr>
          <w:p w14:paraId="50E373F9" w14:textId="77777777" w:rsidR="00110727" w:rsidRPr="003F6251" w:rsidRDefault="00110727" w:rsidP="00A0498F">
            <w:pPr>
              <w:rPr>
                <w:kern w:val="2"/>
                <w:sz w:val="20"/>
              </w:rPr>
            </w:pPr>
          </w:p>
        </w:tc>
        <w:tc>
          <w:tcPr>
            <w:tcW w:w="1559" w:type="dxa"/>
            <w:vMerge/>
          </w:tcPr>
          <w:p w14:paraId="40E4E515" w14:textId="77777777" w:rsidR="00110727" w:rsidRPr="003F6251" w:rsidRDefault="00110727" w:rsidP="00A0498F">
            <w:pPr>
              <w:rPr>
                <w:kern w:val="2"/>
                <w:sz w:val="20"/>
              </w:rPr>
            </w:pPr>
          </w:p>
        </w:tc>
        <w:tc>
          <w:tcPr>
            <w:tcW w:w="1276" w:type="dxa"/>
          </w:tcPr>
          <w:p w14:paraId="2835375D" w14:textId="77777777" w:rsidR="00110727" w:rsidRPr="003F6251" w:rsidRDefault="00110727" w:rsidP="00A0498F">
            <w:pPr>
              <w:rPr>
                <w:kern w:val="2"/>
                <w:sz w:val="20"/>
              </w:rPr>
            </w:pPr>
            <w:r w:rsidRPr="003F6251">
              <w:rPr>
                <w:kern w:val="2"/>
                <w:sz w:val="20"/>
              </w:rPr>
              <w:t>300</w:t>
            </w:r>
          </w:p>
        </w:tc>
        <w:tc>
          <w:tcPr>
            <w:tcW w:w="850" w:type="dxa"/>
            <w:vMerge/>
          </w:tcPr>
          <w:p w14:paraId="1C99B15F" w14:textId="77777777" w:rsidR="00110727" w:rsidRPr="00EF4879" w:rsidRDefault="00110727" w:rsidP="00EF4879">
            <w:pPr>
              <w:rPr>
                <w:sz w:val="20"/>
              </w:rPr>
            </w:pPr>
          </w:p>
        </w:tc>
        <w:tc>
          <w:tcPr>
            <w:tcW w:w="1701" w:type="dxa"/>
          </w:tcPr>
          <w:p w14:paraId="4F364108" w14:textId="77777777" w:rsidR="00110727" w:rsidRPr="003F6251" w:rsidRDefault="00110727" w:rsidP="00A0498F">
            <w:pPr>
              <w:tabs>
                <w:tab w:val="decimal" w:pos="959"/>
              </w:tabs>
              <w:rPr>
                <w:kern w:val="2"/>
                <w:sz w:val="20"/>
              </w:rPr>
            </w:pPr>
            <w:r w:rsidRPr="003F6251">
              <w:rPr>
                <w:kern w:val="2"/>
                <w:sz w:val="20"/>
              </w:rPr>
              <w:t>253500</w:t>
            </w:r>
          </w:p>
        </w:tc>
        <w:tc>
          <w:tcPr>
            <w:tcW w:w="1559" w:type="dxa"/>
          </w:tcPr>
          <w:p w14:paraId="6F69C099" w14:textId="77777777" w:rsidR="00110727" w:rsidRPr="00EF4879" w:rsidRDefault="00110727" w:rsidP="00EF4879">
            <w:pPr>
              <w:rPr>
                <w:sz w:val="20"/>
              </w:rPr>
            </w:pPr>
            <w:r w:rsidRPr="00EF4879">
              <w:rPr>
                <w:sz w:val="20"/>
              </w:rPr>
              <w:t>83</w:t>
            </w:r>
          </w:p>
        </w:tc>
      </w:tr>
      <w:tr w:rsidR="00110727" w:rsidRPr="002D5FB9" w14:paraId="4CE13630" w14:textId="77777777" w:rsidTr="00EF4879">
        <w:trPr>
          <w:trHeight w:val="227"/>
        </w:trPr>
        <w:tc>
          <w:tcPr>
            <w:tcW w:w="1668" w:type="dxa"/>
            <w:vMerge/>
          </w:tcPr>
          <w:p w14:paraId="1481FF92" w14:textId="77777777" w:rsidR="00110727" w:rsidRPr="003F6251" w:rsidRDefault="00110727" w:rsidP="00A0498F">
            <w:pPr>
              <w:rPr>
                <w:kern w:val="2"/>
                <w:sz w:val="20"/>
              </w:rPr>
            </w:pPr>
          </w:p>
        </w:tc>
        <w:tc>
          <w:tcPr>
            <w:tcW w:w="1559" w:type="dxa"/>
            <w:vMerge/>
          </w:tcPr>
          <w:p w14:paraId="5A36320B" w14:textId="77777777" w:rsidR="00110727" w:rsidRPr="003F6251" w:rsidRDefault="00110727" w:rsidP="00A0498F">
            <w:pPr>
              <w:rPr>
                <w:kern w:val="2"/>
                <w:sz w:val="20"/>
              </w:rPr>
            </w:pPr>
          </w:p>
        </w:tc>
        <w:tc>
          <w:tcPr>
            <w:tcW w:w="1276" w:type="dxa"/>
          </w:tcPr>
          <w:p w14:paraId="6C2ABE10" w14:textId="77777777" w:rsidR="00110727" w:rsidRPr="003F6251" w:rsidRDefault="00110727" w:rsidP="00A0498F">
            <w:pPr>
              <w:rPr>
                <w:kern w:val="2"/>
                <w:sz w:val="20"/>
              </w:rPr>
            </w:pPr>
            <w:r w:rsidRPr="003F6251">
              <w:rPr>
                <w:kern w:val="2"/>
                <w:sz w:val="20"/>
              </w:rPr>
              <w:t>300</w:t>
            </w:r>
          </w:p>
        </w:tc>
        <w:tc>
          <w:tcPr>
            <w:tcW w:w="850" w:type="dxa"/>
          </w:tcPr>
          <w:p w14:paraId="3ECA657F" w14:textId="77777777" w:rsidR="00110727" w:rsidRPr="00EF4879" w:rsidRDefault="00110727" w:rsidP="00EF4879">
            <w:pPr>
              <w:rPr>
                <w:sz w:val="20"/>
              </w:rPr>
            </w:pPr>
            <w:r w:rsidRPr="00EF4879">
              <w:rPr>
                <w:sz w:val="20"/>
              </w:rPr>
              <w:t>IV</w:t>
            </w:r>
          </w:p>
        </w:tc>
        <w:tc>
          <w:tcPr>
            <w:tcW w:w="1701" w:type="dxa"/>
          </w:tcPr>
          <w:p w14:paraId="75A49260" w14:textId="77777777" w:rsidR="00110727" w:rsidRPr="003F6251" w:rsidRDefault="00110727" w:rsidP="00A0498F">
            <w:pPr>
              <w:tabs>
                <w:tab w:val="decimal" w:pos="959"/>
              </w:tabs>
              <w:rPr>
                <w:kern w:val="2"/>
                <w:sz w:val="20"/>
              </w:rPr>
            </w:pPr>
            <w:r w:rsidRPr="003F6251">
              <w:rPr>
                <w:kern w:val="2"/>
                <w:sz w:val="20"/>
              </w:rPr>
              <w:t>607000</w:t>
            </w:r>
          </w:p>
        </w:tc>
        <w:tc>
          <w:tcPr>
            <w:tcW w:w="1559" w:type="dxa"/>
          </w:tcPr>
          <w:p w14:paraId="45905387" w14:textId="77777777" w:rsidR="00110727" w:rsidRPr="00EF4879" w:rsidRDefault="00110727" w:rsidP="00EF4879">
            <w:pPr>
              <w:rPr>
                <w:sz w:val="20"/>
              </w:rPr>
            </w:pPr>
            <w:r w:rsidRPr="00EF4879">
              <w:rPr>
                <w:sz w:val="20"/>
              </w:rPr>
              <w:t>199</w:t>
            </w:r>
          </w:p>
        </w:tc>
      </w:tr>
      <w:tr w:rsidR="00110727" w:rsidRPr="002D5FB9" w14:paraId="0ADE5650" w14:textId="77777777" w:rsidTr="00EF4879">
        <w:trPr>
          <w:trHeight w:val="227"/>
        </w:trPr>
        <w:tc>
          <w:tcPr>
            <w:tcW w:w="1668" w:type="dxa"/>
            <w:vMerge/>
          </w:tcPr>
          <w:p w14:paraId="76E8A899" w14:textId="77777777" w:rsidR="00110727" w:rsidRPr="003F6251" w:rsidRDefault="00110727" w:rsidP="00A0498F">
            <w:pPr>
              <w:rPr>
                <w:kern w:val="2"/>
                <w:sz w:val="20"/>
              </w:rPr>
            </w:pPr>
          </w:p>
        </w:tc>
        <w:tc>
          <w:tcPr>
            <w:tcW w:w="1559" w:type="dxa"/>
            <w:vMerge w:val="restart"/>
          </w:tcPr>
          <w:p w14:paraId="5698FBA1" w14:textId="6274BDAF" w:rsidR="00110727" w:rsidRPr="003F6251" w:rsidRDefault="003F6251" w:rsidP="00EF4879">
            <w:pPr>
              <w:ind w:left="0"/>
              <w:rPr>
                <w:color w:val="auto"/>
                <w:kern w:val="2"/>
                <w:sz w:val="20"/>
                <w:szCs w:val="22"/>
                <w:lang w:eastAsia="en-US"/>
              </w:rPr>
            </w:pPr>
            <w:r>
              <w:rPr>
                <w:kern w:val="2"/>
                <w:sz w:val="20"/>
              </w:rPr>
              <w:t xml:space="preserve">4 weeks </w:t>
            </w:r>
            <w:r w:rsidR="00654353">
              <w:rPr>
                <w:kern w:val="2"/>
                <w:sz w:val="20"/>
              </w:rPr>
              <w:t>(</w:t>
            </w:r>
            <w:r w:rsidR="00110727" w:rsidRPr="003F6251">
              <w:rPr>
                <w:kern w:val="2"/>
                <w:sz w:val="20"/>
              </w:rPr>
              <w:t>105908</w:t>
            </w:r>
            <w:r w:rsidR="00654353">
              <w:rPr>
                <w:kern w:val="2"/>
                <w:sz w:val="20"/>
              </w:rPr>
              <w:t>)</w:t>
            </w:r>
          </w:p>
        </w:tc>
        <w:tc>
          <w:tcPr>
            <w:tcW w:w="1276" w:type="dxa"/>
          </w:tcPr>
          <w:p w14:paraId="45FA27AE" w14:textId="77777777" w:rsidR="00110727" w:rsidRPr="003F6251" w:rsidRDefault="00110727" w:rsidP="00A0498F">
            <w:pPr>
              <w:rPr>
                <w:kern w:val="2"/>
                <w:sz w:val="20"/>
              </w:rPr>
            </w:pPr>
            <w:r w:rsidRPr="003F6251">
              <w:rPr>
                <w:kern w:val="2"/>
                <w:sz w:val="20"/>
              </w:rPr>
              <w:t>10</w:t>
            </w:r>
          </w:p>
        </w:tc>
        <w:tc>
          <w:tcPr>
            <w:tcW w:w="850" w:type="dxa"/>
            <w:vMerge w:val="restart"/>
          </w:tcPr>
          <w:p w14:paraId="28D11009" w14:textId="77777777" w:rsidR="00110727" w:rsidRPr="00EF4879" w:rsidRDefault="00110727" w:rsidP="00EF4879">
            <w:pPr>
              <w:rPr>
                <w:sz w:val="20"/>
              </w:rPr>
            </w:pPr>
            <w:r w:rsidRPr="00EF4879">
              <w:rPr>
                <w:sz w:val="20"/>
              </w:rPr>
              <w:t>SC</w:t>
            </w:r>
          </w:p>
        </w:tc>
        <w:tc>
          <w:tcPr>
            <w:tcW w:w="1701" w:type="dxa"/>
          </w:tcPr>
          <w:p w14:paraId="7760EA3B" w14:textId="77777777" w:rsidR="00110727" w:rsidRPr="003F6251" w:rsidRDefault="00110727" w:rsidP="00A0498F">
            <w:pPr>
              <w:tabs>
                <w:tab w:val="decimal" w:pos="959"/>
              </w:tabs>
              <w:rPr>
                <w:kern w:val="2"/>
                <w:sz w:val="20"/>
              </w:rPr>
            </w:pPr>
            <w:r w:rsidRPr="003F6251">
              <w:rPr>
                <w:kern w:val="2"/>
                <w:sz w:val="20"/>
              </w:rPr>
              <w:t>5895</w:t>
            </w:r>
          </w:p>
        </w:tc>
        <w:tc>
          <w:tcPr>
            <w:tcW w:w="1559" w:type="dxa"/>
          </w:tcPr>
          <w:p w14:paraId="5C06C5C7" w14:textId="77777777" w:rsidR="00110727" w:rsidRPr="00EF4879" w:rsidRDefault="00110727" w:rsidP="00EF4879">
            <w:pPr>
              <w:rPr>
                <w:sz w:val="20"/>
              </w:rPr>
            </w:pPr>
            <w:r w:rsidRPr="00EF4879">
              <w:rPr>
                <w:sz w:val="20"/>
              </w:rPr>
              <w:t>1.9</w:t>
            </w:r>
          </w:p>
        </w:tc>
      </w:tr>
      <w:tr w:rsidR="00110727" w:rsidRPr="002D5FB9" w14:paraId="48E22640" w14:textId="77777777" w:rsidTr="00EF4879">
        <w:trPr>
          <w:trHeight w:val="227"/>
        </w:trPr>
        <w:tc>
          <w:tcPr>
            <w:tcW w:w="1668" w:type="dxa"/>
            <w:vMerge/>
          </w:tcPr>
          <w:p w14:paraId="0EA1E793" w14:textId="77777777" w:rsidR="00110727" w:rsidRPr="003F6251" w:rsidRDefault="00110727" w:rsidP="00A0498F">
            <w:pPr>
              <w:rPr>
                <w:kern w:val="2"/>
                <w:sz w:val="20"/>
              </w:rPr>
            </w:pPr>
          </w:p>
        </w:tc>
        <w:tc>
          <w:tcPr>
            <w:tcW w:w="1559" w:type="dxa"/>
            <w:vMerge/>
          </w:tcPr>
          <w:p w14:paraId="743DA1D4" w14:textId="77777777" w:rsidR="00110727" w:rsidRPr="003F6251" w:rsidRDefault="00110727" w:rsidP="00A0498F">
            <w:pPr>
              <w:rPr>
                <w:kern w:val="2"/>
                <w:sz w:val="20"/>
              </w:rPr>
            </w:pPr>
          </w:p>
        </w:tc>
        <w:tc>
          <w:tcPr>
            <w:tcW w:w="1276" w:type="dxa"/>
          </w:tcPr>
          <w:p w14:paraId="7B764164" w14:textId="77777777" w:rsidR="00110727" w:rsidRPr="003F6251" w:rsidRDefault="00110727" w:rsidP="00A0498F">
            <w:pPr>
              <w:rPr>
                <w:kern w:val="2"/>
                <w:sz w:val="20"/>
              </w:rPr>
            </w:pPr>
            <w:r w:rsidRPr="003F6251">
              <w:rPr>
                <w:kern w:val="2"/>
                <w:sz w:val="20"/>
              </w:rPr>
              <w:t>100</w:t>
            </w:r>
          </w:p>
        </w:tc>
        <w:tc>
          <w:tcPr>
            <w:tcW w:w="850" w:type="dxa"/>
            <w:vMerge/>
          </w:tcPr>
          <w:p w14:paraId="02B79171" w14:textId="77777777" w:rsidR="00110727" w:rsidRPr="00EF4879" w:rsidRDefault="00110727" w:rsidP="00EF4879">
            <w:pPr>
              <w:rPr>
                <w:sz w:val="20"/>
              </w:rPr>
            </w:pPr>
          </w:p>
        </w:tc>
        <w:tc>
          <w:tcPr>
            <w:tcW w:w="1701" w:type="dxa"/>
          </w:tcPr>
          <w:p w14:paraId="5753561E" w14:textId="77777777" w:rsidR="00110727" w:rsidRPr="003F6251" w:rsidRDefault="00110727" w:rsidP="00A0498F">
            <w:pPr>
              <w:tabs>
                <w:tab w:val="decimal" w:pos="959"/>
              </w:tabs>
              <w:rPr>
                <w:kern w:val="2"/>
                <w:sz w:val="20"/>
              </w:rPr>
            </w:pPr>
            <w:r w:rsidRPr="003F6251">
              <w:rPr>
                <w:kern w:val="2"/>
                <w:sz w:val="20"/>
              </w:rPr>
              <w:t>146500</w:t>
            </w:r>
          </w:p>
        </w:tc>
        <w:tc>
          <w:tcPr>
            <w:tcW w:w="1559" w:type="dxa"/>
          </w:tcPr>
          <w:p w14:paraId="331BB456" w14:textId="77777777" w:rsidR="00110727" w:rsidRPr="00EF4879" w:rsidRDefault="00110727" w:rsidP="00EF4879">
            <w:pPr>
              <w:rPr>
                <w:sz w:val="20"/>
              </w:rPr>
            </w:pPr>
            <w:r w:rsidRPr="00EF4879">
              <w:rPr>
                <w:sz w:val="20"/>
              </w:rPr>
              <w:t>48</w:t>
            </w:r>
          </w:p>
        </w:tc>
      </w:tr>
      <w:tr w:rsidR="00110727" w:rsidRPr="002D5FB9" w14:paraId="3F6BFAD3" w14:textId="77777777" w:rsidTr="00EF4879">
        <w:trPr>
          <w:trHeight w:val="227"/>
        </w:trPr>
        <w:tc>
          <w:tcPr>
            <w:tcW w:w="1668" w:type="dxa"/>
            <w:vMerge/>
          </w:tcPr>
          <w:p w14:paraId="26E24B61" w14:textId="77777777" w:rsidR="00110727" w:rsidRPr="003F6251" w:rsidRDefault="00110727" w:rsidP="00A0498F">
            <w:pPr>
              <w:rPr>
                <w:kern w:val="2"/>
                <w:sz w:val="20"/>
              </w:rPr>
            </w:pPr>
          </w:p>
        </w:tc>
        <w:tc>
          <w:tcPr>
            <w:tcW w:w="1559" w:type="dxa"/>
            <w:vMerge/>
          </w:tcPr>
          <w:p w14:paraId="527291D1" w14:textId="77777777" w:rsidR="00110727" w:rsidRPr="003F6251" w:rsidRDefault="00110727" w:rsidP="00A0498F">
            <w:pPr>
              <w:rPr>
                <w:kern w:val="2"/>
                <w:sz w:val="20"/>
              </w:rPr>
            </w:pPr>
          </w:p>
        </w:tc>
        <w:tc>
          <w:tcPr>
            <w:tcW w:w="1276" w:type="dxa"/>
          </w:tcPr>
          <w:p w14:paraId="1050E701" w14:textId="77777777" w:rsidR="00110727" w:rsidRPr="003F6251" w:rsidRDefault="00110727" w:rsidP="00A0498F">
            <w:pPr>
              <w:rPr>
                <w:kern w:val="2"/>
                <w:sz w:val="20"/>
              </w:rPr>
            </w:pPr>
            <w:r w:rsidRPr="003F6251">
              <w:rPr>
                <w:kern w:val="2"/>
                <w:sz w:val="20"/>
              </w:rPr>
              <w:t>300</w:t>
            </w:r>
          </w:p>
        </w:tc>
        <w:tc>
          <w:tcPr>
            <w:tcW w:w="850" w:type="dxa"/>
            <w:vMerge/>
          </w:tcPr>
          <w:p w14:paraId="0ABAD04E" w14:textId="77777777" w:rsidR="00110727" w:rsidRPr="00EF4879" w:rsidRDefault="00110727" w:rsidP="00755C5F">
            <w:pPr>
              <w:rPr>
                <w:sz w:val="20"/>
              </w:rPr>
            </w:pPr>
          </w:p>
        </w:tc>
        <w:tc>
          <w:tcPr>
            <w:tcW w:w="1701" w:type="dxa"/>
          </w:tcPr>
          <w:p w14:paraId="3BD609FE" w14:textId="77777777" w:rsidR="00110727" w:rsidRPr="003F6251" w:rsidRDefault="00110727" w:rsidP="00A0498F">
            <w:pPr>
              <w:tabs>
                <w:tab w:val="decimal" w:pos="959"/>
              </w:tabs>
              <w:rPr>
                <w:kern w:val="2"/>
                <w:sz w:val="20"/>
              </w:rPr>
            </w:pPr>
            <w:r w:rsidRPr="003F6251">
              <w:rPr>
                <w:kern w:val="2"/>
                <w:sz w:val="20"/>
              </w:rPr>
              <w:t>174500</w:t>
            </w:r>
          </w:p>
        </w:tc>
        <w:tc>
          <w:tcPr>
            <w:tcW w:w="1559" w:type="dxa"/>
          </w:tcPr>
          <w:p w14:paraId="1D4A1DF5" w14:textId="77777777" w:rsidR="00110727" w:rsidRPr="00755C5F" w:rsidRDefault="00110727" w:rsidP="00755C5F">
            <w:pPr>
              <w:rPr>
                <w:sz w:val="20"/>
              </w:rPr>
            </w:pPr>
            <w:r w:rsidRPr="00755C5F">
              <w:rPr>
                <w:sz w:val="20"/>
              </w:rPr>
              <w:t>57</w:t>
            </w:r>
          </w:p>
        </w:tc>
      </w:tr>
      <w:tr w:rsidR="00110727" w:rsidRPr="002D5FB9" w14:paraId="0A6E4DF7" w14:textId="77777777" w:rsidTr="00EF4879">
        <w:trPr>
          <w:trHeight w:val="227"/>
        </w:trPr>
        <w:tc>
          <w:tcPr>
            <w:tcW w:w="1668" w:type="dxa"/>
            <w:vMerge/>
          </w:tcPr>
          <w:p w14:paraId="2C823AAF" w14:textId="77777777" w:rsidR="00110727" w:rsidRPr="003F6251" w:rsidRDefault="00110727" w:rsidP="00A0498F">
            <w:pPr>
              <w:rPr>
                <w:kern w:val="2"/>
                <w:sz w:val="20"/>
              </w:rPr>
            </w:pPr>
          </w:p>
        </w:tc>
        <w:tc>
          <w:tcPr>
            <w:tcW w:w="1559" w:type="dxa"/>
            <w:vMerge w:val="restart"/>
          </w:tcPr>
          <w:p w14:paraId="1B1210BC" w14:textId="471978C7" w:rsidR="00110727" w:rsidRPr="003F6251" w:rsidRDefault="003F6251" w:rsidP="00755C5F">
            <w:pPr>
              <w:ind w:left="0"/>
              <w:rPr>
                <w:color w:val="auto"/>
                <w:kern w:val="2"/>
                <w:sz w:val="20"/>
                <w:szCs w:val="22"/>
                <w:lang w:eastAsia="en-US"/>
              </w:rPr>
            </w:pPr>
            <w:r>
              <w:rPr>
                <w:kern w:val="2"/>
                <w:sz w:val="20"/>
              </w:rPr>
              <w:t xml:space="preserve">6 months </w:t>
            </w:r>
            <w:r w:rsidR="00654353">
              <w:rPr>
                <w:kern w:val="2"/>
                <w:sz w:val="20"/>
              </w:rPr>
              <w:t>(</w:t>
            </w:r>
            <w:r w:rsidR="00110727" w:rsidRPr="003F6251">
              <w:rPr>
                <w:kern w:val="2"/>
                <w:sz w:val="20"/>
              </w:rPr>
              <w:t>pivotal; 107425</w:t>
            </w:r>
            <w:r w:rsidR="00654353">
              <w:rPr>
                <w:kern w:val="2"/>
                <w:sz w:val="20"/>
              </w:rPr>
              <w:t>)</w:t>
            </w:r>
          </w:p>
        </w:tc>
        <w:tc>
          <w:tcPr>
            <w:tcW w:w="1276" w:type="dxa"/>
          </w:tcPr>
          <w:p w14:paraId="1F18C8E0" w14:textId="77777777" w:rsidR="00110727" w:rsidRPr="003F6251" w:rsidRDefault="00110727" w:rsidP="00A0498F">
            <w:pPr>
              <w:rPr>
                <w:kern w:val="2"/>
                <w:sz w:val="20"/>
              </w:rPr>
            </w:pPr>
            <w:r w:rsidRPr="003F6251">
              <w:rPr>
                <w:kern w:val="2"/>
                <w:sz w:val="20"/>
              </w:rPr>
              <w:t>3</w:t>
            </w:r>
          </w:p>
        </w:tc>
        <w:tc>
          <w:tcPr>
            <w:tcW w:w="850" w:type="dxa"/>
            <w:vMerge w:val="restart"/>
          </w:tcPr>
          <w:p w14:paraId="14DF0548" w14:textId="77777777" w:rsidR="00110727" w:rsidRPr="00755C5F" w:rsidRDefault="00110727" w:rsidP="00755C5F">
            <w:pPr>
              <w:rPr>
                <w:sz w:val="20"/>
              </w:rPr>
            </w:pPr>
            <w:r w:rsidRPr="00755C5F">
              <w:rPr>
                <w:sz w:val="20"/>
              </w:rPr>
              <w:t>SC</w:t>
            </w:r>
          </w:p>
        </w:tc>
        <w:tc>
          <w:tcPr>
            <w:tcW w:w="1701" w:type="dxa"/>
          </w:tcPr>
          <w:p w14:paraId="4ADA4EB5" w14:textId="77777777" w:rsidR="00110727" w:rsidRPr="003F6251" w:rsidRDefault="00110727" w:rsidP="00A0498F">
            <w:pPr>
              <w:tabs>
                <w:tab w:val="decimal" w:pos="959"/>
              </w:tabs>
              <w:rPr>
                <w:kern w:val="2"/>
                <w:sz w:val="20"/>
              </w:rPr>
            </w:pPr>
            <w:r w:rsidRPr="003F6251">
              <w:rPr>
                <w:kern w:val="2"/>
                <w:sz w:val="20"/>
              </w:rPr>
              <w:t>1840</w:t>
            </w:r>
          </w:p>
        </w:tc>
        <w:tc>
          <w:tcPr>
            <w:tcW w:w="1559" w:type="dxa"/>
          </w:tcPr>
          <w:p w14:paraId="340A4E65" w14:textId="77777777" w:rsidR="00110727" w:rsidRPr="00755C5F" w:rsidRDefault="00110727" w:rsidP="00755C5F">
            <w:pPr>
              <w:rPr>
                <w:sz w:val="20"/>
              </w:rPr>
            </w:pPr>
            <w:r w:rsidRPr="00755C5F">
              <w:rPr>
                <w:sz w:val="20"/>
              </w:rPr>
              <w:t>0.6</w:t>
            </w:r>
          </w:p>
        </w:tc>
      </w:tr>
      <w:tr w:rsidR="00110727" w:rsidRPr="002D5FB9" w14:paraId="6D050674" w14:textId="77777777" w:rsidTr="00EF4879">
        <w:trPr>
          <w:trHeight w:val="227"/>
        </w:trPr>
        <w:tc>
          <w:tcPr>
            <w:tcW w:w="1668" w:type="dxa"/>
            <w:vMerge/>
          </w:tcPr>
          <w:p w14:paraId="44B1A4F8" w14:textId="77777777" w:rsidR="00110727" w:rsidRPr="003F6251" w:rsidRDefault="00110727" w:rsidP="00A0498F">
            <w:pPr>
              <w:rPr>
                <w:kern w:val="2"/>
                <w:sz w:val="20"/>
              </w:rPr>
            </w:pPr>
          </w:p>
        </w:tc>
        <w:tc>
          <w:tcPr>
            <w:tcW w:w="1559" w:type="dxa"/>
            <w:vMerge/>
          </w:tcPr>
          <w:p w14:paraId="6E128652" w14:textId="77777777" w:rsidR="00110727" w:rsidRPr="003F6251" w:rsidRDefault="00110727" w:rsidP="00A0498F">
            <w:pPr>
              <w:rPr>
                <w:kern w:val="2"/>
                <w:sz w:val="20"/>
              </w:rPr>
            </w:pPr>
          </w:p>
        </w:tc>
        <w:tc>
          <w:tcPr>
            <w:tcW w:w="1276" w:type="dxa"/>
          </w:tcPr>
          <w:p w14:paraId="57B7FBE3" w14:textId="77777777" w:rsidR="00110727" w:rsidRPr="003F6251" w:rsidRDefault="00110727" w:rsidP="00A0498F">
            <w:pPr>
              <w:rPr>
                <w:kern w:val="2"/>
                <w:sz w:val="20"/>
              </w:rPr>
            </w:pPr>
            <w:r w:rsidRPr="003F6251">
              <w:rPr>
                <w:kern w:val="2"/>
                <w:sz w:val="20"/>
              </w:rPr>
              <w:t>10</w:t>
            </w:r>
          </w:p>
        </w:tc>
        <w:tc>
          <w:tcPr>
            <w:tcW w:w="850" w:type="dxa"/>
            <w:vMerge/>
          </w:tcPr>
          <w:p w14:paraId="4847164C" w14:textId="77777777" w:rsidR="00110727" w:rsidRPr="00755C5F" w:rsidRDefault="00110727" w:rsidP="00755C5F">
            <w:pPr>
              <w:rPr>
                <w:sz w:val="20"/>
              </w:rPr>
            </w:pPr>
          </w:p>
        </w:tc>
        <w:tc>
          <w:tcPr>
            <w:tcW w:w="1701" w:type="dxa"/>
          </w:tcPr>
          <w:p w14:paraId="6A2F2B7D" w14:textId="77777777" w:rsidR="00110727" w:rsidRPr="003F6251" w:rsidRDefault="00110727" w:rsidP="00A0498F">
            <w:pPr>
              <w:tabs>
                <w:tab w:val="decimal" w:pos="959"/>
              </w:tabs>
              <w:rPr>
                <w:kern w:val="2"/>
                <w:sz w:val="20"/>
              </w:rPr>
            </w:pPr>
            <w:r w:rsidRPr="003F6251">
              <w:rPr>
                <w:kern w:val="2"/>
                <w:sz w:val="20"/>
              </w:rPr>
              <w:t>12900</w:t>
            </w:r>
          </w:p>
        </w:tc>
        <w:tc>
          <w:tcPr>
            <w:tcW w:w="1559" w:type="dxa"/>
          </w:tcPr>
          <w:p w14:paraId="2EA437FF" w14:textId="77777777" w:rsidR="00110727" w:rsidRPr="00755C5F" w:rsidRDefault="00110727" w:rsidP="00755C5F">
            <w:pPr>
              <w:rPr>
                <w:sz w:val="20"/>
              </w:rPr>
            </w:pPr>
            <w:r w:rsidRPr="00755C5F">
              <w:rPr>
                <w:sz w:val="20"/>
              </w:rPr>
              <w:t>4.2</w:t>
            </w:r>
          </w:p>
        </w:tc>
      </w:tr>
      <w:tr w:rsidR="00110727" w:rsidRPr="002D5FB9" w14:paraId="4AD47CB6" w14:textId="77777777" w:rsidTr="00EF4879">
        <w:trPr>
          <w:trHeight w:val="227"/>
        </w:trPr>
        <w:tc>
          <w:tcPr>
            <w:tcW w:w="1668" w:type="dxa"/>
            <w:vMerge/>
          </w:tcPr>
          <w:p w14:paraId="74D581A7" w14:textId="77777777" w:rsidR="00110727" w:rsidRPr="003F6251" w:rsidRDefault="00110727" w:rsidP="00A0498F">
            <w:pPr>
              <w:rPr>
                <w:kern w:val="2"/>
                <w:sz w:val="20"/>
              </w:rPr>
            </w:pPr>
          </w:p>
        </w:tc>
        <w:tc>
          <w:tcPr>
            <w:tcW w:w="1559" w:type="dxa"/>
            <w:vMerge/>
          </w:tcPr>
          <w:p w14:paraId="3DDBEB10" w14:textId="77777777" w:rsidR="00110727" w:rsidRPr="003F6251" w:rsidRDefault="00110727" w:rsidP="00A0498F">
            <w:pPr>
              <w:rPr>
                <w:kern w:val="2"/>
                <w:sz w:val="20"/>
              </w:rPr>
            </w:pPr>
          </w:p>
        </w:tc>
        <w:tc>
          <w:tcPr>
            <w:tcW w:w="1276" w:type="dxa"/>
          </w:tcPr>
          <w:p w14:paraId="38D5A758" w14:textId="77777777" w:rsidR="00110727" w:rsidRPr="003F6251" w:rsidRDefault="00110727" w:rsidP="00A0498F">
            <w:pPr>
              <w:rPr>
                <w:kern w:val="2"/>
                <w:sz w:val="20"/>
              </w:rPr>
            </w:pPr>
            <w:r w:rsidRPr="003F6251">
              <w:rPr>
                <w:kern w:val="2"/>
                <w:sz w:val="20"/>
              </w:rPr>
              <w:t>100</w:t>
            </w:r>
          </w:p>
        </w:tc>
        <w:tc>
          <w:tcPr>
            <w:tcW w:w="850" w:type="dxa"/>
            <w:vMerge/>
          </w:tcPr>
          <w:p w14:paraId="7781AF56" w14:textId="77777777" w:rsidR="00110727" w:rsidRPr="00755C5F" w:rsidRDefault="00110727" w:rsidP="00755C5F">
            <w:pPr>
              <w:rPr>
                <w:sz w:val="20"/>
              </w:rPr>
            </w:pPr>
          </w:p>
        </w:tc>
        <w:tc>
          <w:tcPr>
            <w:tcW w:w="1701" w:type="dxa"/>
          </w:tcPr>
          <w:p w14:paraId="45306450" w14:textId="77777777" w:rsidR="00110727" w:rsidRPr="003F6251" w:rsidRDefault="00110727" w:rsidP="00A0498F">
            <w:pPr>
              <w:tabs>
                <w:tab w:val="decimal" w:pos="959"/>
              </w:tabs>
              <w:rPr>
                <w:kern w:val="2"/>
                <w:sz w:val="20"/>
              </w:rPr>
            </w:pPr>
            <w:r w:rsidRPr="003F6251">
              <w:rPr>
                <w:kern w:val="2"/>
                <w:sz w:val="20"/>
              </w:rPr>
              <w:t>124000</w:t>
            </w:r>
          </w:p>
        </w:tc>
        <w:tc>
          <w:tcPr>
            <w:tcW w:w="1559" w:type="dxa"/>
          </w:tcPr>
          <w:p w14:paraId="6C852475" w14:textId="77777777" w:rsidR="00110727" w:rsidRPr="00755C5F" w:rsidRDefault="00110727" w:rsidP="00755C5F">
            <w:pPr>
              <w:rPr>
                <w:sz w:val="20"/>
              </w:rPr>
            </w:pPr>
            <w:r w:rsidRPr="00755C5F">
              <w:rPr>
                <w:sz w:val="20"/>
              </w:rPr>
              <w:t>41</w:t>
            </w:r>
          </w:p>
        </w:tc>
      </w:tr>
      <w:tr w:rsidR="00110727" w:rsidRPr="002D5FB9" w14:paraId="3E17753D" w14:textId="77777777" w:rsidTr="00EF4879">
        <w:trPr>
          <w:trHeight w:val="227"/>
        </w:trPr>
        <w:tc>
          <w:tcPr>
            <w:tcW w:w="1668" w:type="dxa"/>
            <w:vMerge w:val="restart"/>
          </w:tcPr>
          <w:p w14:paraId="54C134A6" w14:textId="6CD572CB" w:rsidR="00110727" w:rsidRPr="003F6251" w:rsidRDefault="003F6251" w:rsidP="00755C5F">
            <w:pPr>
              <w:ind w:left="0"/>
              <w:rPr>
                <w:color w:val="auto"/>
                <w:kern w:val="2"/>
                <w:sz w:val="20"/>
                <w:szCs w:val="22"/>
                <w:lang w:eastAsia="en-US"/>
              </w:rPr>
            </w:pPr>
            <w:r>
              <w:rPr>
                <w:kern w:val="2"/>
                <w:sz w:val="20"/>
              </w:rPr>
              <w:t xml:space="preserve">Monkey </w:t>
            </w:r>
            <w:r w:rsidR="002D5FB9">
              <w:rPr>
                <w:kern w:val="2"/>
                <w:sz w:val="20"/>
              </w:rPr>
              <w:t>(</w:t>
            </w:r>
            <w:proofErr w:type="spellStart"/>
            <w:r w:rsidR="002D5FB9">
              <w:rPr>
                <w:kern w:val="2"/>
                <w:sz w:val="20"/>
              </w:rPr>
              <w:t>c</w:t>
            </w:r>
            <w:r w:rsidR="002D5FB9" w:rsidRPr="003F6251">
              <w:rPr>
                <w:kern w:val="2"/>
                <w:sz w:val="20"/>
              </w:rPr>
              <w:t>ynomolgus</w:t>
            </w:r>
            <w:proofErr w:type="spellEnd"/>
            <w:r w:rsidR="00110727" w:rsidRPr="003F6251">
              <w:rPr>
                <w:kern w:val="2"/>
                <w:sz w:val="20"/>
              </w:rPr>
              <w:t>)</w:t>
            </w:r>
          </w:p>
        </w:tc>
        <w:tc>
          <w:tcPr>
            <w:tcW w:w="1559" w:type="dxa"/>
            <w:vMerge w:val="restart"/>
          </w:tcPr>
          <w:p w14:paraId="130D98AD" w14:textId="0FCE0B9C" w:rsidR="00110727" w:rsidRPr="003F6251" w:rsidRDefault="003F6251" w:rsidP="00755C5F">
            <w:pPr>
              <w:ind w:left="0"/>
              <w:rPr>
                <w:color w:val="auto"/>
                <w:kern w:val="2"/>
                <w:sz w:val="20"/>
                <w:szCs w:val="22"/>
                <w:lang w:eastAsia="en-US"/>
              </w:rPr>
            </w:pPr>
            <w:r>
              <w:rPr>
                <w:kern w:val="2"/>
                <w:sz w:val="20"/>
              </w:rPr>
              <w:t xml:space="preserve">4 weeks </w:t>
            </w:r>
            <w:r w:rsidR="00654353">
              <w:rPr>
                <w:kern w:val="2"/>
                <w:sz w:val="20"/>
              </w:rPr>
              <w:t>(</w:t>
            </w:r>
            <w:r w:rsidR="00110727" w:rsidRPr="003F6251">
              <w:rPr>
                <w:kern w:val="2"/>
                <w:sz w:val="20"/>
              </w:rPr>
              <w:t>105776</w:t>
            </w:r>
            <w:r w:rsidR="00654353">
              <w:rPr>
                <w:kern w:val="2"/>
                <w:sz w:val="20"/>
              </w:rPr>
              <w:t>)</w:t>
            </w:r>
          </w:p>
        </w:tc>
        <w:tc>
          <w:tcPr>
            <w:tcW w:w="1276" w:type="dxa"/>
          </w:tcPr>
          <w:p w14:paraId="0BA6EC8F" w14:textId="77777777" w:rsidR="00110727" w:rsidRPr="003F6251" w:rsidRDefault="00110727" w:rsidP="00A0498F">
            <w:pPr>
              <w:rPr>
                <w:kern w:val="2"/>
                <w:sz w:val="20"/>
              </w:rPr>
            </w:pPr>
            <w:r w:rsidRPr="003F6251">
              <w:rPr>
                <w:kern w:val="2"/>
                <w:sz w:val="20"/>
              </w:rPr>
              <w:t>10</w:t>
            </w:r>
          </w:p>
        </w:tc>
        <w:tc>
          <w:tcPr>
            <w:tcW w:w="850" w:type="dxa"/>
            <w:vMerge w:val="restart"/>
          </w:tcPr>
          <w:p w14:paraId="1DCDD6E9" w14:textId="77777777" w:rsidR="00110727" w:rsidRPr="00755C5F" w:rsidRDefault="00110727" w:rsidP="00755C5F">
            <w:pPr>
              <w:rPr>
                <w:sz w:val="20"/>
              </w:rPr>
            </w:pPr>
            <w:r w:rsidRPr="00755C5F">
              <w:rPr>
                <w:sz w:val="20"/>
              </w:rPr>
              <w:t>SC</w:t>
            </w:r>
          </w:p>
        </w:tc>
        <w:tc>
          <w:tcPr>
            <w:tcW w:w="1701" w:type="dxa"/>
          </w:tcPr>
          <w:p w14:paraId="7CBA5B84" w14:textId="77777777" w:rsidR="00110727" w:rsidRPr="003F6251" w:rsidRDefault="00110727" w:rsidP="00A0498F">
            <w:pPr>
              <w:tabs>
                <w:tab w:val="decimal" w:pos="959"/>
              </w:tabs>
              <w:rPr>
                <w:kern w:val="2"/>
                <w:sz w:val="20"/>
              </w:rPr>
            </w:pPr>
            <w:r w:rsidRPr="003F6251">
              <w:rPr>
                <w:kern w:val="2"/>
                <w:sz w:val="20"/>
              </w:rPr>
              <w:t>23800</w:t>
            </w:r>
          </w:p>
        </w:tc>
        <w:tc>
          <w:tcPr>
            <w:tcW w:w="1559" w:type="dxa"/>
          </w:tcPr>
          <w:p w14:paraId="1455E3F9" w14:textId="77777777" w:rsidR="00110727" w:rsidRPr="00755C5F" w:rsidRDefault="00110727" w:rsidP="00755C5F">
            <w:pPr>
              <w:rPr>
                <w:sz w:val="20"/>
              </w:rPr>
            </w:pPr>
            <w:r w:rsidRPr="00755C5F">
              <w:rPr>
                <w:sz w:val="20"/>
              </w:rPr>
              <w:t>8</w:t>
            </w:r>
          </w:p>
        </w:tc>
      </w:tr>
      <w:tr w:rsidR="00110727" w:rsidRPr="002D5FB9" w14:paraId="14EC17C0" w14:textId="77777777" w:rsidTr="00EF4879">
        <w:trPr>
          <w:trHeight w:val="227"/>
        </w:trPr>
        <w:tc>
          <w:tcPr>
            <w:tcW w:w="1668" w:type="dxa"/>
            <w:vMerge/>
          </w:tcPr>
          <w:p w14:paraId="24F97E54" w14:textId="77777777" w:rsidR="00110727" w:rsidRPr="003F6251" w:rsidRDefault="00110727" w:rsidP="00A0498F">
            <w:pPr>
              <w:rPr>
                <w:kern w:val="2"/>
                <w:sz w:val="20"/>
              </w:rPr>
            </w:pPr>
          </w:p>
        </w:tc>
        <w:tc>
          <w:tcPr>
            <w:tcW w:w="1559" w:type="dxa"/>
            <w:vMerge/>
          </w:tcPr>
          <w:p w14:paraId="127015D7" w14:textId="77777777" w:rsidR="00110727" w:rsidRPr="003F6251" w:rsidRDefault="00110727" w:rsidP="00A0498F">
            <w:pPr>
              <w:rPr>
                <w:kern w:val="2"/>
                <w:sz w:val="20"/>
              </w:rPr>
            </w:pPr>
          </w:p>
        </w:tc>
        <w:tc>
          <w:tcPr>
            <w:tcW w:w="1276" w:type="dxa"/>
          </w:tcPr>
          <w:p w14:paraId="71028ADB" w14:textId="77777777" w:rsidR="00110727" w:rsidRPr="003F6251" w:rsidRDefault="00110727" w:rsidP="00A0498F">
            <w:pPr>
              <w:rPr>
                <w:kern w:val="2"/>
                <w:sz w:val="20"/>
              </w:rPr>
            </w:pPr>
            <w:r w:rsidRPr="003F6251">
              <w:rPr>
                <w:kern w:val="2"/>
                <w:sz w:val="20"/>
              </w:rPr>
              <w:t>30</w:t>
            </w:r>
          </w:p>
        </w:tc>
        <w:tc>
          <w:tcPr>
            <w:tcW w:w="850" w:type="dxa"/>
            <w:vMerge/>
          </w:tcPr>
          <w:p w14:paraId="0995E4C7" w14:textId="77777777" w:rsidR="00110727" w:rsidRPr="00755C5F" w:rsidRDefault="00110727" w:rsidP="00755C5F">
            <w:pPr>
              <w:rPr>
                <w:sz w:val="20"/>
              </w:rPr>
            </w:pPr>
          </w:p>
        </w:tc>
        <w:tc>
          <w:tcPr>
            <w:tcW w:w="1701" w:type="dxa"/>
          </w:tcPr>
          <w:p w14:paraId="56766B73" w14:textId="77777777" w:rsidR="00110727" w:rsidRPr="003F6251" w:rsidRDefault="00110727" w:rsidP="00A0498F">
            <w:pPr>
              <w:tabs>
                <w:tab w:val="decimal" w:pos="959"/>
              </w:tabs>
              <w:rPr>
                <w:kern w:val="2"/>
                <w:sz w:val="20"/>
              </w:rPr>
            </w:pPr>
            <w:r w:rsidRPr="003F6251">
              <w:rPr>
                <w:kern w:val="2"/>
                <w:sz w:val="20"/>
              </w:rPr>
              <w:t>77200</w:t>
            </w:r>
          </w:p>
        </w:tc>
        <w:tc>
          <w:tcPr>
            <w:tcW w:w="1559" w:type="dxa"/>
          </w:tcPr>
          <w:p w14:paraId="18050DB8" w14:textId="77777777" w:rsidR="00110727" w:rsidRPr="00755C5F" w:rsidRDefault="00110727" w:rsidP="00755C5F">
            <w:pPr>
              <w:rPr>
                <w:sz w:val="20"/>
              </w:rPr>
            </w:pPr>
            <w:r w:rsidRPr="00755C5F">
              <w:rPr>
                <w:sz w:val="20"/>
              </w:rPr>
              <w:t>25</w:t>
            </w:r>
          </w:p>
        </w:tc>
      </w:tr>
      <w:tr w:rsidR="00110727" w:rsidRPr="002D5FB9" w14:paraId="460CA210" w14:textId="77777777" w:rsidTr="00EF4879">
        <w:trPr>
          <w:trHeight w:val="227"/>
        </w:trPr>
        <w:tc>
          <w:tcPr>
            <w:tcW w:w="1668" w:type="dxa"/>
            <w:vMerge/>
          </w:tcPr>
          <w:p w14:paraId="4057D44D" w14:textId="77777777" w:rsidR="00110727" w:rsidRPr="003F6251" w:rsidRDefault="00110727" w:rsidP="00A0498F">
            <w:pPr>
              <w:rPr>
                <w:kern w:val="2"/>
                <w:sz w:val="20"/>
              </w:rPr>
            </w:pPr>
          </w:p>
        </w:tc>
        <w:tc>
          <w:tcPr>
            <w:tcW w:w="1559" w:type="dxa"/>
            <w:vMerge/>
          </w:tcPr>
          <w:p w14:paraId="0478669E" w14:textId="77777777" w:rsidR="00110727" w:rsidRPr="003F6251" w:rsidRDefault="00110727" w:rsidP="00A0498F">
            <w:pPr>
              <w:rPr>
                <w:kern w:val="2"/>
                <w:sz w:val="20"/>
              </w:rPr>
            </w:pPr>
          </w:p>
        </w:tc>
        <w:tc>
          <w:tcPr>
            <w:tcW w:w="1276" w:type="dxa"/>
          </w:tcPr>
          <w:p w14:paraId="1A056A4E" w14:textId="77777777" w:rsidR="00110727" w:rsidRPr="003F6251" w:rsidRDefault="00110727" w:rsidP="00A0498F">
            <w:pPr>
              <w:rPr>
                <w:kern w:val="2"/>
                <w:sz w:val="20"/>
              </w:rPr>
            </w:pPr>
            <w:r w:rsidRPr="003F6251">
              <w:rPr>
                <w:kern w:val="2"/>
                <w:sz w:val="20"/>
              </w:rPr>
              <w:t>300</w:t>
            </w:r>
          </w:p>
        </w:tc>
        <w:tc>
          <w:tcPr>
            <w:tcW w:w="850" w:type="dxa"/>
            <w:vMerge/>
          </w:tcPr>
          <w:p w14:paraId="5CCC00EF" w14:textId="77777777" w:rsidR="00110727" w:rsidRPr="00755C5F" w:rsidRDefault="00110727" w:rsidP="00755C5F">
            <w:pPr>
              <w:rPr>
                <w:sz w:val="20"/>
              </w:rPr>
            </w:pPr>
          </w:p>
        </w:tc>
        <w:tc>
          <w:tcPr>
            <w:tcW w:w="1701" w:type="dxa"/>
          </w:tcPr>
          <w:p w14:paraId="194CBF6C" w14:textId="77777777" w:rsidR="00110727" w:rsidRPr="003F6251" w:rsidRDefault="00110727" w:rsidP="00A0498F">
            <w:pPr>
              <w:tabs>
                <w:tab w:val="decimal" w:pos="959"/>
              </w:tabs>
              <w:rPr>
                <w:kern w:val="2"/>
                <w:sz w:val="20"/>
              </w:rPr>
            </w:pPr>
            <w:r w:rsidRPr="003F6251">
              <w:rPr>
                <w:kern w:val="2"/>
                <w:sz w:val="20"/>
              </w:rPr>
              <w:t>645000</w:t>
            </w:r>
          </w:p>
        </w:tc>
        <w:tc>
          <w:tcPr>
            <w:tcW w:w="1559" w:type="dxa"/>
          </w:tcPr>
          <w:p w14:paraId="3058499C" w14:textId="77777777" w:rsidR="00110727" w:rsidRPr="00755C5F" w:rsidRDefault="00110727" w:rsidP="00755C5F">
            <w:pPr>
              <w:rPr>
                <w:sz w:val="20"/>
              </w:rPr>
            </w:pPr>
            <w:r w:rsidRPr="00755C5F">
              <w:rPr>
                <w:sz w:val="20"/>
              </w:rPr>
              <w:t>211</w:t>
            </w:r>
          </w:p>
        </w:tc>
      </w:tr>
      <w:tr w:rsidR="00110727" w:rsidRPr="002D5FB9" w14:paraId="0984D960" w14:textId="77777777" w:rsidTr="00EF4879">
        <w:trPr>
          <w:trHeight w:val="227"/>
        </w:trPr>
        <w:tc>
          <w:tcPr>
            <w:tcW w:w="1668" w:type="dxa"/>
            <w:vMerge/>
          </w:tcPr>
          <w:p w14:paraId="6DB22916" w14:textId="77777777" w:rsidR="00110727" w:rsidRPr="003F6251" w:rsidRDefault="00110727" w:rsidP="00A0498F">
            <w:pPr>
              <w:rPr>
                <w:kern w:val="2"/>
                <w:sz w:val="20"/>
              </w:rPr>
            </w:pPr>
          </w:p>
        </w:tc>
        <w:tc>
          <w:tcPr>
            <w:tcW w:w="1559" w:type="dxa"/>
            <w:vMerge/>
          </w:tcPr>
          <w:p w14:paraId="66DF12B2" w14:textId="77777777" w:rsidR="00110727" w:rsidRPr="003F6251" w:rsidRDefault="00110727" w:rsidP="00A0498F">
            <w:pPr>
              <w:rPr>
                <w:kern w:val="2"/>
                <w:sz w:val="20"/>
              </w:rPr>
            </w:pPr>
          </w:p>
        </w:tc>
        <w:tc>
          <w:tcPr>
            <w:tcW w:w="1276" w:type="dxa"/>
          </w:tcPr>
          <w:p w14:paraId="16DD3179" w14:textId="77777777" w:rsidR="00110727" w:rsidRPr="003F6251" w:rsidRDefault="00110727" w:rsidP="00A0498F">
            <w:pPr>
              <w:rPr>
                <w:kern w:val="2"/>
                <w:sz w:val="20"/>
              </w:rPr>
            </w:pPr>
            <w:r w:rsidRPr="003F6251">
              <w:rPr>
                <w:kern w:val="2"/>
                <w:sz w:val="20"/>
              </w:rPr>
              <w:t>300</w:t>
            </w:r>
          </w:p>
        </w:tc>
        <w:tc>
          <w:tcPr>
            <w:tcW w:w="850" w:type="dxa"/>
          </w:tcPr>
          <w:p w14:paraId="3EBFBDA2" w14:textId="77777777" w:rsidR="00110727" w:rsidRPr="00755C5F" w:rsidRDefault="00110727" w:rsidP="00755C5F">
            <w:pPr>
              <w:rPr>
                <w:sz w:val="20"/>
              </w:rPr>
            </w:pPr>
            <w:r w:rsidRPr="00755C5F">
              <w:rPr>
                <w:sz w:val="20"/>
              </w:rPr>
              <w:t>IV</w:t>
            </w:r>
          </w:p>
        </w:tc>
        <w:tc>
          <w:tcPr>
            <w:tcW w:w="1701" w:type="dxa"/>
          </w:tcPr>
          <w:p w14:paraId="5CDABF0D" w14:textId="77777777" w:rsidR="00110727" w:rsidRPr="003F6251" w:rsidRDefault="00110727" w:rsidP="00A0498F">
            <w:pPr>
              <w:tabs>
                <w:tab w:val="decimal" w:pos="959"/>
              </w:tabs>
              <w:rPr>
                <w:kern w:val="2"/>
                <w:sz w:val="20"/>
              </w:rPr>
            </w:pPr>
            <w:r w:rsidRPr="003F6251">
              <w:rPr>
                <w:kern w:val="2"/>
                <w:sz w:val="20"/>
              </w:rPr>
              <w:t>588000</w:t>
            </w:r>
          </w:p>
        </w:tc>
        <w:tc>
          <w:tcPr>
            <w:tcW w:w="1559" w:type="dxa"/>
          </w:tcPr>
          <w:p w14:paraId="4EE02F56" w14:textId="77777777" w:rsidR="00110727" w:rsidRPr="00755C5F" w:rsidRDefault="00110727" w:rsidP="00755C5F">
            <w:pPr>
              <w:rPr>
                <w:sz w:val="20"/>
              </w:rPr>
            </w:pPr>
            <w:r w:rsidRPr="00755C5F">
              <w:rPr>
                <w:sz w:val="20"/>
              </w:rPr>
              <w:t>193</w:t>
            </w:r>
          </w:p>
        </w:tc>
      </w:tr>
      <w:tr w:rsidR="00110727" w:rsidRPr="002D5FB9" w14:paraId="61237C97" w14:textId="77777777" w:rsidTr="00EF4879">
        <w:trPr>
          <w:trHeight w:val="227"/>
        </w:trPr>
        <w:tc>
          <w:tcPr>
            <w:tcW w:w="1668" w:type="dxa"/>
            <w:vMerge/>
          </w:tcPr>
          <w:p w14:paraId="4893F744" w14:textId="77777777" w:rsidR="00110727" w:rsidRPr="003F6251" w:rsidRDefault="00110727" w:rsidP="00A0498F">
            <w:pPr>
              <w:rPr>
                <w:kern w:val="2"/>
                <w:sz w:val="20"/>
              </w:rPr>
            </w:pPr>
          </w:p>
        </w:tc>
        <w:tc>
          <w:tcPr>
            <w:tcW w:w="1559" w:type="dxa"/>
            <w:vMerge w:val="restart"/>
          </w:tcPr>
          <w:p w14:paraId="6F81B8CD" w14:textId="0FBD76F4" w:rsidR="00110727" w:rsidRPr="003F6251" w:rsidRDefault="003F6251" w:rsidP="00755C5F">
            <w:pPr>
              <w:ind w:left="0"/>
              <w:rPr>
                <w:color w:val="auto"/>
                <w:kern w:val="2"/>
                <w:sz w:val="20"/>
                <w:szCs w:val="22"/>
                <w:lang w:eastAsia="en-US"/>
              </w:rPr>
            </w:pPr>
            <w:r>
              <w:rPr>
                <w:kern w:val="2"/>
                <w:sz w:val="20"/>
              </w:rPr>
              <w:t xml:space="preserve">6 months </w:t>
            </w:r>
            <w:r w:rsidR="00654353">
              <w:rPr>
                <w:kern w:val="2"/>
                <w:sz w:val="20"/>
              </w:rPr>
              <w:t>(</w:t>
            </w:r>
            <w:r w:rsidR="00110727" w:rsidRPr="003F6251">
              <w:rPr>
                <w:kern w:val="2"/>
                <w:sz w:val="20"/>
              </w:rPr>
              <w:t>pivotal; 107426</w:t>
            </w:r>
            <w:r w:rsidR="00654353">
              <w:rPr>
                <w:kern w:val="2"/>
                <w:sz w:val="20"/>
              </w:rPr>
              <w:t>)</w:t>
            </w:r>
          </w:p>
        </w:tc>
        <w:tc>
          <w:tcPr>
            <w:tcW w:w="1276" w:type="dxa"/>
          </w:tcPr>
          <w:p w14:paraId="5E9B8D27" w14:textId="77777777" w:rsidR="00110727" w:rsidRPr="003F6251" w:rsidRDefault="00110727" w:rsidP="00A0498F">
            <w:pPr>
              <w:rPr>
                <w:kern w:val="2"/>
                <w:sz w:val="20"/>
              </w:rPr>
            </w:pPr>
            <w:r w:rsidRPr="003F6251">
              <w:rPr>
                <w:kern w:val="2"/>
                <w:sz w:val="20"/>
              </w:rPr>
              <w:t>3</w:t>
            </w:r>
          </w:p>
        </w:tc>
        <w:tc>
          <w:tcPr>
            <w:tcW w:w="850" w:type="dxa"/>
            <w:vMerge w:val="restart"/>
          </w:tcPr>
          <w:p w14:paraId="1082F49A" w14:textId="77777777" w:rsidR="00110727" w:rsidRPr="00755C5F" w:rsidRDefault="00110727" w:rsidP="00755C5F">
            <w:pPr>
              <w:rPr>
                <w:sz w:val="20"/>
              </w:rPr>
            </w:pPr>
            <w:r w:rsidRPr="00755C5F">
              <w:rPr>
                <w:sz w:val="20"/>
              </w:rPr>
              <w:t>SC</w:t>
            </w:r>
          </w:p>
        </w:tc>
        <w:tc>
          <w:tcPr>
            <w:tcW w:w="1701" w:type="dxa"/>
          </w:tcPr>
          <w:p w14:paraId="0AEE6CD9" w14:textId="77777777" w:rsidR="00110727" w:rsidRPr="003F6251" w:rsidRDefault="00110727" w:rsidP="00A0498F">
            <w:pPr>
              <w:tabs>
                <w:tab w:val="decimal" w:pos="959"/>
              </w:tabs>
              <w:rPr>
                <w:kern w:val="2"/>
                <w:sz w:val="20"/>
              </w:rPr>
            </w:pPr>
            <w:r w:rsidRPr="003F6251">
              <w:rPr>
                <w:kern w:val="2"/>
                <w:sz w:val="20"/>
              </w:rPr>
              <w:t>3490</w:t>
            </w:r>
          </w:p>
        </w:tc>
        <w:tc>
          <w:tcPr>
            <w:tcW w:w="1559" w:type="dxa"/>
          </w:tcPr>
          <w:p w14:paraId="77D27D72" w14:textId="77777777" w:rsidR="00110727" w:rsidRPr="00755C5F" w:rsidRDefault="00110727" w:rsidP="00755C5F">
            <w:pPr>
              <w:rPr>
                <w:sz w:val="20"/>
              </w:rPr>
            </w:pPr>
            <w:r w:rsidRPr="00755C5F">
              <w:rPr>
                <w:sz w:val="20"/>
              </w:rPr>
              <w:t>1.1</w:t>
            </w:r>
          </w:p>
        </w:tc>
      </w:tr>
      <w:tr w:rsidR="00110727" w:rsidRPr="002D5FB9" w14:paraId="7847F54F" w14:textId="77777777" w:rsidTr="00EF4879">
        <w:trPr>
          <w:trHeight w:val="227"/>
        </w:trPr>
        <w:tc>
          <w:tcPr>
            <w:tcW w:w="1668" w:type="dxa"/>
            <w:vMerge/>
          </w:tcPr>
          <w:p w14:paraId="296FA890" w14:textId="77777777" w:rsidR="00110727" w:rsidRPr="003F6251" w:rsidRDefault="00110727" w:rsidP="00A0498F">
            <w:pPr>
              <w:rPr>
                <w:kern w:val="2"/>
                <w:sz w:val="20"/>
              </w:rPr>
            </w:pPr>
          </w:p>
        </w:tc>
        <w:tc>
          <w:tcPr>
            <w:tcW w:w="1559" w:type="dxa"/>
            <w:vMerge/>
          </w:tcPr>
          <w:p w14:paraId="3BA271E2" w14:textId="77777777" w:rsidR="00110727" w:rsidRPr="003F6251" w:rsidRDefault="00110727" w:rsidP="00A0498F">
            <w:pPr>
              <w:rPr>
                <w:kern w:val="2"/>
                <w:sz w:val="20"/>
              </w:rPr>
            </w:pPr>
          </w:p>
        </w:tc>
        <w:tc>
          <w:tcPr>
            <w:tcW w:w="1276" w:type="dxa"/>
          </w:tcPr>
          <w:p w14:paraId="61F7AF36" w14:textId="77777777" w:rsidR="00110727" w:rsidRPr="003F6251" w:rsidRDefault="00110727" w:rsidP="00A0498F">
            <w:pPr>
              <w:rPr>
                <w:kern w:val="2"/>
                <w:sz w:val="20"/>
              </w:rPr>
            </w:pPr>
            <w:r w:rsidRPr="003F6251">
              <w:rPr>
                <w:kern w:val="2"/>
                <w:sz w:val="20"/>
              </w:rPr>
              <w:t>10</w:t>
            </w:r>
          </w:p>
        </w:tc>
        <w:tc>
          <w:tcPr>
            <w:tcW w:w="850" w:type="dxa"/>
            <w:vMerge/>
          </w:tcPr>
          <w:p w14:paraId="760988B9" w14:textId="77777777" w:rsidR="00110727" w:rsidRPr="003F6251" w:rsidRDefault="00110727" w:rsidP="00A0498F">
            <w:pPr>
              <w:tabs>
                <w:tab w:val="decimal" w:pos="959"/>
              </w:tabs>
              <w:rPr>
                <w:kern w:val="2"/>
                <w:sz w:val="20"/>
              </w:rPr>
            </w:pPr>
          </w:p>
        </w:tc>
        <w:tc>
          <w:tcPr>
            <w:tcW w:w="1701" w:type="dxa"/>
          </w:tcPr>
          <w:p w14:paraId="66CF26CD" w14:textId="77777777" w:rsidR="00110727" w:rsidRPr="003F6251" w:rsidRDefault="00110727" w:rsidP="00A0498F">
            <w:pPr>
              <w:tabs>
                <w:tab w:val="decimal" w:pos="959"/>
              </w:tabs>
              <w:rPr>
                <w:kern w:val="2"/>
                <w:sz w:val="20"/>
              </w:rPr>
            </w:pPr>
            <w:r w:rsidRPr="003F6251">
              <w:rPr>
                <w:kern w:val="2"/>
                <w:sz w:val="20"/>
              </w:rPr>
              <w:t>17100</w:t>
            </w:r>
          </w:p>
        </w:tc>
        <w:tc>
          <w:tcPr>
            <w:tcW w:w="1559" w:type="dxa"/>
          </w:tcPr>
          <w:p w14:paraId="34108195" w14:textId="77777777" w:rsidR="00110727" w:rsidRPr="00755C5F" w:rsidRDefault="00110727" w:rsidP="00755C5F">
            <w:pPr>
              <w:rPr>
                <w:sz w:val="20"/>
              </w:rPr>
            </w:pPr>
            <w:r w:rsidRPr="00755C5F">
              <w:rPr>
                <w:sz w:val="20"/>
              </w:rPr>
              <w:t>6</w:t>
            </w:r>
          </w:p>
        </w:tc>
      </w:tr>
      <w:tr w:rsidR="00110727" w:rsidRPr="002D5FB9" w14:paraId="1F9FC75A" w14:textId="77777777" w:rsidTr="00EF4879">
        <w:trPr>
          <w:trHeight w:val="227"/>
        </w:trPr>
        <w:tc>
          <w:tcPr>
            <w:tcW w:w="1668" w:type="dxa"/>
            <w:vMerge/>
          </w:tcPr>
          <w:p w14:paraId="7B9AE323" w14:textId="77777777" w:rsidR="00110727" w:rsidRPr="003F6251" w:rsidRDefault="00110727" w:rsidP="00A0498F">
            <w:pPr>
              <w:rPr>
                <w:kern w:val="2"/>
                <w:sz w:val="20"/>
              </w:rPr>
            </w:pPr>
          </w:p>
        </w:tc>
        <w:tc>
          <w:tcPr>
            <w:tcW w:w="1559" w:type="dxa"/>
            <w:vMerge/>
          </w:tcPr>
          <w:p w14:paraId="0008B745" w14:textId="77777777" w:rsidR="00110727" w:rsidRPr="003F6251" w:rsidRDefault="00110727" w:rsidP="00A0498F">
            <w:pPr>
              <w:rPr>
                <w:kern w:val="2"/>
                <w:sz w:val="20"/>
              </w:rPr>
            </w:pPr>
          </w:p>
        </w:tc>
        <w:tc>
          <w:tcPr>
            <w:tcW w:w="1276" w:type="dxa"/>
          </w:tcPr>
          <w:p w14:paraId="696B87CA" w14:textId="77777777" w:rsidR="00110727" w:rsidRPr="003F6251" w:rsidRDefault="00110727" w:rsidP="00A0498F">
            <w:pPr>
              <w:rPr>
                <w:kern w:val="2"/>
                <w:sz w:val="20"/>
              </w:rPr>
            </w:pPr>
            <w:r w:rsidRPr="003F6251">
              <w:rPr>
                <w:kern w:val="2"/>
                <w:sz w:val="20"/>
              </w:rPr>
              <w:t>100</w:t>
            </w:r>
          </w:p>
        </w:tc>
        <w:tc>
          <w:tcPr>
            <w:tcW w:w="850" w:type="dxa"/>
            <w:vMerge/>
          </w:tcPr>
          <w:p w14:paraId="5D45334A" w14:textId="77777777" w:rsidR="00110727" w:rsidRPr="003F6251" w:rsidRDefault="00110727" w:rsidP="00A0498F">
            <w:pPr>
              <w:tabs>
                <w:tab w:val="decimal" w:pos="959"/>
              </w:tabs>
              <w:rPr>
                <w:kern w:val="2"/>
                <w:sz w:val="20"/>
              </w:rPr>
            </w:pPr>
          </w:p>
        </w:tc>
        <w:tc>
          <w:tcPr>
            <w:tcW w:w="1701" w:type="dxa"/>
          </w:tcPr>
          <w:p w14:paraId="42CD7C5E" w14:textId="77777777" w:rsidR="00110727" w:rsidRPr="003F6251" w:rsidRDefault="00110727" w:rsidP="00A0498F">
            <w:pPr>
              <w:tabs>
                <w:tab w:val="decimal" w:pos="959"/>
              </w:tabs>
              <w:rPr>
                <w:kern w:val="2"/>
                <w:sz w:val="20"/>
              </w:rPr>
            </w:pPr>
            <w:r w:rsidRPr="003F6251">
              <w:rPr>
                <w:kern w:val="2"/>
                <w:sz w:val="20"/>
              </w:rPr>
              <w:t>301000</w:t>
            </w:r>
          </w:p>
        </w:tc>
        <w:tc>
          <w:tcPr>
            <w:tcW w:w="1559" w:type="dxa"/>
          </w:tcPr>
          <w:p w14:paraId="6028FDDC" w14:textId="77777777" w:rsidR="00110727" w:rsidRPr="00755C5F" w:rsidRDefault="00110727" w:rsidP="00755C5F">
            <w:pPr>
              <w:rPr>
                <w:sz w:val="20"/>
              </w:rPr>
            </w:pPr>
            <w:r w:rsidRPr="00755C5F">
              <w:rPr>
                <w:sz w:val="20"/>
              </w:rPr>
              <w:t>99</w:t>
            </w:r>
          </w:p>
        </w:tc>
      </w:tr>
      <w:tr w:rsidR="00110727" w:rsidRPr="002D5FB9" w14:paraId="3B1AAF1C" w14:textId="77777777" w:rsidTr="00EF4879">
        <w:trPr>
          <w:trHeight w:val="227"/>
        </w:trPr>
        <w:tc>
          <w:tcPr>
            <w:tcW w:w="1668" w:type="dxa"/>
          </w:tcPr>
          <w:p w14:paraId="4FAF86C9" w14:textId="77777777" w:rsidR="00110727" w:rsidRPr="003F6251" w:rsidRDefault="003F6251" w:rsidP="00755C5F">
            <w:pPr>
              <w:ind w:left="0"/>
              <w:rPr>
                <w:color w:val="auto"/>
                <w:kern w:val="2"/>
                <w:sz w:val="20"/>
                <w:szCs w:val="22"/>
                <w:lang w:eastAsia="en-US"/>
              </w:rPr>
            </w:pPr>
            <w:r>
              <w:rPr>
                <w:kern w:val="2"/>
                <w:sz w:val="20"/>
              </w:rPr>
              <w:t xml:space="preserve">Human </w:t>
            </w:r>
            <w:r w:rsidR="00110727" w:rsidRPr="003F6251">
              <w:rPr>
                <w:kern w:val="2"/>
                <w:sz w:val="20"/>
              </w:rPr>
              <w:t>(patients)</w:t>
            </w:r>
          </w:p>
        </w:tc>
        <w:tc>
          <w:tcPr>
            <w:tcW w:w="1559" w:type="dxa"/>
          </w:tcPr>
          <w:p w14:paraId="1BD2A49D" w14:textId="109B79D5" w:rsidR="00110727" w:rsidRPr="003F6251" w:rsidRDefault="00110727" w:rsidP="00755C5F">
            <w:pPr>
              <w:ind w:left="0"/>
              <w:rPr>
                <w:color w:val="auto"/>
                <w:kern w:val="2"/>
                <w:sz w:val="20"/>
                <w:szCs w:val="22"/>
                <w:lang w:eastAsia="en-US"/>
              </w:rPr>
            </w:pPr>
            <w:r w:rsidRPr="003F6251">
              <w:rPr>
                <w:kern w:val="2"/>
                <w:sz w:val="20"/>
              </w:rPr>
              <w:t xml:space="preserve">Population PK analysis </w:t>
            </w:r>
            <w:r w:rsidR="00654353">
              <w:rPr>
                <w:kern w:val="2"/>
                <w:sz w:val="20"/>
              </w:rPr>
              <w:t>(</w:t>
            </w:r>
            <w:r w:rsidRPr="003F6251">
              <w:rPr>
                <w:kern w:val="2"/>
                <w:sz w:val="20"/>
              </w:rPr>
              <w:t>119384A</w:t>
            </w:r>
            <w:r w:rsidR="00654353">
              <w:rPr>
                <w:kern w:val="2"/>
                <w:sz w:val="20"/>
              </w:rPr>
              <w:t>)</w:t>
            </w:r>
          </w:p>
        </w:tc>
        <w:tc>
          <w:tcPr>
            <w:tcW w:w="2126" w:type="dxa"/>
            <w:gridSpan w:val="2"/>
          </w:tcPr>
          <w:p w14:paraId="7B01DB78" w14:textId="5C64C297" w:rsidR="00110727" w:rsidRPr="002D5FB9" w:rsidRDefault="00110727" w:rsidP="00755C5F">
            <w:pPr>
              <w:rPr>
                <w:color w:val="auto"/>
                <w:szCs w:val="22"/>
                <w:lang w:eastAsia="en-US"/>
              </w:rPr>
            </w:pPr>
            <w:r w:rsidRPr="00755C5F">
              <w:rPr>
                <w:sz w:val="20"/>
              </w:rPr>
              <w:t>210 mg SC</w:t>
            </w:r>
            <w:r w:rsidR="00675A1D">
              <w:rPr>
                <w:sz w:val="20"/>
              </w:rPr>
              <w:t xml:space="preserve"> </w:t>
            </w:r>
            <w:r w:rsidRPr="00755C5F">
              <w:rPr>
                <w:sz w:val="20"/>
              </w:rPr>
              <w:br/>
              <w:t>once monthly</w:t>
            </w:r>
          </w:p>
        </w:tc>
        <w:tc>
          <w:tcPr>
            <w:tcW w:w="1701" w:type="dxa"/>
          </w:tcPr>
          <w:p w14:paraId="114D92E4" w14:textId="77777777" w:rsidR="00110727" w:rsidRPr="003F6251" w:rsidRDefault="00110727" w:rsidP="00A0498F">
            <w:pPr>
              <w:tabs>
                <w:tab w:val="decimal" w:pos="959"/>
              </w:tabs>
              <w:rPr>
                <w:kern w:val="2"/>
                <w:sz w:val="20"/>
              </w:rPr>
            </w:pPr>
            <w:r w:rsidRPr="003F6251">
              <w:rPr>
                <w:kern w:val="2"/>
                <w:sz w:val="20"/>
              </w:rPr>
              <w:t>12216</w:t>
            </w:r>
          </w:p>
        </w:tc>
        <w:tc>
          <w:tcPr>
            <w:tcW w:w="1559" w:type="dxa"/>
          </w:tcPr>
          <w:p w14:paraId="6808F7E3" w14:textId="77777777" w:rsidR="00110727" w:rsidRPr="00755C5F" w:rsidRDefault="00110727" w:rsidP="00755C5F">
            <w:pPr>
              <w:rPr>
                <w:sz w:val="20"/>
              </w:rPr>
            </w:pPr>
            <w:r w:rsidRPr="00755C5F">
              <w:rPr>
                <w:sz w:val="20"/>
              </w:rPr>
              <w:t>–</w:t>
            </w:r>
          </w:p>
        </w:tc>
      </w:tr>
    </w:tbl>
    <w:p w14:paraId="09BC9161" w14:textId="1EAE5FF0" w:rsidR="00110727" w:rsidRPr="00654353" w:rsidRDefault="00A0498F" w:rsidP="00654353">
      <w:pPr>
        <w:pStyle w:val="TableDescription"/>
      </w:pPr>
      <w:r w:rsidRPr="00654353">
        <w:lastRenderedPageBreak/>
        <w:t>^ = animal data are for the sexes combined, measured</w:t>
      </w:r>
      <w:r w:rsidR="003F6251" w:rsidRPr="00654353">
        <w:t xml:space="preserve"> at the last sampling occasion; </w:t>
      </w:r>
      <w:r w:rsidRPr="00654353">
        <w:t xml:space="preserve"># = </w:t>
      </w:r>
      <w:proofErr w:type="spellStart"/>
      <w:r w:rsidRPr="00654353">
        <w:t>animal:human</w:t>
      </w:r>
      <w:proofErr w:type="spellEnd"/>
      <w:r w:rsidRPr="00654353">
        <w:t xml:space="preserve"> serum AUC0–t × </w:t>
      </w:r>
      <w:proofErr w:type="spellStart"/>
      <w:r w:rsidRPr="00654353">
        <w:t>animal:human</w:t>
      </w:r>
      <w:proofErr w:type="spellEnd"/>
      <w:r w:rsidRPr="00654353">
        <w:t xml:space="preserve"> dosing frequency</w:t>
      </w:r>
      <w:r w:rsidR="008610E8" w:rsidRPr="00654353">
        <w:t xml:space="preserve"> PK = pharmacokinetics</w:t>
      </w:r>
    </w:p>
    <w:p w14:paraId="2221DF4D" w14:textId="7E78E3AA" w:rsidR="00A0498F" w:rsidRPr="00A0498F" w:rsidRDefault="00A0498F" w:rsidP="00A0498F">
      <w:r w:rsidRPr="00A0498F">
        <w:t xml:space="preserve">Anti-drug antibodies developed in some rats and monkeys, and a great many rabbits, resulting in reduced systemic exposure. </w:t>
      </w:r>
      <w:proofErr w:type="spellStart"/>
      <w:r w:rsidRPr="00A0498F">
        <w:t>Toxicokinetic</w:t>
      </w:r>
      <w:proofErr w:type="spellEnd"/>
      <w:r w:rsidRPr="00A0498F">
        <w:t xml:space="preserve"> data from animals positive for anti</w:t>
      </w:r>
      <w:r w:rsidR="002D5FB9">
        <w:noBreakHyphen/>
      </w:r>
      <w:r w:rsidRPr="00A0498F">
        <w:t xml:space="preserve">drug antibodies have been excluded from the calculations above. Immunogenicity in rats and monkeys was not so prevalent as to affect the validity of the studies, but was in rabbits. The rabbit is therefore seen to be an unsuitable species for examining romosozumab toxicity, and findings from the rabbit study are not discussed below. Immunogenicity in animals (to this humanised protein) is not predictive of the development of </w:t>
      </w:r>
      <w:r w:rsidR="00675A1D">
        <w:t>anti-drug</w:t>
      </w:r>
      <w:r w:rsidR="007C6420">
        <w:t xml:space="preserve"> antibodies in humans.</w:t>
      </w:r>
    </w:p>
    <w:p w14:paraId="08805522" w14:textId="77777777" w:rsidR="00A0498F" w:rsidRPr="00A0498F" w:rsidRDefault="00A0498F" w:rsidP="009F249C">
      <w:pPr>
        <w:pStyle w:val="Heading4"/>
      </w:pPr>
      <w:r w:rsidRPr="00A0498F">
        <w:t>Major findings</w:t>
      </w:r>
    </w:p>
    <w:p w14:paraId="3E4EA9C1" w14:textId="77777777" w:rsidR="00A0498F" w:rsidRPr="00A0498F" w:rsidRDefault="00696AC6" w:rsidP="00A0498F">
      <w:r>
        <w:t>Romosozumab</w:t>
      </w:r>
      <w:r w:rsidR="00A0498F" w:rsidRPr="00A0498F">
        <w:t xml:space="preserve"> produced treatment-related microscopic changes in bone, liver and spleen.</w:t>
      </w:r>
    </w:p>
    <w:p w14:paraId="6AD337FD" w14:textId="141B22FC" w:rsidR="00A0498F" w:rsidRPr="00A0498F" w:rsidRDefault="00755C5F" w:rsidP="00A0498F">
      <w:r w:rsidRPr="002D5FB9">
        <w:t>Hyperostosis</w:t>
      </w:r>
      <w:r>
        <w:t>,</w:t>
      </w:r>
      <w:r w:rsidRPr="002D5FB9">
        <w:t xml:space="preserve"> pharmacologically</w:t>
      </w:r>
      <w:r w:rsidR="00A0498F" w:rsidRPr="002D5FB9">
        <w:t xml:space="preserve"> mediated </w:t>
      </w:r>
      <w:r w:rsidR="007B4630" w:rsidRPr="002D5FB9">
        <w:t>-</w:t>
      </w:r>
      <w:r w:rsidR="00A0498F" w:rsidRPr="002D5FB9">
        <w:t>was evident in rats and</w:t>
      </w:r>
      <w:r w:rsidR="00A0498F" w:rsidRPr="00A0498F">
        <w:t xml:space="preserve"> monkeys from the lowest dose level tested,</w:t>
      </w:r>
      <w:r w:rsidR="002D5FB9">
        <w:t xml:space="preserve"> that is,</w:t>
      </w:r>
      <w:r w:rsidR="00A0498F" w:rsidRPr="00A0498F">
        <w:t xml:space="preserve"> 3 mg/kg/week. This was increased in incidence and severity with dose, and more prominent in female c</w:t>
      </w:r>
      <w:r w:rsidR="002D5FB9">
        <w:t>ompared with</w:t>
      </w:r>
      <w:r w:rsidR="00A0498F" w:rsidRPr="00A0498F">
        <w:t xml:space="preserve"> male rats, but comparable between sexes in monkeys. The hyperostosis was characterised by an increased thickness of the trabeculae that resulted in a relative reduction in bone marrow space. Partial reversibility following a 14</w:t>
      </w:r>
      <w:r w:rsidR="009F249C">
        <w:t xml:space="preserve"> </w:t>
      </w:r>
      <w:r w:rsidR="00A0498F" w:rsidRPr="00A0498F">
        <w:t>week treatment-free period was demonstrated in the pivotal studies.</w:t>
      </w:r>
    </w:p>
    <w:p w14:paraId="4417CDCF" w14:textId="77777777" w:rsidR="00A0498F" w:rsidRPr="00A0498F" w:rsidRDefault="00A0498F" w:rsidP="00A0498F">
      <w:r w:rsidRPr="00A0498F">
        <w:t xml:space="preserve">In rats, </w:t>
      </w:r>
      <w:proofErr w:type="spellStart"/>
      <w:r w:rsidRPr="00A0498F">
        <w:t>extramedullary</w:t>
      </w:r>
      <w:proofErr w:type="spellEnd"/>
      <w:r w:rsidRPr="00A0498F">
        <w:t xml:space="preserve"> haematopoiesis was observed in the liver and increased in the spleen from the lowest dose level tested (≥</w:t>
      </w:r>
      <w:r w:rsidR="007C6420">
        <w:t xml:space="preserve"> </w:t>
      </w:r>
      <w:r w:rsidRPr="00A0498F">
        <w:t>3 mg/kg/week). Similar findings were not observed in monkeys, but both species showed slight reductions in red blood cell indices (at ≥</w:t>
      </w:r>
      <w:r w:rsidR="003F6251">
        <w:t xml:space="preserve"> </w:t>
      </w:r>
      <w:r w:rsidRPr="00A0498F">
        <w:t>10 mg/kg/week). These findings are considered to be secondary to the reduction in bone marrow space, and were reversible.</w:t>
      </w:r>
    </w:p>
    <w:p w14:paraId="603F636D" w14:textId="77777777" w:rsidR="00A0498F" w:rsidRPr="00A0498F" w:rsidRDefault="00A0498F" w:rsidP="00A0498F">
      <w:r w:rsidRPr="00A0498F">
        <w:t>No target organ toxicity by romosozumab was identified. This includes toxicity to the various tissues known to express sclerostin.</w:t>
      </w:r>
    </w:p>
    <w:p w14:paraId="7AD635A5" w14:textId="77777777" w:rsidR="00A0498F" w:rsidRPr="00A0498F" w:rsidRDefault="00A0498F" w:rsidP="009F249C">
      <w:pPr>
        <w:pStyle w:val="Heading5"/>
      </w:pPr>
      <w:r w:rsidRPr="00A0498F">
        <w:t>Genotoxicity</w:t>
      </w:r>
    </w:p>
    <w:p w14:paraId="06D4EE1C" w14:textId="77777777" w:rsidR="00A0498F" w:rsidRPr="00A0498F" w:rsidRDefault="00A0498F" w:rsidP="00A0498F">
      <w:r w:rsidRPr="00A0498F">
        <w:t>No genotoxicity studies were performed. This is ac</w:t>
      </w:r>
      <w:r w:rsidR="003F6251">
        <w:t>ceptable in accordance with ICH </w:t>
      </w:r>
      <w:r w:rsidRPr="00A0498F">
        <w:t>S6 (R1)</w:t>
      </w:r>
      <w:r w:rsidR="003F6251">
        <w:t>;</w:t>
      </w:r>
      <w:r w:rsidR="003F6251" w:rsidRPr="003F6251">
        <w:rPr>
          <w:vertAlign w:val="superscript"/>
        </w:rPr>
        <w:fldChar w:fldCharType="begin"/>
      </w:r>
      <w:r w:rsidR="003F6251" w:rsidRPr="003F6251">
        <w:rPr>
          <w:vertAlign w:val="superscript"/>
        </w:rPr>
        <w:instrText xml:space="preserve"> NOTEREF _Ref23437694 \h </w:instrText>
      </w:r>
      <w:r w:rsidR="003F6251">
        <w:rPr>
          <w:vertAlign w:val="superscript"/>
        </w:rPr>
        <w:instrText xml:space="preserve"> \* MERGEFORMAT </w:instrText>
      </w:r>
      <w:r w:rsidR="003F6251" w:rsidRPr="003F6251">
        <w:rPr>
          <w:vertAlign w:val="superscript"/>
        </w:rPr>
      </w:r>
      <w:r w:rsidR="003F6251" w:rsidRPr="003F6251">
        <w:rPr>
          <w:vertAlign w:val="superscript"/>
        </w:rPr>
        <w:fldChar w:fldCharType="separate"/>
      </w:r>
      <w:r w:rsidR="003F6251" w:rsidRPr="003F6251">
        <w:rPr>
          <w:vertAlign w:val="superscript"/>
        </w:rPr>
        <w:t>7</w:t>
      </w:r>
      <w:r w:rsidR="003F6251" w:rsidRPr="003F6251">
        <w:rPr>
          <w:vertAlign w:val="superscript"/>
        </w:rPr>
        <w:fldChar w:fldCharType="end"/>
      </w:r>
      <w:r w:rsidRPr="00A0498F">
        <w:t xml:space="preserve"> with a large protein like romosozumab not expected to interact directly with DNA or other chromosomal material.</w:t>
      </w:r>
    </w:p>
    <w:p w14:paraId="31BF62B1" w14:textId="77777777" w:rsidR="00A0498F" w:rsidRPr="00A0498F" w:rsidRDefault="00A0498F" w:rsidP="009F249C">
      <w:pPr>
        <w:pStyle w:val="Heading5"/>
      </w:pPr>
      <w:r w:rsidRPr="00A0498F">
        <w:t>Carcinogenicity</w:t>
      </w:r>
    </w:p>
    <w:p w14:paraId="1639F4D3" w14:textId="77777777" w:rsidR="00A0498F" w:rsidRPr="00A0498F" w:rsidRDefault="00A0498F" w:rsidP="00A0498F">
      <w:r w:rsidRPr="00A0498F">
        <w:t>The carcinogenic potential of romosozumab was investigated in a 2</w:t>
      </w:r>
      <w:r w:rsidR="009F249C">
        <w:t xml:space="preserve"> </w:t>
      </w:r>
      <w:r w:rsidRPr="00A0498F">
        <w:t>year study in rats. The study was appropriately designed and conducted, and involved SC administration at doses up to 50 mg/kg/week. Dose selection was appropriate, with relative exposure at the high-dose level estimated to be 20 (based on interpolation of the serum AUC for the 100</w:t>
      </w:r>
      <w:r w:rsidR="00C10DAA">
        <w:t> </w:t>
      </w:r>
      <w:r w:rsidRPr="00A0498F">
        <w:t>mg/kg/week dose in the 26-week general repeat</w:t>
      </w:r>
      <w:r w:rsidR="00C10DAA">
        <w:t xml:space="preserve"> </w:t>
      </w:r>
      <w:r w:rsidRPr="00A0498F">
        <w:t>dose toxicity study in rats).</w:t>
      </w:r>
    </w:p>
    <w:p w14:paraId="4871F1EF" w14:textId="77777777" w:rsidR="00A0498F" w:rsidRPr="00A0498F" w:rsidRDefault="00A0498F" w:rsidP="00A0498F">
      <w:r w:rsidRPr="00A0498F">
        <w:t>No treatment-related increase in tumour incidence was observed. Of note, osteosarcomas were observed in 2</w:t>
      </w:r>
      <w:r w:rsidR="009F249C">
        <w:t xml:space="preserve"> of </w:t>
      </w:r>
      <w:r w:rsidRPr="00A0498F">
        <w:t>56 high-dose males, present in tibia and frontal bone of the skull. The incidence marginally exceeded the upper historical control range for the test facility (2</w:t>
      </w:r>
      <w:r w:rsidR="009F249C">
        <w:t xml:space="preserve"> of </w:t>
      </w:r>
      <w:r w:rsidRPr="00A0498F">
        <w:t>60), but was not statistically significant by either trend test or pairwise comparison. The examination of potential bone neoplasms was more extensive in this study than in the historical control data set, promoting their detection. Osteosarcoma was not accompanied by findings of osteoblast hyperplasia (as seen with teriparatide, known to produce osteosarcoma in rats), and not seen in females despite drug-induced hyperostosis being more prominent in that sex. Accordingly, the tumour finding is not considered to be treatment-related.</w:t>
      </w:r>
    </w:p>
    <w:p w14:paraId="565B28E7" w14:textId="77777777" w:rsidR="00A0498F" w:rsidRPr="00A0498F" w:rsidRDefault="00A0498F" w:rsidP="009F249C">
      <w:pPr>
        <w:pStyle w:val="Heading5"/>
      </w:pPr>
      <w:r w:rsidRPr="00A0498F">
        <w:lastRenderedPageBreak/>
        <w:t>Reproductive toxicity</w:t>
      </w:r>
    </w:p>
    <w:p w14:paraId="023CFFE9" w14:textId="6DE2627C" w:rsidR="00A0498F" w:rsidRDefault="00A0498F" w:rsidP="00A0498F">
      <w:r w:rsidRPr="00A0498F">
        <w:t xml:space="preserve">Reproductive toxicity studies submitted by the sponsor covered all stages (fertility, early embryonic development, </w:t>
      </w:r>
      <w:proofErr w:type="spellStart"/>
      <w:r w:rsidRPr="00A0498F">
        <w:t>embryo</w:t>
      </w:r>
      <w:r w:rsidR="007C6420">
        <w:t>fetal</w:t>
      </w:r>
      <w:proofErr w:type="spellEnd"/>
      <w:r w:rsidRPr="00A0498F">
        <w:t xml:space="preserve"> development, and pre</w:t>
      </w:r>
      <w:r w:rsidR="008D74BF">
        <w:t xml:space="preserve"> </w:t>
      </w:r>
      <w:r w:rsidRPr="00A0498F">
        <w:t xml:space="preserve">and postnatal development). All studies were conducted in rats by the SC route, administered once weekly. The absence of an </w:t>
      </w:r>
      <w:proofErr w:type="spellStart"/>
      <w:r w:rsidRPr="00A0498F">
        <w:t>embryo</w:t>
      </w:r>
      <w:r w:rsidR="007C6420">
        <w:t>fetal</w:t>
      </w:r>
      <w:proofErr w:type="spellEnd"/>
      <w:r w:rsidRPr="00A0498F">
        <w:t xml:space="preserve"> development study in a second non rodent species is considered to be acceptable; the use of the rabbit is not appropriate given that romosozumab is highly immunogenic in the species. The pivotal studies were appropriately designed and conducted in terms of dose selection, group size, the timing and duration of treatment, and the endpoints examined.</w:t>
      </w:r>
    </w:p>
    <w:p w14:paraId="793246E3" w14:textId="39C55C1C" w:rsidR="00A0498F" w:rsidRDefault="00A0498F" w:rsidP="006F4B1F">
      <w:pPr>
        <w:pStyle w:val="TableTitle"/>
      </w:pPr>
      <w:r w:rsidRPr="00A0498F">
        <w:t xml:space="preserve">Table </w:t>
      </w:r>
      <w:r w:rsidR="00A808F5">
        <w:t>4</w:t>
      </w:r>
      <w:r w:rsidR="006F4B1F">
        <w:t>:</w:t>
      </w:r>
      <w:r w:rsidRPr="00A0498F">
        <w:t xml:space="preserve">  Relative exposure in reproductive toxicity studies</w:t>
      </w:r>
    </w:p>
    <w:tbl>
      <w:tblPr>
        <w:tblStyle w:val="TableTGAblue"/>
        <w:tblW w:w="8472" w:type="dxa"/>
        <w:tblLayout w:type="fixed"/>
        <w:tblLook w:val="01E0" w:firstRow="1" w:lastRow="1" w:firstColumn="1" w:lastColumn="1" w:noHBand="0" w:noVBand="0"/>
      </w:tblPr>
      <w:tblGrid>
        <w:gridCol w:w="1384"/>
        <w:gridCol w:w="2552"/>
        <w:gridCol w:w="1417"/>
        <w:gridCol w:w="1559"/>
        <w:gridCol w:w="1560"/>
      </w:tblGrid>
      <w:tr w:rsidR="00A0498F" w:rsidRPr="003F6251" w14:paraId="57DFA672" w14:textId="77777777" w:rsidTr="003911CB">
        <w:trPr>
          <w:cnfStyle w:val="100000000000" w:firstRow="1" w:lastRow="0" w:firstColumn="0" w:lastColumn="0" w:oddVBand="0" w:evenVBand="0" w:oddHBand="0" w:evenHBand="0" w:firstRowFirstColumn="0" w:firstRowLastColumn="0" w:lastRowFirstColumn="0" w:lastRowLastColumn="0"/>
        </w:trPr>
        <w:tc>
          <w:tcPr>
            <w:tcW w:w="1384" w:type="dxa"/>
          </w:tcPr>
          <w:p w14:paraId="18D669FB" w14:textId="77777777" w:rsidR="00A0498F" w:rsidRPr="003F6251" w:rsidRDefault="00A0498F" w:rsidP="003911CB">
            <w:pPr>
              <w:ind w:left="0" w:right="34"/>
              <w:rPr>
                <w:sz w:val="20"/>
              </w:rPr>
            </w:pPr>
            <w:r w:rsidRPr="003F6251">
              <w:rPr>
                <w:sz w:val="20"/>
              </w:rPr>
              <w:t>Species</w:t>
            </w:r>
          </w:p>
        </w:tc>
        <w:tc>
          <w:tcPr>
            <w:tcW w:w="2552" w:type="dxa"/>
          </w:tcPr>
          <w:p w14:paraId="74AC81CB" w14:textId="370F5E43" w:rsidR="00A0498F" w:rsidRPr="003F6251" w:rsidRDefault="00A0498F" w:rsidP="00A0498F">
            <w:pPr>
              <w:rPr>
                <w:sz w:val="20"/>
              </w:rPr>
            </w:pPr>
            <w:r w:rsidRPr="003F6251">
              <w:rPr>
                <w:sz w:val="20"/>
              </w:rPr>
              <w:t>Study type</w:t>
            </w:r>
            <w:r w:rsidR="003F6251">
              <w:rPr>
                <w:sz w:val="20"/>
              </w:rPr>
              <w:t xml:space="preserve"> </w:t>
            </w:r>
            <w:r w:rsidR="00654353">
              <w:rPr>
                <w:sz w:val="20"/>
              </w:rPr>
              <w:t>(</w:t>
            </w:r>
            <w:r w:rsidR="003F6251">
              <w:rPr>
                <w:sz w:val="20"/>
              </w:rPr>
              <w:t>Study </w:t>
            </w:r>
            <w:r w:rsidRPr="003F6251">
              <w:rPr>
                <w:sz w:val="20"/>
              </w:rPr>
              <w:t>no.</w:t>
            </w:r>
            <w:r w:rsidR="00654353">
              <w:rPr>
                <w:sz w:val="20"/>
              </w:rPr>
              <w:t>)</w:t>
            </w:r>
          </w:p>
        </w:tc>
        <w:tc>
          <w:tcPr>
            <w:tcW w:w="1417" w:type="dxa"/>
          </w:tcPr>
          <w:p w14:paraId="18FC511E" w14:textId="77777777" w:rsidR="00A0498F" w:rsidRPr="003F6251" w:rsidRDefault="003F6251" w:rsidP="003911CB">
            <w:pPr>
              <w:tabs>
                <w:tab w:val="decimal" w:pos="678"/>
              </w:tabs>
              <w:rPr>
                <w:sz w:val="20"/>
              </w:rPr>
            </w:pPr>
            <w:r>
              <w:rPr>
                <w:sz w:val="20"/>
              </w:rPr>
              <w:t xml:space="preserve">Dose (mg/kg/week); </w:t>
            </w:r>
            <w:r w:rsidR="00A0498F" w:rsidRPr="003F6251">
              <w:rPr>
                <w:sz w:val="20"/>
              </w:rPr>
              <w:t>SC</w:t>
            </w:r>
          </w:p>
        </w:tc>
        <w:tc>
          <w:tcPr>
            <w:tcW w:w="1559" w:type="dxa"/>
          </w:tcPr>
          <w:p w14:paraId="22C0B5DB" w14:textId="77777777" w:rsidR="00A0498F" w:rsidRPr="003F6251" w:rsidRDefault="00A0498F" w:rsidP="003911CB">
            <w:pPr>
              <w:tabs>
                <w:tab w:val="decimal" w:pos="994"/>
              </w:tabs>
              <w:ind w:left="34" w:right="0"/>
              <w:rPr>
                <w:sz w:val="20"/>
              </w:rPr>
            </w:pPr>
            <w:r w:rsidRPr="003F6251">
              <w:rPr>
                <w:sz w:val="20"/>
              </w:rPr>
              <w:t>AUC</w:t>
            </w:r>
            <w:r w:rsidRPr="003F6251">
              <w:rPr>
                <w:sz w:val="20"/>
                <w:vertAlign w:val="subscript"/>
              </w:rPr>
              <w:t>0–t</w:t>
            </w:r>
            <w:r w:rsidR="003F6251">
              <w:rPr>
                <w:sz w:val="20"/>
              </w:rPr>
              <w:t xml:space="preserve"> </w:t>
            </w:r>
            <w:r w:rsidRPr="003F6251">
              <w:rPr>
                <w:sz w:val="20"/>
              </w:rPr>
              <w:t>(</w:t>
            </w:r>
            <w:proofErr w:type="spellStart"/>
            <w:r w:rsidRPr="003F6251">
              <w:rPr>
                <w:sz w:val="20"/>
              </w:rPr>
              <w:t>μg∙h</w:t>
            </w:r>
            <w:proofErr w:type="spellEnd"/>
            <w:r w:rsidRPr="003F6251">
              <w:rPr>
                <w:sz w:val="20"/>
              </w:rPr>
              <w:t>/mL)</w:t>
            </w:r>
          </w:p>
        </w:tc>
        <w:tc>
          <w:tcPr>
            <w:tcW w:w="1560" w:type="dxa"/>
          </w:tcPr>
          <w:p w14:paraId="560D50C0" w14:textId="77777777" w:rsidR="00A0498F" w:rsidRPr="003F6251" w:rsidRDefault="003F6251" w:rsidP="003911CB">
            <w:pPr>
              <w:tabs>
                <w:tab w:val="decimal" w:pos="884"/>
              </w:tabs>
              <w:rPr>
                <w:sz w:val="20"/>
              </w:rPr>
            </w:pPr>
            <w:r>
              <w:rPr>
                <w:sz w:val="20"/>
              </w:rPr>
              <w:t xml:space="preserve">Exposure </w:t>
            </w:r>
            <w:r w:rsidR="00A0498F" w:rsidRPr="003F6251">
              <w:rPr>
                <w:sz w:val="20"/>
              </w:rPr>
              <w:t>ratio</w:t>
            </w:r>
            <w:r w:rsidR="00A0498F" w:rsidRPr="003F6251">
              <w:rPr>
                <w:sz w:val="20"/>
                <w:vertAlign w:val="superscript"/>
              </w:rPr>
              <w:t>#</w:t>
            </w:r>
          </w:p>
        </w:tc>
      </w:tr>
      <w:tr w:rsidR="003911CB" w:rsidRPr="003F6251" w14:paraId="64E54B25" w14:textId="77777777" w:rsidTr="003911CB">
        <w:trPr>
          <w:trHeight w:val="227"/>
        </w:trPr>
        <w:tc>
          <w:tcPr>
            <w:tcW w:w="1384" w:type="dxa"/>
            <w:vMerge w:val="restart"/>
          </w:tcPr>
          <w:p w14:paraId="3A01554E" w14:textId="77777777" w:rsidR="00A0498F" w:rsidRPr="003F6251" w:rsidRDefault="003F6251" w:rsidP="003911CB">
            <w:pPr>
              <w:ind w:left="0" w:right="34"/>
              <w:rPr>
                <w:kern w:val="2"/>
                <w:sz w:val="20"/>
              </w:rPr>
            </w:pPr>
            <w:r>
              <w:rPr>
                <w:kern w:val="2"/>
                <w:sz w:val="20"/>
              </w:rPr>
              <w:t xml:space="preserve">Rat </w:t>
            </w:r>
            <w:r w:rsidR="00A0498F" w:rsidRPr="003F6251">
              <w:rPr>
                <w:kern w:val="2"/>
                <w:sz w:val="20"/>
              </w:rPr>
              <w:t>(SD)</w:t>
            </w:r>
          </w:p>
        </w:tc>
        <w:tc>
          <w:tcPr>
            <w:tcW w:w="2552" w:type="dxa"/>
            <w:vMerge w:val="restart"/>
          </w:tcPr>
          <w:p w14:paraId="60326EC5" w14:textId="6529DE95" w:rsidR="00A0498F" w:rsidRPr="002D5FB9" w:rsidRDefault="00A0498F" w:rsidP="002D5FB9">
            <w:r w:rsidRPr="00755C5F">
              <w:rPr>
                <w:sz w:val="20"/>
              </w:rPr>
              <w:t xml:space="preserve">Fertility </w:t>
            </w:r>
            <w:r w:rsidR="00654353" w:rsidRPr="00755C5F">
              <w:rPr>
                <w:sz w:val="20"/>
              </w:rPr>
              <w:t>and</w:t>
            </w:r>
            <w:r w:rsidRPr="00755C5F">
              <w:rPr>
                <w:sz w:val="20"/>
              </w:rPr>
              <w:t xml:space="preserve"> </w:t>
            </w:r>
            <w:proofErr w:type="spellStart"/>
            <w:r w:rsidRPr="00755C5F">
              <w:rPr>
                <w:sz w:val="20"/>
              </w:rPr>
              <w:t>embryof</w:t>
            </w:r>
            <w:r w:rsidR="003F6251" w:rsidRPr="00755C5F">
              <w:rPr>
                <w:sz w:val="20"/>
              </w:rPr>
              <w:t>etal</w:t>
            </w:r>
            <w:proofErr w:type="spellEnd"/>
            <w:r w:rsidR="003F6251" w:rsidRPr="00755C5F">
              <w:rPr>
                <w:sz w:val="20"/>
              </w:rPr>
              <w:t xml:space="preserve"> development; </w:t>
            </w:r>
            <w:r w:rsidRPr="00755C5F">
              <w:rPr>
                <w:sz w:val="20"/>
                <w:szCs w:val="22"/>
              </w:rPr>
              <w:t>Pre</w:t>
            </w:r>
            <w:r w:rsidRPr="00755C5F">
              <w:rPr>
                <w:sz w:val="20"/>
                <w:szCs w:val="22"/>
              </w:rPr>
              <w:noBreakHyphen/>
              <w:t>/postnatal development</w:t>
            </w:r>
            <w:r w:rsidR="003F6251" w:rsidRPr="00755C5F">
              <w:rPr>
                <w:sz w:val="20"/>
              </w:rPr>
              <w:t xml:space="preserve"> </w:t>
            </w:r>
            <w:r w:rsidR="00654353" w:rsidRPr="00755C5F">
              <w:rPr>
                <w:sz w:val="20"/>
              </w:rPr>
              <w:t>(</w:t>
            </w:r>
            <w:r w:rsidRPr="00755C5F">
              <w:rPr>
                <w:sz w:val="20"/>
              </w:rPr>
              <w:t>108061; 108062</w:t>
            </w:r>
            <w:r w:rsidR="00654353" w:rsidRPr="00755C5F">
              <w:rPr>
                <w:sz w:val="20"/>
              </w:rPr>
              <w:t>)</w:t>
            </w:r>
          </w:p>
        </w:tc>
        <w:tc>
          <w:tcPr>
            <w:tcW w:w="1417" w:type="dxa"/>
          </w:tcPr>
          <w:p w14:paraId="09D068D1" w14:textId="77777777" w:rsidR="00A0498F" w:rsidRPr="00755C5F" w:rsidRDefault="00A0498F" w:rsidP="00755C5F">
            <w:pPr>
              <w:rPr>
                <w:sz w:val="20"/>
              </w:rPr>
            </w:pPr>
            <w:r w:rsidRPr="00755C5F">
              <w:rPr>
                <w:sz w:val="20"/>
              </w:rPr>
              <w:t>10</w:t>
            </w:r>
          </w:p>
        </w:tc>
        <w:tc>
          <w:tcPr>
            <w:tcW w:w="1559" w:type="dxa"/>
          </w:tcPr>
          <w:p w14:paraId="1B51C6F6" w14:textId="77777777" w:rsidR="00A0498F" w:rsidRPr="003F6251" w:rsidRDefault="00A0498F" w:rsidP="00A0498F">
            <w:pPr>
              <w:tabs>
                <w:tab w:val="decimal" w:pos="994"/>
              </w:tabs>
              <w:rPr>
                <w:kern w:val="2"/>
                <w:sz w:val="20"/>
              </w:rPr>
            </w:pPr>
            <w:r w:rsidRPr="003F6251">
              <w:rPr>
                <w:kern w:val="2"/>
                <w:sz w:val="20"/>
              </w:rPr>
              <w:t>4752</w:t>
            </w:r>
          </w:p>
        </w:tc>
        <w:tc>
          <w:tcPr>
            <w:tcW w:w="1560" w:type="dxa"/>
          </w:tcPr>
          <w:p w14:paraId="2B4A8537" w14:textId="77777777" w:rsidR="00A0498F" w:rsidRPr="003F6251" w:rsidRDefault="00A0498F" w:rsidP="003911CB">
            <w:pPr>
              <w:tabs>
                <w:tab w:val="decimal" w:pos="884"/>
              </w:tabs>
              <w:rPr>
                <w:sz w:val="20"/>
              </w:rPr>
            </w:pPr>
            <w:r w:rsidRPr="003F6251">
              <w:rPr>
                <w:sz w:val="20"/>
              </w:rPr>
              <w:t>1.6</w:t>
            </w:r>
          </w:p>
        </w:tc>
      </w:tr>
      <w:tr w:rsidR="003911CB" w:rsidRPr="003F6251" w14:paraId="5465A796" w14:textId="77777777" w:rsidTr="003911CB">
        <w:trPr>
          <w:trHeight w:val="227"/>
        </w:trPr>
        <w:tc>
          <w:tcPr>
            <w:tcW w:w="1384" w:type="dxa"/>
            <w:vMerge/>
          </w:tcPr>
          <w:p w14:paraId="4B80C52C" w14:textId="77777777" w:rsidR="00A0498F" w:rsidRPr="003F6251" w:rsidRDefault="00A0498F" w:rsidP="003911CB">
            <w:pPr>
              <w:ind w:left="0" w:right="34"/>
              <w:rPr>
                <w:kern w:val="2"/>
                <w:sz w:val="20"/>
              </w:rPr>
            </w:pPr>
          </w:p>
        </w:tc>
        <w:tc>
          <w:tcPr>
            <w:tcW w:w="2552" w:type="dxa"/>
            <w:vMerge/>
          </w:tcPr>
          <w:p w14:paraId="2619170E" w14:textId="77777777" w:rsidR="00A0498F" w:rsidRPr="003F6251" w:rsidRDefault="00A0498F" w:rsidP="00A0498F">
            <w:pPr>
              <w:rPr>
                <w:kern w:val="2"/>
                <w:sz w:val="20"/>
              </w:rPr>
            </w:pPr>
          </w:p>
        </w:tc>
        <w:tc>
          <w:tcPr>
            <w:tcW w:w="1417" w:type="dxa"/>
          </w:tcPr>
          <w:p w14:paraId="2B964768" w14:textId="77777777" w:rsidR="00A0498F" w:rsidRPr="00755C5F" w:rsidRDefault="00A0498F" w:rsidP="00755C5F">
            <w:pPr>
              <w:rPr>
                <w:sz w:val="20"/>
              </w:rPr>
            </w:pPr>
            <w:r w:rsidRPr="00755C5F">
              <w:rPr>
                <w:sz w:val="20"/>
              </w:rPr>
              <w:t>60</w:t>
            </w:r>
          </w:p>
        </w:tc>
        <w:tc>
          <w:tcPr>
            <w:tcW w:w="1559" w:type="dxa"/>
          </w:tcPr>
          <w:p w14:paraId="3F3E3A05" w14:textId="77777777" w:rsidR="00A0498F" w:rsidRPr="003F6251" w:rsidRDefault="00A0498F" w:rsidP="00A0498F">
            <w:pPr>
              <w:tabs>
                <w:tab w:val="decimal" w:pos="994"/>
              </w:tabs>
              <w:rPr>
                <w:kern w:val="2"/>
                <w:sz w:val="20"/>
              </w:rPr>
            </w:pPr>
            <w:r w:rsidRPr="003F6251">
              <w:rPr>
                <w:kern w:val="2"/>
                <w:sz w:val="20"/>
              </w:rPr>
              <w:t>60480</w:t>
            </w:r>
          </w:p>
        </w:tc>
        <w:tc>
          <w:tcPr>
            <w:tcW w:w="1560" w:type="dxa"/>
          </w:tcPr>
          <w:p w14:paraId="5144B878" w14:textId="77777777" w:rsidR="00A0498F" w:rsidRPr="003F6251" w:rsidRDefault="00A0498F" w:rsidP="003911CB">
            <w:pPr>
              <w:tabs>
                <w:tab w:val="decimal" w:pos="884"/>
              </w:tabs>
              <w:rPr>
                <w:sz w:val="20"/>
              </w:rPr>
            </w:pPr>
            <w:r w:rsidRPr="003F6251">
              <w:rPr>
                <w:sz w:val="20"/>
              </w:rPr>
              <w:t>20</w:t>
            </w:r>
          </w:p>
        </w:tc>
      </w:tr>
      <w:tr w:rsidR="003911CB" w:rsidRPr="003F6251" w14:paraId="15039C0A" w14:textId="77777777" w:rsidTr="003911CB">
        <w:trPr>
          <w:trHeight w:val="227"/>
        </w:trPr>
        <w:tc>
          <w:tcPr>
            <w:tcW w:w="1384" w:type="dxa"/>
            <w:vMerge/>
          </w:tcPr>
          <w:p w14:paraId="5ADB1715" w14:textId="77777777" w:rsidR="00A0498F" w:rsidRPr="003F6251" w:rsidRDefault="00A0498F" w:rsidP="003911CB">
            <w:pPr>
              <w:ind w:left="0" w:right="34"/>
              <w:rPr>
                <w:kern w:val="2"/>
                <w:sz w:val="20"/>
              </w:rPr>
            </w:pPr>
          </w:p>
        </w:tc>
        <w:tc>
          <w:tcPr>
            <w:tcW w:w="2552" w:type="dxa"/>
            <w:vMerge/>
          </w:tcPr>
          <w:p w14:paraId="2211688E" w14:textId="77777777" w:rsidR="00A0498F" w:rsidRPr="003F6251" w:rsidRDefault="00A0498F" w:rsidP="00A0498F">
            <w:pPr>
              <w:rPr>
                <w:kern w:val="2"/>
                <w:sz w:val="20"/>
              </w:rPr>
            </w:pPr>
          </w:p>
        </w:tc>
        <w:tc>
          <w:tcPr>
            <w:tcW w:w="1417" w:type="dxa"/>
          </w:tcPr>
          <w:p w14:paraId="10E4E6F5" w14:textId="77777777" w:rsidR="00A0498F" w:rsidRPr="00755C5F" w:rsidRDefault="00A0498F" w:rsidP="00755C5F">
            <w:pPr>
              <w:rPr>
                <w:sz w:val="20"/>
              </w:rPr>
            </w:pPr>
            <w:r w:rsidRPr="00755C5F">
              <w:rPr>
                <w:sz w:val="20"/>
              </w:rPr>
              <w:t>300</w:t>
            </w:r>
          </w:p>
        </w:tc>
        <w:tc>
          <w:tcPr>
            <w:tcW w:w="1559" w:type="dxa"/>
          </w:tcPr>
          <w:p w14:paraId="387CF08A" w14:textId="77777777" w:rsidR="00A0498F" w:rsidRPr="003F6251" w:rsidRDefault="00A0498F" w:rsidP="00A0498F">
            <w:pPr>
              <w:tabs>
                <w:tab w:val="decimal" w:pos="994"/>
              </w:tabs>
              <w:rPr>
                <w:kern w:val="2"/>
                <w:sz w:val="20"/>
              </w:rPr>
            </w:pPr>
            <w:r w:rsidRPr="003F6251">
              <w:rPr>
                <w:kern w:val="2"/>
                <w:sz w:val="20"/>
              </w:rPr>
              <w:t>179760</w:t>
            </w:r>
          </w:p>
        </w:tc>
        <w:tc>
          <w:tcPr>
            <w:tcW w:w="1560" w:type="dxa"/>
          </w:tcPr>
          <w:p w14:paraId="2C24A611" w14:textId="77777777" w:rsidR="00A0498F" w:rsidRPr="003F6251" w:rsidRDefault="00A0498F" w:rsidP="003911CB">
            <w:pPr>
              <w:tabs>
                <w:tab w:val="decimal" w:pos="884"/>
              </w:tabs>
              <w:rPr>
                <w:sz w:val="20"/>
              </w:rPr>
            </w:pPr>
            <w:r w:rsidRPr="003F6251">
              <w:rPr>
                <w:sz w:val="20"/>
              </w:rPr>
              <w:t>59</w:t>
            </w:r>
          </w:p>
        </w:tc>
      </w:tr>
      <w:tr w:rsidR="003911CB" w:rsidRPr="003F6251" w14:paraId="1796AB36" w14:textId="77777777" w:rsidTr="003911CB">
        <w:trPr>
          <w:trHeight w:val="227"/>
        </w:trPr>
        <w:tc>
          <w:tcPr>
            <w:tcW w:w="1384" w:type="dxa"/>
            <w:vMerge/>
          </w:tcPr>
          <w:p w14:paraId="4685F882" w14:textId="77777777" w:rsidR="00A0498F" w:rsidRPr="003F6251" w:rsidRDefault="00A0498F" w:rsidP="003911CB">
            <w:pPr>
              <w:ind w:left="0" w:right="34"/>
              <w:rPr>
                <w:kern w:val="2"/>
                <w:sz w:val="20"/>
              </w:rPr>
            </w:pPr>
          </w:p>
        </w:tc>
        <w:tc>
          <w:tcPr>
            <w:tcW w:w="2552" w:type="dxa"/>
            <w:vMerge w:val="restart"/>
          </w:tcPr>
          <w:p w14:paraId="1C9B7B01" w14:textId="547D86F1" w:rsidR="00A0498F" w:rsidRPr="003F6251" w:rsidRDefault="00A0498F" w:rsidP="00A0498F">
            <w:pPr>
              <w:rPr>
                <w:kern w:val="2"/>
                <w:sz w:val="20"/>
              </w:rPr>
            </w:pPr>
            <w:proofErr w:type="spellStart"/>
            <w:r w:rsidRPr="003F6251">
              <w:rPr>
                <w:kern w:val="2"/>
                <w:sz w:val="20"/>
              </w:rPr>
              <w:t>Embryof</w:t>
            </w:r>
            <w:r w:rsidR="003911CB" w:rsidRPr="003F6251">
              <w:rPr>
                <w:kern w:val="2"/>
                <w:sz w:val="20"/>
              </w:rPr>
              <w:t>o</w:t>
            </w:r>
            <w:r w:rsidRPr="003F6251">
              <w:rPr>
                <w:kern w:val="2"/>
                <w:sz w:val="20"/>
              </w:rPr>
              <w:t>etal</w:t>
            </w:r>
            <w:proofErr w:type="spellEnd"/>
            <w:r w:rsidRPr="003F6251">
              <w:rPr>
                <w:kern w:val="2"/>
                <w:sz w:val="20"/>
              </w:rPr>
              <w:t xml:space="preserve"> development</w:t>
            </w:r>
            <w:r w:rsidR="003F6251">
              <w:rPr>
                <w:kern w:val="2"/>
                <w:sz w:val="20"/>
              </w:rPr>
              <w:t xml:space="preserve"> </w:t>
            </w:r>
            <w:r w:rsidR="00654353">
              <w:rPr>
                <w:kern w:val="2"/>
                <w:sz w:val="20"/>
              </w:rPr>
              <w:t>(</w:t>
            </w:r>
            <w:r w:rsidRPr="003F6251">
              <w:rPr>
                <w:kern w:val="2"/>
                <w:sz w:val="20"/>
              </w:rPr>
              <w:t>108059</w:t>
            </w:r>
            <w:r w:rsidR="00654353">
              <w:rPr>
                <w:kern w:val="2"/>
                <w:sz w:val="20"/>
              </w:rPr>
              <w:t>)</w:t>
            </w:r>
          </w:p>
        </w:tc>
        <w:tc>
          <w:tcPr>
            <w:tcW w:w="1417" w:type="dxa"/>
          </w:tcPr>
          <w:p w14:paraId="13CA9ECC" w14:textId="77777777" w:rsidR="00A0498F" w:rsidRPr="00755C5F" w:rsidRDefault="00A0498F" w:rsidP="00755C5F">
            <w:pPr>
              <w:rPr>
                <w:sz w:val="20"/>
              </w:rPr>
            </w:pPr>
            <w:r w:rsidRPr="00755C5F">
              <w:rPr>
                <w:sz w:val="20"/>
              </w:rPr>
              <w:t>30</w:t>
            </w:r>
          </w:p>
        </w:tc>
        <w:tc>
          <w:tcPr>
            <w:tcW w:w="1559" w:type="dxa"/>
          </w:tcPr>
          <w:p w14:paraId="5F3AABE2" w14:textId="77777777" w:rsidR="00A0498F" w:rsidRPr="003F6251" w:rsidRDefault="00A0498F" w:rsidP="00A0498F">
            <w:pPr>
              <w:tabs>
                <w:tab w:val="decimal" w:pos="994"/>
              </w:tabs>
              <w:rPr>
                <w:kern w:val="2"/>
                <w:sz w:val="20"/>
              </w:rPr>
            </w:pPr>
            <w:r w:rsidRPr="003F6251">
              <w:rPr>
                <w:kern w:val="2"/>
                <w:sz w:val="20"/>
              </w:rPr>
              <w:t>17000</w:t>
            </w:r>
            <w:r w:rsidRPr="003F6251">
              <w:rPr>
                <w:kern w:val="2"/>
                <w:sz w:val="20"/>
                <w:vertAlign w:val="superscript"/>
              </w:rPr>
              <w:t>a</w:t>
            </w:r>
          </w:p>
        </w:tc>
        <w:tc>
          <w:tcPr>
            <w:tcW w:w="1560" w:type="dxa"/>
          </w:tcPr>
          <w:p w14:paraId="68E0EAA5" w14:textId="77777777" w:rsidR="00A0498F" w:rsidRPr="003F6251" w:rsidRDefault="00A0498F" w:rsidP="003911CB">
            <w:pPr>
              <w:tabs>
                <w:tab w:val="decimal" w:pos="884"/>
              </w:tabs>
              <w:rPr>
                <w:sz w:val="20"/>
              </w:rPr>
            </w:pPr>
            <w:r w:rsidRPr="003F6251">
              <w:rPr>
                <w:sz w:val="20"/>
              </w:rPr>
              <w:t>6</w:t>
            </w:r>
          </w:p>
        </w:tc>
      </w:tr>
      <w:tr w:rsidR="003911CB" w:rsidRPr="003F6251" w14:paraId="0553B4D3" w14:textId="77777777" w:rsidTr="003911CB">
        <w:trPr>
          <w:trHeight w:val="227"/>
        </w:trPr>
        <w:tc>
          <w:tcPr>
            <w:tcW w:w="1384" w:type="dxa"/>
            <w:vMerge/>
          </w:tcPr>
          <w:p w14:paraId="0A330658" w14:textId="77777777" w:rsidR="00A0498F" w:rsidRPr="003F6251" w:rsidRDefault="00A0498F" w:rsidP="003911CB">
            <w:pPr>
              <w:ind w:left="0" w:right="34"/>
              <w:rPr>
                <w:kern w:val="2"/>
                <w:sz w:val="20"/>
              </w:rPr>
            </w:pPr>
          </w:p>
        </w:tc>
        <w:tc>
          <w:tcPr>
            <w:tcW w:w="2552" w:type="dxa"/>
            <w:vMerge/>
          </w:tcPr>
          <w:p w14:paraId="62871BA2" w14:textId="77777777" w:rsidR="00A0498F" w:rsidRPr="003F6251" w:rsidRDefault="00A0498F" w:rsidP="00A0498F">
            <w:pPr>
              <w:rPr>
                <w:kern w:val="2"/>
                <w:sz w:val="20"/>
              </w:rPr>
            </w:pPr>
          </w:p>
        </w:tc>
        <w:tc>
          <w:tcPr>
            <w:tcW w:w="1417" w:type="dxa"/>
          </w:tcPr>
          <w:p w14:paraId="743C027F" w14:textId="77777777" w:rsidR="00A0498F" w:rsidRPr="00755C5F" w:rsidRDefault="00A0498F" w:rsidP="00755C5F">
            <w:pPr>
              <w:rPr>
                <w:sz w:val="20"/>
              </w:rPr>
            </w:pPr>
            <w:r w:rsidRPr="00755C5F">
              <w:rPr>
                <w:sz w:val="20"/>
              </w:rPr>
              <w:t>100</w:t>
            </w:r>
          </w:p>
        </w:tc>
        <w:tc>
          <w:tcPr>
            <w:tcW w:w="1559" w:type="dxa"/>
          </w:tcPr>
          <w:p w14:paraId="3D38AA83" w14:textId="77777777" w:rsidR="00A0498F" w:rsidRPr="003F6251" w:rsidRDefault="00A0498F" w:rsidP="00A0498F">
            <w:pPr>
              <w:tabs>
                <w:tab w:val="decimal" w:pos="994"/>
              </w:tabs>
              <w:rPr>
                <w:kern w:val="2"/>
                <w:sz w:val="20"/>
              </w:rPr>
            </w:pPr>
            <w:r w:rsidRPr="003F6251">
              <w:rPr>
                <w:kern w:val="2"/>
                <w:sz w:val="20"/>
              </w:rPr>
              <w:t>53300</w:t>
            </w:r>
            <w:r w:rsidRPr="003F6251">
              <w:rPr>
                <w:kern w:val="2"/>
                <w:sz w:val="20"/>
                <w:vertAlign w:val="superscript"/>
              </w:rPr>
              <w:t>a</w:t>
            </w:r>
          </w:p>
        </w:tc>
        <w:tc>
          <w:tcPr>
            <w:tcW w:w="1560" w:type="dxa"/>
          </w:tcPr>
          <w:p w14:paraId="41F23E7A" w14:textId="77777777" w:rsidR="00A0498F" w:rsidRPr="003F6251" w:rsidRDefault="00A0498F" w:rsidP="003911CB">
            <w:pPr>
              <w:tabs>
                <w:tab w:val="decimal" w:pos="884"/>
              </w:tabs>
              <w:rPr>
                <w:sz w:val="20"/>
              </w:rPr>
            </w:pPr>
            <w:r w:rsidRPr="003F6251">
              <w:rPr>
                <w:sz w:val="20"/>
              </w:rPr>
              <w:t>17</w:t>
            </w:r>
          </w:p>
        </w:tc>
      </w:tr>
      <w:tr w:rsidR="003911CB" w:rsidRPr="003F6251" w14:paraId="7A3DFE92" w14:textId="77777777" w:rsidTr="003911CB">
        <w:trPr>
          <w:trHeight w:val="227"/>
        </w:trPr>
        <w:tc>
          <w:tcPr>
            <w:tcW w:w="1384" w:type="dxa"/>
            <w:vMerge/>
          </w:tcPr>
          <w:p w14:paraId="774CC8B5" w14:textId="77777777" w:rsidR="00A0498F" w:rsidRPr="003F6251" w:rsidRDefault="00A0498F" w:rsidP="003911CB">
            <w:pPr>
              <w:ind w:left="0" w:right="34"/>
              <w:rPr>
                <w:kern w:val="2"/>
                <w:sz w:val="20"/>
              </w:rPr>
            </w:pPr>
          </w:p>
        </w:tc>
        <w:tc>
          <w:tcPr>
            <w:tcW w:w="2552" w:type="dxa"/>
            <w:vMerge/>
          </w:tcPr>
          <w:p w14:paraId="57BCC196" w14:textId="77777777" w:rsidR="00A0498F" w:rsidRPr="003F6251" w:rsidRDefault="00A0498F" w:rsidP="00A0498F">
            <w:pPr>
              <w:rPr>
                <w:kern w:val="2"/>
                <w:sz w:val="20"/>
              </w:rPr>
            </w:pPr>
          </w:p>
        </w:tc>
        <w:tc>
          <w:tcPr>
            <w:tcW w:w="1417" w:type="dxa"/>
          </w:tcPr>
          <w:p w14:paraId="7F5B7ED1" w14:textId="77777777" w:rsidR="00A0498F" w:rsidRPr="00755C5F" w:rsidRDefault="00A0498F" w:rsidP="00755C5F">
            <w:pPr>
              <w:rPr>
                <w:sz w:val="20"/>
              </w:rPr>
            </w:pPr>
            <w:r w:rsidRPr="00755C5F">
              <w:rPr>
                <w:sz w:val="20"/>
              </w:rPr>
              <w:t>300</w:t>
            </w:r>
          </w:p>
        </w:tc>
        <w:tc>
          <w:tcPr>
            <w:tcW w:w="1559" w:type="dxa"/>
          </w:tcPr>
          <w:p w14:paraId="741D0445" w14:textId="77777777" w:rsidR="00A0498F" w:rsidRPr="003F6251" w:rsidRDefault="00A0498F" w:rsidP="00A0498F">
            <w:pPr>
              <w:tabs>
                <w:tab w:val="decimal" w:pos="994"/>
              </w:tabs>
              <w:rPr>
                <w:kern w:val="2"/>
                <w:sz w:val="20"/>
                <w:vertAlign w:val="superscript"/>
              </w:rPr>
            </w:pPr>
            <w:r w:rsidRPr="003F6251">
              <w:rPr>
                <w:kern w:val="2"/>
                <w:sz w:val="20"/>
              </w:rPr>
              <w:t>115000</w:t>
            </w:r>
            <w:r w:rsidRPr="003F6251">
              <w:rPr>
                <w:kern w:val="2"/>
                <w:sz w:val="20"/>
                <w:vertAlign w:val="superscript"/>
              </w:rPr>
              <w:t>a</w:t>
            </w:r>
          </w:p>
        </w:tc>
        <w:tc>
          <w:tcPr>
            <w:tcW w:w="1560" w:type="dxa"/>
          </w:tcPr>
          <w:p w14:paraId="1839BE16" w14:textId="77777777" w:rsidR="00A0498F" w:rsidRPr="003F6251" w:rsidRDefault="00A0498F" w:rsidP="003911CB">
            <w:pPr>
              <w:tabs>
                <w:tab w:val="decimal" w:pos="884"/>
              </w:tabs>
              <w:rPr>
                <w:sz w:val="20"/>
              </w:rPr>
            </w:pPr>
            <w:r w:rsidRPr="003F6251">
              <w:rPr>
                <w:sz w:val="20"/>
              </w:rPr>
              <w:t>38</w:t>
            </w:r>
          </w:p>
        </w:tc>
      </w:tr>
      <w:tr w:rsidR="003911CB" w:rsidRPr="003F6251" w14:paraId="4977B17E" w14:textId="77777777" w:rsidTr="003911CB">
        <w:trPr>
          <w:trHeight w:val="227"/>
        </w:trPr>
        <w:tc>
          <w:tcPr>
            <w:tcW w:w="1384" w:type="dxa"/>
          </w:tcPr>
          <w:p w14:paraId="375C2A2A" w14:textId="77777777" w:rsidR="00A0498F" w:rsidRPr="003F6251" w:rsidRDefault="003F6251" w:rsidP="003911CB">
            <w:pPr>
              <w:ind w:left="0" w:right="34"/>
              <w:rPr>
                <w:kern w:val="2"/>
                <w:sz w:val="20"/>
              </w:rPr>
            </w:pPr>
            <w:r>
              <w:rPr>
                <w:kern w:val="2"/>
                <w:sz w:val="20"/>
              </w:rPr>
              <w:t xml:space="preserve">Human </w:t>
            </w:r>
            <w:r w:rsidR="00A0498F" w:rsidRPr="003F6251">
              <w:rPr>
                <w:kern w:val="2"/>
                <w:sz w:val="20"/>
              </w:rPr>
              <w:t>(patients)</w:t>
            </w:r>
          </w:p>
        </w:tc>
        <w:tc>
          <w:tcPr>
            <w:tcW w:w="2552" w:type="dxa"/>
          </w:tcPr>
          <w:p w14:paraId="65CA624D" w14:textId="3BCF8D3A" w:rsidR="00A0498F" w:rsidRPr="003F6251" w:rsidRDefault="003F6251" w:rsidP="00A0498F">
            <w:pPr>
              <w:rPr>
                <w:kern w:val="2"/>
                <w:sz w:val="20"/>
              </w:rPr>
            </w:pPr>
            <w:r>
              <w:rPr>
                <w:kern w:val="2"/>
                <w:sz w:val="20"/>
              </w:rPr>
              <w:t xml:space="preserve">Population PK analysis </w:t>
            </w:r>
            <w:r w:rsidR="00654353">
              <w:rPr>
                <w:kern w:val="2"/>
                <w:sz w:val="20"/>
              </w:rPr>
              <w:t>(</w:t>
            </w:r>
            <w:r w:rsidR="00A0498F" w:rsidRPr="003F6251">
              <w:rPr>
                <w:kern w:val="2"/>
                <w:sz w:val="20"/>
              </w:rPr>
              <w:t>119384A</w:t>
            </w:r>
            <w:r w:rsidR="00654353">
              <w:rPr>
                <w:kern w:val="2"/>
                <w:sz w:val="20"/>
              </w:rPr>
              <w:t>)</w:t>
            </w:r>
          </w:p>
        </w:tc>
        <w:tc>
          <w:tcPr>
            <w:tcW w:w="1417" w:type="dxa"/>
          </w:tcPr>
          <w:p w14:paraId="202A0408" w14:textId="77777777" w:rsidR="00A0498F" w:rsidRPr="00755C5F" w:rsidRDefault="003F6251" w:rsidP="00755C5F">
            <w:pPr>
              <w:rPr>
                <w:sz w:val="20"/>
              </w:rPr>
            </w:pPr>
            <w:r w:rsidRPr="00755C5F">
              <w:rPr>
                <w:sz w:val="20"/>
              </w:rPr>
              <w:t xml:space="preserve">210 mg SC </w:t>
            </w:r>
            <w:r w:rsidR="00A0498F" w:rsidRPr="00755C5F">
              <w:rPr>
                <w:sz w:val="20"/>
              </w:rPr>
              <w:t>once monthly</w:t>
            </w:r>
          </w:p>
        </w:tc>
        <w:tc>
          <w:tcPr>
            <w:tcW w:w="1559" w:type="dxa"/>
          </w:tcPr>
          <w:p w14:paraId="06E97B81" w14:textId="77777777" w:rsidR="00A0498F" w:rsidRPr="003F6251" w:rsidRDefault="00A0498F" w:rsidP="00A0498F">
            <w:pPr>
              <w:tabs>
                <w:tab w:val="decimal" w:pos="994"/>
              </w:tabs>
              <w:rPr>
                <w:kern w:val="2"/>
                <w:sz w:val="20"/>
              </w:rPr>
            </w:pPr>
            <w:r w:rsidRPr="003F6251">
              <w:rPr>
                <w:kern w:val="2"/>
                <w:sz w:val="20"/>
              </w:rPr>
              <w:t>12216</w:t>
            </w:r>
          </w:p>
        </w:tc>
        <w:tc>
          <w:tcPr>
            <w:tcW w:w="1560" w:type="dxa"/>
          </w:tcPr>
          <w:p w14:paraId="4633BA1C" w14:textId="77777777" w:rsidR="00A0498F" w:rsidRPr="003F6251" w:rsidRDefault="00A0498F" w:rsidP="003911CB">
            <w:pPr>
              <w:tabs>
                <w:tab w:val="decimal" w:pos="884"/>
              </w:tabs>
              <w:rPr>
                <w:kern w:val="2"/>
                <w:sz w:val="20"/>
              </w:rPr>
            </w:pPr>
            <w:r w:rsidRPr="003F6251">
              <w:rPr>
                <w:kern w:val="2"/>
                <w:sz w:val="20"/>
              </w:rPr>
              <w:t>–</w:t>
            </w:r>
          </w:p>
        </w:tc>
      </w:tr>
    </w:tbl>
    <w:p w14:paraId="0FE10924" w14:textId="77777777" w:rsidR="00A0498F" w:rsidRPr="00C85914" w:rsidRDefault="00A0498F" w:rsidP="003F6251">
      <w:pPr>
        <w:pStyle w:val="TableDescription"/>
      </w:pPr>
      <w:r>
        <w:rPr>
          <w:vertAlign w:val="superscript"/>
        </w:rPr>
        <w:t>a</w:t>
      </w:r>
      <w:r>
        <w:t xml:space="preserve"> = predicted based on highest AUC values from Study 108057 (which used the same dosing regimen as Study 108059);</w:t>
      </w:r>
      <w:r w:rsidR="008D74BF">
        <w:t xml:space="preserve"> </w:t>
      </w:r>
      <w:r w:rsidRPr="00C85914">
        <w:rPr>
          <w:vertAlign w:val="superscript"/>
        </w:rPr>
        <w:t>#</w:t>
      </w:r>
      <w:r w:rsidRPr="00C85914">
        <w:t xml:space="preserve"> = </w:t>
      </w:r>
      <w:proofErr w:type="spellStart"/>
      <w:r w:rsidRPr="00C85914">
        <w:t>animal:human</w:t>
      </w:r>
      <w:proofErr w:type="spellEnd"/>
      <w:r w:rsidRPr="00C85914">
        <w:t xml:space="preserve"> serum AUC</w:t>
      </w:r>
      <w:r w:rsidRPr="00C85914">
        <w:rPr>
          <w:vertAlign w:val="subscript"/>
        </w:rPr>
        <w:t>0–t</w:t>
      </w:r>
      <w:r w:rsidRPr="00C85914">
        <w:t xml:space="preserve"> × </w:t>
      </w:r>
      <w:proofErr w:type="spellStart"/>
      <w:r w:rsidRPr="00C85914">
        <w:t>animal:human</w:t>
      </w:r>
      <w:proofErr w:type="spellEnd"/>
      <w:r w:rsidRPr="00C85914">
        <w:t xml:space="preserve"> dosing frequency</w:t>
      </w:r>
    </w:p>
    <w:p w14:paraId="47285FCD" w14:textId="77777777" w:rsidR="00A0498F" w:rsidRDefault="00A0498F" w:rsidP="00A0498F">
      <w:r>
        <w:t>Placental transfer of romosozumab was demonstrated in rats, and found to be high. Excretion in milk was not examined.</w:t>
      </w:r>
    </w:p>
    <w:p w14:paraId="72F01E60" w14:textId="77777777" w:rsidR="00A0498F" w:rsidRDefault="00A0498F" w:rsidP="00A0498F">
      <w:r>
        <w:t xml:space="preserve">No adverse effects on male or female fertility were observed with romosozumab in rats up to the highest dose tested (300 mg/kg/week; relative exposure, </w:t>
      </w:r>
      <w:r w:rsidRPr="009944A1">
        <w:t>59</w:t>
      </w:r>
      <w:r>
        <w:t>).</w:t>
      </w:r>
    </w:p>
    <w:p w14:paraId="00CA4017" w14:textId="71C9A97A" w:rsidR="00A0498F" w:rsidRDefault="00A0498F" w:rsidP="00A0498F">
      <w:r>
        <w:t>F</w:t>
      </w:r>
      <w:r w:rsidR="009F249C">
        <w:t>o</w:t>
      </w:r>
      <w:r>
        <w:t xml:space="preserve">etuses of rats treated at 300 mg/kg/week showed an increased incidence of various external and skeletal malformations (extra digits, fused digits, extra phalanx, absence of ossified metacarpals and bent tibia; predicted relative exposure, </w:t>
      </w:r>
      <w:r w:rsidRPr="009944A1">
        <w:t>38</w:t>
      </w:r>
      <w:r>
        <w:t>). While these occurred in only a single litter (of 22) in the definitive study, the fetal and litter incidences exceeded the historical control range. It cannot be ruled out that the observed malformations are treatment-related given a role for sclerostin in digit formation is recognised in humans and animals</w:t>
      </w:r>
      <w:r w:rsidR="00EC19F9">
        <w:t>;</w:t>
      </w:r>
      <w:r w:rsidR="009944A1">
        <w:rPr>
          <w:rStyle w:val="FootnoteReference"/>
        </w:rPr>
        <w:footnoteReference w:id="12"/>
      </w:r>
      <w:r>
        <w:t xml:space="preserve"> although it is noted that such malformations are not seen in heterozygous carriers of a loss</w:t>
      </w:r>
      <w:r w:rsidR="009F249C">
        <w:t xml:space="preserve"> </w:t>
      </w:r>
      <w:r>
        <w:t>of</w:t>
      </w:r>
      <w:r w:rsidR="009F249C">
        <w:t xml:space="preserve"> </w:t>
      </w:r>
      <w:r>
        <w:t>function mutant sclerostin gene</w:t>
      </w:r>
      <w:r w:rsidR="00EC19F9">
        <w:t>.</w:t>
      </w:r>
      <w:r w:rsidR="009944A1">
        <w:rPr>
          <w:rStyle w:val="FootnoteReference"/>
        </w:rPr>
        <w:footnoteReference w:id="13"/>
      </w:r>
      <w:r>
        <w:t xml:space="preserve"> The malformations observed in the </w:t>
      </w:r>
      <w:proofErr w:type="spellStart"/>
      <w:r>
        <w:t>embryo</w:t>
      </w:r>
      <w:r w:rsidR="007C6420">
        <w:t>fetal</w:t>
      </w:r>
      <w:proofErr w:type="spellEnd"/>
      <w:r>
        <w:t xml:space="preserve"> development study occurred in the absence of </w:t>
      </w:r>
      <w:proofErr w:type="spellStart"/>
      <w:r>
        <w:t>maternotoxicity</w:t>
      </w:r>
      <w:proofErr w:type="spellEnd"/>
      <w:r>
        <w:t xml:space="preserve">. The </w:t>
      </w:r>
      <w:r w:rsidR="002B688A">
        <w:t xml:space="preserve">no </w:t>
      </w:r>
      <w:r w:rsidR="002B688A">
        <w:lastRenderedPageBreak/>
        <w:t xml:space="preserve">observed adverse effect </w:t>
      </w:r>
      <w:r w:rsidR="003F6251">
        <w:t>level</w:t>
      </w:r>
      <w:r w:rsidR="002B688A">
        <w:t xml:space="preserve"> </w:t>
      </w:r>
      <w:r>
        <w:t xml:space="preserve">for adverse effects on </w:t>
      </w:r>
      <w:proofErr w:type="spellStart"/>
      <w:r>
        <w:t>embryo</w:t>
      </w:r>
      <w:r w:rsidR="007C6420">
        <w:t>fetal</w:t>
      </w:r>
      <w:proofErr w:type="spellEnd"/>
      <w:r>
        <w:t xml:space="preserve"> development in the rat is considered to be 100 mg/kg/week (predicted relative exposure, </w:t>
      </w:r>
      <w:r w:rsidRPr="009944A1">
        <w:t>17</w:t>
      </w:r>
      <w:r>
        <w:t>), with findings at this dose limited to an increase in the incidence of a minor skeletal variation (reduced ventral processes of the 6th cervical vertebra, representing a developmental delay of an anatomic structure not present in humans).</w:t>
      </w:r>
    </w:p>
    <w:p w14:paraId="6A096587" w14:textId="77777777" w:rsidR="00A0498F" w:rsidRDefault="00A0498F" w:rsidP="00506068">
      <w:pPr>
        <w:ind w:right="-427"/>
      </w:pPr>
      <w:r>
        <w:t>No adverse effects on pup development were observed with maternal treatment with romosozumab throughout gestation and lactation (≤</w:t>
      </w:r>
      <w:r w:rsidR="009F249C">
        <w:t xml:space="preserve"> </w:t>
      </w:r>
      <w:r>
        <w:t xml:space="preserve">300 mg/kg/week; relative exposure, </w:t>
      </w:r>
      <w:r w:rsidRPr="009944A1">
        <w:t>59</w:t>
      </w:r>
      <w:r>
        <w:t>).</w:t>
      </w:r>
    </w:p>
    <w:p w14:paraId="0588EE93" w14:textId="77777777" w:rsidR="00A0498F" w:rsidRDefault="00A0498F" w:rsidP="009F249C">
      <w:pPr>
        <w:pStyle w:val="Heading5"/>
      </w:pPr>
      <w:r>
        <w:t>Pregnancy classification</w:t>
      </w:r>
    </w:p>
    <w:p w14:paraId="71352603" w14:textId="38B0E8DB" w:rsidR="00A0498F" w:rsidRDefault="00A0498F" w:rsidP="00A0498F">
      <w:r>
        <w:t xml:space="preserve">The </w:t>
      </w:r>
      <w:r w:rsidR="003F6251">
        <w:t>sponsor</w:t>
      </w:r>
      <w:r>
        <w:t xml:space="preserve"> proposes </w:t>
      </w:r>
      <w:r w:rsidRPr="002B688A">
        <w:t>Pregnancy Category B3</w:t>
      </w:r>
      <w:bookmarkStart w:id="56" w:name="_Ref2936590"/>
      <w:r w:rsidR="00EC19F9">
        <w:t xml:space="preserve"> for romosozumab</w:t>
      </w:r>
      <w:r w:rsidR="00EC19F9">
        <w:rPr>
          <w:rStyle w:val="FootnoteReference"/>
        </w:rPr>
        <w:t xml:space="preserve"> </w:t>
      </w:r>
      <w:bookmarkStart w:id="57" w:name="_Ref30101875"/>
      <w:r w:rsidR="002B688A">
        <w:rPr>
          <w:rStyle w:val="FootnoteReference"/>
        </w:rPr>
        <w:footnoteReference w:id="14"/>
      </w:r>
      <w:bookmarkEnd w:id="56"/>
      <w:bookmarkEnd w:id="57"/>
      <w:r>
        <w:t xml:space="preserve">. This is considered appropriate based on the findings in the animal studies. While teratogenicity was observed in the study with romosozumab in rats (being consistent with the known biological role of the target), the low incidence of malformations and the high exposure margin at the </w:t>
      </w:r>
      <w:r w:rsidR="002B688A">
        <w:t>no observed effect level</w:t>
      </w:r>
      <w:r>
        <w:t xml:space="preserve"> mean that concern for f</w:t>
      </w:r>
      <w:r w:rsidR="009F249C">
        <w:t>o</w:t>
      </w:r>
      <w:r>
        <w:t>etal harm in humans is not so high as to warrant assignment to a stricter category</w:t>
      </w:r>
      <w:r w:rsidR="00EC19F9">
        <w:t>;</w:t>
      </w:r>
      <w:r w:rsidR="00755C5F">
        <w:t xml:space="preserve"> </w:t>
      </w:r>
      <w:r w:rsidR="009F249C">
        <w:t>that is</w:t>
      </w:r>
      <w:r>
        <w:t xml:space="preserve">, </w:t>
      </w:r>
      <w:r w:rsidRPr="002B688A">
        <w:t>Category D</w:t>
      </w:r>
      <w:r w:rsidR="00EC19F9">
        <w:t>.</w:t>
      </w:r>
      <w:r w:rsidR="002B688A">
        <w:rPr>
          <w:rStyle w:val="FootnoteReference"/>
        </w:rPr>
        <w:footnoteReference w:id="15"/>
      </w:r>
      <w:r w:rsidRPr="002B688A">
        <w:t xml:space="preserve"> Although a pharmacological mechanism is seen to be involved, Category Cis not appropriate given the nature of the adverse effects (malformations).</w:t>
      </w:r>
      <w:r w:rsidR="00EC19F9">
        <w:rPr>
          <w:rStyle w:val="FootnoteReference"/>
        </w:rPr>
        <w:footnoteReference w:id="16"/>
      </w:r>
    </w:p>
    <w:p w14:paraId="1F002C2A" w14:textId="77777777" w:rsidR="00A0498F" w:rsidRDefault="00A0498F" w:rsidP="009F249C">
      <w:pPr>
        <w:pStyle w:val="Heading5"/>
      </w:pPr>
      <w:r>
        <w:t>Local tolerance</w:t>
      </w:r>
    </w:p>
    <w:p w14:paraId="64AB1076" w14:textId="614468B1" w:rsidR="00A0498F" w:rsidRDefault="00696AC6" w:rsidP="00A0498F">
      <w:r>
        <w:t>Romosozumab</w:t>
      </w:r>
      <w:r w:rsidR="00A0498F">
        <w:t xml:space="preserve"> was well tolerated locally in rats and monkeys. The maximum tested strength in the general toxicity studies (80 mg/mL) was below that proposed clinically (90</w:t>
      </w:r>
      <w:r w:rsidR="007C6420">
        <w:t> </w:t>
      </w:r>
      <w:r w:rsidR="00A0498F">
        <w:t>mg/mL), but higher strengths (up to 120 mg/mL) were used in specialised studies, conducted in rats. Examination of SC injection sites revealed minimal to mild oedema, increased incidence and severity of granulomatous inflammation, and increased severity of inflammatory cell in</w:t>
      </w:r>
      <w:r w:rsidR="00654353">
        <w:t>filtrates, considered to be non-</w:t>
      </w:r>
      <w:r w:rsidR="00A0498F">
        <w:t>adverse reactions to the injection of foreign protein.</w:t>
      </w:r>
    </w:p>
    <w:p w14:paraId="11A36A78" w14:textId="77777777" w:rsidR="00A0498F" w:rsidRDefault="00A0498F" w:rsidP="009F249C">
      <w:pPr>
        <w:pStyle w:val="Heading5"/>
      </w:pPr>
      <w:r>
        <w:t>Immunotoxicity</w:t>
      </w:r>
    </w:p>
    <w:p w14:paraId="45382AC7" w14:textId="77777777" w:rsidR="00A0498F" w:rsidRDefault="00A0498F" w:rsidP="00A0498F">
      <w:r>
        <w:t>Signs of immunotoxicity were not observed in general repeat</w:t>
      </w:r>
      <w:r w:rsidR="002B688A">
        <w:t xml:space="preserve"> </w:t>
      </w:r>
      <w:r>
        <w:t>dose studies and no specialised immunotoxicity studies were performed.</w:t>
      </w:r>
    </w:p>
    <w:p w14:paraId="16CDDC14" w14:textId="77777777" w:rsidR="00A0498F" w:rsidRDefault="00A0498F" w:rsidP="009F249C">
      <w:pPr>
        <w:pStyle w:val="Heading5"/>
      </w:pPr>
      <w:r>
        <w:t>Phototoxicity</w:t>
      </w:r>
    </w:p>
    <w:p w14:paraId="72809F30" w14:textId="756C28DB" w:rsidR="00A0498F" w:rsidRDefault="00A0498F" w:rsidP="00A0498F">
      <w:r>
        <w:t xml:space="preserve">Phototoxicity studies were not conducted using romosozumab. This is acceptable in accordance with </w:t>
      </w:r>
      <w:r w:rsidR="00EC19F9">
        <w:t xml:space="preserve">the </w:t>
      </w:r>
      <w:r>
        <w:t>ICH</w:t>
      </w:r>
      <w:r w:rsidR="00EC19F9">
        <w:t xml:space="preserve"> </w:t>
      </w:r>
      <w:r>
        <w:t>S10</w:t>
      </w:r>
      <w:r w:rsidR="00EC19F9">
        <w:t xml:space="preserve"> guideline</w:t>
      </w:r>
      <w:r>
        <w:t>.</w:t>
      </w:r>
      <w:r w:rsidR="003F6251">
        <w:rPr>
          <w:rStyle w:val="FootnoteReference"/>
        </w:rPr>
        <w:footnoteReference w:id="17"/>
      </w:r>
    </w:p>
    <w:p w14:paraId="4B67EFEB" w14:textId="77777777" w:rsidR="00A0498F" w:rsidRDefault="00A0498F" w:rsidP="009F249C">
      <w:pPr>
        <w:pStyle w:val="Heading5"/>
      </w:pPr>
      <w:r>
        <w:t>Paediatric use</w:t>
      </w:r>
    </w:p>
    <w:p w14:paraId="6D6BF165" w14:textId="77777777" w:rsidR="00A0498F" w:rsidRDefault="00696AC6" w:rsidP="00A0498F">
      <w:r>
        <w:t>Romosozumab</w:t>
      </w:r>
      <w:r w:rsidR="00A0498F">
        <w:t xml:space="preserve"> is not proposed for paediatric use and no specific studies in juvenile animals were submitted. Effects on skeletal development would be expected.</w:t>
      </w:r>
    </w:p>
    <w:p w14:paraId="6118A687" w14:textId="1BD32408" w:rsidR="00A0498F" w:rsidRDefault="00A0498F" w:rsidP="009F249C">
      <w:pPr>
        <w:pStyle w:val="Heading4"/>
      </w:pPr>
      <w:r>
        <w:lastRenderedPageBreak/>
        <w:t xml:space="preserve">Comments on the </w:t>
      </w:r>
      <w:r w:rsidR="00EC19F9">
        <w:t>nonclinical safety specification of the risk management plan</w:t>
      </w:r>
    </w:p>
    <w:p w14:paraId="09B9662F" w14:textId="0CF148E9" w:rsidR="00A0498F" w:rsidRDefault="00A0498F" w:rsidP="00A0498F">
      <w:r>
        <w:t xml:space="preserve">Results and conclusions drawn from the nonclinical program for romosozumab detailed in the </w:t>
      </w:r>
      <w:r w:rsidR="003F6251">
        <w:t>sponsor</w:t>
      </w:r>
      <w:r>
        <w:t xml:space="preserve">’s draft </w:t>
      </w:r>
      <w:r w:rsidR="00EC19F9">
        <w:t xml:space="preserve">risk management plan (RMP) </w:t>
      </w:r>
      <w:r>
        <w:t xml:space="preserve">are in general concordance with those of the </w:t>
      </w:r>
      <w:r w:rsidR="003F6251">
        <w:t xml:space="preserve">nonclinical evaluator </w:t>
      </w:r>
      <w:r>
        <w:t>except for the following:</w:t>
      </w:r>
    </w:p>
    <w:p w14:paraId="2891C416" w14:textId="77777777" w:rsidR="00A0498F" w:rsidRDefault="00A0498F" w:rsidP="003F6251">
      <w:pPr>
        <w:pStyle w:val="ListBullet"/>
      </w:pPr>
      <w:r>
        <w:t>Despite their low incidence, foetal skeletal malformations (including syndactyly and polydactyly) observed in rats with maternal dosing at 300 mg/kg/week may be related to treatment based on a weight of evidence approach, with biological plausibility downplayed by the sponsor.</w:t>
      </w:r>
    </w:p>
    <w:p w14:paraId="7B1C3D81" w14:textId="0E1A1955" w:rsidR="00A0498F" w:rsidRDefault="00A0498F" w:rsidP="003F6251">
      <w:pPr>
        <w:pStyle w:val="ListBullet"/>
      </w:pPr>
      <w:r>
        <w:t>Minor discrepancies in animal:</w:t>
      </w:r>
      <w:r w:rsidR="00EC19F9">
        <w:t xml:space="preserve"> </w:t>
      </w:r>
      <w:r>
        <w:t>human exposure ratios are noted. Exposure ratios calculated in this report are based on a serum AUC value of 509 µ</w:t>
      </w:r>
      <w:proofErr w:type="spellStart"/>
      <w:r>
        <w:t>g.d</w:t>
      </w:r>
      <w:proofErr w:type="spellEnd"/>
      <w:r>
        <w:t xml:space="preserve">/mL </w:t>
      </w:r>
      <w:r w:rsidR="00654353">
        <w:t>(</w:t>
      </w:r>
      <w:r>
        <w:t>= </w:t>
      </w:r>
      <w:r w:rsidR="00654353">
        <w:t> </w:t>
      </w:r>
      <w:r>
        <w:t>12</w:t>
      </w:r>
      <w:r w:rsidR="00654353">
        <w:t>,</w:t>
      </w:r>
      <w:r>
        <w:t>216</w:t>
      </w:r>
      <w:r w:rsidR="00AE6845">
        <w:t> </w:t>
      </w:r>
      <w:r>
        <w:t>µ</w:t>
      </w:r>
      <w:proofErr w:type="spellStart"/>
      <w:r>
        <w:t>g.h</w:t>
      </w:r>
      <w:proofErr w:type="spellEnd"/>
      <w:r>
        <w:t>/mL</w:t>
      </w:r>
      <w:r w:rsidR="00654353">
        <w:t>)</w:t>
      </w:r>
      <w:r>
        <w:t xml:space="preserve"> as given in the Population </w:t>
      </w:r>
      <w:r w:rsidR="009F249C">
        <w:t>pharmacokinetics</w:t>
      </w:r>
      <w:r>
        <w:t xml:space="preserve"> report provided with the submission (Study 119384A), while those cited by the sponsor appear to be based on an earlier value of 537 µ</w:t>
      </w:r>
      <w:proofErr w:type="spellStart"/>
      <w:r>
        <w:t>g.d</w:t>
      </w:r>
      <w:proofErr w:type="spellEnd"/>
      <w:r>
        <w:t xml:space="preserve">/mL </w:t>
      </w:r>
      <w:r w:rsidR="00654353">
        <w:t>(</w:t>
      </w:r>
      <w:r>
        <w:t>= </w:t>
      </w:r>
      <w:r w:rsidR="00654353">
        <w:t> </w:t>
      </w:r>
      <w:r>
        <w:t>12</w:t>
      </w:r>
      <w:r w:rsidR="00654353">
        <w:t>,</w:t>
      </w:r>
      <w:r>
        <w:t>888 µ</w:t>
      </w:r>
      <w:proofErr w:type="spellStart"/>
      <w:r>
        <w:t>g.h</w:t>
      </w:r>
      <w:proofErr w:type="spellEnd"/>
      <w:r>
        <w:t>/mL</w:t>
      </w:r>
      <w:r w:rsidR="00654353">
        <w:t>)</w:t>
      </w:r>
      <w:r>
        <w:t>.</w:t>
      </w:r>
    </w:p>
    <w:p w14:paraId="057082F1" w14:textId="77777777" w:rsidR="008E7846" w:rsidRDefault="008E7846" w:rsidP="00110727">
      <w:pPr>
        <w:pStyle w:val="Heading3"/>
      </w:pPr>
      <w:bookmarkStart w:id="58" w:name="_Toc32481908"/>
      <w:r>
        <w:t>Nonclinical summary and conclusions</w:t>
      </w:r>
      <w:bookmarkEnd w:id="54"/>
      <w:bookmarkEnd w:id="55"/>
      <w:bookmarkEnd w:id="58"/>
    </w:p>
    <w:p w14:paraId="485BFB71" w14:textId="77777777" w:rsidR="00110727" w:rsidRPr="00110727" w:rsidRDefault="00110727" w:rsidP="00110727">
      <w:pPr>
        <w:pStyle w:val="ListBullet"/>
      </w:pPr>
      <w:bookmarkStart w:id="59" w:name="_Toc196046462"/>
      <w:bookmarkStart w:id="60" w:name="_Toc247691516"/>
      <w:bookmarkStart w:id="61" w:name="_Toc314842500"/>
      <w:bookmarkStart w:id="62" w:name="_Toc163441353"/>
      <w:bookmarkStart w:id="63" w:name="_Toc163441348"/>
      <w:r w:rsidRPr="00110727">
        <w:t>Sclerostin is a negative regulator of bone formation predominantly secreted by mature osteocytes. It is also expressed in various non mineralised human tissues, including heart, aorta, liver, lung and kidney.</w:t>
      </w:r>
    </w:p>
    <w:p w14:paraId="0BC9F81E" w14:textId="4FE86009" w:rsidR="00110727" w:rsidRPr="00110727" w:rsidRDefault="00110727" w:rsidP="00110727">
      <w:pPr>
        <w:pStyle w:val="ListBullet"/>
      </w:pPr>
      <w:r w:rsidRPr="00755C5F">
        <w:rPr>
          <w:i/>
        </w:rPr>
        <w:t>In vitro</w:t>
      </w:r>
      <w:r w:rsidRPr="00110727">
        <w:t xml:space="preserve"> studies established that romosozumab binds to human sclerostin with high affinity (K</w:t>
      </w:r>
      <w:r w:rsidRPr="00755C5F">
        <w:rPr>
          <w:vertAlign w:val="subscript"/>
        </w:rPr>
        <w:t>D</w:t>
      </w:r>
      <w:r w:rsidRPr="00110727">
        <w:t xml:space="preserve">, 11 </w:t>
      </w:r>
      <w:proofErr w:type="spellStart"/>
      <w:r w:rsidRPr="00110727">
        <w:t>pM</w:t>
      </w:r>
      <w:proofErr w:type="spellEnd"/>
      <w:r w:rsidRPr="00110727">
        <w:t xml:space="preserve">), inhibits the binding of sclerostin to LRP5 and LRP6 receptors through which it signals, and antagonises the action of sclerostin to reduce mineralisation in a mouse osteoblast cell line. </w:t>
      </w:r>
      <w:r w:rsidRPr="008C1A13">
        <w:rPr>
          <w:i/>
        </w:rPr>
        <w:t>In vivo</w:t>
      </w:r>
      <w:r w:rsidRPr="00110727">
        <w:t xml:space="preserve">, romosozumab increased bone mineral content, </w:t>
      </w:r>
      <w:r w:rsidR="00881772">
        <w:t>BMD</w:t>
      </w:r>
      <w:r w:rsidRPr="00110727">
        <w:t xml:space="preserve">, bone mass, bone thickness and bone strength in </w:t>
      </w:r>
      <w:r w:rsidR="00654353">
        <w:t>rat and monkey models of post</w:t>
      </w:r>
      <w:r w:rsidRPr="00110727">
        <w:t>menopausal bone loss. Positive effects on bone were also observed in a variety of other models of bone loss (including androgen ablation), and in repeat-dose toxicity studies conducted in normal male and female rats and monkeys. These studies offer support for efficacy for the proposed indication.</w:t>
      </w:r>
    </w:p>
    <w:p w14:paraId="5E40571C" w14:textId="77777777" w:rsidR="00110727" w:rsidRPr="00110727" w:rsidRDefault="00110727" w:rsidP="00110727">
      <w:pPr>
        <w:pStyle w:val="ListBullet"/>
      </w:pPr>
      <w:r w:rsidRPr="00110727">
        <w:t xml:space="preserve">Sclerostin is highly conserved in rats, cynomolgus monkeys and humans. </w:t>
      </w:r>
      <w:r w:rsidR="00696AC6">
        <w:t>Romosozumab</w:t>
      </w:r>
      <w:r w:rsidRPr="00110727">
        <w:t xml:space="preserve"> showed comparable affinity for the animal forms of sclerostin </w:t>
      </w:r>
      <w:r w:rsidR="007B4630">
        <w:t>compared with</w:t>
      </w:r>
      <w:r w:rsidRPr="00110727">
        <w:t xml:space="preserve"> the human form.</w:t>
      </w:r>
    </w:p>
    <w:p w14:paraId="655AC08F" w14:textId="77777777" w:rsidR="00110727" w:rsidRPr="00110727" w:rsidRDefault="00110727" w:rsidP="00110727">
      <w:pPr>
        <w:pStyle w:val="ListBullet"/>
      </w:pPr>
      <w:r w:rsidRPr="00110727">
        <w:t>High specificity for binding was evident in immunohistochemistry assays examining cross-reactivity. Safety pharmacology studies (covering the central nervous, cardiovascular and respiratory systems) identified no relevant concerns.</w:t>
      </w:r>
    </w:p>
    <w:p w14:paraId="659A23A9" w14:textId="2C8D6A29" w:rsidR="00110727" w:rsidRPr="00654353" w:rsidRDefault="00110727" w:rsidP="00654353">
      <w:pPr>
        <w:pStyle w:val="ListBullet"/>
      </w:pPr>
      <w:r w:rsidRPr="00654353">
        <w:t xml:space="preserve">Pharmacokinetic studies with romosozumab and a mouse surrogate antibody (of comparable potency) revealed a typical profile for an IgG </w:t>
      </w:r>
      <w:r w:rsidR="00654353">
        <w:t>antibody; non</w:t>
      </w:r>
      <w:r w:rsidRPr="00654353">
        <w:t>linear pharmacokinetics (consistent with target-specific binding and clearance), slow absorption after SC administration, a long serum half-life, and a low volume of distribution (consistent with limited extravascular distribution).</w:t>
      </w:r>
    </w:p>
    <w:p w14:paraId="6556F1F2" w14:textId="77777777" w:rsidR="00110727" w:rsidRPr="00110727" w:rsidRDefault="00110727" w:rsidP="00110727">
      <w:pPr>
        <w:pStyle w:val="ListBullet"/>
      </w:pPr>
      <w:r w:rsidRPr="00110727">
        <w:t>Repeat</w:t>
      </w:r>
      <w:r>
        <w:t xml:space="preserve"> </w:t>
      </w:r>
      <w:r w:rsidRPr="00110727">
        <w:t xml:space="preserve">dose toxicity studies of up to 6 months duration were conducted in rats and cynomolgus monkeys. These species are seen to be appropriate models for the investigation of romosozumab toxicity on pharmacodynamic and pharmacokinetic grounds, and with immunogenicity (to the humanised protein) in the species not so prevalent as to affect study validity. Weekly SC administration of romosozumab at doses producing very high multiples of the clinical systemic exposure was well tolerated, with no target organs for toxicity identified. Histological changes were observed in bone, liver and spleen, but represent pharmacological effects (hyperostosis in bone; and </w:t>
      </w:r>
      <w:proofErr w:type="spellStart"/>
      <w:r w:rsidRPr="00110727">
        <w:t>extramedullary</w:t>
      </w:r>
      <w:proofErr w:type="spellEnd"/>
      <w:r w:rsidRPr="00110727">
        <w:t xml:space="preserve"> haematopoiesis in liver and spleen, occurring secondary to a reduction in bone marrow space).</w:t>
      </w:r>
    </w:p>
    <w:p w14:paraId="538CABCD" w14:textId="5DDB1073" w:rsidR="00110727" w:rsidRPr="00110727" w:rsidRDefault="00110727" w:rsidP="00110727">
      <w:pPr>
        <w:pStyle w:val="ListBullet"/>
      </w:pPr>
      <w:r w:rsidRPr="00110727">
        <w:lastRenderedPageBreak/>
        <w:t xml:space="preserve">Genotoxicity studies were not conducted, in line with </w:t>
      </w:r>
      <w:r w:rsidR="00EC19F9">
        <w:t xml:space="preserve">the </w:t>
      </w:r>
      <w:r w:rsidRPr="00110727">
        <w:t>ICH S6 (R1)</w:t>
      </w:r>
      <w:r w:rsidR="00EC19F9">
        <w:t xml:space="preserve"> guideline</w:t>
      </w:r>
      <w:r w:rsidRPr="00110727">
        <w:t>.</w:t>
      </w:r>
      <w:r w:rsidR="00EC19F9" w:rsidRPr="00E20C59">
        <w:rPr>
          <w:vertAlign w:val="superscript"/>
        </w:rPr>
        <w:fldChar w:fldCharType="begin"/>
      </w:r>
      <w:r w:rsidR="00EC19F9" w:rsidRPr="00E20C59">
        <w:rPr>
          <w:vertAlign w:val="superscript"/>
        </w:rPr>
        <w:instrText xml:space="preserve"> NOTEREF _Ref30101836 \h </w:instrText>
      </w:r>
      <w:r w:rsidR="00EC19F9">
        <w:rPr>
          <w:vertAlign w:val="superscript"/>
        </w:rPr>
        <w:instrText xml:space="preserve"> \* MERGEFORMAT </w:instrText>
      </w:r>
      <w:r w:rsidR="00EC19F9" w:rsidRPr="00E20C59">
        <w:rPr>
          <w:vertAlign w:val="superscript"/>
        </w:rPr>
      </w:r>
      <w:r w:rsidR="00EC19F9" w:rsidRPr="00E20C59">
        <w:rPr>
          <w:vertAlign w:val="superscript"/>
        </w:rPr>
        <w:fldChar w:fldCharType="separate"/>
      </w:r>
      <w:r w:rsidR="00EC19F9" w:rsidRPr="00E20C59">
        <w:rPr>
          <w:vertAlign w:val="superscript"/>
        </w:rPr>
        <w:t>5</w:t>
      </w:r>
      <w:r w:rsidR="00EC19F9" w:rsidRPr="00E20C59">
        <w:rPr>
          <w:vertAlign w:val="superscript"/>
        </w:rPr>
        <w:fldChar w:fldCharType="end"/>
      </w:r>
      <w:r w:rsidRPr="00110727">
        <w:t xml:space="preserve"> </w:t>
      </w:r>
      <w:proofErr w:type="spellStart"/>
      <w:r w:rsidR="00696AC6">
        <w:t>Romosozumab</w:t>
      </w:r>
      <w:proofErr w:type="spellEnd"/>
      <w:r w:rsidRPr="00110727">
        <w:t xml:space="preserve"> was not carcinogenic in rats.</w:t>
      </w:r>
    </w:p>
    <w:p w14:paraId="56A7BDF9" w14:textId="443A7E18" w:rsidR="00110727" w:rsidRPr="00110727" w:rsidRDefault="00110727" w:rsidP="00110727">
      <w:pPr>
        <w:pStyle w:val="ListBullet"/>
      </w:pPr>
      <w:r w:rsidRPr="00110727">
        <w:t xml:space="preserve">Weak teratogenicity was observed in </w:t>
      </w:r>
      <w:proofErr w:type="spellStart"/>
      <w:r w:rsidRPr="00110727">
        <w:t>fetuses</w:t>
      </w:r>
      <w:proofErr w:type="spellEnd"/>
      <w:r w:rsidRPr="00110727">
        <w:t xml:space="preserve"> of rats given romosozumab, with skeletal malformations (including syndactyly and polydactyly). This was observed at low incidence and at a high animal:</w:t>
      </w:r>
      <w:r w:rsidR="00EC19F9">
        <w:t xml:space="preserve"> </w:t>
      </w:r>
      <w:r w:rsidRPr="00110727">
        <w:t>human exposure margin (38</w:t>
      </w:r>
      <w:r w:rsidR="00EC19F9">
        <w:t xml:space="preserve"> </w:t>
      </w:r>
      <w:r w:rsidRPr="00110727">
        <w:t xml:space="preserve">fold). This finding is consistent with a role for sclerostin in digit formation recognised in humans and animals. A relationship between treatment and effects on </w:t>
      </w:r>
      <w:proofErr w:type="spellStart"/>
      <w:r w:rsidRPr="00110727">
        <w:t>embryo</w:t>
      </w:r>
      <w:r w:rsidR="007C6420">
        <w:t>fetal</w:t>
      </w:r>
      <w:proofErr w:type="spellEnd"/>
      <w:r w:rsidRPr="00110727">
        <w:t xml:space="preserve"> development cannot be excluded, but the risk in patients is considered to be low. No adverse effects on male and female fertility, or on postnatal development, were observed. Pregnancy Category B3, as the sponsor proposes, is considered appropriate.</w:t>
      </w:r>
      <w:r w:rsidR="00EC19F9" w:rsidRPr="00E20C59">
        <w:rPr>
          <w:vertAlign w:val="superscript"/>
        </w:rPr>
        <w:fldChar w:fldCharType="begin"/>
      </w:r>
      <w:r w:rsidR="00EC19F9" w:rsidRPr="00E20C59">
        <w:rPr>
          <w:vertAlign w:val="superscript"/>
        </w:rPr>
        <w:instrText xml:space="preserve"> NOTEREF _Ref30101875 \h </w:instrText>
      </w:r>
      <w:r w:rsidR="00EC19F9">
        <w:rPr>
          <w:vertAlign w:val="superscript"/>
        </w:rPr>
        <w:instrText xml:space="preserve"> \* MERGEFORMAT </w:instrText>
      </w:r>
      <w:r w:rsidR="00EC19F9" w:rsidRPr="00E20C59">
        <w:rPr>
          <w:vertAlign w:val="superscript"/>
        </w:rPr>
      </w:r>
      <w:r w:rsidR="00EC19F9" w:rsidRPr="00E20C59">
        <w:rPr>
          <w:vertAlign w:val="superscript"/>
        </w:rPr>
        <w:fldChar w:fldCharType="separate"/>
      </w:r>
      <w:r w:rsidR="00EC19F9" w:rsidRPr="00E20C59">
        <w:rPr>
          <w:vertAlign w:val="superscript"/>
        </w:rPr>
        <w:t>14</w:t>
      </w:r>
      <w:r w:rsidR="00EC19F9" w:rsidRPr="00E20C59">
        <w:rPr>
          <w:vertAlign w:val="superscript"/>
        </w:rPr>
        <w:fldChar w:fldCharType="end"/>
      </w:r>
    </w:p>
    <w:p w14:paraId="7C2FE5E0" w14:textId="77777777" w:rsidR="00110727" w:rsidRPr="00110727" w:rsidRDefault="00696AC6" w:rsidP="00110727">
      <w:pPr>
        <w:pStyle w:val="ListBullet"/>
      </w:pPr>
      <w:r>
        <w:t>Romosozumab</w:t>
      </w:r>
      <w:r w:rsidR="00110727" w:rsidRPr="00110727">
        <w:t xml:space="preserve"> was well tolerated locally in rats and monkeys.</w:t>
      </w:r>
    </w:p>
    <w:p w14:paraId="5492BC35" w14:textId="77777777" w:rsidR="00110727" w:rsidRDefault="00110727" w:rsidP="00110727">
      <w:pPr>
        <w:pStyle w:val="ListBullet"/>
        <w:rPr>
          <w:b/>
          <w:bCs/>
        </w:rPr>
      </w:pPr>
      <w:r w:rsidRPr="00110727">
        <w:t>There are no nonclinical objections to the registration of Evenity for the proposed indication.</w:t>
      </w:r>
    </w:p>
    <w:p w14:paraId="1C4B2495" w14:textId="77777777" w:rsidR="008E7846" w:rsidRPr="00254787" w:rsidRDefault="008E7846" w:rsidP="00110727">
      <w:pPr>
        <w:pStyle w:val="Heading2"/>
      </w:pPr>
      <w:bookmarkStart w:id="64" w:name="_Toc32481909"/>
      <w:r>
        <w:t xml:space="preserve">V. </w:t>
      </w:r>
      <w:r w:rsidRPr="00254787">
        <w:t>Clinical</w:t>
      </w:r>
      <w:bookmarkEnd w:id="59"/>
      <w:r>
        <w:t xml:space="preserve"> </w:t>
      </w:r>
      <w:r w:rsidR="003A7F6C">
        <w:t>f</w:t>
      </w:r>
      <w:r>
        <w:t>indings</w:t>
      </w:r>
      <w:bookmarkEnd w:id="60"/>
      <w:bookmarkEnd w:id="61"/>
      <w:bookmarkEnd w:id="64"/>
    </w:p>
    <w:p w14:paraId="09C72E1E" w14:textId="77777777" w:rsidR="008E7846" w:rsidRDefault="008E7846" w:rsidP="008E7846">
      <w:pPr>
        <w:pStyle w:val="Heading3"/>
      </w:pPr>
      <w:bookmarkStart w:id="65" w:name="_Toc196046463"/>
      <w:bookmarkStart w:id="66" w:name="_Toc247691517"/>
      <w:bookmarkStart w:id="67" w:name="_Toc314842501"/>
      <w:bookmarkStart w:id="68" w:name="_Toc32481910"/>
      <w:r w:rsidRPr="00254787">
        <w:t>Introduction</w:t>
      </w:r>
      <w:bookmarkEnd w:id="65"/>
      <w:bookmarkEnd w:id="66"/>
      <w:bookmarkEnd w:id="67"/>
      <w:bookmarkEnd w:id="68"/>
    </w:p>
    <w:p w14:paraId="3940DB0A" w14:textId="68AF92AE" w:rsidR="008D74BF" w:rsidRPr="00A43FC2" w:rsidRDefault="00EE4678" w:rsidP="00EE4678">
      <w:r>
        <w:t>Osteoporosis is characterised by low bone mass and compromised bone strength predisposing individuals to an increased risk of fracture</w:t>
      </w:r>
      <w:bookmarkStart w:id="69" w:name="_Ref30265958"/>
      <w:r w:rsidR="001370AA">
        <w:rPr>
          <w:rStyle w:val="FootnoteReference"/>
        </w:rPr>
        <w:footnoteReference w:id="18"/>
      </w:r>
      <w:bookmarkEnd w:id="69"/>
      <w:r w:rsidR="001370AA" w:rsidRPr="00E20C59">
        <w:rPr>
          <w:vertAlign w:val="superscript"/>
        </w:rPr>
        <w:t>,</w:t>
      </w:r>
      <w:bookmarkStart w:id="70" w:name="_Ref30265960"/>
      <w:r w:rsidR="002C5A53">
        <w:rPr>
          <w:rStyle w:val="FootnoteReference"/>
        </w:rPr>
        <w:footnoteReference w:id="19"/>
      </w:r>
      <w:bookmarkEnd w:id="70"/>
      <w:r>
        <w:t xml:space="preserve"> The WHO defines osteoporosis as a </w:t>
      </w:r>
      <w:r w:rsidR="00881772">
        <w:t>BMD</w:t>
      </w:r>
      <w:r>
        <w:t xml:space="preserve"> (</w:t>
      </w:r>
      <w:r w:rsidR="00C36ACF">
        <w:t>bone mineral density</w:t>
      </w:r>
      <w:r>
        <w:t xml:space="preserve">) less than or equal to 2.5 standard deviations below the mean </w:t>
      </w:r>
      <w:r w:rsidR="00881772">
        <w:t>BMD</w:t>
      </w:r>
      <w:r>
        <w:t xml:space="preserve"> of a young-adult population. Women age ≥ 50 years have a 40% to 50% lifetime risk of suffering an osteoporosis-related fracture (National Osteoporosis Foundation </w:t>
      </w:r>
      <w:r w:rsidR="00654353">
        <w:t>(</w:t>
      </w:r>
      <w:r>
        <w:t>NOF</w:t>
      </w:r>
      <w:r w:rsidR="00654353">
        <w:t>)</w:t>
      </w:r>
      <w:r>
        <w:t>, 2014).</w:t>
      </w:r>
      <w:bookmarkStart w:id="71" w:name="_Ref30265962"/>
      <w:r w:rsidR="001370AA">
        <w:rPr>
          <w:rStyle w:val="FootnoteReference"/>
        </w:rPr>
        <w:footnoteReference w:id="20"/>
      </w:r>
      <w:bookmarkEnd w:id="71"/>
      <w:r>
        <w:t xml:space="preserve"> Osteoporosis is a major public health problem that affects 15% to 38% of women age 50 years or older. Across the US, Europe</w:t>
      </w:r>
      <w:r w:rsidR="00D31E68">
        <w:t xml:space="preserve"> (EU)</w:t>
      </w:r>
      <w:r>
        <w:t>, Canada, Australia and Japan, an estimated 44 million women age 50</w:t>
      </w:r>
      <w:r w:rsidR="002B688A">
        <w:t> </w:t>
      </w:r>
      <w:r>
        <w:t>years</w:t>
      </w:r>
      <w:r w:rsidR="00D31E68">
        <w:t xml:space="preserve"> and over</w:t>
      </w:r>
      <w:r>
        <w:t xml:space="preserve"> have postmenopausal osteoporosis and approximately 4.5 million suffer osteoporotic fractures annually</w:t>
      </w:r>
      <w:r w:rsidR="00654353">
        <w:t>.</w:t>
      </w:r>
      <w:r w:rsidR="00A43FC2" w:rsidRPr="00A43FC2">
        <w:rPr>
          <w:rStyle w:val="FootnoteReference"/>
        </w:rPr>
        <w:footnoteReference w:id="21"/>
      </w:r>
      <w:r w:rsidR="00A43FC2" w:rsidRPr="00A43FC2">
        <w:t>,</w:t>
      </w:r>
      <w:r w:rsidR="00A43FC2" w:rsidRPr="00A43FC2">
        <w:rPr>
          <w:rStyle w:val="FootnoteReference"/>
        </w:rPr>
        <w:footnoteReference w:id="22"/>
      </w:r>
      <w:r w:rsidR="00A43FC2" w:rsidRPr="00A43FC2">
        <w:t>,</w:t>
      </w:r>
      <w:r w:rsidR="00A43FC2" w:rsidRPr="00A43FC2">
        <w:rPr>
          <w:rStyle w:val="FootnoteReference"/>
        </w:rPr>
        <w:footnoteReference w:id="23"/>
      </w:r>
      <w:r w:rsidR="00A43FC2" w:rsidRPr="00A43FC2">
        <w:t>,</w:t>
      </w:r>
      <w:r w:rsidR="00A43FC2" w:rsidRPr="00A43FC2">
        <w:rPr>
          <w:rStyle w:val="FootnoteReference"/>
        </w:rPr>
        <w:footnoteReference w:id="24"/>
      </w:r>
      <w:r w:rsidR="00A43FC2" w:rsidRPr="00A43FC2">
        <w:t>,</w:t>
      </w:r>
      <w:r w:rsidR="00A43FC2" w:rsidRPr="00A43FC2">
        <w:rPr>
          <w:rStyle w:val="FootnoteReference"/>
        </w:rPr>
        <w:footnoteReference w:id="25"/>
      </w:r>
    </w:p>
    <w:p w14:paraId="081FD392" w14:textId="7B753004" w:rsidR="00EE4678" w:rsidRDefault="00EE4678" w:rsidP="00EE4678">
      <w:r w:rsidRPr="00A43FC2">
        <w:t xml:space="preserve">Osteoporotic fractures result in significant disability and economic burden to individuals and to society. Factors associated with an increased fracture risk include low </w:t>
      </w:r>
      <w:r w:rsidR="00881772">
        <w:t>BMD</w:t>
      </w:r>
      <w:r w:rsidRPr="00A43FC2">
        <w:t>, a prior osteoporotic fracture, long</w:t>
      </w:r>
      <w:r w:rsidR="004A189B" w:rsidRPr="00A43FC2">
        <w:t xml:space="preserve"> </w:t>
      </w:r>
      <w:r w:rsidRPr="00A43FC2">
        <w:t>term glucocorticoid treatment, age and other factors</w:t>
      </w:r>
      <w:r w:rsidR="001370AA">
        <w:t>.</w:t>
      </w:r>
      <w:r w:rsidR="001370AA" w:rsidRPr="00E20C59">
        <w:rPr>
          <w:vertAlign w:val="superscript"/>
        </w:rPr>
        <w:fldChar w:fldCharType="begin"/>
      </w:r>
      <w:r w:rsidR="001370AA" w:rsidRPr="00E20C59">
        <w:rPr>
          <w:vertAlign w:val="superscript"/>
        </w:rPr>
        <w:instrText xml:space="preserve"> NOTEREF _Ref30265958 \h </w:instrText>
      </w:r>
      <w:r w:rsidR="001370AA">
        <w:rPr>
          <w:vertAlign w:val="superscript"/>
        </w:rPr>
        <w:instrText xml:space="preserve"> \* MERGEFORMAT </w:instrText>
      </w:r>
      <w:r w:rsidR="001370AA" w:rsidRPr="00E20C59">
        <w:rPr>
          <w:vertAlign w:val="superscript"/>
        </w:rPr>
      </w:r>
      <w:r w:rsidR="001370AA" w:rsidRPr="00E20C59">
        <w:rPr>
          <w:vertAlign w:val="superscript"/>
        </w:rPr>
        <w:fldChar w:fldCharType="separate"/>
      </w:r>
      <w:r w:rsidR="001370AA" w:rsidRPr="00E20C59">
        <w:rPr>
          <w:vertAlign w:val="superscript"/>
        </w:rPr>
        <w:t>18</w:t>
      </w:r>
      <w:r w:rsidR="001370AA" w:rsidRPr="00E20C59">
        <w:rPr>
          <w:vertAlign w:val="superscript"/>
        </w:rPr>
        <w:fldChar w:fldCharType="end"/>
      </w:r>
      <w:r w:rsidR="001370AA" w:rsidRPr="00E20C59">
        <w:rPr>
          <w:vertAlign w:val="superscript"/>
        </w:rPr>
        <w:t>,</w:t>
      </w:r>
      <w:r w:rsidR="001370AA" w:rsidRPr="00E20C59">
        <w:rPr>
          <w:vertAlign w:val="superscript"/>
        </w:rPr>
        <w:fldChar w:fldCharType="begin"/>
      </w:r>
      <w:r w:rsidR="001370AA" w:rsidRPr="00E20C59">
        <w:rPr>
          <w:vertAlign w:val="superscript"/>
        </w:rPr>
        <w:instrText xml:space="preserve"> NOTEREF _Ref30265960 \h </w:instrText>
      </w:r>
      <w:r w:rsidR="001370AA">
        <w:rPr>
          <w:vertAlign w:val="superscript"/>
        </w:rPr>
        <w:instrText xml:space="preserve"> \* MERGEFORMAT </w:instrText>
      </w:r>
      <w:r w:rsidR="001370AA" w:rsidRPr="00E20C59">
        <w:rPr>
          <w:vertAlign w:val="superscript"/>
        </w:rPr>
      </w:r>
      <w:r w:rsidR="001370AA" w:rsidRPr="00E20C59">
        <w:rPr>
          <w:vertAlign w:val="superscript"/>
        </w:rPr>
        <w:fldChar w:fldCharType="separate"/>
      </w:r>
      <w:r w:rsidR="001370AA" w:rsidRPr="00E20C59">
        <w:rPr>
          <w:vertAlign w:val="superscript"/>
        </w:rPr>
        <w:t>19</w:t>
      </w:r>
      <w:r w:rsidR="001370AA" w:rsidRPr="00E20C59">
        <w:rPr>
          <w:vertAlign w:val="superscript"/>
        </w:rPr>
        <w:fldChar w:fldCharType="end"/>
      </w:r>
      <w:r w:rsidR="001370AA" w:rsidRPr="00E20C59">
        <w:rPr>
          <w:vertAlign w:val="superscript"/>
        </w:rPr>
        <w:t>,</w:t>
      </w:r>
      <w:r w:rsidR="001370AA" w:rsidRPr="00E20C59">
        <w:rPr>
          <w:vertAlign w:val="superscript"/>
        </w:rPr>
        <w:fldChar w:fldCharType="begin"/>
      </w:r>
      <w:r w:rsidR="001370AA" w:rsidRPr="00E20C59">
        <w:rPr>
          <w:vertAlign w:val="superscript"/>
        </w:rPr>
        <w:instrText xml:space="preserve"> NOTEREF _Ref30265962 \h </w:instrText>
      </w:r>
      <w:r w:rsidR="001370AA">
        <w:rPr>
          <w:vertAlign w:val="superscript"/>
        </w:rPr>
        <w:instrText xml:space="preserve"> \* MERGEFORMAT </w:instrText>
      </w:r>
      <w:r w:rsidR="001370AA" w:rsidRPr="00E20C59">
        <w:rPr>
          <w:vertAlign w:val="superscript"/>
        </w:rPr>
      </w:r>
      <w:r w:rsidR="001370AA" w:rsidRPr="00E20C59">
        <w:rPr>
          <w:vertAlign w:val="superscript"/>
        </w:rPr>
        <w:fldChar w:fldCharType="separate"/>
      </w:r>
      <w:r w:rsidR="001370AA" w:rsidRPr="00E20C59">
        <w:rPr>
          <w:vertAlign w:val="superscript"/>
        </w:rPr>
        <w:t>20</w:t>
      </w:r>
      <w:r w:rsidR="001370AA" w:rsidRPr="00E20C59">
        <w:rPr>
          <w:vertAlign w:val="superscript"/>
        </w:rPr>
        <w:fldChar w:fldCharType="end"/>
      </w:r>
      <w:r w:rsidRPr="00A43FC2">
        <w:t>Prior fracture is among the strongest risk factors for subsequent fracture with risk for subsequent fractures increased 2.5</w:t>
      </w:r>
      <w:r w:rsidR="001370AA">
        <w:t> </w:t>
      </w:r>
      <w:r w:rsidRPr="00A43FC2">
        <w:t>fold, 5 fold and 2</w:t>
      </w:r>
      <w:r w:rsidR="001370AA">
        <w:t> </w:t>
      </w:r>
      <w:r w:rsidRPr="00A43FC2">
        <w:t>to</w:t>
      </w:r>
      <w:r w:rsidR="001370AA">
        <w:t> </w:t>
      </w:r>
      <w:r w:rsidRPr="00A43FC2">
        <w:t>3</w:t>
      </w:r>
      <w:r w:rsidR="001370AA">
        <w:t> </w:t>
      </w:r>
      <w:r w:rsidRPr="00A43FC2">
        <w:t>fold following hip fracture, vertebral fractures</w:t>
      </w:r>
      <w:r>
        <w:t xml:space="preserve"> and fractures at other sites, respectively. A 10% loss of bone </w:t>
      </w:r>
      <w:r>
        <w:lastRenderedPageBreak/>
        <w:t>mass in the vertebrae can double the risk of vertebral fractures, and similarly, a 10% loss of bone mass in the hip can result in a 2.5 times greater risk of hip fracture. Overall, a prior fracture is associated with an 86% increased risk of any fracture.</w:t>
      </w:r>
    </w:p>
    <w:p w14:paraId="48043FB6" w14:textId="7ECCBF39" w:rsidR="008D74BF" w:rsidRDefault="00EE4678" w:rsidP="00EE4678">
      <w:r>
        <w:t>Minimal trauma fractures are relatively common in people aged 50 and over. It is estimated that, for Australians aged 50 and over, 1 in 4 men and 2 in 5 women will experience a minimal trauma fracture in the future. Minimal trauma fracture of the hip is one of the most serious outcomes of osteoporosis. In 2011</w:t>
      </w:r>
      <w:r w:rsidR="001370AA">
        <w:t xml:space="preserve"> </w:t>
      </w:r>
      <w:r>
        <w:t>to</w:t>
      </w:r>
      <w:r w:rsidR="001370AA">
        <w:t xml:space="preserve"> </w:t>
      </w:r>
      <w:r w:rsidR="004A189B">
        <w:t>20</w:t>
      </w:r>
      <w:r>
        <w:t>12, 19,000 people aged 50 and over were hospitalised due to a minimal trauma hip fracture, of which 71% were aged 80 and over and 72% were women. Although the rate of minimal trauma hip fracture for people aged 50 and over has decreased over time (age-adjusted), the actual number of hip fractures continues to increase due to the increasing number of older adults in Australia. Nearly 75% of hip, spine and distal forearm fractures occur among patients 65 years old or over</w:t>
      </w:r>
      <w:r w:rsidR="008D74BF">
        <w:t>.</w:t>
      </w:r>
    </w:p>
    <w:p w14:paraId="660D0161" w14:textId="2134E7C6" w:rsidR="00EE4678" w:rsidRDefault="00EE4678" w:rsidP="00EE4678">
      <w:r>
        <w:t>Worldwide, osteoporosis causes more than 8.9 million fractures annually, resulting in an osteoporotic fracture every 3 seconds. Osteoporosis is estimated to affect 200 million women worldwide with increased incidence with age (affecting one-tenth of women aged 60 to almost two-thirds of women aged 90 years).</w:t>
      </w:r>
      <w:r w:rsidR="008D74BF">
        <w:t xml:space="preserve"> </w:t>
      </w:r>
      <w:r>
        <w:t xml:space="preserve">Worldwide, 1 in 3 women over </w:t>
      </w:r>
      <w:r w:rsidR="000A6FC0">
        <w:t xml:space="preserve">the </w:t>
      </w:r>
      <w:r>
        <w:t xml:space="preserve">age </w:t>
      </w:r>
      <w:r w:rsidR="000A6FC0">
        <w:t>of </w:t>
      </w:r>
      <w:r>
        <w:t xml:space="preserve">50 will experience osteoporotic fractures, as will 1 in 5 men aged over 50. While osteoporosis and osteoporotic fractures are most commonly associated with postmenopausal women, osteoporosis in men is an important clinical and public health issue. In 2011 to </w:t>
      </w:r>
      <w:r w:rsidR="001370AA">
        <w:t>20</w:t>
      </w:r>
      <w:r>
        <w:t>12 the estimated prevalence of self-reported diagnosed osteoporosis among those aged 50 and over living in the community was 15% of women and 3% of men, according to the Australian Health Survey. Based on a recent study measuring bone density in a population sample, the prevalence of osteoporosis among those aged 50 and over was estimated to be 23% of women and 6% of men. This estimate includes both diagnosed and undiagnosed cases of osteoporosis. With the aging of the overall</w:t>
      </w:r>
      <w:r w:rsidRPr="009853AE">
        <w:t xml:space="preserve"> population and the increasing longevity, fractures as the primary consequence of osteoporosis and the ensuing health care burdens are expected to greatly increase in coming years.</w:t>
      </w:r>
    </w:p>
    <w:p w14:paraId="1BFAE565" w14:textId="67E157DA" w:rsidR="00EE4678" w:rsidRDefault="00EE4678" w:rsidP="00EE4678">
      <w:pPr>
        <w:pStyle w:val="Heading4"/>
      </w:pPr>
      <w:r>
        <w:t>Current treatment options</w:t>
      </w:r>
    </w:p>
    <w:p w14:paraId="033F108A" w14:textId="41399094" w:rsidR="008D74BF" w:rsidRDefault="00EE4678" w:rsidP="00EE4678">
      <w:r>
        <w:t>Although the impact of osteoporosis is widely recognised, studies show that a fragility fracture is often not acknowledged as a symptom of underlying osteoporosis and only about 20% of these patients initiate osteoporosis treatment within the year following fracture</w:t>
      </w:r>
      <w:r w:rsidR="000A6FC0">
        <w:t>.</w:t>
      </w:r>
      <w:r w:rsidR="00A43FC2">
        <w:rPr>
          <w:rStyle w:val="FootnoteReference"/>
        </w:rPr>
        <w:footnoteReference w:id="26"/>
      </w:r>
      <w:r w:rsidR="0025627F">
        <w:t>,</w:t>
      </w:r>
      <w:bookmarkStart w:id="72" w:name="_Ref3761325"/>
      <w:r w:rsidR="0025627F">
        <w:rPr>
          <w:rStyle w:val="FootnoteReference"/>
        </w:rPr>
        <w:footnoteReference w:id="27"/>
      </w:r>
      <w:bookmarkEnd w:id="72"/>
      <w:r w:rsidR="008D74BF">
        <w:t xml:space="preserve"> </w:t>
      </w:r>
      <w:r>
        <w:t>Pharmacologic therapies for osteoporosis and the prevention of osteoporotic fractures consist of several types of anti</w:t>
      </w:r>
      <w:r w:rsidR="000A6FC0">
        <w:noBreakHyphen/>
      </w:r>
      <w:proofErr w:type="spellStart"/>
      <w:r>
        <w:t>resorptive</w:t>
      </w:r>
      <w:proofErr w:type="spellEnd"/>
      <w:r>
        <w:t xml:space="preserve"> therapies (including bisphosphonates and selective </w:t>
      </w:r>
      <w:r w:rsidR="000A6FC0">
        <w:t>o</w:t>
      </w:r>
      <w:r>
        <w:t xml:space="preserve">estrogen receptor modulators), and active </w:t>
      </w:r>
      <w:r w:rsidR="004A189B">
        <w:t>v</w:t>
      </w:r>
      <w:r>
        <w:t>itamin D3 preparations. Calcitonin (salmon) is also available in some EU countries for the indication of pain in osteoporosis. Of the drugs commonly used to treat osteoporosis, bisphosphonates have been shown to be effective agents against osteoporosis and have been used as the established standard for treatment</w:t>
      </w:r>
      <w:r w:rsidR="000A6FC0">
        <w:t>.</w:t>
      </w:r>
      <w:r w:rsidR="0025627F" w:rsidRPr="0025627F">
        <w:rPr>
          <w:vertAlign w:val="superscript"/>
        </w:rPr>
        <w:fldChar w:fldCharType="begin"/>
      </w:r>
      <w:r w:rsidR="0025627F" w:rsidRPr="0025627F">
        <w:rPr>
          <w:vertAlign w:val="superscript"/>
        </w:rPr>
        <w:instrText xml:space="preserve"> NOTEREF _Ref3761325 \h </w:instrText>
      </w:r>
      <w:r w:rsidR="0025627F">
        <w:rPr>
          <w:vertAlign w:val="superscript"/>
        </w:rPr>
        <w:instrText xml:space="preserve"> \* MERGEFORMAT </w:instrText>
      </w:r>
      <w:r w:rsidR="0025627F" w:rsidRPr="0025627F">
        <w:rPr>
          <w:vertAlign w:val="superscript"/>
        </w:rPr>
      </w:r>
      <w:r w:rsidR="0025627F" w:rsidRPr="0025627F">
        <w:rPr>
          <w:vertAlign w:val="superscript"/>
        </w:rPr>
        <w:fldChar w:fldCharType="separate"/>
      </w:r>
      <w:r w:rsidR="0025627F" w:rsidRPr="0025627F">
        <w:rPr>
          <w:vertAlign w:val="superscript"/>
        </w:rPr>
        <w:t>16</w:t>
      </w:r>
      <w:r w:rsidR="0025627F" w:rsidRPr="0025627F">
        <w:rPr>
          <w:vertAlign w:val="superscript"/>
        </w:rPr>
        <w:fldChar w:fldCharType="end"/>
      </w:r>
      <w:r>
        <w:t xml:space="preserve"> For some anti</w:t>
      </w:r>
      <w:r w:rsidR="000A6FC0">
        <w:noBreakHyphen/>
      </w:r>
      <w:proofErr w:type="spellStart"/>
      <w:r>
        <w:t>resorptive</w:t>
      </w:r>
      <w:proofErr w:type="spellEnd"/>
      <w:r>
        <w:t xml:space="preserve"> therapies (alendronate, </w:t>
      </w:r>
      <w:proofErr w:type="spellStart"/>
      <w:r>
        <w:t>ibandronate</w:t>
      </w:r>
      <w:proofErr w:type="spellEnd"/>
      <w:r>
        <w:t xml:space="preserve"> and </w:t>
      </w:r>
      <w:proofErr w:type="spellStart"/>
      <w:r>
        <w:t>bazedoxifene</w:t>
      </w:r>
      <w:proofErr w:type="spellEnd"/>
      <w:r>
        <w:t xml:space="preserve">), it took 3 years or longer to demonstrate a significant reduction in the risk of vertebral, </w:t>
      </w:r>
      <w:r w:rsidR="00864D4D">
        <w:t>non-vertebral</w:t>
      </w:r>
      <w:r>
        <w:t>, or clinical fracture. Furthermore, drugs of this class have to be administered with an adequate volume of water at the time of waking up every morning when taken orally, and patients receiving this therapy are not permitted to lie down, to ingest anything else but water, nor to take other oral medication drugs for at least 30 minutes after each dose. Due to these limitations, there are patients who cannot begin or continue to use these kinds of drugs or who cannot comply with the instructions for dosing, despite an increased risk of fracture</w:t>
      </w:r>
      <w:r w:rsidR="008D74BF">
        <w:t>.</w:t>
      </w:r>
    </w:p>
    <w:p w14:paraId="256A1E21" w14:textId="627F232F" w:rsidR="00EE4678" w:rsidRPr="00472D50" w:rsidRDefault="00EE4678" w:rsidP="00EE4678">
      <w:r>
        <w:lastRenderedPageBreak/>
        <w:t>Although other anti</w:t>
      </w:r>
      <w:r w:rsidR="000A6FC0">
        <w:noBreakHyphen/>
      </w:r>
      <w:proofErr w:type="spellStart"/>
      <w:r>
        <w:t>resorptive</w:t>
      </w:r>
      <w:proofErr w:type="spellEnd"/>
      <w:r>
        <w:t xml:space="preserve"> therapies such as </w:t>
      </w:r>
      <w:proofErr w:type="spellStart"/>
      <w:r>
        <w:t>risedronate</w:t>
      </w:r>
      <w:proofErr w:type="spellEnd"/>
      <w:r>
        <w:t xml:space="preserve">, </w:t>
      </w:r>
      <w:proofErr w:type="spellStart"/>
      <w:r>
        <w:t>raloxifene</w:t>
      </w:r>
      <w:proofErr w:type="spellEnd"/>
      <w:r>
        <w:t xml:space="preserve"> and </w:t>
      </w:r>
      <w:proofErr w:type="spellStart"/>
      <w:r>
        <w:t>denosumab</w:t>
      </w:r>
      <w:proofErr w:type="spellEnd"/>
      <w:r>
        <w:t xml:space="preserve"> demonstrated significant reductions of 60% to 68% in the risk of vertebral fractures in their respective pivotal clinical studies within 1 year</w:t>
      </w:r>
      <w:r w:rsidR="000A6FC0">
        <w:t>;</w:t>
      </w:r>
      <w:r w:rsidR="0025627F" w:rsidRPr="000A6FC0">
        <w:rPr>
          <w:rStyle w:val="FootnoteReference"/>
        </w:rPr>
        <w:footnoteReference w:id="28"/>
      </w:r>
      <w:r w:rsidR="0025627F" w:rsidRPr="00E20C59">
        <w:rPr>
          <w:vertAlign w:val="superscript"/>
        </w:rPr>
        <w:t>,</w:t>
      </w:r>
      <w:r w:rsidR="0079374F" w:rsidRPr="000A6FC0">
        <w:rPr>
          <w:rStyle w:val="FootnoteReference"/>
        </w:rPr>
        <w:footnoteReference w:id="29"/>
      </w:r>
      <w:r w:rsidR="0079374F" w:rsidRPr="00E20C59">
        <w:rPr>
          <w:vertAlign w:val="superscript"/>
        </w:rPr>
        <w:t>,</w:t>
      </w:r>
      <w:r w:rsidR="0079374F" w:rsidRPr="000A6FC0">
        <w:rPr>
          <w:rStyle w:val="FootnoteReference"/>
        </w:rPr>
        <w:footnoteReference w:id="30"/>
      </w:r>
      <w:r w:rsidRPr="000A6FC0">
        <w:t xml:space="preserve"> </w:t>
      </w:r>
      <w:r>
        <w:t xml:space="preserve">bone-forming therapies can provide larger improvements in bone structure and strength; however, only </w:t>
      </w:r>
      <w:r w:rsidR="004A189B">
        <w:t>one</w:t>
      </w:r>
      <w:r>
        <w:t xml:space="preserve"> class of bone</w:t>
      </w:r>
      <w:r w:rsidR="004A189B">
        <w:t xml:space="preserve"> </w:t>
      </w:r>
      <w:r w:rsidR="00472D50">
        <w:t>forming therapies is available;</w:t>
      </w:r>
      <w:r>
        <w:t xml:space="preserve"> parathyroid hormone </w:t>
      </w:r>
      <w:proofErr w:type="spellStart"/>
      <w:r>
        <w:t>analogs</w:t>
      </w:r>
      <w:proofErr w:type="spellEnd"/>
      <w:r>
        <w:t xml:space="preserve">. The parathyroid hormone fragment </w:t>
      </w:r>
      <w:proofErr w:type="spellStart"/>
      <w:r>
        <w:t>teriparatide</w:t>
      </w:r>
      <w:proofErr w:type="spellEnd"/>
      <w:r>
        <w:t xml:space="preserve"> </w:t>
      </w:r>
      <w:r w:rsidR="00654353">
        <w:t>(</w:t>
      </w:r>
      <w:proofErr w:type="spellStart"/>
      <w:r>
        <w:t>rhPTH</w:t>
      </w:r>
      <w:proofErr w:type="spellEnd"/>
      <w:r w:rsidR="00E20C59">
        <w:t xml:space="preserve"> </w:t>
      </w:r>
      <w:r>
        <w:t>(1-34)</w:t>
      </w:r>
      <w:r w:rsidR="00654353">
        <w:t>)</w:t>
      </w:r>
      <w:r>
        <w:t xml:space="preserve"> (20 µg/day subcutaneously) is the only widely available bone</w:t>
      </w:r>
      <w:r w:rsidR="004A189B">
        <w:t xml:space="preserve"> </w:t>
      </w:r>
      <w:r>
        <w:t xml:space="preserve">forming agent. Teriparatide significantly reduced the risk of new vertebral fractures by 65% relative to placebo within an average of 19 months, yet the time to onset of effect with teriparatide for daily use may leave patients relatively unprotected early in treatment. Other limitations of teriparatide are a relatively small </w:t>
      </w:r>
      <w:r w:rsidR="00881772">
        <w:t>BMD</w:t>
      </w:r>
      <w:r w:rsidRPr="00472D50">
        <w:t xml:space="preserve"> increase at the hip (2.6 to 3.7%</w:t>
      </w:r>
      <w:r w:rsidR="000A6FC0">
        <w:t>);</w:t>
      </w:r>
      <w:r w:rsidR="0025627F" w:rsidRPr="00472D50">
        <w:rPr>
          <w:vertAlign w:val="superscript"/>
        </w:rPr>
        <w:footnoteReference w:id="31"/>
      </w:r>
      <w:r w:rsidR="0025627F" w:rsidRPr="00472D50">
        <w:rPr>
          <w:vertAlign w:val="superscript"/>
        </w:rPr>
        <w:t>,</w:t>
      </w:r>
      <w:r w:rsidR="0025627F" w:rsidRPr="00472D50">
        <w:rPr>
          <w:vertAlign w:val="superscript"/>
        </w:rPr>
        <w:footnoteReference w:id="32"/>
      </w:r>
      <w:r w:rsidRPr="00472D50">
        <w:t xml:space="preserve"> and treatment duration is limited to a maximum of 24 months over the patient’s lifetime due to the potential risk of osteosarcoma. In the US, a</w:t>
      </w:r>
      <w:r w:rsidR="008D74BF" w:rsidRPr="00472D50">
        <w:t xml:space="preserve"> </w:t>
      </w:r>
      <w:r w:rsidRPr="00472D50">
        <w:t>parathyroid hormone analogue (a modified variant of teriparatide) was approved in 2017,</w:t>
      </w:r>
      <w:r w:rsidR="008D74BF" w:rsidRPr="00472D50">
        <w:t xml:space="preserve"> </w:t>
      </w:r>
      <w:proofErr w:type="spellStart"/>
      <w:r w:rsidRPr="00472D50">
        <w:t>abaloparatide</w:t>
      </w:r>
      <w:proofErr w:type="spellEnd"/>
      <w:r w:rsidRPr="00472D50">
        <w:t xml:space="preserve"> (</w:t>
      </w:r>
      <w:proofErr w:type="spellStart"/>
      <w:r w:rsidRPr="00472D50">
        <w:t>Tymlos</w:t>
      </w:r>
      <w:proofErr w:type="spellEnd"/>
      <w:r w:rsidRPr="00472D50">
        <w:t xml:space="preserve"> </w:t>
      </w:r>
      <w:r w:rsidR="000A6FC0">
        <w:t>PI</w:t>
      </w:r>
      <w:r w:rsidRPr="00472D50">
        <w:t xml:space="preserve">, 2017), for postmenopausal women with osteoporosis at high risk for fracture due to a history of osteoporotic fracture, multiple risk factors for fracture, or patients who have not responded to or are intolerant to other available osteoporosis therapy. Like </w:t>
      </w:r>
      <w:proofErr w:type="spellStart"/>
      <w:r w:rsidRPr="00472D50">
        <w:t>teriparatide</w:t>
      </w:r>
      <w:proofErr w:type="spellEnd"/>
      <w:r w:rsidRPr="00472D50">
        <w:t xml:space="preserve">, </w:t>
      </w:r>
      <w:proofErr w:type="spellStart"/>
      <w:r w:rsidRPr="00472D50">
        <w:t>abaloparatide</w:t>
      </w:r>
      <w:proofErr w:type="spellEnd"/>
      <w:r w:rsidRPr="00472D50">
        <w:t xml:space="preserve"> is administered by daily SC injection. However, </w:t>
      </w:r>
      <w:proofErr w:type="spellStart"/>
      <w:r w:rsidRPr="00472D50">
        <w:t>abaloparatide</w:t>
      </w:r>
      <w:proofErr w:type="spellEnd"/>
      <w:r w:rsidRPr="00472D50">
        <w:t xml:space="preserve"> is not available in Australia.</w:t>
      </w:r>
    </w:p>
    <w:p w14:paraId="7312A0F8" w14:textId="77777777" w:rsidR="003F09E4" w:rsidRPr="00472D50" w:rsidRDefault="00605AD4" w:rsidP="00472D50">
      <w:pPr>
        <w:pStyle w:val="Heading4"/>
      </w:pPr>
      <w:bookmarkStart w:id="73" w:name="_Toc196046464"/>
      <w:bookmarkStart w:id="74" w:name="_Toc247691518"/>
      <w:bookmarkStart w:id="75" w:name="_Toc314842502"/>
      <w:r w:rsidRPr="00472D50">
        <w:t xml:space="preserve">Clinical </w:t>
      </w:r>
      <w:r w:rsidR="00EF59DC" w:rsidRPr="00472D50">
        <w:t>r</w:t>
      </w:r>
      <w:r w:rsidRPr="00472D50">
        <w:t>ationale</w:t>
      </w:r>
    </w:p>
    <w:p w14:paraId="2CB637CA" w14:textId="27CE2E85" w:rsidR="008D74BF" w:rsidRDefault="00696AC6" w:rsidP="009853AE">
      <w:r>
        <w:t>Romosozumab</w:t>
      </w:r>
      <w:r w:rsidR="009853AE">
        <w:t xml:space="preserve"> represents a new class of bone-forming agents that can address this unmet need. It is a humanised immunoglobulin G2 (IgG2) monoclonal antibody that binds and inhibits sclerostin. Sclerostin was identified as a target of interest by genetic analysis of </w:t>
      </w:r>
      <w:r w:rsidR="00EE4678">
        <w:t>two</w:t>
      </w:r>
      <w:r w:rsidR="009853AE">
        <w:t xml:space="preserve"> rare bone disorders, which are associated with thick bones, increased density and resistance to fracture: </w:t>
      </w:r>
      <w:proofErr w:type="spellStart"/>
      <w:r w:rsidR="009853AE">
        <w:t>sclerosteosis</w:t>
      </w:r>
      <w:proofErr w:type="spellEnd"/>
      <w:r w:rsidR="009853AE">
        <w:t xml:space="preserve"> and Van </w:t>
      </w:r>
      <w:proofErr w:type="spellStart"/>
      <w:r w:rsidR="009853AE">
        <w:t>Buchem</w:t>
      </w:r>
      <w:proofErr w:type="spellEnd"/>
      <w:r w:rsidR="009853AE">
        <w:t xml:space="preserve"> disease. It was found that both diseases are caused by different mutations in the </w:t>
      </w:r>
      <w:r w:rsidR="009853AE" w:rsidRPr="0025627F">
        <w:t>sclerostin (SOST) gene; a mutation within the coding region affecting the protein</w:t>
      </w:r>
      <w:r w:rsidR="000A6FC0">
        <w:t>;</w:t>
      </w:r>
      <w:r w:rsidR="0025627F" w:rsidRPr="0025627F">
        <w:rPr>
          <w:rStyle w:val="FootnoteReference"/>
        </w:rPr>
        <w:footnoteReference w:id="33"/>
      </w:r>
      <w:r w:rsidR="009853AE" w:rsidRPr="0025627F">
        <w:t xml:space="preserve"> and a regulatory element</w:t>
      </w:r>
      <w:r w:rsidR="009853AE">
        <w:t xml:space="preserve"> control expression of the SOST gene, respectively</w:t>
      </w:r>
      <w:r w:rsidR="000A6FC0">
        <w:t>.</w:t>
      </w:r>
      <w:r w:rsidR="0025627F">
        <w:rPr>
          <w:rStyle w:val="FootnoteReference"/>
        </w:rPr>
        <w:footnoteReference w:id="34"/>
      </w:r>
      <w:r w:rsidR="009853AE">
        <w:t xml:space="preserve"> Both mutations indicate that an absence or reduced expression of sclerostin is involved in the increase of bone density and strength. Homozygous carriers with </w:t>
      </w:r>
      <w:proofErr w:type="spellStart"/>
      <w:r w:rsidR="009853AE">
        <w:t>sclerosteosis</w:t>
      </w:r>
      <w:proofErr w:type="spellEnd"/>
      <w:r w:rsidR="009853AE">
        <w:t>, who completely lack sclerostin, can also experience negative effects, such as facial palsy, hearing impairment and syndactyly</w:t>
      </w:r>
      <w:r w:rsidR="000A6FC0">
        <w:t>.</w:t>
      </w:r>
      <w:r w:rsidR="0025627F" w:rsidRPr="000A6FC0">
        <w:rPr>
          <w:rStyle w:val="FootnoteReference"/>
        </w:rPr>
        <w:footnoteReference w:id="35"/>
      </w:r>
      <w:r w:rsidR="0025627F" w:rsidRPr="00720B5D">
        <w:rPr>
          <w:vertAlign w:val="superscript"/>
        </w:rPr>
        <w:t>,</w:t>
      </w:r>
      <w:r w:rsidR="0025627F" w:rsidRPr="000A6FC0">
        <w:rPr>
          <w:rStyle w:val="FootnoteReference"/>
        </w:rPr>
        <w:footnoteReference w:id="36"/>
      </w:r>
      <w:r w:rsidR="0025627F" w:rsidRPr="00720B5D">
        <w:rPr>
          <w:vertAlign w:val="superscript"/>
        </w:rPr>
        <w:t>,</w:t>
      </w:r>
      <w:r w:rsidR="0025627F" w:rsidRPr="000A6FC0">
        <w:rPr>
          <w:rStyle w:val="FootnoteReference"/>
        </w:rPr>
        <w:footnoteReference w:id="37"/>
      </w:r>
      <w:r w:rsidR="009853AE">
        <w:t xml:space="preserve"> However, when sclerostin expression is merely reduced, such as in heterozygous carriers of a SOST gene mutation, there is still increased </w:t>
      </w:r>
      <w:r w:rsidR="00881772">
        <w:t>BMD</w:t>
      </w:r>
      <w:r w:rsidR="009853AE">
        <w:t xml:space="preserve"> but without the associated negative effects. Based on these observations, sclerostin was identified as a potential therapeutic </w:t>
      </w:r>
      <w:r w:rsidR="009853AE">
        <w:lastRenderedPageBreak/>
        <w:t>target for treatment of disorders that are associated with low bone mass and reduced bone strength</w:t>
      </w:r>
      <w:r w:rsidR="008D74BF">
        <w:t>.</w:t>
      </w:r>
    </w:p>
    <w:p w14:paraId="65871739" w14:textId="3CBCD519" w:rsidR="008D74BF" w:rsidRDefault="009853AE" w:rsidP="009853AE">
      <w:r>
        <w:t xml:space="preserve">By inhibiting sclerostin, romosozumab demonstrates a dual effect on bone, increasing bone formation and decreasing bone resorption, leading to rapid and substantial gains in </w:t>
      </w:r>
      <w:r w:rsidR="00881772">
        <w:t>BMD</w:t>
      </w:r>
      <w:r>
        <w:t xml:space="preserve"> and improved bone strength. </w:t>
      </w:r>
      <w:r w:rsidR="00696AC6">
        <w:t>Romosozumab</w:t>
      </w:r>
      <w:r>
        <w:t xml:space="preserve"> is administered </w:t>
      </w:r>
      <w:r w:rsidR="004A189B">
        <w:t>monthly</w:t>
      </w:r>
      <w:r>
        <w:t xml:space="preserve"> as </w:t>
      </w:r>
      <w:r w:rsidR="00EE4678">
        <w:t>two</w:t>
      </w:r>
      <w:r>
        <w:t xml:space="preserve"> SC injections of 105 mg each for 12 months and has a rapid onset of effect, thus offering an important additional treatment option for osteoporosis in patients at increased risk of fractures</w:t>
      </w:r>
      <w:r w:rsidR="008D74BF">
        <w:t>.</w:t>
      </w:r>
    </w:p>
    <w:p w14:paraId="0A92D38E" w14:textId="4156FB4E" w:rsidR="009853AE" w:rsidRPr="009853AE" w:rsidRDefault="009853AE" w:rsidP="009853AE">
      <w:r>
        <w:t xml:space="preserve">There is an unmet need for a therapy that rapidly increases bone mass and bone strength and delivers fracture efficacy in the near-term, which is particularly important in patients who have already suffered a fracture or are otherwise at increased risk of fracture in the near-term. Potential benefits of romosozumab include rapid fracture risk reduction, significant </w:t>
      </w:r>
      <w:r w:rsidR="00881772">
        <w:t>BMD</w:t>
      </w:r>
      <w:r>
        <w:t xml:space="preserve"> gains, and improved underlying skeletal strength for ongoing fracture risk reduction that is maintained with follow-on anti</w:t>
      </w:r>
      <w:r w:rsidR="00654353">
        <w:t>-</w:t>
      </w:r>
      <w:proofErr w:type="spellStart"/>
      <w:r>
        <w:t>resorptive</w:t>
      </w:r>
      <w:proofErr w:type="spellEnd"/>
      <w:r>
        <w:t xml:space="preserve"> therapy.</w:t>
      </w:r>
    </w:p>
    <w:p w14:paraId="3DCAAD00" w14:textId="77777777" w:rsidR="003F09E4" w:rsidRDefault="00605AD4" w:rsidP="00605AD4">
      <w:pPr>
        <w:pStyle w:val="Heading4"/>
      </w:pPr>
      <w:r w:rsidRPr="00605AD4">
        <w:t>Guidance</w:t>
      </w:r>
    </w:p>
    <w:p w14:paraId="235BBE9B" w14:textId="2DA0C3A4" w:rsidR="008D74BF" w:rsidRDefault="009853AE" w:rsidP="009853AE">
      <w:r>
        <w:t xml:space="preserve">The development program has been informed by regulatory interactions with EU National Competent Authorities and the </w:t>
      </w:r>
      <w:r w:rsidR="007710AA">
        <w:t>European Medicines Agency (</w:t>
      </w:r>
      <w:r>
        <w:t>EMA</w:t>
      </w:r>
      <w:r w:rsidR="007710AA">
        <w:t>)</w:t>
      </w:r>
      <w:r>
        <w:t>, the US Food and Drug Administration (FDA), Health Canada and the Japanese Pharmaceuticals and Medical Devices Agency (PMDA)</w:t>
      </w:r>
      <w:r w:rsidR="008D74BF">
        <w:t>.</w:t>
      </w:r>
    </w:p>
    <w:p w14:paraId="11ABFF7A" w14:textId="5E36452C" w:rsidR="008D74BF" w:rsidRDefault="000A6FC0" w:rsidP="009853AE">
      <w:r>
        <w:t>EU</w:t>
      </w:r>
      <w:r w:rsidR="009853AE">
        <w:t xml:space="preserve"> regulatory interactions led to key agreements on the </w:t>
      </w:r>
      <w:r>
        <w:t xml:space="preserve">nonclinical </w:t>
      </w:r>
      <w:r w:rsidR="009853AE">
        <w:t xml:space="preserve">program and major design aspects of the </w:t>
      </w:r>
      <w:r w:rsidR="00566372">
        <w:t>placebo controlled</w:t>
      </w:r>
      <w:r w:rsidR="0046080E">
        <w:t xml:space="preserve"> pivotal fracture study (Study </w:t>
      </w:r>
      <w:r w:rsidR="009853AE">
        <w:t>20070337), including the requirement for 3 years of data for approval. Key aspects of the study design and statistical analysis plan for Study 20070337 were also agreed with input from the US FDA. In addition to the placebo</w:t>
      </w:r>
      <w:r w:rsidR="00EE4678">
        <w:t xml:space="preserve"> </w:t>
      </w:r>
      <w:r w:rsidR="009853AE">
        <w:t>controlled study, EU regulatory feedback reflected interest in a head-to-head study assessing the safety and efficacy of romosozumab v</w:t>
      </w:r>
      <w:r w:rsidR="00CE639A">
        <w:t>ersu</w:t>
      </w:r>
      <w:r w:rsidR="009853AE">
        <w:t>s standard of care, which was addressed in the</w:t>
      </w:r>
      <w:r w:rsidR="003D7E26">
        <w:t xml:space="preserve"> second pivotal fracture Study 20110142</w:t>
      </w:r>
      <w:r w:rsidR="009853AE">
        <w:t xml:space="preserve">, which used alendronate as a comparator. Regulatory interactions with PMDA in Japan secured agreement on the participation of Japanese subjects in the pivotal Study 20070337 in parallel with the conduct of a dose-finding </w:t>
      </w:r>
      <w:r w:rsidR="00CE639A">
        <w:t>P</w:t>
      </w:r>
      <w:r w:rsidR="009853AE">
        <w:t xml:space="preserve">hase </w:t>
      </w:r>
      <w:r w:rsidR="00CE639A">
        <w:t>II</w:t>
      </w:r>
      <w:r w:rsidR="009853AE">
        <w:t xml:space="preserve"> study in Japanese women (Study 20101291). For the evaluation of osteoporosis in men, PMDA indicated that the conduct of Study 20110174 would be acceptable for this purpose in conjunction with positive results for romosozumab 210 mg administered monthly in Study 20070337</w:t>
      </w:r>
      <w:r w:rsidR="008D74BF">
        <w:t>.</w:t>
      </w:r>
    </w:p>
    <w:p w14:paraId="0E74A385" w14:textId="77777777" w:rsidR="008D74BF" w:rsidRDefault="009853AE" w:rsidP="009853AE">
      <w:r>
        <w:t xml:space="preserve">Regulatory feedback confirming the plan for the proposed </w:t>
      </w:r>
      <w:r w:rsidR="00EE4678">
        <w:t>P</w:t>
      </w:r>
      <w:r>
        <w:t xml:space="preserve">hase </w:t>
      </w:r>
      <w:r w:rsidR="00EE4678">
        <w:t>III</w:t>
      </w:r>
      <w:r>
        <w:t xml:space="preserve"> studies was obtained from Health Canada in the context of a clinical trial application (pre-</w:t>
      </w:r>
      <w:r w:rsidR="00EE4678">
        <w:t>P</w:t>
      </w:r>
      <w:r>
        <w:t xml:space="preserve">hase </w:t>
      </w:r>
      <w:r w:rsidR="00EE4678">
        <w:t>III</w:t>
      </w:r>
      <w:r>
        <w:t xml:space="preserve">) meeting held on 21 July 2011. Health Canada noted that due to </w:t>
      </w:r>
      <w:proofErr w:type="spellStart"/>
      <w:r>
        <w:t>romosozumab’s</w:t>
      </w:r>
      <w:proofErr w:type="spellEnd"/>
      <w:r>
        <w:t xml:space="preserve"> new mechanism of action and the clinical dosing duration, Health Canada expected a 2</w:t>
      </w:r>
      <w:r w:rsidR="00EE4678">
        <w:t xml:space="preserve"> </w:t>
      </w:r>
      <w:r>
        <w:t>year carcinogenicity study to be conducted. The relevant nonclinical study has been completed and submitted</w:t>
      </w:r>
      <w:r w:rsidR="008D74BF">
        <w:t>.</w:t>
      </w:r>
    </w:p>
    <w:p w14:paraId="2BB1E1A3" w14:textId="77777777" w:rsidR="003F09E4" w:rsidRDefault="00605AD4" w:rsidP="00605AD4">
      <w:pPr>
        <w:pStyle w:val="Heading4"/>
      </w:pPr>
      <w:r w:rsidRPr="00605AD4">
        <w:t>Contents of the clinical dossier</w:t>
      </w:r>
    </w:p>
    <w:p w14:paraId="785626A4" w14:textId="1C15501A" w:rsidR="000A6FC0" w:rsidRPr="000A6FC0" w:rsidRDefault="000A6FC0" w:rsidP="000A6FC0">
      <w:r>
        <w:t>The clinical dossier contained the following:</w:t>
      </w:r>
    </w:p>
    <w:p w14:paraId="6229E628" w14:textId="09997137" w:rsidR="00C44BAA" w:rsidRPr="0046080E" w:rsidRDefault="0046080E" w:rsidP="000A6FC0">
      <w:pPr>
        <w:pStyle w:val="ListBullet"/>
      </w:pPr>
      <w:r>
        <w:t xml:space="preserve">Clinical </w:t>
      </w:r>
      <w:r w:rsidR="000A6FC0">
        <w:t>p</w:t>
      </w:r>
      <w:r>
        <w:t>harmacology</w:t>
      </w:r>
    </w:p>
    <w:p w14:paraId="7C6F725B" w14:textId="77777777" w:rsidR="00C44BAA" w:rsidRDefault="00CE639A" w:rsidP="000A6FC0">
      <w:pPr>
        <w:pStyle w:val="ListBullet2"/>
      </w:pPr>
      <w:r>
        <w:t>s</w:t>
      </w:r>
      <w:r w:rsidR="00C6013F">
        <w:t>even</w:t>
      </w:r>
      <w:r w:rsidR="00EE4678">
        <w:t xml:space="preserve"> pharmacokinetic</w:t>
      </w:r>
      <w:r>
        <w:t xml:space="preserve"> </w:t>
      </w:r>
      <w:r w:rsidR="00EE4678">
        <w:t>s</w:t>
      </w:r>
      <w:r>
        <w:t>tudies</w:t>
      </w:r>
    </w:p>
    <w:p w14:paraId="5A83077D" w14:textId="77777777" w:rsidR="00C6013F" w:rsidRDefault="00C6013F" w:rsidP="000A6FC0">
      <w:pPr>
        <w:pStyle w:val="ListBullet2"/>
      </w:pPr>
      <w:r>
        <w:t xml:space="preserve">five </w:t>
      </w:r>
      <w:r w:rsidR="00EE4678">
        <w:t>pharmacodynamics studies</w:t>
      </w:r>
    </w:p>
    <w:p w14:paraId="6FC33F1E" w14:textId="77777777" w:rsidR="008D74BF" w:rsidRDefault="00C6013F" w:rsidP="000A6FC0">
      <w:pPr>
        <w:pStyle w:val="ListBullet2"/>
      </w:pPr>
      <w:r>
        <w:t xml:space="preserve">three </w:t>
      </w:r>
      <w:r w:rsidR="00EE4678">
        <w:t>population pharmacokinetic/pharmacodynamic studies</w:t>
      </w:r>
      <w:r w:rsidR="008D74BF">
        <w:t>.</w:t>
      </w:r>
    </w:p>
    <w:p w14:paraId="305953A4" w14:textId="5233CEDD" w:rsidR="008E29CC" w:rsidRDefault="008E29CC" w:rsidP="00506068">
      <w:pPr>
        <w:pStyle w:val="ListBullet"/>
        <w:pageBreakBefore/>
        <w:ind w:left="357" w:hanging="357"/>
      </w:pPr>
      <w:r>
        <w:lastRenderedPageBreak/>
        <w:t>Efficacy and Safety</w:t>
      </w:r>
    </w:p>
    <w:p w14:paraId="6DEA8A39" w14:textId="77777777" w:rsidR="00C44BAA" w:rsidRDefault="008E29CC" w:rsidP="000A6FC0">
      <w:pPr>
        <w:pStyle w:val="ListBullet2"/>
      </w:pPr>
      <w:r>
        <w:t>Three pivotal studies:</w:t>
      </w:r>
    </w:p>
    <w:p w14:paraId="59C5B021" w14:textId="20FC26E0" w:rsidR="00C44BAA" w:rsidRDefault="0046080E" w:rsidP="000A6FC0">
      <w:pPr>
        <w:pStyle w:val="ListBullet3"/>
      </w:pPr>
      <w:r>
        <w:t xml:space="preserve">Study </w:t>
      </w:r>
      <w:r w:rsidR="008E29CC">
        <w:t>20070337 (FRAME</w:t>
      </w:r>
      <w:r w:rsidR="000A6FC0">
        <w:t xml:space="preserve"> trial</w:t>
      </w:r>
      <w:r w:rsidR="008E29CC">
        <w:t xml:space="preserve">): </w:t>
      </w:r>
      <w:r w:rsidR="000A6FC0">
        <w:t xml:space="preserve">A </w:t>
      </w:r>
      <w:r w:rsidR="008E29CC">
        <w:t xml:space="preserve">Phase </w:t>
      </w:r>
      <w:r w:rsidR="00C6013F">
        <w:t>III</w:t>
      </w:r>
      <w:r w:rsidR="008E29CC">
        <w:t xml:space="preserve"> pivotal, placebo</w:t>
      </w:r>
      <w:r w:rsidR="00C6013F">
        <w:t xml:space="preserve"> </w:t>
      </w:r>
      <w:r w:rsidR="008E29CC">
        <w:t>controlled study in postmenopausal women with osteoporosis</w:t>
      </w:r>
    </w:p>
    <w:p w14:paraId="1002D2E9" w14:textId="046C103B" w:rsidR="008E29CC" w:rsidRDefault="0046080E" w:rsidP="000A6FC0">
      <w:pPr>
        <w:pStyle w:val="ListBullet3"/>
      </w:pPr>
      <w:r>
        <w:t xml:space="preserve">Study </w:t>
      </w:r>
      <w:r w:rsidR="008E29CC">
        <w:t>20110142 (ARCH</w:t>
      </w:r>
      <w:r w:rsidR="000A6FC0">
        <w:t xml:space="preserve"> trial</w:t>
      </w:r>
      <w:r w:rsidR="008E29CC">
        <w:t xml:space="preserve">): </w:t>
      </w:r>
      <w:r w:rsidR="000A6FC0">
        <w:t xml:space="preserve">A </w:t>
      </w:r>
      <w:r w:rsidR="008E29CC">
        <w:t xml:space="preserve">Phase </w:t>
      </w:r>
      <w:r w:rsidR="00C6013F">
        <w:t>III</w:t>
      </w:r>
      <w:r w:rsidR="008E29CC">
        <w:t xml:space="preserve"> active</w:t>
      </w:r>
      <w:r w:rsidR="00C6013F">
        <w:t xml:space="preserve"> </w:t>
      </w:r>
      <w:r w:rsidR="008E29CC">
        <w:t>controlled (alendronate) study in postmenopausal women with osteoporosis.</w:t>
      </w:r>
    </w:p>
    <w:p w14:paraId="5761DDDB" w14:textId="40B76B65" w:rsidR="008E29CC" w:rsidRDefault="0046080E" w:rsidP="000A6FC0">
      <w:pPr>
        <w:pStyle w:val="ListBullet3"/>
      </w:pPr>
      <w:r>
        <w:t xml:space="preserve">Study </w:t>
      </w:r>
      <w:r w:rsidR="008E29CC">
        <w:t>20110174 (BRIDGE</w:t>
      </w:r>
      <w:r w:rsidR="000A6FC0">
        <w:t xml:space="preserve"> trial</w:t>
      </w:r>
      <w:r w:rsidR="008E29CC">
        <w:t xml:space="preserve">): </w:t>
      </w:r>
      <w:r w:rsidR="000A6FC0">
        <w:t xml:space="preserve">A </w:t>
      </w:r>
      <w:r w:rsidR="008E29CC">
        <w:t xml:space="preserve">Phase </w:t>
      </w:r>
      <w:r w:rsidR="00C6013F">
        <w:t>III</w:t>
      </w:r>
      <w:r w:rsidR="008E29CC">
        <w:t xml:space="preserve"> placebo</w:t>
      </w:r>
      <w:r w:rsidR="00C6013F">
        <w:t xml:space="preserve"> </w:t>
      </w:r>
      <w:r w:rsidR="008E29CC">
        <w:t>controlled study in men with osteoporosis.</w:t>
      </w:r>
    </w:p>
    <w:p w14:paraId="6088F0A6" w14:textId="5E98F7C9" w:rsidR="008E29CC" w:rsidRDefault="008E29CC" w:rsidP="000A6FC0">
      <w:pPr>
        <w:pStyle w:val="ListBullet2"/>
      </w:pPr>
      <w:r>
        <w:t>Four supportive studies</w:t>
      </w:r>
      <w:r w:rsidR="000A6FC0">
        <w:t>:</w:t>
      </w:r>
    </w:p>
    <w:p w14:paraId="00850532" w14:textId="5A7693E6" w:rsidR="008E29CC" w:rsidRDefault="0046080E" w:rsidP="000A6FC0">
      <w:pPr>
        <w:pStyle w:val="ListBullet3"/>
      </w:pPr>
      <w:r>
        <w:t xml:space="preserve">Study </w:t>
      </w:r>
      <w:r w:rsidR="008E29CC">
        <w:t xml:space="preserve">20120156: </w:t>
      </w:r>
      <w:r w:rsidR="000A6FC0">
        <w:t xml:space="preserve">A </w:t>
      </w:r>
      <w:r w:rsidR="008E29CC">
        <w:t xml:space="preserve">Phase </w:t>
      </w:r>
      <w:r w:rsidR="00C6013F">
        <w:t>III</w:t>
      </w:r>
      <w:r w:rsidR="008E29CC">
        <w:t xml:space="preserve"> study in postmenopausal women with osteoporosis (90</w:t>
      </w:r>
      <w:r>
        <w:t> </w:t>
      </w:r>
      <w:r w:rsidR="008E29CC">
        <w:t>mg</w:t>
      </w:r>
      <w:r w:rsidR="00C6013F">
        <w:t>/mL</w:t>
      </w:r>
      <w:r w:rsidR="008E29CC">
        <w:t xml:space="preserve"> v</w:t>
      </w:r>
      <w:r w:rsidR="00C6013F">
        <w:t>ersu</w:t>
      </w:r>
      <w:r w:rsidR="008E29CC">
        <w:t>s 70</w:t>
      </w:r>
      <w:r w:rsidR="00C6013F">
        <w:t xml:space="preserve"> </w:t>
      </w:r>
      <w:r w:rsidR="008E29CC">
        <w:t>mg</w:t>
      </w:r>
      <w:r w:rsidR="00C6013F">
        <w:t>/mL</w:t>
      </w:r>
      <w:r w:rsidR="008E29CC">
        <w:t>)</w:t>
      </w:r>
      <w:r>
        <w:t>.</w:t>
      </w:r>
    </w:p>
    <w:p w14:paraId="0A25106E" w14:textId="4EF5AD21" w:rsidR="008E29CC" w:rsidRDefault="0046080E" w:rsidP="000A6FC0">
      <w:pPr>
        <w:pStyle w:val="ListBullet3"/>
      </w:pPr>
      <w:r>
        <w:t xml:space="preserve">Study </w:t>
      </w:r>
      <w:r w:rsidR="008E29CC">
        <w:t xml:space="preserve">20080289: </w:t>
      </w:r>
      <w:r w:rsidR="000A6FC0">
        <w:t xml:space="preserve">A </w:t>
      </w:r>
      <w:r w:rsidR="008E29CC">
        <w:t xml:space="preserve">Phase </w:t>
      </w:r>
      <w:proofErr w:type="spellStart"/>
      <w:r w:rsidR="00C6013F">
        <w:t>III</w:t>
      </w:r>
      <w:r w:rsidR="008E29CC">
        <w:t>b</w:t>
      </w:r>
      <w:proofErr w:type="spellEnd"/>
      <w:r w:rsidR="008E29CC">
        <w:t xml:space="preserve"> active</w:t>
      </w:r>
      <w:r w:rsidR="00C6013F">
        <w:t xml:space="preserve"> </w:t>
      </w:r>
      <w:r w:rsidR="008E29CC">
        <w:t>controlled (</w:t>
      </w:r>
      <w:proofErr w:type="spellStart"/>
      <w:r w:rsidR="008E29CC">
        <w:t>teripratide</w:t>
      </w:r>
      <w:proofErr w:type="spellEnd"/>
      <w:r w:rsidR="008E29CC">
        <w:t>) study in postmenopausal women with osteoporosis previously treated with bisphosphonates</w:t>
      </w:r>
      <w:r>
        <w:t>.</w:t>
      </w:r>
    </w:p>
    <w:p w14:paraId="4AF40774" w14:textId="66651579" w:rsidR="008E29CC" w:rsidRDefault="0046080E" w:rsidP="000A6FC0">
      <w:pPr>
        <w:pStyle w:val="ListBullet3"/>
      </w:pPr>
      <w:r>
        <w:t xml:space="preserve">Study </w:t>
      </w:r>
      <w:r w:rsidR="008E29CC">
        <w:t xml:space="preserve">20060326: </w:t>
      </w:r>
      <w:r w:rsidR="000A6FC0">
        <w:t xml:space="preserve">A </w:t>
      </w:r>
      <w:r w:rsidR="008E29CC">
        <w:t xml:space="preserve">Phase </w:t>
      </w:r>
      <w:proofErr w:type="spellStart"/>
      <w:r w:rsidR="00C6013F">
        <w:t>II</w:t>
      </w:r>
      <w:r w:rsidR="008E29CC">
        <w:t>b</w:t>
      </w:r>
      <w:proofErr w:type="spellEnd"/>
      <w:r w:rsidR="008E29CC">
        <w:t xml:space="preserve"> study in postmenopausal women with low </w:t>
      </w:r>
      <w:r w:rsidR="00881772">
        <w:t>BMD</w:t>
      </w:r>
      <w:r>
        <w:t>.</w:t>
      </w:r>
    </w:p>
    <w:p w14:paraId="0ECEDB07" w14:textId="20E0AD4D" w:rsidR="008E29CC" w:rsidRDefault="0046080E" w:rsidP="000A6FC0">
      <w:pPr>
        <w:pStyle w:val="ListBullet3"/>
      </w:pPr>
      <w:r>
        <w:t xml:space="preserve">Study </w:t>
      </w:r>
      <w:r w:rsidR="008E29CC">
        <w:t xml:space="preserve">20101291: </w:t>
      </w:r>
      <w:r w:rsidR="000A6FC0">
        <w:t xml:space="preserve">A </w:t>
      </w:r>
      <w:r w:rsidR="008E29CC">
        <w:t xml:space="preserve">Phase </w:t>
      </w:r>
      <w:proofErr w:type="spellStart"/>
      <w:r w:rsidR="00C6013F">
        <w:t>II</w:t>
      </w:r>
      <w:r w:rsidR="008E29CC">
        <w:t>b</w:t>
      </w:r>
      <w:proofErr w:type="spellEnd"/>
      <w:r w:rsidR="008E29CC">
        <w:t xml:space="preserve"> in postmenopausal Japanese women with osteoporosis</w:t>
      </w:r>
      <w:r>
        <w:t>.</w:t>
      </w:r>
    </w:p>
    <w:p w14:paraId="30B54A4D" w14:textId="0C3F4DEA" w:rsidR="008E29CC" w:rsidRPr="008E29CC" w:rsidRDefault="0015006C" w:rsidP="008E29CC">
      <w:r>
        <w:t>T</w:t>
      </w:r>
      <w:r w:rsidR="00C6013F">
        <w:t xml:space="preserve">he submission </w:t>
      </w:r>
      <w:r w:rsidR="008E29CC">
        <w:t>also included an Integrated Summary of Efficacy and Integrated summary of Safety.</w:t>
      </w:r>
      <w:r w:rsidR="008D74BF">
        <w:t xml:space="preserve"> </w:t>
      </w:r>
      <w:r w:rsidR="008E29CC">
        <w:t xml:space="preserve">An Integrated Cardiovascular Report (dated </w:t>
      </w:r>
      <w:r w:rsidR="0046080E">
        <w:t>October</w:t>
      </w:r>
      <w:r w:rsidR="008E29CC">
        <w:t xml:space="preserve"> 2017) was also included in the submitted dossier.</w:t>
      </w:r>
    </w:p>
    <w:p w14:paraId="35F02CA3" w14:textId="77777777" w:rsidR="003F09E4" w:rsidRDefault="00605AD4" w:rsidP="00605AD4">
      <w:pPr>
        <w:pStyle w:val="Heading4"/>
      </w:pPr>
      <w:r w:rsidRPr="00605AD4">
        <w:t>Paediatric data</w:t>
      </w:r>
    </w:p>
    <w:p w14:paraId="59ED39B0" w14:textId="77777777" w:rsidR="008E29CC" w:rsidRPr="008E29CC" w:rsidRDefault="008E29CC" w:rsidP="008E29CC">
      <w:r w:rsidRPr="008E29CC">
        <w:t>No paediatric data was submitted as the proposed usage is not likely to be prevalent in paediatric subjects.</w:t>
      </w:r>
    </w:p>
    <w:p w14:paraId="7CCAF1EC" w14:textId="77777777" w:rsidR="003F09E4" w:rsidRDefault="00605AD4" w:rsidP="00605AD4">
      <w:pPr>
        <w:pStyle w:val="Heading4"/>
      </w:pPr>
      <w:r w:rsidRPr="00605AD4">
        <w:t>Good clinical practice</w:t>
      </w:r>
    </w:p>
    <w:p w14:paraId="24811496" w14:textId="486BF842" w:rsidR="0046080E" w:rsidRDefault="008E29CC" w:rsidP="008E29CC">
      <w:r w:rsidRPr="008E29CC">
        <w:t>Clinical studies were conducted under Good Clinical Practice</w:t>
      </w:r>
      <w:r w:rsidR="000A6FC0">
        <w:t xml:space="preserve"> (GCP)</w:t>
      </w:r>
      <w:r w:rsidRPr="008E29CC">
        <w:t xml:space="preserve"> as described in </w:t>
      </w:r>
      <w:r w:rsidRPr="00241FE9">
        <w:t>ICH</w:t>
      </w:r>
      <w:r w:rsidR="000A6FC0">
        <w:t> guideline </w:t>
      </w:r>
      <w:r w:rsidRPr="00241FE9">
        <w:t>E6 (ICH,</w:t>
      </w:r>
      <w:r w:rsidRPr="008E29CC">
        <w:t xml:space="preserve"> 1996)</w:t>
      </w:r>
      <w:r w:rsidR="00241FE9">
        <w:rPr>
          <w:rStyle w:val="FootnoteReference"/>
        </w:rPr>
        <w:footnoteReference w:id="38"/>
      </w:r>
      <w:r w:rsidRPr="008E29CC">
        <w:t xml:space="preserve">, under the principles of the Declaration of Helsinki, and in accordance with local and regional regulations and guidance. </w:t>
      </w:r>
    </w:p>
    <w:p w14:paraId="5100BACB" w14:textId="28DDCD58" w:rsidR="0046080E" w:rsidRDefault="0046080E" w:rsidP="0046080E">
      <w:pPr>
        <w:pStyle w:val="Heading4"/>
      </w:pPr>
      <w:r>
        <w:t>Guidance</w:t>
      </w:r>
    </w:p>
    <w:p w14:paraId="36593C78" w14:textId="59BE8D5E" w:rsidR="0046080E" w:rsidRDefault="008E29CC" w:rsidP="0046080E">
      <w:pPr>
        <w:pStyle w:val="ListBullet"/>
        <w:numPr>
          <w:ilvl w:val="0"/>
          <w:numId w:val="0"/>
        </w:numPr>
        <w:ind w:left="360" w:hanging="360"/>
      </w:pPr>
      <w:r w:rsidRPr="008E29CC">
        <w:t>Formal regulatory guidance for development of osteoporosis products includes</w:t>
      </w:r>
      <w:r w:rsidR="0046080E">
        <w:t>:</w:t>
      </w:r>
    </w:p>
    <w:p w14:paraId="0044980A" w14:textId="1CD23F61" w:rsidR="0046080E" w:rsidRDefault="008E29CC" w:rsidP="0046080E">
      <w:pPr>
        <w:pStyle w:val="ListBullet"/>
      </w:pPr>
      <w:r w:rsidRPr="008E29CC">
        <w:t xml:space="preserve">Committee for Medicinal Products for Human Use (CHMP) 2006 Guideline on the Evaluation of Medicinal Products in the Treatment of Primary Osteoporosis </w:t>
      </w:r>
      <w:r w:rsidR="0046080E">
        <w:t>(EU: CPMP/EWP/552/95 rev. 2)</w:t>
      </w:r>
      <w:r w:rsidR="000A6FC0">
        <w:t>; and</w:t>
      </w:r>
    </w:p>
    <w:p w14:paraId="10AFD489" w14:textId="3CC33107" w:rsidR="008E29CC" w:rsidRDefault="008E29CC" w:rsidP="0046080E">
      <w:pPr>
        <w:pStyle w:val="ListBullet"/>
      </w:pPr>
      <w:r w:rsidRPr="008E29CC">
        <w:t>Japanese Guidelines for Clinical Evaluation Methods of Drugs for Osteoporosis (PMSB/ELD no. 742 1999).</w:t>
      </w:r>
    </w:p>
    <w:p w14:paraId="44795187" w14:textId="4EA18E46" w:rsidR="008E29CC" w:rsidRPr="008E29CC" w:rsidRDefault="008E29CC" w:rsidP="008E29CC">
      <w:r>
        <w:t>The dossier was well presented.</w:t>
      </w:r>
      <w:r w:rsidR="008D74BF">
        <w:t xml:space="preserve"> </w:t>
      </w:r>
      <w:r w:rsidR="00696AC6">
        <w:t>Romosozumab</w:t>
      </w:r>
      <w:r>
        <w:t xml:space="preserve"> was investigated in a comprehensive development program which included 19 clinical studies conducted between 2006 and 2017 that enrolled approximately 14</w:t>
      </w:r>
      <w:r w:rsidR="0046080E">
        <w:t>,</w:t>
      </w:r>
      <w:r>
        <w:t xml:space="preserve">000 subjects to support the proposed indications for the treatment of osteoporosis in postmenopausal women and in men at increased risk of fractures. Studies included healthy volunteers, postmenopausal women with osteoporosis or low </w:t>
      </w:r>
      <w:r w:rsidR="00881772">
        <w:t>BMD</w:t>
      </w:r>
      <w:r>
        <w:t xml:space="preserve"> and men with osteoporosis.</w:t>
      </w:r>
    </w:p>
    <w:p w14:paraId="7D398600" w14:textId="77777777" w:rsidR="008E7846" w:rsidRDefault="008E7846" w:rsidP="00605AD4">
      <w:pPr>
        <w:pStyle w:val="Heading3"/>
      </w:pPr>
      <w:bookmarkStart w:id="76" w:name="_Toc32481911"/>
      <w:r w:rsidRPr="00254787">
        <w:lastRenderedPageBreak/>
        <w:t>Pharmacokinetics</w:t>
      </w:r>
      <w:bookmarkEnd w:id="62"/>
      <w:bookmarkEnd w:id="73"/>
      <w:bookmarkEnd w:id="74"/>
      <w:bookmarkEnd w:id="75"/>
      <w:bookmarkEnd w:id="76"/>
    </w:p>
    <w:p w14:paraId="22D6A5AA" w14:textId="77777777" w:rsidR="003F09E4" w:rsidRDefault="00605AD4" w:rsidP="00605AD4">
      <w:pPr>
        <w:pStyle w:val="Heading4"/>
      </w:pPr>
      <w:r>
        <w:t>Studies</w:t>
      </w:r>
      <w:r w:rsidR="00500337">
        <w:t xml:space="preserve"> providing pharmacokinetic data</w:t>
      </w:r>
    </w:p>
    <w:p w14:paraId="1F9E2162" w14:textId="3840DBCE" w:rsidR="008E29CC" w:rsidRDefault="008E29CC" w:rsidP="006F4B1F">
      <w:pPr>
        <w:pStyle w:val="TableTitle"/>
      </w:pPr>
      <w:bookmarkStart w:id="77" w:name="_Toc519756093"/>
      <w:r>
        <w:t>Table</w:t>
      </w:r>
      <w:r>
        <w:rPr>
          <w:noProof/>
        </w:rPr>
        <w:t xml:space="preserve"> </w:t>
      </w:r>
      <w:r w:rsidR="00A808F5">
        <w:rPr>
          <w:noProof/>
        </w:rPr>
        <w:t>5</w:t>
      </w:r>
      <w:r w:rsidR="006F4B1F">
        <w:rPr>
          <w:noProof/>
        </w:rPr>
        <w:t>:</w:t>
      </w:r>
      <w:r w:rsidR="004A189B">
        <w:rPr>
          <w:noProof/>
        </w:rPr>
        <w:t xml:space="preserve"> </w:t>
      </w:r>
      <w:r>
        <w:t>Submitted pharmacokinetic studies</w:t>
      </w:r>
      <w:bookmarkEnd w:id="77"/>
    </w:p>
    <w:tbl>
      <w:tblPr>
        <w:tblStyle w:val="TableTGAblue"/>
        <w:tblW w:w="8472" w:type="dxa"/>
        <w:tblLayout w:type="fixed"/>
        <w:tblLook w:val="04A0" w:firstRow="1" w:lastRow="0" w:firstColumn="1" w:lastColumn="0" w:noHBand="0" w:noVBand="1"/>
      </w:tblPr>
      <w:tblGrid>
        <w:gridCol w:w="2235"/>
        <w:gridCol w:w="4536"/>
        <w:gridCol w:w="1701"/>
      </w:tblGrid>
      <w:tr w:rsidR="008E29CC" w:rsidRPr="00C37A1D" w14:paraId="2A78772F" w14:textId="77777777" w:rsidTr="00CE639A">
        <w:trPr>
          <w:cnfStyle w:val="100000000000" w:firstRow="1" w:lastRow="0" w:firstColumn="0" w:lastColumn="0" w:oddVBand="0" w:evenVBand="0" w:oddHBand="0" w:evenHBand="0" w:firstRowFirstColumn="0" w:firstRowLastColumn="0" w:lastRowFirstColumn="0" w:lastRowLastColumn="0"/>
        </w:trPr>
        <w:tc>
          <w:tcPr>
            <w:tcW w:w="2235" w:type="dxa"/>
          </w:tcPr>
          <w:p w14:paraId="1073700A" w14:textId="77777777" w:rsidR="008E29CC" w:rsidRPr="00D94852" w:rsidRDefault="00F823A9" w:rsidP="00CE639A">
            <w:pPr>
              <w:ind w:left="0" w:right="0"/>
              <w:rPr>
                <w:b w:val="0"/>
              </w:rPr>
            </w:pPr>
            <w:r>
              <w:t>Pharmacokinetics</w:t>
            </w:r>
            <w:r w:rsidRPr="00D94852">
              <w:t xml:space="preserve"> topic</w:t>
            </w:r>
          </w:p>
        </w:tc>
        <w:tc>
          <w:tcPr>
            <w:tcW w:w="4536" w:type="dxa"/>
          </w:tcPr>
          <w:p w14:paraId="379DF564" w14:textId="77777777" w:rsidR="008E29CC" w:rsidRPr="00D94852" w:rsidRDefault="008E29CC" w:rsidP="00CE639A">
            <w:pPr>
              <w:ind w:left="0" w:right="0"/>
              <w:rPr>
                <w:b w:val="0"/>
              </w:rPr>
            </w:pPr>
            <w:r w:rsidRPr="00D94852">
              <w:t>Subtopic</w:t>
            </w:r>
          </w:p>
        </w:tc>
        <w:tc>
          <w:tcPr>
            <w:tcW w:w="1701" w:type="dxa"/>
          </w:tcPr>
          <w:p w14:paraId="41DBDB4A" w14:textId="77777777" w:rsidR="008E29CC" w:rsidRPr="00D94852" w:rsidRDefault="008E29CC" w:rsidP="00CE639A">
            <w:pPr>
              <w:ind w:left="0" w:right="0"/>
              <w:rPr>
                <w:b w:val="0"/>
              </w:rPr>
            </w:pPr>
            <w:r w:rsidRPr="00D94852">
              <w:t>Study ID</w:t>
            </w:r>
          </w:p>
        </w:tc>
      </w:tr>
      <w:tr w:rsidR="008E29CC" w:rsidRPr="00C37A1D" w14:paraId="00181BD2" w14:textId="77777777" w:rsidTr="00CE639A">
        <w:tc>
          <w:tcPr>
            <w:tcW w:w="2235" w:type="dxa"/>
            <w:vMerge w:val="restart"/>
          </w:tcPr>
          <w:p w14:paraId="6A80FC9F" w14:textId="77777777" w:rsidR="008E29CC" w:rsidRPr="00D94852" w:rsidRDefault="00F823A9" w:rsidP="00CE639A">
            <w:pPr>
              <w:ind w:left="0" w:right="0"/>
            </w:pPr>
            <w:r>
              <w:t>Pharmacokinetics</w:t>
            </w:r>
            <w:r w:rsidRPr="00D94852">
              <w:t xml:space="preserve"> in healthy adults</w:t>
            </w:r>
          </w:p>
        </w:tc>
        <w:tc>
          <w:tcPr>
            <w:tcW w:w="4536" w:type="dxa"/>
          </w:tcPr>
          <w:p w14:paraId="71684297" w14:textId="141B4D1A" w:rsidR="008E29CC" w:rsidRPr="00A25795" w:rsidRDefault="008E29CC" w:rsidP="00CE639A">
            <w:pPr>
              <w:ind w:left="0" w:right="0"/>
            </w:pPr>
            <w:r w:rsidRPr="00D94852">
              <w:t xml:space="preserve">General </w:t>
            </w:r>
            <w:r w:rsidR="00EE4678">
              <w:t>pharmacokinetics</w:t>
            </w:r>
            <w:r w:rsidRPr="00D94852">
              <w:t xml:space="preserve"> </w:t>
            </w:r>
            <w:r w:rsidR="000A6FC0">
              <w:t>(s</w:t>
            </w:r>
            <w:r w:rsidRPr="00D94852">
              <w:t>ingle dose</w:t>
            </w:r>
            <w:r w:rsidR="000A6FC0">
              <w:t>)</w:t>
            </w:r>
          </w:p>
        </w:tc>
        <w:tc>
          <w:tcPr>
            <w:tcW w:w="1701" w:type="dxa"/>
          </w:tcPr>
          <w:p w14:paraId="47CF8B19" w14:textId="77777777" w:rsidR="008E29CC" w:rsidRPr="00D94852" w:rsidRDefault="008E29CC" w:rsidP="00CE639A">
            <w:pPr>
              <w:ind w:left="0" w:right="0"/>
            </w:pPr>
            <w:r w:rsidRPr="00D94852">
              <w:rPr>
                <w:rFonts w:eastAsia="Calibri"/>
                <w:color w:val="auto"/>
                <w:lang w:eastAsia="en-US"/>
              </w:rPr>
              <w:t>20060220</w:t>
            </w:r>
          </w:p>
        </w:tc>
      </w:tr>
      <w:tr w:rsidR="008E29CC" w:rsidRPr="00C37A1D" w14:paraId="53D6B205" w14:textId="77777777" w:rsidTr="00CE639A">
        <w:tc>
          <w:tcPr>
            <w:tcW w:w="2235" w:type="dxa"/>
            <w:vMerge/>
          </w:tcPr>
          <w:p w14:paraId="37F003AF" w14:textId="77777777" w:rsidR="008E29CC" w:rsidRPr="00D94852" w:rsidRDefault="008E29CC" w:rsidP="00CE639A">
            <w:pPr>
              <w:ind w:left="0" w:right="0"/>
            </w:pPr>
          </w:p>
        </w:tc>
        <w:tc>
          <w:tcPr>
            <w:tcW w:w="4536" w:type="dxa"/>
          </w:tcPr>
          <w:p w14:paraId="0DCA137D" w14:textId="78712C7C" w:rsidR="008E29CC" w:rsidRPr="00D94852" w:rsidRDefault="00A25795" w:rsidP="00A25795">
            <w:pPr>
              <w:ind w:left="0" w:right="0"/>
            </w:pPr>
            <w:r w:rsidRPr="00A25795">
              <w:t>General pharmacokinetics</w:t>
            </w:r>
            <w:r>
              <w:t xml:space="preserve"> (multi-dose)</w:t>
            </w:r>
          </w:p>
        </w:tc>
        <w:tc>
          <w:tcPr>
            <w:tcW w:w="1701" w:type="dxa"/>
          </w:tcPr>
          <w:p w14:paraId="1C5A6B65" w14:textId="77777777" w:rsidR="008E29CC" w:rsidRPr="00D94852" w:rsidRDefault="008E29CC" w:rsidP="00CE639A">
            <w:pPr>
              <w:ind w:left="0" w:right="0"/>
            </w:pPr>
            <w:r w:rsidRPr="00D94852">
              <w:rPr>
                <w:bCs/>
              </w:rPr>
              <w:t>20060221</w:t>
            </w:r>
          </w:p>
        </w:tc>
      </w:tr>
      <w:tr w:rsidR="000A6FC0" w:rsidRPr="00C37A1D" w14:paraId="22020E2E" w14:textId="77777777" w:rsidTr="00CE639A">
        <w:tc>
          <w:tcPr>
            <w:tcW w:w="2235" w:type="dxa"/>
            <w:vMerge/>
          </w:tcPr>
          <w:p w14:paraId="6E7849B9" w14:textId="77777777" w:rsidR="000A6FC0" w:rsidRPr="00D94852" w:rsidRDefault="000A6FC0" w:rsidP="00CE639A">
            <w:pPr>
              <w:ind w:left="0" w:right="0"/>
            </w:pPr>
          </w:p>
        </w:tc>
        <w:tc>
          <w:tcPr>
            <w:tcW w:w="4536" w:type="dxa"/>
            <w:vMerge w:val="restart"/>
          </w:tcPr>
          <w:p w14:paraId="17B12B3B" w14:textId="068B1567" w:rsidR="000A6FC0" w:rsidRPr="00D94852" w:rsidRDefault="000A6FC0" w:rsidP="00CE639A">
            <w:pPr>
              <w:ind w:left="0" w:right="0"/>
            </w:pPr>
            <w:r>
              <w:t>Bioequivalence</w:t>
            </w:r>
            <w:r w:rsidRPr="001C249F">
              <w:rPr>
                <w:vertAlign w:val="superscript"/>
              </w:rPr>
              <w:t>†</w:t>
            </w:r>
            <w:r w:rsidRPr="00D94852">
              <w:t xml:space="preserve"> </w:t>
            </w:r>
            <w:r>
              <w:t>(s</w:t>
            </w:r>
            <w:r w:rsidRPr="00D94852">
              <w:t>ingle dose</w:t>
            </w:r>
            <w:r>
              <w:t>)</w:t>
            </w:r>
          </w:p>
        </w:tc>
        <w:tc>
          <w:tcPr>
            <w:tcW w:w="1701" w:type="dxa"/>
          </w:tcPr>
          <w:p w14:paraId="02D43501" w14:textId="77777777" w:rsidR="000A6FC0" w:rsidRPr="00D94852" w:rsidRDefault="000A6FC0" w:rsidP="00CE639A">
            <w:pPr>
              <w:ind w:left="0" w:right="0"/>
            </w:pPr>
            <w:r w:rsidRPr="00D94852">
              <w:t>20101180</w:t>
            </w:r>
          </w:p>
        </w:tc>
      </w:tr>
      <w:tr w:rsidR="000A6FC0" w:rsidRPr="00C37A1D" w14:paraId="097B884D" w14:textId="77777777" w:rsidTr="00CE639A">
        <w:tc>
          <w:tcPr>
            <w:tcW w:w="2235" w:type="dxa"/>
            <w:vMerge/>
          </w:tcPr>
          <w:p w14:paraId="43E6B1A3" w14:textId="77777777" w:rsidR="000A6FC0" w:rsidRPr="00D94852" w:rsidRDefault="000A6FC0" w:rsidP="00CE639A">
            <w:pPr>
              <w:ind w:left="0" w:right="0"/>
            </w:pPr>
          </w:p>
        </w:tc>
        <w:tc>
          <w:tcPr>
            <w:tcW w:w="4536" w:type="dxa"/>
            <w:vMerge/>
          </w:tcPr>
          <w:p w14:paraId="04398A2B" w14:textId="77777777" w:rsidR="000A6FC0" w:rsidRPr="00D94852" w:rsidRDefault="000A6FC0" w:rsidP="00CE639A">
            <w:pPr>
              <w:ind w:left="0" w:right="0"/>
            </w:pPr>
          </w:p>
        </w:tc>
        <w:tc>
          <w:tcPr>
            <w:tcW w:w="1701" w:type="dxa"/>
          </w:tcPr>
          <w:p w14:paraId="2E763FD5" w14:textId="77777777" w:rsidR="000A6FC0" w:rsidRPr="00D94852" w:rsidRDefault="000A6FC0" w:rsidP="00CE639A">
            <w:pPr>
              <w:ind w:left="0" w:right="0"/>
            </w:pPr>
            <w:r w:rsidRPr="00D94852">
              <w:t>20120277</w:t>
            </w:r>
          </w:p>
        </w:tc>
      </w:tr>
      <w:tr w:rsidR="000A6FC0" w:rsidRPr="00C37A1D" w14:paraId="7A50C939" w14:textId="77777777" w:rsidTr="00CE639A">
        <w:tc>
          <w:tcPr>
            <w:tcW w:w="2235" w:type="dxa"/>
            <w:vMerge/>
          </w:tcPr>
          <w:p w14:paraId="6328B51B" w14:textId="77777777" w:rsidR="000A6FC0" w:rsidRPr="00D94852" w:rsidRDefault="000A6FC0" w:rsidP="00CE639A">
            <w:pPr>
              <w:ind w:left="0" w:right="0"/>
            </w:pPr>
          </w:p>
        </w:tc>
        <w:tc>
          <w:tcPr>
            <w:tcW w:w="4536" w:type="dxa"/>
            <w:vMerge/>
          </w:tcPr>
          <w:p w14:paraId="2BB8C36C" w14:textId="77777777" w:rsidR="000A6FC0" w:rsidRPr="00D94852" w:rsidRDefault="000A6FC0" w:rsidP="00CE639A">
            <w:pPr>
              <w:ind w:left="0" w:right="0"/>
            </w:pPr>
          </w:p>
        </w:tc>
        <w:tc>
          <w:tcPr>
            <w:tcW w:w="1701" w:type="dxa"/>
          </w:tcPr>
          <w:p w14:paraId="6A2DCE50" w14:textId="77777777" w:rsidR="000A6FC0" w:rsidRPr="00D94852" w:rsidRDefault="000A6FC0" w:rsidP="00CE639A">
            <w:pPr>
              <w:ind w:left="0" w:right="0"/>
            </w:pPr>
            <w:r w:rsidRPr="00D94852">
              <w:t>20150197</w:t>
            </w:r>
          </w:p>
        </w:tc>
      </w:tr>
      <w:tr w:rsidR="000A6FC0" w:rsidRPr="00C37A1D" w14:paraId="73A069C4" w14:textId="77777777" w:rsidTr="00CE639A">
        <w:tc>
          <w:tcPr>
            <w:tcW w:w="2235" w:type="dxa"/>
            <w:vMerge/>
          </w:tcPr>
          <w:p w14:paraId="08447AB5" w14:textId="77777777" w:rsidR="000A6FC0" w:rsidRPr="00D94852" w:rsidRDefault="000A6FC0" w:rsidP="00CE639A">
            <w:pPr>
              <w:ind w:left="0" w:right="0"/>
            </w:pPr>
          </w:p>
        </w:tc>
        <w:tc>
          <w:tcPr>
            <w:tcW w:w="4536" w:type="dxa"/>
            <w:vMerge/>
          </w:tcPr>
          <w:p w14:paraId="462433EA" w14:textId="77777777" w:rsidR="000A6FC0" w:rsidRPr="00D94852" w:rsidRDefault="000A6FC0" w:rsidP="00CE639A">
            <w:pPr>
              <w:ind w:left="0" w:right="0"/>
            </w:pPr>
          </w:p>
        </w:tc>
        <w:tc>
          <w:tcPr>
            <w:tcW w:w="1701" w:type="dxa"/>
          </w:tcPr>
          <w:p w14:paraId="75E880C1" w14:textId="77777777" w:rsidR="000A6FC0" w:rsidRPr="00D94852" w:rsidRDefault="000A6FC0" w:rsidP="00CE639A">
            <w:pPr>
              <w:ind w:left="0" w:right="0"/>
            </w:pPr>
            <w:r w:rsidRPr="00D94852">
              <w:rPr>
                <w:bCs/>
              </w:rPr>
              <w:t>20090418</w:t>
            </w:r>
          </w:p>
        </w:tc>
      </w:tr>
      <w:tr w:rsidR="008E29CC" w:rsidRPr="00C37A1D" w14:paraId="6CBA533E" w14:textId="77777777" w:rsidTr="00CE639A">
        <w:tc>
          <w:tcPr>
            <w:tcW w:w="2235" w:type="dxa"/>
            <w:vMerge/>
          </w:tcPr>
          <w:p w14:paraId="6C067591" w14:textId="77777777" w:rsidR="008E29CC" w:rsidRPr="00D94852" w:rsidRDefault="008E29CC" w:rsidP="00CE639A">
            <w:pPr>
              <w:ind w:left="0" w:right="0"/>
            </w:pPr>
          </w:p>
        </w:tc>
        <w:tc>
          <w:tcPr>
            <w:tcW w:w="4536" w:type="dxa"/>
          </w:tcPr>
          <w:p w14:paraId="4ED93522" w14:textId="48D13A8D" w:rsidR="008E29CC" w:rsidRPr="00D94852" w:rsidRDefault="0046080E" w:rsidP="00CE639A">
            <w:pPr>
              <w:ind w:left="0" w:right="0"/>
            </w:pPr>
            <w:r>
              <w:t xml:space="preserve">Relative </w:t>
            </w:r>
            <w:r w:rsidR="00A25795">
              <w:t>b</w:t>
            </w:r>
            <w:r>
              <w:t>ioavailability</w:t>
            </w:r>
          </w:p>
        </w:tc>
        <w:tc>
          <w:tcPr>
            <w:tcW w:w="1701" w:type="dxa"/>
          </w:tcPr>
          <w:p w14:paraId="7DD8441F" w14:textId="77777777" w:rsidR="008E29CC" w:rsidRPr="00D94852" w:rsidRDefault="008E29CC" w:rsidP="00CE639A">
            <w:pPr>
              <w:ind w:left="0" w:right="0"/>
            </w:pPr>
            <w:r w:rsidRPr="00D94852">
              <w:rPr>
                <w:rFonts w:eastAsia="Calibri"/>
                <w:color w:val="auto"/>
                <w:lang w:eastAsia="en-US"/>
              </w:rPr>
              <w:t>20120274</w:t>
            </w:r>
          </w:p>
        </w:tc>
      </w:tr>
      <w:tr w:rsidR="008E29CC" w:rsidRPr="00C37A1D" w14:paraId="38F6D01D" w14:textId="77777777" w:rsidTr="00CE639A">
        <w:tc>
          <w:tcPr>
            <w:tcW w:w="2235" w:type="dxa"/>
            <w:vMerge/>
          </w:tcPr>
          <w:p w14:paraId="431866A3" w14:textId="77777777" w:rsidR="008E29CC" w:rsidRPr="00D94852" w:rsidRDefault="008E29CC" w:rsidP="00CE639A">
            <w:pPr>
              <w:ind w:left="0" w:right="0"/>
            </w:pPr>
          </w:p>
        </w:tc>
        <w:tc>
          <w:tcPr>
            <w:tcW w:w="4536" w:type="dxa"/>
          </w:tcPr>
          <w:p w14:paraId="1A265176" w14:textId="77777777" w:rsidR="008E29CC" w:rsidRPr="00D94852" w:rsidRDefault="008E29CC" w:rsidP="00CE639A">
            <w:pPr>
              <w:ind w:left="0" w:right="0"/>
            </w:pPr>
            <w:r w:rsidRPr="00D94852">
              <w:t>Food effect</w:t>
            </w:r>
          </w:p>
        </w:tc>
        <w:tc>
          <w:tcPr>
            <w:tcW w:w="1701" w:type="dxa"/>
          </w:tcPr>
          <w:p w14:paraId="4B0FD1F7" w14:textId="77777777" w:rsidR="008E29CC" w:rsidRPr="00D94852" w:rsidRDefault="008E29CC" w:rsidP="00CE639A">
            <w:pPr>
              <w:ind w:left="0" w:right="0"/>
            </w:pPr>
            <w:r>
              <w:t>None.</w:t>
            </w:r>
          </w:p>
        </w:tc>
      </w:tr>
      <w:tr w:rsidR="008E29CC" w:rsidRPr="00C37A1D" w14:paraId="23118F12" w14:textId="77777777" w:rsidTr="00CE639A">
        <w:tc>
          <w:tcPr>
            <w:tcW w:w="2235" w:type="dxa"/>
            <w:vMerge w:val="restart"/>
          </w:tcPr>
          <w:p w14:paraId="6F9ACB23" w14:textId="77777777" w:rsidR="008E29CC" w:rsidRPr="00D94852" w:rsidRDefault="00F823A9" w:rsidP="00CE639A">
            <w:pPr>
              <w:ind w:left="0" w:right="0"/>
            </w:pPr>
            <w:r>
              <w:t>Pharmacokinetics</w:t>
            </w:r>
            <w:r w:rsidRPr="00D94852">
              <w:t xml:space="preserve"> in special </w:t>
            </w:r>
            <w:r w:rsidR="008E29CC" w:rsidRPr="00D94852">
              <w:t>populations</w:t>
            </w:r>
          </w:p>
        </w:tc>
        <w:tc>
          <w:tcPr>
            <w:tcW w:w="4536" w:type="dxa"/>
          </w:tcPr>
          <w:p w14:paraId="206FFF6B" w14:textId="764C430D" w:rsidR="008E29CC" w:rsidRPr="00D94852" w:rsidRDefault="008E29CC" w:rsidP="00CE639A">
            <w:pPr>
              <w:ind w:left="0" w:right="0"/>
            </w:pPr>
            <w:r w:rsidRPr="00D94852">
              <w:t>Target population</w:t>
            </w:r>
            <w:r w:rsidRPr="008350CF">
              <w:rPr>
                <w:vertAlign w:val="superscript"/>
              </w:rPr>
              <w:t>§</w:t>
            </w:r>
            <w:r w:rsidR="00A25795">
              <w:t xml:space="preserve"> (s</w:t>
            </w:r>
            <w:r w:rsidRPr="00D94852">
              <w:t>ingle dose</w:t>
            </w:r>
            <w:r w:rsidR="00A25795">
              <w:t>)</w:t>
            </w:r>
          </w:p>
        </w:tc>
        <w:tc>
          <w:tcPr>
            <w:tcW w:w="1701" w:type="dxa"/>
          </w:tcPr>
          <w:p w14:paraId="03A66F89" w14:textId="77777777" w:rsidR="008E29CC" w:rsidRPr="00D94852" w:rsidRDefault="008E29CC" w:rsidP="00CE639A">
            <w:pPr>
              <w:ind w:left="0" w:right="0"/>
            </w:pPr>
            <w:r w:rsidRPr="00D94852">
              <w:rPr>
                <w:bCs/>
              </w:rPr>
              <w:t>20060223</w:t>
            </w:r>
          </w:p>
        </w:tc>
      </w:tr>
      <w:tr w:rsidR="0046080E" w:rsidRPr="00C37A1D" w14:paraId="6A2E0A43" w14:textId="77777777" w:rsidTr="0046080E">
        <w:trPr>
          <w:trHeight w:val="481"/>
        </w:trPr>
        <w:tc>
          <w:tcPr>
            <w:tcW w:w="2235" w:type="dxa"/>
            <w:vMerge/>
          </w:tcPr>
          <w:p w14:paraId="73AA7722" w14:textId="77777777" w:rsidR="0046080E" w:rsidRPr="00D94852" w:rsidRDefault="0046080E" w:rsidP="00CE639A">
            <w:pPr>
              <w:ind w:left="0" w:right="0"/>
            </w:pPr>
          </w:p>
        </w:tc>
        <w:tc>
          <w:tcPr>
            <w:tcW w:w="4536" w:type="dxa"/>
          </w:tcPr>
          <w:p w14:paraId="6DA94C22" w14:textId="7945F82F" w:rsidR="0046080E" w:rsidRPr="00D94852" w:rsidRDefault="00A25795" w:rsidP="00A25795">
            <w:pPr>
              <w:ind w:left="0" w:right="0"/>
            </w:pPr>
            <w:r w:rsidRPr="00D94852">
              <w:t>Target population</w:t>
            </w:r>
            <w:r w:rsidRPr="008350CF">
              <w:rPr>
                <w:vertAlign w:val="superscript"/>
              </w:rPr>
              <w:t>§</w:t>
            </w:r>
            <w:r>
              <w:t xml:space="preserve"> (multi-dose)</w:t>
            </w:r>
          </w:p>
        </w:tc>
        <w:tc>
          <w:tcPr>
            <w:tcW w:w="1701" w:type="dxa"/>
          </w:tcPr>
          <w:p w14:paraId="12DAAD10" w14:textId="77777777" w:rsidR="0046080E" w:rsidRPr="00D94852" w:rsidRDefault="0046080E" w:rsidP="00CE639A">
            <w:pPr>
              <w:ind w:left="0" w:right="0"/>
            </w:pPr>
            <w:r w:rsidRPr="00D94852">
              <w:rPr>
                <w:bCs/>
              </w:rPr>
              <w:t>20090153</w:t>
            </w:r>
          </w:p>
        </w:tc>
      </w:tr>
      <w:tr w:rsidR="0046080E" w:rsidRPr="00C37A1D" w14:paraId="00608472" w14:textId="77777777" w:rsidTr="0046080E">
        <w:trPr>
          <w:trHeight w:val="531"/>
        </w:trPr>
        <w:tc>
          <w:tcPr>
            <w:tcW w:w="2235" w:type="dxa"/>
            <w:vMerge/>
          </w:tcPr>
          <w:p w14:paraId="6365B5DE" w14:textId="77777777" w:rsidR="0046080E" w:rsidRPr="00D94852" w:rsidRDefault="0046080E" w:rsidP="00CE639A">
            <w:pPr>
              <w:ind w:left="0" w:right="0"/>
            </w:pPr>
          </w:p>
        </w:tc>
        <w:tc>
          <w:tcPr>
            <w:tcW w:w="4536" w:type="dxa"/>
          </w:tcPr>
          <w:p w14:paraId="4FFEFF68" w14:textId="0D28F0E5" w:rsidR="0046080E" w:rsidRPr="00D94852" w:rsidRDefault="0046080E" w:rsidP="00CE639A">
            <w:pPr>
              <w:ind w:left="0" w:right="0"/>
            </w:pPr>
            <w:r w:rsidRPr="00D94852">
              <w:t>Renal impairment</w:t>
            </w:r>
          </w:p>
        </w:tc>
        <w:tc>
          <w:tcPr>
            <w:tcW w:w="1701" w:type="dxa"/>
          </w:tcPr>
          <w:p w14:paraId="049918FE" w14:textId="77777777" w:rsidR="0046080E" w:rsidRPr="00D94852" w:rsidRDefault="0046080E" w:rsidP="00CE639A">
            <w:pPr>
              <w:ind w:left="0" w:right="0"/>
            </w:pPr>
            <w:r w:rsidRPr="00D94852">
              <w:rPr>
                <w:bCs/>
              </w:rPr>
              <w:t>20110227</w:t>
            </w:r>
          </w:p>
        </w:tc>
      </w:tr>
      <w:tr w:rsidR="008E29CC" w:rsidRPr="00C37A1D" w14:paraId="5798FDC0" w14:textId="77777777" w:rsidTr="00CE639A">
        <w:tc>
          <w:tcPr>
            <w:tcW w:w="2235" w:type="dxa"/>
            <w:vMerge w:val="restart"/>
          </w:tcPr>
          <w:p w14:paraId="4A71E6EB" w14:textId="77777777" w:rsidR="008E29CC" w:rsidRPr="00D94852" w:rsidRDefault="008E29CC" w:rsidP="00CE639A">
            <w:pPr>
              <w:ind w:left="0" w:right="0"/>
            </w:pPr>
            <w:r w:rsidRPr="00D94852">
              <w:t xml:space="preserve">Genetic/gender related </w:t>
            </w:r>
            <w:r w:rsidR="00F823A9">
              <w:t>pharmacokinetics</w:t>
            </w:r>
          </w:p>
        </w:tc>
        <w:tc>
          <w:tcPr>
            <w:tcW w:w="4536" w:type="dxa"/>
          </w:tcPr>
          <w:p w14:paraId="0EB49759" w14:textId="77777777" w:rsidR="008E29CC" w:rsidRPr="00D94852" w:rsidRDefault="008E29CC" w:rsidP="00CE639A">
            <w:pPr>
              <w:ind w:left="0" w:right="0"/>
            </w:pPr>
            <w:r w:rsidRPr="00D94852">
              <w:t>Males versus females</w:t>
            </w:r>
          </w:p>
        </w:tc>
        <w:tc>
          <w:tcPr>
            <w:tcW w:w="1701" w:type="dxa"/>
          </w:tcPr>
          <w:p w14:paraId="411ED9DE" w14:textId="64600CDE" w:rsidR="008E29CC" w:rsidRPr="00D94852" w:rsidRDefault="0046080E" w:rsidP="00CE639A">
            <w:pPr>
              <w:ind w:left="0" w:right="0"/>
            </w:pPr>
            <w:r>
              <w:t>None</w:t>
            </w:r>
          </w:p>
        </w:tc>
      </w:tr>
      <w:tr w:rsidR="008E29CC" w:rsidRPr="00C37A1D" w14:paraId="205DA44E" w14:textId="77777777" w:rsidTr="00CE639A">
        <w:tc>
          <w:tcPr>
            <w:tcW w:w="2235" w:type="dxa"/>
            <w:vMerge/>
          </w:tcPr>
          <w:p w14:paraId="234BA25E" w14:textId="77777777" w:rsidR="008E29CC" w:rsidRPr="00D94852" w:rsidRDefault="008E29CC" w:rsidP="00CE639A">
            <w:pPr>
              <w:ind w:left="0" w:right="0"/>
              <w:rPr>
                <w:color w:val="auto"/>
                <w:lang w:eastAsia="en-US"/>
              </w:rPr>
            </w:pPr>
          </w:p>
        </w:tc>
        <w:tc>
          <w:tcPr>
            <w:tcW w:w="4536" w:type="dxa"/>
          </w:tcPr>
          <w:p w14:paraId="27A0AE0B" w14:textId="266B07A8" w:rsidR="008E29CC" w:rsidRPr="00D94852" w:rsidRDefault="008E29CC" w:rsidP="00CE639A">
            <w:pPr>
              <w:ind w:left="0" w:right="0"/>
            </w:pPr>
            <w:r w:rsidRPr="00D94852">
              <w:t xml:space="preserve">Japanese </w:t>
            </w:r>
            <w:r w:rsidR="00A25795">
              <w:t>w</w:t>
            </w:r>
            <w:r w:rsidRPr="00D94852">
              <w:t>omen</w:t>
            </w:r>
          </w:p>
        </w:tc>
        <w:tc>
          <w:tcPr>
            <w:tcW w:w="1701" w:type="dxa"/>
          </w:tcPr>
          <w:p w14:paraId="5A4190D2" w14:textId="77777777" w:rsidR="008E29CC" w:rsidRPr="00D94852" w:rsidRDefault="008E29CC" w:rsidP="00CE639A">
            <w:pPr>
              <w:ind w:left="0" w:right="0"/>
            </w:pPr>
            <w:r w:rsidRPr="00D94852">
              <w:rPr>
                <w:bCs/>
              </w:rPr>
              <w:t>20090378</w:t>
            </w:r>
          </w:p>
        </w:tc>
      </w:tr>
      <w:tr w:rsidR="008E29CC" w:rsidRPr="00C37A1D" w14:paraId="36D53427" w14:textId="77777777" w:rsidTr="00CE639A">
        <w:tc>
          <w:tcPr>
            <w:tcW w:w="2235" w:type="dxa"/>
          </w:tcPr>
          <w:p w14:paraId="70B57D33" w14:textId="77777777" w:rsidR="008E29CC" w:rsidRPr="00D94852" w:rsidRDefault="00F823A9" w:rsidP="00CE639A">
            <w:pPr>
              <w:ind w:left="0" w:right="0"/>
            </w:pPr>
            <w:r w:rsidRPr="00D94852">
              <w:t xml:space="preserve">Population </w:t>
            </w:r>
            <w:r>
              <w:t>pharmacokinetics</w:t>
            </w:r>
            <w:r w:rsidRPr="00D94852">
              <w:t xml:space="preserve"> analyses</w:t>
            </w:r>
          </w:p>
        </w:tc>
        <w:tc>
          <w:tcPr>
            <w:tcW w:w="4536" w:type="dxa"/>
          </w:tcPr>
          <w:p w14:paraId="7D90F36D" w14:textId="2021E6EF" w:rsidR="008E29CC" w:rsidRPr="00D94852" w:rsidRDefault="008E29CC" w:rsidP="00CE639A">
            <w:pPr>
              <w:ind w:left="0" w:right="0"/>
            </w:pPr>
            <w:r w:rsidRPr="00D94852">
              <w:t>Healthy subjects</w:t>
            </w:r>
            <w:r>
              <w:t>/</w:t>
            </w:r>
            <w:r w:rsidR="00A25795">
              <w:t>t</w:t>
            </w:r>
            <w:r>
              <w:t>arget population</w:t>
            </w:r>
          </w:p>
        </w:tc>
        <w:tc>
          <w:tcPr>
            <w:tcW w:w="1701" w:type="dxa"/>
          </w:tcPr>
          <w:p w14:paraId="3CD79E00" w14:textId="77777777" w:rsidR="008E29CC" w:rsidRPr="00D94852" w:rsidRDefault="008E29CC" w:rsidP="00CE639A">
            <w:pPr>
              <w:ind w:left="0" w:right="0"/>
            </w:pPr>
            <w:r w:rsidRPr="00D94852">
              <w:rPr>
                <w:bCs/>
              </w:rPr>
              <w:t>119384A</w:t>
            </w:r>
          </w:p>
        </w:tc>
      </w:tr>
    </w:tbl>
    <w:p w14:paraId="2C3E80F4" w14:textId="68A600C1" w:rsidR="008E29CC" w:rsidRPr="00654353" w:rsidRDefault="008E29CC" w:rsidP="00654353">
      <w:pPr>
        <w:pStyle w:val="TableDescription"/>
      </w:pPr>
      <w:r w:rsidRPr="00654353">
        <w:t>† Bioequivalence of different formulations</w:t>
      </w:r>
      <w:r w:rsidR="00A25795">
        <w:t>;</w:t>
      </w:r>
      <w:r w:rsidR="0046080E" w:rsidRPr="00654353">
        <w:t xml:space="preserve"> </w:t>
      </w:r>
      <w:r w:rsidRPr="00654353">
        <w:t>§ Subjects who would be eligible to receive the drug if approved for the proposed indication.</w:t>
      </w:r>
    </w:p>
    <w:p w14:paraId="74E5E0BC" w14:textId="77777777" w:rsidR="003F09E4" w:rsidRDefault="00605AD4" w:rsidP="00605AD4">
      <w:pPr>
        <w:pStyle w:val="Heading4"/>
      </w:pPr>
      <w:r>
        <w:t>Evaluator’s conclusions on pharmacokinetics</w:t>
      </w:r>
    </w:p>
    <w:p w14:paraId="31EB932B" w14:textId="77777777" w:rsidR="008D74BF" w:rsidRDefault="008E29CC" w:rsidP="008E29CC">
      <w:r>
        <w:t xml:space="preserve">All </w:t>
      </w:r>
      <w:r w:rsidR="00C6013F">
        <w:t>pharmacokinetics</w:t>
      </w:r>
      <w:r>
        <w:t xml:space="preserve"> studies used a validated assay methodology based on enzyme</w:t>
      </w:r>
      <w:r w:rsidR="00C6013F">
        <w:t xml:space="preserve"> </w:t>
      </w:r>
      <w:r>
        <w:t>linked immune</w:t>
      </w:r>
      <w:r w:rsidR="00C6013F">
        <w:t xml:space="preserve"> </w:t>
      </w:r>
      <w:r>
        <w:t xml:space="preserve">sorbent (ELISA) technology with a quantitation range of 50 to 2492 ng/mL to quantify serum romosozumab concentrations. </w:t>
      </w:r>
      <w:r w:rsidR="00C6013F">
        <w:t>pharmacokinetics</w:t>
      </w:r>
      <w:r>
        <w:t xml:space="preserve"> parameters were estimated using non-compartmental methods and were conducted satisfactorily</w:t>
      </w:r>
      <w:r w:rsidR="008D74BF">
        <w:t>.</w:t>
      </w:r>
    </w:p>
    <w:p w14:paraId="3579B0AA" w14:textId="7D0DE270" w:rsidR="008D74BF" w:rsidRDefault="00696AC6" w:rsidP="008E29CC">
      <w:r>
        <w:t>Romosozumab</w:t>
      </w:r>
      <w:r w:rsidR="008E29CC">
        <w:t xml:space="preserve"> is slowly absorbed from the SC injection sites reaching maximum plasma concentration in about 5 days. When administered to healthy subjects at single SC doses ranging from 0.1 mg/kg to 10 mg/kg, romosozumab exhibited nonlinear </w:t>
      </w:r>
      <w:r w:rsidR="00C6013F">
        <w:t>pharmacokinetics</w:t>
      </w:r>
      <w:r w:rsidR="008E29CC">
        <w:t>. Mean apparent clearance (CL/F) was approximately 4</w:t>
      </w:r>
      <w:r w:rsidR="00C6013F">
        <w:t xml:space="preserve"> </w:t>
      </w:r>
      <w:r w:rsidR="008E29CC">
        <w:t xml:space="preserve">fold higher at a dose of 0.1 mg/kg than at 3 mg/kg. At doses between 3 mg/kg and 10 mg/kg, the </w:t>
      </w:r>
      <w:r w:rsidR="00C6013F">
        <w:t>pharmacokinetics</w:t>
      </w:r>
      <w:r w:rsidR="008E29CC">
        <w:t xml:space="preserve"> appeared to be linear, based on relatively similar clearance and </w:t>
      </w:r>
      <w:r w:rsidR="008E29CC">
        <w:lastRenderedPageBreak/>
        <w:t>dose</w:t>
      </w:r>
      <w:r w:rsidR="00A25795">
        <w:noBreakHyphen/>
      </w:r>
      <w:r w:rsidR="008E29CC">
        <w:t>normalised maximum serum concentration (</w:t>
      </w:r>
      <w:proofErr w:type="spellStart"/>
      <w:r w:rsidR="008E29CC">
        <w:t>C</w:t>
      </w:r>
      <w:r w:rsidR="008E29CC" w:rsidRPr="00C6013F">
        <w:rPr>
          <w:vertAlign w:val="subscript"/>
        </w:rPr>
        <w:t>max</w:t>
      </w:r>
      <w:proofErr w:type="spellEnd"/>
      <w:r w:rsidR="008E29CC">
        <w:t xml:space="preserve">) and </w:t>
      </w:r>
      <w:r w:rsidR="008C1A13">
        <w:t xml:space="preserve">area under the concentration-time curve from time 0 to infinity </w:t>
      </w:r>
      <w:r w:rsidR="008E29CC">
        <w:t>(</w:t>
      </w:r>
      <w:proofErr w:type="spellStart"/>
      <w:r w:rsidR="008E29CC">
        <w:t>AUC</w:t>
      </w:r>
      <w:r w:rsidR="008E29CC" w:rsidRPr="00C6013F">
        <w:rPr>
          <w:vertAlign w:val="subscript"/>
        </w:rPr>
        <w:t>inf</w:t>
      </w:r>
      <w:proofErr w:type="spellEnd"/>
      <w:r w:rsidR="008E29CC">
        <w:t>).</w:t>
      </w:r>
      <w:r w:rsidR="008D74BF">
        <w:t xml:space="preserve"> </w:t>
      </w:r>
      <w:r w:rsidR="008E29CC">
        <w:t>Serum romosozumab concentrations declined with a mean half-life (</w:t>
      </w:r>
      <w:r w:rsidR="00C6013F">
        <w:t>T</w:t>
      </w:r>
      <w:r w:rsidR="008E29CC" w:rsidRPr="00C6013F">
        <w:rPr>
          <w:vertAlign w:val="subscript"/>
        </w:rPr>
        <w:t>1/2</w:t>
      </w:r>
      <w:r w:rsidR="008E29CC">
        <w:t>) of approximately 11 to 18 days during the beta (plateau) phase and 6</w:t>
      </w:r>
      <w:r w:rsidR="00A25795">
        <w:t> </w:t>
      </w:r>
      <w:r w:rsidR="00C6013F">
        <w:t xml:space="preserve">to </w:t>
      </w:r>
      <w:r w:rsidR="008E29CC">
        <w:t>7 days during the gamma (terminal) phase. The bioavailability of romosozumab was estimated to be 50% to 70% after SC administration of 1 to 5 mg/kg</w:t>
      </w:r>
      <w:r w:rsidR="008D74BF">
        <w:t>.</w:t>
      </w:r>
    </w:p>
    <w:p w14:paraId="187B2DA5" w14:textId="7E3F728E" w:rsidR="008E29CC" w:rsidRDefault="008E29CC" w:rsidP="008E29CC">
      <w:r>
        <w:t xml:space="preserve">Following administration of SC doses every 4 weeks at 3 mg/kg for 3 months, accumulation based on mean </w:t>
      </w:r>
      <w:proofErr w:type="spellStart"/>
      <w:r>
        <w:t>C</w:t>
      </w:r>
      <w:r w:rsidRPr="00C6013F">
        <w:rPr>
          <w:vertAlign w:val="subscript"/>
        </w:rPr>
        <w:t>max</w:t>
      </w:r>
      <w:proofErr w:type="spellEnd"/>
      <w:r>
        <w:t xml:space="preserve"> and AUC values following 3 doses was approximately 20% to 36% more than exposure after the first dose. The mean effective </w:t>
      </w:r>
      <w:r w:rsidR="00C6013F">
        <w:t>T</w:t>
      </w:r>
      <w:r w:rsidR="00C6013F" w:rsidRPr="00C6013F">
        <w:rPr>
          <w:vertAlign w:val="subscript"/>
        </w:rPr>
        <w:t>1/2</w:t>
      </w:r>
      <w:r w:rsidR="00C6013F">
        <w:rPr>
          <w:vertAlign w:val="subscript"/>
        </w:rPr>
        <w:t xml:space="preserve"> </w:t>
      </w:r>
      <w:r>
        <w:t xml:space="preserve">was 12.8 days after 3 doses of 3 mg/kg. Approximately linear </w:t>
      </w:r>
      <w:r w:rsidR="00C6013F">
        <w:t>pharmacokinetics</w:t>
      </w:r>
      <w:r>
        <w:t xml:space="preserve"> was observed when comparing </w:t>
      </w:r>
      <w:proofErr w:type="spellStart"/>
      <w:r>
        <w:t>C</w:t>
      </w:r>
      <w:r w:rsidRPr="00C6013F">
        <w:rPr>
          <w:vertAlign w:val="subscript"/>
        </w:rPr>
        <w:t>max</w:t>
      </w:r>
      <w:proofErr w:type="spellEnd"/>
      <w:r>
        <w:t xml:space="preserve"> and AUC values following 2 mg/kg and 3 mg/kg every 4 weeks. When multiple SC doses of romosozumab 70 mg, 140 mg, or 210 mg </w:t>
      </w:r>
      <w:r w:rsidR="004A189B">
        <w:t>monthly</w:t>
      </w:r>
      <w:r>
        <w:t xml:space="preserve"> were administered to postmenopausal women with osteoporosis or low </w:t>
      </w:r>
      <w:r w:rsidR="00881772">
        <w:t>BMD</w:t>
      </w:r>
      <w:r>
        <w:t xml:space="preserve">, steady state was generally reached by </w:t>
      </w:r>
      <w:r w:rsidR="0015006C">
        <w:t>M</w:t>
      </w:r>
      <w:r>
        <w:t xml:space="preserve">onth 3 with minimal accumulation (&lt; 2 fold). Trough concentrations were approximately dose proportional from 140 mg to 210 mg, however a more than dose-proportional increase was observed from 70 mg to 140 mg. Although renal clearance is not expected to play a role in the total clearance of romosozumab, there were some differences in </w:t>
      </w:r>
      <w:r w:rsidR="00C6013F">
        <w:t>pharmacokinetics</w:t>
      </w:r>
      <w:r>
        <w:t xml:space="preserve"> between healthy controls and patients with stage 4 renal disease (AUC </w:t>
      </w:r>
      <w:r w:rsidR="00A25795">
        <w:t>approximately</w:t>
      </w:r>
      <w:r w:rsidR="0046080E">
        <w:t xml:space="preserve"> </w:t>
      </w:r>
      <w:r>
        <w:t xml:space="preserve">44% higher in renal disease subjects). Based on </w:t>
      </w:r>
      <w:r w:rsidR="003B40F2">
        <w:t>population pharmacokinetic (</w:t>
      </w:r>
      <w:proofErr w:type="spellStart"/>
      <w:r>
        <w:t>P</w:t>
      </w:r>
      <w:r w:rsidR="0046080E">
        <w:t>opPK</w:t>
      </w:r>
      <w:proofErr w:type="spellEnd"/>
      <w:r w:rsidR="003B40F2">
        <w:t>)</w:t>
      </w:r>
      <w:r>
        <w:t xml:space="preserve"> modelling, no dose adjustment is required for subjects with renal impairment. </w:t>
      </w:r>
      <w:r w:rsidR="00696AC6">
        <w:t>Romosozumab</w:t>
      </w:r>
      <w:r>
        <w:t xml:space="preserve"> is not eliminated via hepatic metabolism.</w:t>
      </w:r>
    </w:p>
    <w:p w14:paraId="4892DC25" w14:textId="77777777" w:rsidR="008E29CC" w:rsidRDefault="008E29CC" w:rsidP="008E29CC">
      <w:r>
        <w:t xml:space="preserve">Results from the clinical pharmacology program, including population </w:t>
      </w:r>
      <w:r w:rsidR="00C6013F">
        <w:t>pharmacokinetics</w:t>
      </w:r>
      <w:r>
        <w:t xml:space="preserve"> and </w:t>
      </w:r>
      <w:r w:rsidR="00C6013F">
        <w:t>pharmacokinetics</w:t>
      </w:r>
      <w:r>
        <w:t>/</w:t>
      </w:r>
      <w:r w:rsidR="00C6013F">
        <w:t>pharmacodynamics</w:t>
      </w:r>
      <w:r>
        <w:t xml:space="preserve"> analyses, support the clinical use of the proposed 210 mg SC </w:t>
      </w:r>
      <w:r w:rsidR="004A189B">
        <w:t>monthly</w:t>
      </w:r>
      <w:r>
        <w:t xml:space="preserve"> dosing regimen.</w:t>
      </w:r>
    </w:p>
    <w:p w14:paraId="4514630A" w14:textId="3AD19579" w:rsidR="008E29CC" w:rsidRDefault="008E29CC" w:rsidP="008E29CC">
      <w:r>
        <w:t xml:space="preserve">Population </w:t>
      </w:r>
      <w:r w:rsidR="00C6013F">
        <w:t>pharmacokinetics</w:t>
      </w:r>
      <w:r>
        <w:t xml:space="preserve"> and </w:t>
      </w:r>
      <w:r w:rsidR="00C6013F">
        <w:t>pharmacokinetics</w:t>
      </w:r>
      <w:r>
        <w:t>/</w:t>
      </w:r>
      <w:r w:rsidR="00C6013F">
        <w:t>pharmacodynamics</w:t>
      </w:r>
      <w:r>
        <w:t xml:space="preserve"> analyses in healthy subjects and postmenopausal women with low </w:t>
      </w:r>
      <w:r w:rsidR="00881772">
        <w:t>BMD</w:t>
      </w:r>
      <w:r>
        <w:t xml:space="preserve"> or osteoporosis suggested that after SC administration of 210 mg, bioavailability was high (81%) and absorption was complete in approximately 14 days. There were no differences in romosozumab </w:t>
      </w:r>
      <w:r w:rsidR="00C6013F">
        <w:t>pharmacokinetics</w:t>
      </w:r>
      <w:r>
        <w:t xml:space="preserve"> between healthy subjects or postmenopausal women with low </w:t>
      </w:r>
      <w:r w:rsidR="00881772">
        <w:t>BMD</w:t>
      </w:r>
      <w:r>
        <w:t xml:space="preserve"> or osteoporosis. </w:t>
      </w:r>
      <w:r w:rsidR="00C6013F">
        <w:t>pharmacokinetics</w:t>
      </w:r>
      <w:r>
        <w:t>/</w:t>
      </w:r>
      <w:r w:rsidR="00C6013F">
        <w:t>pharmacodynamics</w:t>
      </w:r>
      <w:r>
        <w:t xml:space="preserve"> modelling demonstrated body weight and </w:t>
      </w:r>
      <w:r w:rsidR="007710AA">
        <w:t>estimated glomerular filtration rate (</w:t>
      </w:r>
      <w:r>
        <w:t>eGFR</w:t>
      </w:r>
      <w:r w:rsidR="007710AA">
        <w:t>)</w:t>
      </w:r>
      <w:r>
        <w:t xml:space="preserve"> had minimal impact on </w:t>
      </w:r>
      <w:r w:rsidR="00881772">
        <w:t>BMD</w:t>
      </w:r>
      <w:r>
        <w:t xml:space="preserve"> gain at 12 months. Dose adjustment on the basis of these covariates is not warranted.</w:t>
      </w:r>
    </w:p>
    <w:p w14:paraId="3A284A2E" w14:textId="77777777" w:rsidR="008D74BF" w:rsidRDefault="008E29CC" w:rsidP="008E29CC">
      <w:r>
        <w:t xml:space="preserve">The proposed product information adequately reflects the findings of the </w:t>
      </w:r>
      <w:r w:rsidR="00C6013F">
        <w:t>pharmacokinetics</w:t>
      </w:r>
      <w:r>
        <w:t xml:space="preserve"> studies presented by the sponsor</w:t>
      </w:r>
      <w:r w:rsidR="008D74BF">
        <w:t>.</w:t>
      </w:r>
    </w:p>
    <w:p w14:paraId="36B28E7E" w14:textId="77777777" w:rsidR="008E7846" w:rsidRDefault="008E7846" w:rsidP="008E7846">
      <w:pPr>
        <w:pStyle w:val="Heading3"/>
      </w:pPr>
      <w:bookmarkStart w:id="78" w:name="_Toc196046481"/>
      <w:bookmarkStart w:id="79" w:name="_Toc247691520"/>
      <w:bookmarkStart w:id="80" w:name="_Toc314842503"/>
      <w:bookmarkStart w:id="81" w:name="_Toc32481912"/>
      <w:r w:rsidRPr="00254787">
        <w:t>Pharmacodynamics</w:t>
      </w:r>
      <w:bookmarkEnd w:id="63"/>
      <w:bookmarkEnd w:id="78"/>
      <w:bookmarkEnd w:id="79"/>
      <w:bookmarkEnd w:id="80"/>
      <w:bookmarkEnd w:id="81"/>
    </w:p>
    <w:p w14:paraId="7B11520F" w14:textId="77777777" w:rsidR="003F09E4" w:rsidRDefault="00605AD4" w:rsidP="00605AD4">
      <w:pPr>
        <w:pStyle w:val="Heading4"/>
      </w:pPr>
      <w:r>
        <w:t>Studies providing pharmacodynamic data</w:t>
      </w:r>
    </w:p>
    <w:p w14:paraId="628604EE" w14:textId="552F7FD8" w:rsidR="008E29CC" w:rsidRPr="00E54D14" w:rsidRDefault="0015006C" w:rsidP="006F4B1F">
      <w:pPr>
        <w:pStyle w:val="TableTitle"/>
      </w:pPr>
      <w:bookmarkStart w:id="82" w:name="_Toc453839421"/>
      <w:bookmarkStart w:id="83" w:name="_Toc519756094"/>
      <w:r>
        <w:t xml:space="preserve">Table </w:t>
      </w:r>
      <w:r w:rsidR="00A808F5">
        <w:t>6</w:t>
      </w:r>
      <w:r>
        <w:t xml:space="preserve">: </w:t>
      </w:r>
      <w:r w:rsidR="008E29CC" w:rsidRPr="008E29CC">
        <w:t>Submitted pharmacodynamic studies</w:t>
      </w:r>
      <w:bookmarkEnd w:id="82"/>
      <w:bookmarkEnd w:id="83"/>
    </w:p>
    <w:tbl>
      <w:tblPr>
        <w:tblStyle w:val="TableTGAblue"/>
        <w:tblW w:w="8613" w:type="dxa"/>
        <w:tblLayout w:type="fixed"/>
        <w:tblLook w:val="04A0" w:firstRow="1" w:lastRow="0" w:firstColumn="1" w:lastColumn="0" w:noHBand="0" w:noVBand="1"/>
      </w:tblPr>
      <w:tblGrid>
        <w:gridCol w:w="3369"/>
        <w:gridCol w:w="3543"/>
        <w:gridCol w:w="1701"/>
      </w:tblGrid>
      <w:tr w:rsidR="008E29CC" w:rsidRPr="00C37A1D" w14:paraId="0C6F60DF" w14:textId="77777777" w:rsidTr="00CE639A">
        <w:trPr>
          <w:cnfStyle w:val="100000000000" w:firstRow="1" w:lastRow="0" w:firstColumn="0" w:lastColumn="0" w:oddVBand="0" w:evenVBand="0" w:oddHBand="0" w:evenHBand="0" w:firstRowFirstColumn="0" w:firstRowLastColumn="0" w:lastRowFirstColumn="0" w:lastRowLastColumn="0"/>
        </w:trPr>
        <w:tc>
          <w:tcPr>
            <w:tcW w:w="3369" w:type="dxa"/>
          </w:tcPr>
          <w:p w14:paraId="4A78057D" w14:textId="77777777" w:rsidR="008E29CC" w:rsidRPr="005726AA" w:rsidRDefault="00CE639A" w:rsidP="00CE639A">
            <w:pPr>
              <w:tabs>
                <w:tab w:val="left" w:pos="3261"/>
              </w:tabs>
              <w:ind w:left="0"/>
            </w:pPr>
            <w:r>
              <w:t>P</w:t>
            </w:r>
            <w:r w:rsidR="00C6013F">
              <w:t>harmacodynamics</w:t>
            </w:r>
            <w:r w:rsidR="008E29CC" w:rsidRPr="005726AA">
              <w:t xml:space="preserve"> Topic</w:t>
            </w:r>
          </w:p>
        </w:tc>
        <w:tc>
          <w:tcPr>
            <w:tcW w:w="3543" w:type="dxa"/>
          </w:tcPr>
          <w:p w14:paraId="79775CE1" w14:textId="77777777" w:rsidR="008E29CC" w:rsidRPr="005726AA" w:rsidRDefault="008E29CC" w:rsidP="00CE639A">
            <w:pPr>
              <w:tabs>
                <w:tab w:val="left" w:pos="3261"/>
              </w:tabs>
              <w:ind w:left="0"/>
            </w:pPr>
            <w:r w:rsidRPr="005726AA">
              <w:t>Subtopic</w:t>
            </w:r>
          </w:p>
        </w:tc>
        <w:tc>
          <w:tcPr>
            <w:tcW w:w="1701" w:type="dxa"/>
          </w:tcPr>
          <w:p w14:paraId="73332716" w14:textId="77777777" w:rsidR="008E29CC" w:rsidRPr="005726AA" w:rsidRDefault="008E29CC" w:rsidP="00CE639A">
            <w:pPr>
              <w:tabs>
                <w:tab w:val="left" w:pos="3261"/>
              </w:tabs>
              <w:ind w:left="0"/>
            </w:pPr>
            <w:r w:rsidRPr="005726AA">
              <w:t>Study ID</w:t>
            </w:r>
          </w:p>
        </w:tc>
      </w:tr>
      <w:tr w:rsidR="008E29CC" w:rsidRPr="00C37A1D" w14:paraId="1B9B58D6" w14:textId="77777777" w:rsidTr="00CE639A">
        <w:tc>
          <w:tcPr>
            <w:tcW w:w="3369" w:type="dxa"/>
            <w:vMerge w:val="restart"/>
          </w:tcPr>
          <w:p w14:paraId="27E3F174" w14:textId="20E89EAB" w:rsidR="008E29CC" w:rsidRPr="005726AA" w:rsidRDefault="008E29CC" w:rsidP="00CE639A">
            <w:pPr>
              <w:tabs>
                <w:tab w:val="left" w:pos="3261"/>
              </w:tabs>
              <w:ind w:left="0"/>
            </w:pPr>
            <w:r w:rsidRPr="005726AA">
              <w:t xml:space="preserve">Primary </w:t>
            </w:r>
            <w:r w:rsidR="00A25795">
              <w:t>p</w:t>
            </w:r>
            <w:r w:rsidRPr="005726AA">
              <w:t>harmacology</w:t>
            </w:r>
          </w:p>
        </w:tc>
        <w:tc>
          <w:tcPr>
            <w:tcW w:w="3543" w:type="dxa"/>
          </w:tcPr>
          <w:p w14:paraId="6EB2A995" w14:textId="224BEB7C" w:rsidR="008E29CC" w:rsidRPr="005726AA" w:rsidRDefault="008E29CC" w:rsidP="00CE639A">
            <w:pPr>
              <w:tabs>
                <w:tab w:val="left" w:pos="3261"/>
              </w:tabs>
              <w:ind w:left="0"/>
            </w:pPr>
            <w:r w:rsidRPr="005726AA">
              <w:t xml:space="preserve">Effect on </w:t>
            </w:r>
            <w:r w:rsidR="00881772">
              <w:t>BMD</w:t>
            </w:r>
          </w:p>
        </w:tc>
        <w:tc>
          <w:tcPr>
            <w:tcW w:w="1701" w:type="dxa"/>
          </w:tcPr>
          <w:p w14:paraId="5720AD0B" w14:textId="77777777" w:rsidR="008E29CC" w:rsidRPr="005726AA" w:rsidRDefault="008E29CC" w:rsidP="00CE639A">
            <w:pPr>
              <w:tabs>
                <w:tab w:val="left" w:pos="3261"/>
              </w:tabs>
              <w:ind w:left="0"/>
            </w:pPr>
            <w:r w:rsidRPr="005726AA">
              <w:t>20090153</w:t>
            </w:r>
          </w:p>
        </w:tc>
      </w:tr>
      <w:tr w:rsidR="008E29CC" w:rsidRPr="00C37A1D" w14:paraId="40A5EF69" w14:textId="77777777" w:rsidTr="00CE639A">
        <w:tc>
          <w:tcPr>
            <w:tcW w:w="3369" w:type="dxa"/>
            <w:vMerge/>
          </w:tcPr>
          <w:p w14:paraId="31ABDB6A" w14:textId="77777777" w:rsidR="008E29CC" w:rsidRPr="005726AA" w:rsidRDefault="008E29CC" w:rsidP="00CE639A">
            <w:pPr>
              <w:tabs>
                <w:tab w:val="left" w:pos="3261"/>
              </w:tabs>
              <w:ind w:left="0"/>
              <w:rPr>
                <w:color w:val="auto"/>
                <w:lang w:eastAsia="en-US"/>
              </w:rPr>
            </w:pPr>
          </w:p>
        </w:tc>
        <w:tc>
          <w:tcPr>
            <w:tcW w:w="3543" w:type="dxa"/>
          </w:tcPr>
          <w:p w14:paraId="290D4AE6" w14:textId="2E46479B" w:rsidR="008E29CC" w:rsidRPr="005726AA" w:rsidRDefault="008E29CC" w:rsidP="00CE639A">
            <w:pPr>
              <w:tabs>
                <w:tab w:val="left" w:pos="3261"/>
              </w:tabs>
              <w:ind w:left="0"/>
            </w:pPr>
            <w:r w:rsidRPr="005726AA">
              <w:t xml:space="preserve">Effect on </w:t>
            </w:r>
            <w:r w:rsidR="00881772">
              <w:t>BMD</w:t>
            </w:r>
          </w:p>
        </w:tc>
        <w:tc>
          <w:tcPr>
            <w:tcW w:w="1701" w:type="dxa"/>
          </w:tcPr>
          <w:p w14:paraId="7DFF27C7" w14:textId="77777777" w:rsidR="008E29CC" w:rsidRPr="005726AA" w:rsidRDefault="008E29CC" w:rsidP="00CE639A">
            <w:pPr>
              <w:tabs>
                <w:tab w:val="left" w:pos="3261"/>
              </w:tabs>
              <w:ind w:left="0"/>
            </w:pPr>
            <w:r w:rsidRPr="005726AA">
              <w:t>20110253</w:t>
            </w:r>
          </w:p>
        </w:tc>
      </w:tr>
      <w:tr w:rsidR="008E29CC" w:rsidRPr="00C37A1D" w14:paraId="2D648337" w14:textId="77777777" w:rsidTr="00CE639A">
        <w:tc>
          <w:tcPr>
            <w:tcW w:w="3369" w:type="dxa"/>
            <w:vMerge w:val="restart"/>
          </w:tcPr>
          <w:p w14:paraId="38DE5B33" w14:textId="519F1ED0" w:rsidR="008E29CC" w:rsidRPr="005726AA" w:rsidRDefault="008E29CC" w:rsidP="00CE639A">
            <w:pPr>
              <w:tabs>
                <w:tab w:val="left" w:pos="3261"/>
              </w:tabs>
              <w:ind w:left="0"/>
            </w:pPr>
            <w:r w:rsidRPr="005726AA">
              <w:t xml:space="preserve">Secondary </w:t>
            </w:r>
            <w:r w:rsidR="00A25795">
              <w:t>p</w:t>
            </w:r>
            <w:r w:rsidRPr="005726AA">
              <w:t>harmacology</w:t>
            </w:r>
          </w:p>
        </w:tc>
        <w:tc>
          <w:tcPr>
            <w:tcW w:w="3543" w:type="dxa"/>
          </w:tcPr>
          <w:p w14:paraId="455D7504" w14:textId="0C75C067" w:rsidR="008E29CC" w:rsidRPr="005726AA" w:rsidRDefault="008E29CC" w:rsidP="00CE639A">
            <w:pPr>
              <w:tabs>
                <w:tab w:val="left" w:pos="3261"/>
              </w:tabs>
              <w:ind w:left="0"/>
            </w:pPr>
            <w:r w:rsidRPr="005726AA">
              <w:t xml:space="preserve">Effect on </w:t>
            </w:r>
            <w:r w:rsidR="00A25795">
              <w:t>s</w:t>
            </w:r>
            <w:r w:rsidR="00C6013F" w:rsidRPr="00C6013F">
              <w:t xml:space="preserve">erum type 1 </w:t>
            </w:r>
            <w:proofErr w:type="spellStart"/>
            <w:r w:rsidR="00C6013F" w:rsidRPr="00C6013F">
              <w:t>aminoterminal</w:t>
            </w:r>
            <w:proofErr w:type="spellEnd"/>
            <w:r w:rsidR="00C6013F" w:rsidRPr="00C6013F">
              <w:t xml:space="preserve"> </w:t>
            </w:r>
            <w:proofErr w:type="spellStart"/>
            <w:r w:rsidR="00C6013F" w:rsidRPr="00C6013F">
              <w:t>propeptide</w:t>
            </w:r>
            <w:proofErr w:type="spellEnd"/>
            <w:r w:rsidR="00654353">
              <w:t xml:space="preserve"> (P1NP)</w:t>
            </w:r>
          </w:p>
        </w:tc>
        <w:tc>
          <w:tcPr>
            <w:tcW w:w="1701" w:type="dxa"/>
          </w:tcPr>
          <w:p w14:paraId="2D5EEADA" w14:textId="77777777" w:rsidR="008E29CC" w:rsidRPr="005726AA" w:rsidRDefault="008E29CC" w:rsidP="00CE639A">
            <w:pPr>
              <w:tabs>
                <w:tab w:val="left" w:pos="3261"/>
              </w:tabs>
              <w:ind w:left="0"/>
            </w:pPr>
            <w:r w:rsidRPr="005726AA">
              <w:t>20060223</w:t>
            </w:r>
          </w:p>
        </w:tc>
      </w:tr>
      <w:tr w:rsidR="008E29CC" w:rsidRPr="00C37A1D" w14:paraId="0D50443B" w14:textId="77777777" w:rsidTr="00CE639A">
        <w:tc>
          <w:tcPr>
            <w:tcW w:w="3369" w:type="dxa"/>
            <w:vMerge/>
          </w:tcPr>
          <w:p w14:paraId="040A9C8A" w14:textId="77777777" w:rsidR="008E29CC" w:rsidRPr="005726AA" w:rsidRDefault="008E29CC" w:rsidP="00CE639A">
            <w:pPr>
              <w:tabs>
                <w:tab w:val="left" w:pos="3261"/>
              </w:tabs>
              <w:ind w:left="0"/>
              <w:rPr>
                <w:color w:val="auto"/>
                <w:lang w:eastAsia="en-US"/>
              </w:rPr>
            </w:pPr>
          </w:p>
        </w:tc>
        <w:tc>
          <w:tcPr>
            <w:tcW w:w="3543" w:type="dxa"/>
          </w:tcPr>
          <w:p w14:paraId="26241F85" w14:textId="20C6B442" w:rsidR="008E29CC" w:rsidRPr="005726AA" w:rsidRDefault="008E29CC" w:rsidP="00CE639A">
            <w:pPr>
              <w:tabs>
                <w:tab w:val="left" w:pos="3261"/>
              </w:tabs>
              <w:ind w:left="0"/>
            </w:pPr>
            <w:r w:rsidRPr="005726AA">
              <w:t xml:space="preserve">Effect on </w:t>
            </w:r>
            <w:r w:rsidR="00A25795">
              <w:t>s</w:t>
            </w:r>
            <w:r w:rsidR="0004110C" w:rsidRPr="0004110C">
              <w:t xml:space="preserve">erum type 1 </w:t>
            </w:r>
            <w:proofErr w:type="spellStart"/>
            <w:r w:rsidR="0004110C" w:rsidRPr="0004110C">
              <w:lastRenderedPageBreak/>
              <w:t>aminoterminal</w:t>
            </w:r>
            <w:proofErr w:type="spellEnd"/>
            <w:r w:rsidR="0004110C" w:rsidRPr="0004110C">
              <w:t xml:space="preserve"> </w:t>
            </w:r>
            <w:proofErr w:type="spellStart"/>
            <w:r w:rsidR="0004110C" w:rsidRPr="0004110C">
              <w:t>propeptide</w:t>
            </w:r>
            <w:proofErr w:type="spellEnd"/>
            <w:r w:rsidR="00654353">
              <w:t xml:space="preserve"> (P1NP)</w:t>
            </w:r>
          </w:p>
        </w:tc>
        <w:tc>
          <w:tcPr>
            <w:tcW w:w="1701" w:type="dxa"/>
          </w:tcPr>
          <w:p w14:paraId="52D9EC6F" w14:textId="77777777" w:rsidR="008E29CC" w:rsidRPr="005726AA" w:rsidRDefault="008E29CC" w:rsidP="00CE639A">
            <w:pPr>
              <w:tabs>
                <w:tab w:val="left" w:pos="3261"/>
              </w:tabs>
              <w:ind w:left="0"/>
            </w:pPr>
            <w:r w:rsidRPr="005726AA">
              <w:rPr>
                <w:bCs/>
              </w:rPr>
              <w:lastRenderedPageBreak/>
              <w:t xml:space="preserve">20090153, </w:t>
            </w:r>
            <w:r w:rsidRPr="005726AA">
              <w:rPr>
                <w:bCs/>
              </w:rPr>
              <w:lastRenderedPageBreak/>
              <w:t>20110253</w:t>
            </w:r>
          </w:p>
        </w:tc>
      </w:tr>
      <w:tr w:rsidR="008E29CC" w:rsidRPr="00C37A1D" w14:paraId="7AD28164" w14:textId="77777777" w:rsidTr="00CE639A">
        <w:tc>
          <w:tcPr>
            <w:tcW w:w="3369" w:type="dxa"/>
            <w:vMerge/>
          </w:tcPr>
          <w:p w14:paraId="5B56401B" w14:textId="77777777" w:rsidR="008E29CC" w:rsidRPr="005726AA" w:rsidRDefault="008E29CC" w:rsidP="00CE639A">
            <w:pPr>
              <w:tabs>
                <w:tab w:val="left" w:pos="3261"/>
              </w:tabs>
              <w:ind w:left="0"/>
            </w:pPr>
          </w:p>
        </w:tc>
        <w:tc>
          <w:tcPr>
            <w:tcW w:w="3543" w:type="dxa"/>
          </w:tcPr>
          <w:p w14:paraId="16E64040" w14:textId="77777777" w:rsidR="008E29CC" w:rsidRPr="005726AA" w:rsidRDefault="008E29CC" w:rsidP="00CE639A">
            <w:pPr>
              <w:tabs>
                <w:tab w:val="left" w:pos="3261"/>
              </w:tabs>
              <w:ind w:left="0"/>
            </w:pPr>
            <w:r w:rsidRPr="005726AA">
              <w:t xml:space="preserve">Effect on </w:t>
            </w:r>
            <w:r w:rsidR="00F823A9">
              <w:t>serum C-</w:t>
            </w:r>
            <w:proofErr w:type="spellStart"/>
            <w:r w:rsidR="00F823A9">
              <w:t>telopeptide</w:t>
            </w:r>
            <w:proofErr w:type="spellEnd"/>
          </w:p>
        </w:tc>
        <w:tc>
          <w:tcPr>
            <w:tcW w:w="1701" w:type="dxa"/>
          </w:tcPr>
          <w:p w14:paraId="1A3B9512" w14:textId="77777777" w:rsidR="008E29CC" w:rsidRPr="005726AA" w:rsidRDefault="008E29CC" w:rsidP="00CE639A">
            <w:pPr>
              <w:tabs>
                <w:tab w:val="left" w:pos="3261"/>
              </w:tabs>
              <w:ind w:left="0"/>
            </w:pPr>
            <w:r w:rsidRPr="005726AA">
              <w:t xml:space="preserve">20060223, 20090153, </w:t>
            </w:r>
            <w:r w:rsidRPr="005726AA">
              <w:rPr>
                <w:bCs/>
              </w:rPr>
              <w:t>20110253</w:t>
            </w:r>
          </w:p>
        </w:tc>
      </w:tr>
      <w:tr w:rsidR="008E29CC" w:rsidRPr="00C37A1D" w14:paraId="5A31560D" w14:textId="77777777" w:rsidTr="00CE639A">
        <w:tc>
          <w:tcPr>
            <w:tcW w:w="3369" w:type="dxa"/>
            <w:vMerge w:val="restart"/>
          </w:tcPr>
          <w:p w14:paraId="78BADFD2" w14:textId="55294CF9" w:rsidR="008E29CC" w:rsidRPr="005726AA" w:rsidRDefault="008E29CC" w:rsidP="00CE639A">
            <w:pPr>
              <w:tabs>
                <w:tab w:val="left" w:pos="3261"/>
              </w:tabs>
              <w:ind w:left="0"/>
            </w:pPr>
            <w:r w:rsidRPr="005726AA">
              <w:t>Gender</w:t>
            </w:r>
            <w:r w:rsidR="00A25795">
              <w:t>,</w:t>
            </w:r>
            <w:r w:rsidRPr="005726AA">
              <w:t xml:space="preserve"> other genetic and </w:t>
            </w:r>
            <w:r w:rsidR="00A25795">
              <w:t>a</w:t>
            </w:r>
            <w:r w:rsidRPr="005726AA">
              <w:t xml:space="preserve">ge </w:t>
            </w:r>
            <w:r w:rsidR="00A25795">
              <w:t>r</w:t>
            </w:r>
            <w:r w:rsidRPr="005726AA">
              <w:t xml:space="preserve">elated </w:t>
            </w:r>
            <w:r w:rsidR="00A25795">
              <w:t>d</w:t>
            </w:r>
            <w:r w:rsidRPr="005726AA">
              <w:t xml:space="preserve">ifferences in </w:t>
            </w:r>
            <w:r w:rsidR="00CE639A">
              <w:t>pharmacodynamic</w:t>
            </w:r>
            <w:r w:rsidR="00CE639A" w:rsidRPr="005726AA">
              <w:t xml:space="preserve"> response</w:t>
            </w:r>
          </w:p>
        </w:tc>
        <w:tc>
          <w:tcPr>
            <w:tcW w:w="3543" w:type="dxa"/>
          </w:tcPr>
          <w:p w14:paraId="34297D4A" w14:textId="77777777" w:rsidR="008E29CC" w:rsidRPr="005726AA" w:rsidRDefault="008E29CC" w:rsidP="00CE639A">
            <w:pPr>
              <w:tabs>
                <w:tab w:val="left" w:pos="3261"/>
              </w:tabs>
              <w:ind w:left="0"/>
            </w:pPr>
            <w:r w:rsidRPr="005726AA">
              <w:t>Effect of gender</w:t>
            </w:r>
          </w:p>
        </w:tc>
        <w:tc>
          <w:tcPr>
            <w:tcW w:w="1701" w:type="dxa"/>
          </w:tcPr>
          <w:p w14:paraId="36B85F6B" w14:textId="77777777" w:rsidR="008E29CC" w:rsidRPr="005726AA" w:rsidRDefault="008E29CC" w:rsidP="00CE639A">
            <w:pPr>
              <w:tabs>
                <w:tab w:val="left" w:pos="3261"/>
              </w:tabs>
              <w:ind w:left="0"/>
            </w:pPr>
            <w:r w:rsidRPr="005726AA">
              <w:t>None</w:t>
            </w:r>
          </w:p>
        </w:tc>
      </w:tr>
      <w:tr w:rsidR="008E29CC" w:rsidRPr="00C37A1D" w14:paraId="5B04BE2A" w14:textId="77777777" w:rsidTr="00CE639A">
        <w:tc>
          <w:tcPr>
            <w:tcW w:w="3369" w:type="dxa"/>
            <w:vMerge/>
          </w:tcPr>
          <w:p w14:paraId="31BF03D2" w14:textId="77777777" w:rsidR="008E29CC" w:rsidRPr="005726AA" w:rsidRDefault="008E29CC" w:rsidP="00CE639A">
            <w:pPr>
              <w:tabs>
                <w:tab w:val="left" w:pos="3261"/>
              </w:tabs>
              <w:ind w:left="0"/>
              <w:rPr>
                <w:color w:val="auto"/>
                <w:lang w:eastAsia="en-US"/>
              </w:rPr>
            </w:pPr>
          </w:p>
        </w:tc>
        <w:tc>
          <w:tcPr>
            <w:tcW w:w="3543" w:type="dxa"/>
          </w:tcPr>
          <w:p w14:paraId="080253A1" w14:textId="77777777" w:rsidR="008E29CC" w:rsidRPr="005726AA" w:rsidRDefault="008E29CC" w:rsidP="00CE639A">
            <w:pPr>
              <w:tabs>
                <w:tab w:val="left" w:pos="3261"/>
              </w:tabs>
              <w:ind w:left="0"/>
            </w:pPr>
            <w:r w:rsidRPr="005726AA">
              <w:t>Effect of age</w:t>
            </w:r>
          </w:p>
        </w:tc>
        <w:tc>
          <w:tcPr>
            <w:tcW w:w="1701" w:type="dxa"/>
          </w:tcPr>
          <w:p w14:paraId="5C4EEDC6" w14:textId="77777777" w:rsidR="008E29CC" w:rsidRPr="005726AA" w:rsidRDefault="008E29CC" w:rsidP="00CE639A">
            <w:pPr>
              <w:tabs>
                <w:tab w:val="left" w:pos="3261"/>
              </w:tabs>
              <w:ind w:left="0"/>
            </w:pPr>
            <w:r w:rsidRPr="005726AA">
              <w:t>None</w:t>
            </w:r>
          </w:p>
        </w:tc>
      </w:tr>
      <w:tr w:rsidR="008E29CC" w:rsidRPr="00C37A1D" w14:paraId="575BB024" w14:textId="77777777" w:rsidTr="00CE639A">
        <w:tc>
          <w:tcPr>
            <w:tcW w:w="3369" w:type="dxa"/>
          </w:tcPr>
          <w:p w14:paraId="6000270D" w14:textId="1B77A360" w:rsidR="008E29CC" w:rsidRPr="005726AA" w:rsidRDefault="00CE639A" w:rsidP="00CE639A">
            <w:pPr>
              <w:tabs>
                <w:tab w:val="left" w:pos="3261"/>
              </w:tabs>
              <w:ind w:left="0"/>
            </w:pPr>
            <w:r>
              <w:t>P</w:t>
            </w:r>
            <w:r w:rsidR="00C6013F">
              <w:t>harmacodynamics</w:t>
            </w:r>
            <w:r w:rsidR="00A25795">
              <w:t>;</w:t>
            </w:r>
            <w:r w:rsidR="008E29CC" w:rsidRPr="005726AA">
              <w:t xml:space="preserve"> </w:t>
            </w:r>
            <w:r w:rsidR="00A25795">
              <w:t>i</w:t>
            </w:r>
            <w:r w:rsidR="008E29CC" w:rsidRPr="005726AA">
              <w:t>nteractions</w:t>
            </w:r>
          </w:p>
        </w:tc>
        <w:tc>
          <w:tcPr>
            <w:tcW w:w="3543" w:type="dxa"/>
          </w:tcPr>
          <w:p w14:paraId="00E6F6BE" w14:textId="77777777" w:rsidR="008E29CC" w:rsidRPr="005726AA" w:rsidRDefault="008E29CC" w:rsidP="00CE639A">
            <w:pPr>
              <w:tabs>
                <w:tab w:val="left" w:pos="3261"/>
              </w:tabs>
              <w:ind w:left="0"/>
            </w:pPr>
          </w:p>
        </w:tc>
        <w:tc>
          <w:tcPr>
            <w:tcW w:w="1701" w:type="dxa"/>
          </w:tcPr>
          <w:p w14:paraId="37948268" w14:textId="77777777" w:rsidR="008E29CC" w:rsidRPr="005726AA" w:rsidRDefault="008E29CC" w:rsidP="00CE639A">
            <w:pPr>
              <w:tabs>
                <w:tab w:val="left" w:pos="3261"/>
              </w:tabs>
              <w:ind w:left="0"/>
            </w:pPr>
            <w:r w:rsidRPr="005726AA">
              <w:t>None</w:t>
            </w:r>
          </w:p>
        </w:tc>
      </w:tr>
      <w:tr w:rsidR="008E29CC" w:rsidRPr="00C37A1D" w14:paraId="7810C280" w14:textId="77777777" w:rsidTr="00CE639A">
        <w:tc>
          <w:tcPr>
            <w:tcW w:w="3369" w:type="dxa"/>
            <w:vMerge w:val="restart"/>
          </w:tcPr>
          <w:p w14:paraId="73812AA5" w14:textId="77777777" w:rsidR="008E29CC" w:rsidRPr="005726AA" w:rsidRDefault="008E29CC" w:rsidP="00CE639A">
            <w:pPr>
              <w:tabs>
                <w:tab w:val="left" w:pos="3261"/>
              </w:tabs>
              <w:ind w:left="0"/>
            </w:pPr>
            <w:r w:rsidRPr="005726AA">
              <w:t xml:space="preserve">Population </w:t>
            </w:r>
            <w:r w:rsidR="00C6013F">
              <w:t>pharmacodynamics</w:t>
            </w:r>
            <w:r w:rsidRPr="005726AA">
              <w:t xml:space="preserve"> and </w:t>
            </w:r>
            <w:r w:rsidR="00C6013F">
              <w:t>pharmacokinetics</w:t>
            </w:r>
            <w:r w:rsidRPr="005726AA">
              <w:t>-</w:t>
            </w:r>
            <w:r w:rsidR="00C6013F">
              <w:t>pharmacodynamics</w:t>
            </w:r>
            <w:r w:rsidRPr="005726AA">
              <w:t xml:space="preserve"> analyses</w:t>
            </w:r>
          </w:p>
        </w:tc>
        <w:tc>
          <w:tcPr>
            <w:tcW w:w="3543" w:type="dxa"/>
          </w:tcPr>
          <w:p w14:paraId="3D4DE66A" w14:textId="77777777" w:rsidR="008E29CC" w:rsidRPr="005726AA" w:rsidRDefault="008E29CC" w:rsidP="00CE639A">
            <w:pPr>
              <w:tabs>
                <w:tab w:val="left" w:pos="3261"/>
              </w:tabs>
              <w:ind w:left="0"/>
            </w:pPr>
            <w:r w:rsidRPr="005726AA">
              <w:t xml:space="preserve">Target population </w:t>
            </w:r>
          </w:p>
        </w:tc>
        <w:tc>
          <w:tcPr>
            <w:tcW w:w="1701" w:type="dxa"/>
          </w:tcPr>
          <w:p w14:paraId="708D4EB1" w14:textId="77777777" w:rsidR="008E29CC" w:rsidRPr="005726AA" w:rsidRDefault="008E29CC" w:rsidP="00CE639A">
            <w:pPr>
              <w:tabs>
                <w:tab w:val="left" w:pos="3261"/>
              </w:tabs>
              <w:ind w:left="0"/>
            </w:pPr>
            <w:r w:rsidRPr="005726AA">
              <w:t>119384B</w:t>
            </w:r>
          </w:p>
        </w:tc>
      </w:tr>
      <w:tr w:rsidR="008E29CC" w:rsidRPr="00C37A1D" w14:paraId="49B2B7DD" w14:textId="77777777" w:rsidTr="00CE639A">
        <w:tc>
          <w:tcPr>
            <w:tcW w:w="3369" w:type="dxa"/>
            <w:vMerge/>
          </w:tcPr>
          <w:p w14:paraId="36029F6A" w14:textId="77777777" w:rsidR="008E29CC" w:rsidRPr="005726AA" w:rsidRDefault="008E29CC" w:rsidP="00CE639A">
            <w:pPr>
              <w:tabs>
                <w:tab w:val="left" w:pos="3261"/>
              </w:tabs>
              <w:ind w:left="0"/>
              <w:rPr>
                <w:color w:val="auto"/>
                <w:lang w:eastAsia="en-US"/>
              </w:rPr>
            </w:pPr>
          </w:p>
        </w:tc>
        <w:tc>
          <w:tcPr>
            <w:tcW w:w="3543" w:type="dxa"/>
          </w:tcPr>
          <w:p w14:paraId="1DAA632D" w14:textId="77777777" w:rsidR="008E29CC" w:rsidRPr="005726AA" w:rsidRDefault="008E29CC" w:rsidP="00CE639A">
            <w:pPr>
              <w:tabs>
                <w:tab w:val="left" w:pos="3261"/>
              </w:tabs>
              <w:ind w:left="0"/>
            </w:pPr>
            <w:r w:rsidRPr="005726AA">
              <w:t>Target population</w:t>
            </w:r>
          </w:p>
        </w:tc>
        <w:tc>
          <w:tcPr>
            <w:tcW w:w="1701" w:type="dxa"/>
          </w:tcPr>
          <w:p w14:paraId="2CAB7BA2" w14:textId="77777777" w:rsidR="008E29CC" w:rsidRPr="005726AA" w:rsidRDefault="008E29CC" w:rsidP="00CE639A">
            <w:pPr>
              <w:tabs>
                <w:tab w:val="left" w:pos="3261"/>
              </w:tabs>
              <w:ind w:left="0"/>
            </w:pPr>
            <w:r w:rsidRPr="005726AA">
              <w:t>119384C</w:t>
            </w:r>
          </w:p>
        </w:tc>
      </w:tr>
    </w:tbl>
    <w:p w14:paraId="68447419" w14:textId="77777777" w:rsidR="003F09E4" w:rsidRDefault="00605AD4" w:rsidP="00605AD4">
      <w:pPr>
        <w:pStyle w:val="Heading4"/>
      </w:pPr>
      <w:r>
        <w:t>Evaluator’s conclusions on pharmacodynamics</w:t>
      </w:r>
    </w:p>
    <w:p w14:paraId="2526C29E" w14:textId="0BCB6758" w:rsidR="008D74BF" w:rsidRDefault="008E29CC" w:rsidP="008E29CC">
      <w:r>
        <w:t>Administration of single or multiple doses of romosozumab &gt;</w:t>
      </w:r>
      <w:r w:rsidR="00CE639A">
        <w:t xml:space="preserve"> </w:t>
      </w:r>
      <w:r>
        <w:t>1 mg/kg resulted in a dual effect on bone with increased bone formation markers (</w:t>
      </w:r>
      <w:r w:rsidR="004A189B">
        <w:t>s</w:t>
      </w:r>
      <w:r w:rsidR="0004110C" w:rsidRPr="0004110C">
        <w:t xml:space="preserve">erum type 1 </w:t>
      </w:r>
      <w:proofErr w:type="spellStart"/>
      <w:r w:rsidR="0004110C" w:rsidRPr="0004110C">
        <w:t>aminoterminal</w:t>
      </w:r>
      <w:proofErr w:type="spellEnd"/>
      <w:r w:rsidR="0004110C" w:rsidRPr="0004110C">
        <w:t xml:space="preserve"> </w:t>
      </w:r>
      <w:proofErr w:type="spellStart"/>
      <w:r w:rsidR="0004110C" w:rsidRPr="0004110C">
        <w:t>propeptide</w:t>
      </w:r>
      <w:proofErr w:type="spellEnd"/>
      <w:r w:rsidR="00CE639A">
        <w:t xml:space="preserve"> (P1NP)</w:t>
      </w:r>
      <w:r w:rsidR="0004110C">
        <w:t xml:space="preserve">, </w:t>
      </w:r>
      <w:proofErr w:type="spellStart"/>
      <w:r w:rsidR="0004110C">
        <w:t>osteocalcin</w:t>
      </w:r>
      <w:proofErr w:type="spellEnd"/>
      <w:r w:rsidR="0004110C">
        <w:t>, b</w:t>
      </w:r>
      <w:r w:rsidR="0004110C" w:rsidRPr="0004110C">
        <w:t>one</w:t>
      </w:r>
      <w:r w:rsidR="004A189B">
        <w:t xml:space="preserve"> </w:t>
      </w:r>
      <w:r w:rsidR="0004110C" w:rsidRPr="0004110C">
        <w:t>specific alkaline phosphatase</w:t>
      </w:r>
      <w:r>
        <w:t>) and decreased bone resorption markers (</w:t>
      </w:r>
      <w:r w:rsidR="00F823A9">
        <w:t>serum C-</w:t>
      </w:r>
      <w:proofErr w:type="spellStart"/>
      <w:r w:rsidR="00F823A9">
        <w:t>telopeptide</w:t>
      </w:r>
      <w:proofErr w:type="spellEnd"/>
      <w:r>
        <w:t xml:space="preserve">, </w:t>
      </w:r>
      <w:r w:rsidR="0004110C">
        <w:t>t</w:t>
      </w:r>
      <w:r w:rsidR="0004110C" w:rsidRPr="0004110C">
        <w:t>artrate-resistant acid phosphatase</w:t>
      </w:r>
      <w:r w:rsidR="0004110C">
        <w:t xml:space="preserve"> 5b (</w:t>
      </w:r>
      <w:r>
        <w:t>TRAP</w:t>
      </w:r>
      <w:r w:rsidR="00A25795">
        <w:t> </w:t>
      </w:r>
      <w:r>
        <w:t>5b</w:t>
      </w:r>
      <w:r w:rsidR="0004110C">
        <w:t>)</w:t>
      </w:r>
      <w:r>
        <w:t xml:space="preserve">). The concentration-response model adequately described the relationship between romosozumab concentration, bone turnover makers (P1NP and </w:t>
      </w:r>
      <w:r w:rsidR="00F823A9">
        <w:t>serum C</w:t>
      </w:r>
      <w:r w:rsidR="00A25795">
        <w:noBreakHyphen/>
      </w:r>
      <w:proofErr w:type="spellStart"/>
      <w:r w:rsidR="00F823A9">
        <w:t>telopeptide</w:t>
      </w:r>
      <w:proofErr w:type="spellEnd"/>
      <w:r>
        <w:t xml:space="preserve">) and </w:t>
      </w:r>
      <w:r w:rsidR="00881772">
        <w:t>BMD</w:t>
      </w:r>
      <w:r>
        <w:t xml:space="preserve"> gains at the lumbar spine. Of the dosing regimens studied, the highest </w:t>
      </w:r>
      <w:r w:rsidR="00881772">
        <w:t>BMD</w:t>
      </w:r>
      <w:r>
        <w:t xml:space="preserve"> gains at 12</w:t>
      </w:r>
      <w:r w:rsidR="0004110C">
        <w:t> </w:t>
      </w:r>
      <w:r>
        <w:t xml:space="preserve">months were observed for 210 mg SC </w:t>
      </w:r>
      <w:r w:rsidR="00726BDB">
        <w:t>monthly</w:t>
      </w:r>
      <w:r>
        <w:t xml:space="preserve">. The greatest increase in the bone formation marker P1NP, and the longest duration of P1NP increase above baseline were also obtained with the 210 mg SC </w:t>
      </w:r>
      <w:r w:rsidR="0004110C">
        <w:t>monthly</w:t>
      </w:r>
      <w:r>
        <w:t xml:space="preserve"> dosing regimen</w:t>
      </w:r>
      <w:r w:rsidR="008D74BF">
        <w:t>.</w:t>
      </w:r>
    </w:p>
    <w:p w14:paraId="5B04F193" w14:textId="33F1838A" w:rsidR="008E29CC" w:rsidRDefault="00696AC6" w:rsidP="008E29CC">
      <w:r>
        <w:t>Romosozumab</w:t>
      </w:r>
      <w:r w:rsidR="008E29CC">
        <w:t xml:space="preserve"> was without effect on the </w:t>
      </w:r>
      <w:proofErr w:type="spellStart"/>
      <w:r w:rsidR="008E29CC">
        <w:t>QTc</w:t>
      </w:r>
      <w:proofErr w:type="spellEnd"/>
      <w:r w:rsidR="008E29CC">
        <w:t xml:space="preserve"> interval</w:t>
      </w:r>
      <w:r w:rsidR="00A25795">
        <w:t>;</w:t>
      </w:r>
      <w:r w:rsidR="00A25795">
        <w:rPr>
          <w:rStyle w:val="FootnoteReference"/>
        </w:rPr>
        <w:footnoteReference w:id="39"/>
      </w:r>
      <w:r w:rsidR="008E29CC">
        <w:t xml:space="preserve"> in Phase I and II single and repeated dose studies.</w:t>
      </w:r>
    </w:p>
    <w:p w14:paraId="67B48DDC" w14:textId="77777777" w:rsidR="008E29CC" w:rsidRPr="008E29CC" w:rsidRDefault="008E29CC" w:rsidP="008E29CC">
      <w:r>
        <w:t>The pharmacodynamic section of the proposed PI adequately reflects the findings of the studies presented by the sponsor in the application.</w:t>
      </w:r>
    </w:p>
    <w:p w14:paraId="14B31B9F" w14:textId="77777777" w:rsidR="008E7846" w:rsidRDefault="00605AD4" w:rsidP="0004110C">
      <w:pPr>
        <w:pStyle w:val="Heading3"/>
      </w:pPr>
      <w:bookmarkStart w:id="84" w:name="_Toc32481913"/>
      <w:r>
        <w:t>Dosage selection for the pivotal studies</w:t>
      </w:r>
      <w:bookmarkEnd w:id="84"/>
    </w:p>
    <w:p w14:paraId="36376F6A" w14:textId="77777777" w:rsidR="008E29CC" w:rsidRDefault="008E29CC" w:rsidP="0004110C">
      <w:pPr>
        <w:pStyle w:val="Heading4"/>
      </w:pPr>
      <w:r>
        <w:t>Pharmacokinetics and pharmacodynamics: dose finding studies</w:t>
      </w:r>
    </w:p>
    <w:p w14:paraId="07BA0862" w14:textId="6AB47491" w:rsidR="008E29CC" w:rsidRDefault="0004110C" w:rsidP="008E29CC">
      <w:r>
        <w:t>P</w:t>
      </w:r>
      <w:r w:rsidR="00C6013F">
        <w:t>harmacokinetics</w:t>
      </w:r>
      <w:r w:rsidR="008E29CC">
        <w:t>/</w:t>
      </w:r>
      <w:r w:rsidR="00C6013F">
        <w:t>pharmacodynamics</w:t>
      </w:r>
      <w:r w:rsidR="008E29CC">
        <w:t xml:space="preserve"> modelling and simulations using the dose-</w:t>
      </w:r>
      <w:r w:rsidR="00881772">
        <w:t>BMD</w:t>
      </w:r>
      <w:r>
        <w:t xml:space="preserve"> and concentration,</w:t>
      </w:r>
      <w:r w:rsidR="008E29CC">
        <w:t xml:space="preserve"> </w:t>
      </w:r>
      <w:r>
        <w:t>bone turnover marker and</w:t>
      </w:r>
      <w:r w:rsidR="008E29CC">
        <w:t xml:space="preserve"> </w:t>
      </w:r>
      <w:r w:rsidR="00881772">
        <w:t>BMD</w:t>
      </w:r>
      <w:r w:rsidR="008E29CC">
        <w:t xml:space="preserve"> (lumbar spine) models demonstrated that a romosozumab dose of 210 mg SC </w:t>
      </w:r>
      <w:r>
        <w:t>monthly</w:t>
      </w:r>
      <w:r w:rsidR="008E29CC">
        <w:t xml:space="preserve"> provided greater </w:t>
      </w:r>
      <w:r w:rsidR="00881772">
        <w:t>BMD</w:t>
      </w:r>
      <w:r w:rsidR="008E29CC">
        <w:t xml:space="preserve"> gains at </w:t>
      </w:r>
      <w:r>
        <w:t>M</w:t>
      </w:r>
      <w:r w:rsidR="008E29CC">
        <w:t>onth 12 compared to the other dosing regimens tested.</w:t>
      </w:r>
    </w:p>
    <w:p w14:paraId="06E04709" w14:textId="6DEF5336" w:rsidR="008E29CC" w:rsidRDefault="008E29CC" w:rsidP="008E29CC">
      <w:r>
        <w:t xml:space="preserve">Following a single SC dose of romosozumab at 0.1 to 10 mg/kg, increases in P1NP levels were observed as doses increased greater than 1 mg/kg. Following doses of 3 mg/kg or 210 mg, the maximum effect was generally 100% to 150% above the baseline and occurred between 2 and 4 weeks post-dose. Thereafter, P1NP levels returned to baseline </w:t>
      </w:r>
      <w:r>
        <w:lastRenderedPageBreak/>
        <w:t>by 8 to 12 weeks (</w:t>
      </w:r>
      <w:r w:rsidR="0046080E">
        <w:t xml:space="preserve">Studies </w:t>
      </w:r>
      <w:r>
        <w:t xml:space="preserve">20060220, 20090378). Serum </w:t>
      </w:r>
      <w:r w:rsidR="0004110C">
        <w:t>C-</w:t>
      </w:r>
      <w:proofErr w:type="spellStart"/>
      <w:r w:rsidR="0004110C">
        <w:t>telopeptide</w:t>
      </w:r>
      <w:proofErr w:type="spellEnd"/>
      <w:r>
        <w:t xml:space="preserve"> levels decreased following administration of doses greater than 1 mg/kg with the nadir occurring between 1 and 2 weeks post-dose and a return to near baseline at approximately 8 to 12 weeks post-dose. Following multiple SC doses of romosozumab of 1 to 3 mg/kg for 3 months, temporal changes in increases in P1NP levels and decreases in </w:t>
      </w:r>
      <w:r w:rsidR="00F823A9">
        <w:t>serum C-</w:t>
      </w:r>
      <w:proofErr w:type="spellStart"/>
      <w:r w:rsidR="00F823A9">
        <w:t>telopeptide</w:t>
      </w:r>
      <w:proofErr w:type="spellEnd"/>
      <w:r>
        <w:t xml:space="preserve"> </w:t>
      </w:r>
      <w:r w:rsidR="00654353">
        <w:t>(</w:t>
      </w:r>
      <w:proofErr w:type="spellStart"/>
      <w:r w:rsidR="00654353">
        <w:t>sCTX</w:t>
      </w:r>
      <w:proofErr w:type="spellEnd"/>
      <w:r w:rsidR="00654353">
        <w:t xml:space="preserve">) </w:t>
      </w:r>
      <w:r>
        <w:t xml:space="preserve">levels were observed in </w:t>
      </w:r>
      <w:r w:rsidR="0015006C">
        <w:t>once two weekly, four weekly and</w:t>
      </w:r>
      <w:r w:rsidR="00726BDB">
        <w:t xml:space="preserve"> monthly</w:t>
      </w:r>
      <w:r>
        <w:t xml:space="preserve"> regimens (</w:t>
      </w:r>
      <w:r w:rsidR="00AE6845">
        <w:t>Studies</w:t>
      </w:r>
      <w:r w:rsidR="00A25795">
        <w:t> </w:t>
      </w:r>
      <w:r>
        <w:t>20060221, 20090153</w:t>
      </w:r>
      <w:r w:rsidR="00A25795">
        <w:t xml:space="preserve"> and</w:t>
      </w:r>
      <w:r>
        <w:t xml:space="preserve"> 20110253). The magnitude of increases in P1NP levels and decreases in </w:t>
      </w:r>
      <w:proofErr w:type="spellStart"/>
      <w:r w:rsidR="00654353">
        <w:t>sCTX</w:t>
      </w:r>
      <w:proofErr w:type="spellEnd"/>
      <w:r w:rsidR="00654353">
        <w:t xml:space="preserve"> </w:t>
      </w:r>
      <w:r>
        <w:t xml:space="preserve">levels attenuated following multiple doses of romosozumab. The levels of P1NP and </w:t>
      </w:r>
      <w:proofErr w:type="spellStart"/>
      <w:r w:rsidR="00654353">
        <w:t>sCTX</w:t>
      </w:r>
      <w:proofErr w:type="spellEnd"/>
      <w:r w:rsidR="00654353">
        <w:t xml:space="preserve"> </w:t>
      </w:r>
      <w:r>
        <w:t xml:space="preserve">returned to near baseline by the end of the study. The profiles of the other bone formation markers, </w:t>
      </w:r>
      <w:proofErr w:type="spellStart"/>
      <w:r w:rsidR="0004110C">
        <w:t>osteocalcin</w:t>
      </w:r>
      <w:proofErr w:type="spellEnd"/>
      <w:r>
        <w:t xml:space="preserve"> and </w:t>
      </w:r>
      <w:r w:rsidR="0004110C">
        <w:t>bone specific alkaline phosphatase</w:t>
      </w:r>
      <w:r>
        <w:t xml:space="preserve">, in </w:t>
      </w:r>
      <w:r w:rsidR="0004110C">
        <w:t>P</w:t>
      </w:r>
      <w:r>
        <w:t xml:space="preserve">hase </w:t>
      </w:r>
      <w:r w:rsidR="0004110C">
        <w:t>I</w:t>
      </w:r>
      <w:r>
        <w:t xml:space="preserve"> studies were dose dependent and similar to the P1NP profiles following single or multiple doses.</w:t>
      </w:r>
    </w:p>
    <w:p w14:paraId="6511D6EB" w14:textId="77777777" w:rsidR="008E29CC" w:rsidRDefault="008E29CC" w:rsidP="0004110C">
      <w:pPr>
        <w:pStyle w:val="Heading4"/>
      </w:pPr>
      <w:r>
        <w:t xml:space="preserve">Phase </w:t>
      </w:r>
      <w:r w:rsidR="005709A5">
        <w:t>II</w:t>
      </w:r>
      <w:r>
        <w:t xml:space="preserve"> dose finding studies</w:t>
      </w:r>
    </w:p>
    <w:p w14:paraId="786EED7A" w14:textId="76235551" w:rsidR="008D74BF" w:rsidRDefault="008E29CC" w:rsidP="008E29CC">
      <w:r>
        <w:t xml:space="preserve">The main dose-ranging Phase </w:t>
      </w:r>
      <w:r w:rsidR="0004110C">
        <w:t>II</w:t>
      </w:r>
      <w:r>
        <w:t xml:space="preserve"> studies </w:t>
      </w:r>
      <w:r w:rsidR="0046080E">
        <w:t xml:space="preserve">are Studies </w:t>
      </w:r>
      <w:r>
        <w:t xml:space="preserve">20060326 and 20101291. Integrated analyses of </w:t>
      </w:r>
      <w:r w:rsidR="00881772">
        <w:t>BMD</w:t>
      </w:r>
      <w:r>
        <w:t xml:space="preserve"> data for the </w:t>
      </w:r>
      <w:r w:rsidR="004A189B">
        <w:t>monthly</w:t>
      </w:r>
      <w:r>
        <w:t xml:space="preserve"> dose groups in Studies 20060326 and 20101291 demonstrated that the 210</w:t>
      </w:r>
      <w:r w:rsidR="0004110C">
        <w:t xml:space="preserve"> </w:t>
      </w:r>
      <w:r>
        <w:t xml:space="preserve">mg </w:t>
      </w:r>
      <w:r w:rsidR="004A189B">
        <w:t>monthly</w:t>
      </w:r>
      <w:r>
        <w:t xml:space="preserve"> dosing regimen resulted in the greatest increase in </w:t>
      </w:r>
      <w:r w:rsidR="00881772">
        <w:t>BMD</w:t>
      </w:r>
      <w:r>
        <w:t xml:space="preserve"> (</w:t>
      </w:r>
      <w:r w:rsidR="0004110C">
        <w:t>M</w:t>
      </w:r>
      <w:r>
        <w:t xml:space="preserve">onth 12) at the lumbar spine, total hip and </w:t>
      </w:r>
      <w:r w:rsidR="00C85473">
        <w:t>femoral</w:t>
      </w:r>
      <w:r>
        <w:t xml:space="preserve"> neck compared with the other romosozumab dosing regimens tested (70 and 140</w:t>
      </w:r>
      <w:r w:rsidR="00AE6845">
        <w:t> </w:t>
      </w:r>
      <w:r>
        <w:t xml:space="preserve">mg </w:t>
      </w:r>
      <w:r w:rsidR="004A189B">
        <w:t>monthly</w:t>
      </w:r>
      <w:r>
        <w:t xml:space="preserve">). Furthermore, 210 mg </w:t>
      </w:r>
      <w:r w:rsidR="004A189B">
        <w:t>monthly</w:t>
      </w:r>
      <w:r>
        <w:t xml:space="preserve"> and 140 mg </w:t>
      </w:r>
      <w:r w:rsidR="004A189B">
        <w:t>monthly</w:t>
      </w:r>
      <w:r w:rsidR="0004110C">
        <w:t xml:space="preserve"> </w:t>
      </w:r>
      <w:r>
        <w:t xml:space="preserve">consistently increased </w:t>
      </w:r>
      <w:r w:rsidR="00881772">
        <w:t>BMD</w:t>
      </w:r>
      <w:r>
        <w:t xml:space="preserve"> at the lumbar spine, total hip and </w:t>
      </w:r>
      <w:r w:rsidR="00C85473">
        <w:t>femoral</w:t>
      </w:r>
      <w:r>
        <w:t xml:space="preserve"> neck at </w:t>
      </w:r>
      <w:r w:rsidR="0004110C">
        <w:t>M</w:t>
      </w:r>
      <w:r>
        <w:t>onths 6 and 12 (p &lt; 0.001); whereas, results for the romosozumab 70</w:t>
      </w:r>
      <w:r w:rsidR="0004110C">
        <w:t> </w:t>
      </w:r>
      <w:r>
        <w:t xml:space="preserve">mg </w:t>
      </w:r>
      <w:r w:rsidR="004A189B">
        <w:t>monthly</w:t>
      </w:r>
      <w:r>
        <w:t xml:space="preserve"> group were less robust, in particular early in treatment when the percent change from baseline in </w:t>
      </w:r>
      <w:r w:rsidR="00881772">
        <w:t>BMD</w:t>
      </w:r>
      <w:r>
        <w:t xml:space="preserve"> was similar to placebo at </w:t>
      </w:r>
      <w:r w:rsidR="0004110C">
        <w:t>M</w:t>
      </w:r>
      <w:r>
        <w:t xml:space="preserve">onth 6 for the total hip and </w:t>
      </w:r>
      <w:r w:rsidR="00C85473">
        <w:t>femoral</w:t>
      </w:r>
      <w:r>
        <w:t xml:space="preserve"> neck. The 210</w:t>
      </w:r>
      <w:r w:rsidR="0004110C">
        <w:t xml:space="preserve"> </w:t>
      </w:r>
      <w:r>
        <w:t xml:space="preserve">mg </w:t>
      </w:r>
      <w:r w:rsidR="004A189B">
        <w:t>monthly</w:t>
      </w:r>
      <w:r>
        <w:t xml:space="preserve"> dose was also associated with greater increases in </w:t>
      </w:r>
      <w:r w:rsidR="00881772">
        <w:t>BMD</w:t>
      </w:r>
      <w:r>
        <w:t xml:space="preserve"> at the lumbar spine and total hip than the </w:t>
      </w:r>
      <w:r w:rsidR="00726BDB">
        <w:t>two</w:t>
      </w:r>
      <w:r>
        <w:t xml:space="preserve"> active controls, alendronate (Study</w:t>
      </w:r>
      <w:r w:rsidR="00A25795">
        <w:t> </w:t>
      </w:r>
      <w:r>
        <w:t xml:space="preserve">20060326) and teriparatide (Study 20060326 and Study 20080289). The 210 mg SC </w:t>
      </w:r>
      <w:r w:rsidR="00726BDB">
        <w:t>monthly</w:t>
      </w:r>
      <w:r>
        <w:t xml:space="preserve"> dosing regimen produced the largest and most prolonged increase in markers of bone formation, with median P1NP, </w:t>
      </w:r>
      <w:r w:rsidR="00726BDB">
        <w:t>bone specific alkaline phosphatase</w:t>
      </w:r>
      <w:r>
        <w:t xml:space="preserve"> and </w:t>
      </w:r>
      <w:proofErr w:type="spellStart"/>
      <w:r>
        <w:t>osteocalcin</w:t>
      </w:r>
      <w:proofErr w:type="spellEnd"/>
      <w:r>
        <w:t xml:space="preserve"> levels remaining above baseline for 6 to 12 months compared to 3 to 6 months for 140 mg SC </w:t>
      </w:r>
      <w:r w:rsidR="004A189B">
        <w:t>monthly</w:t>
      </w:r>
      <w:r w:rsidR="00726BDB">
        <w:t>.</w:t>
      </w:r>
      <w:r>
        <w:t xml:space="preserve"> In contrast to the bone formation markers which exhibit increases in a dose dependent manner, the reduction in markers of bone resorption appeared to be less dose-dependent. This suggests that compared with 140 mg </w:t>
      </w:r>
      <w:r w:rsidR="004A189B">
        <w:t>monthly</w:t>
      </w:r>
      <w:r>
        <w:t>, the 210</w:t>
      </w:r>
      <w:r w:rsidR="00726BDB">
        <w:t xml:space="preserve"> </w:t>
      </w:r>
      <w:r>
        <w:t xml:space="preserve">mg </w:t>
      </w:r>
      <w:r w:rsidR="004A189B">
        <w:t>monthly</w:t>
      </w:r>
      <w:r>
        <w:t xml:space="preserve"> dose of romosozumab has a greater impact on promoting bone formation without a corresponding further reduction of bone resorption</w:t>
      </w:r>
      <w:r w:rsidR="008D74BF">
        <w:t>.</w:t>
      </w:r>
    </w:p>
    <w:p w14:paraId="5299680A" w14:textId="642AE6F0" w:rsidR="008D74BF" w:rsidRDefault="008E29CC" w:rsidP="008E29CC">
      <w:r>
        <w:t xml:space="preserve">Efficacy, as measured by </w:t>
      </w:r>
      <w:r w:rsidR="00881772">
        <w:t>BMD</w:t>
      </w:r>
      <w:r>
        <w:t xml:space="preserve"> and </w:t>
      </w:r>
      <w:r w:rsidR="00726BDB">
        <w:t>bone turnover marker</w:t>
      </w:r>
      <w:r>
        <w:t>, was significantly lower when romosozumab was given in 3</w:t>
      </w:r>
      <w:r w:rsidR="00726BDB">
        <w:t xml:space="preserve"> </w:t>
      </w:r>
      <w:r>
        <w:t xml:space="preserve">month intervals for both of the doses tested. For example, at </w:t>
      </w:r>
      <w:r w:rsidR="00CE639A">
        <w:t>M</w:t>
      </w:r>
      <w:r>
        <w:t xml:space="preserve">onth 12, the 210 mg </w:t>
      </w:r>
      <w:r w:rsidR="00726BDB">
        <w:t>every 3 month</w:t>
      </w:r>
      <w:r>
        <w:t xml:space="preserve"> </w:t>
      </w:r>
      <w:r w:rsidR="00881772">
        <w:t>BMD</w:t>
      </w:r>
      <w:r>
        <w:t xml:space="preserve"> efficacy was closer to the </w:t>
      </w:r>
      <w:r w:rsidR="00881772">
        <w:t>BMD</w:t>
      </w:r>
      <w:r>
        <w:t xml:space="preserve"> efficacy achieved with 70 mg </w:t>
      </w:r>
      <w:r w:rsidR="004A189B">
        <w:t>monthly</w:t>
      </w:r>
      <w:r>
        <w:t xml:space="preserve"> dosing</w:t>
      </w:r>
      <w:r w:rsidR="008D74BF">
        <w:t>.</w:t>
      </w:r>
    </w:p>
    <w:p w14:paraId="62393840" w14:textId="0FD93F53" w:rsidR="008D74BF" w:rsidRDefault="008E29CC" w:rsidP="008E29CC">
      <w:r>
        <w:t xml:space="preserve">A dose-ranging study in subjects previously treated with bisphosphonates has not been conducted, however </w:t>
      </w:r>
      <w:r w:rsidR="00881772">
        <w:t>BMD</w:t>
      </w:r>
      <w:r>
        <w:t xml:space="preserve"> gains at the lumbar spine, total hip and </w:t>
      </w:r>
      <w:r w:rsidR="00C85473">
        <w:t>femoral</w:t>
      </w:r>
      <w:r>
        <w:t xml:space="preserve"> neck appeared to be greater for bisphosphonate-treated subjects who transitioned to romosozumab 210</w:t>
      </w:r>
      <w:r w:rsidR="00A25795">
        <w:t> </w:t>
      </w:r>
      <w:r>
        <w:t xml:space="preserve">mg </w:t>
      </w:r>
      <w:r w:rsidR="004A189B">
        <w:t>monthly</w:t>
      </w:r>
      <w:r>
        <w:t xml:space="preserve"> in Study 20080289 than for subjects in Study 20060326 who transitioned from alendronate to romosozumab 140 mg </w:t>
      </w:r>
      <w:r w:rsidR="004A189B">
        <w:t>monthly</w:t>
      </w:r>
      <w:r>
        <w:t>. Furthermore, the romosozumab 210</w:t>
      </w:r>
      <w:r w:rsidR="00726BDB">
        <w:t xml:space="preserve"> </w:t>
      </w:r>
      <w:r>
        <w:t xml:space="preserve">mg </w:t>
      </w:r>
      <w:r w:rsidR="004A189B">
        <w:t>monthly</w:t>
      </w:r>
      <w:r>
        <w:t xml:space="preserve"> dose does not appear to have a different safety or immunogenicity profile compared with the other regimens tested in the dose-ranging studies</w:t>
      </w:r>
      <w:r w:rsidR="008D74BF">
        <w:t>.</w:t>
      </w:r>
    </w:p>
    <w:p w14:paraId="482FC950" w14:textId="48E564A6" w:rsidR="008E29CC" w:rsidRDefault="008E29CC" w:rsidP="008E29CC">
      <w:r>
        <w:t>A longitudinal dose-</w:t>
      </w:r>
      <w:r w:rsidR="00881772">
        <w:t>BMD</w:t>
      </w:r>
      <w:r>
        <w:t xml:space="preserve"> response model </w:t>
      </w:r>
      <w:r w:rsidR="00E17AC9">
        <w:t xml:space="preserve">using a nonlinear mixed effects modelling approach </w:t>
      </w:r>
      <w:r>
        <w:t xml:space="preserve">was developed that jointly describes the time courses of </w:t>
      </w:r>
      <w:r w:rsidR="00881772">
        <w:t>BMD</w:t>
      </w:r>
      <w:r>
        <w:t xml:space="preserve"> change from baseline at lumbar spine and total hip as a function of romosozumab dose. The dose-</w:t>
      </w:r>
      <w:r w:rsidR="00881772">
        <w:t>BMD</w:t>
      </w:r>
      <w:r>
        <w:t xml:space="preserve"> response model demonstrated that treatment with romosozumab lead to dose-dependent </w:t>
      </w:r>
      <w:r w:rsidR="00881772">
        <w:t>BMD</w:t>
      </w:r>
      <w:r>
        <w:t xml:space="preserve"> gains at both lumbar spine and total hip for all data including 210</w:t>
      </w:r>
      <w:r w:rsidR="00726BDB">
        <w:t xml:space="preserve"> </w:t>
      </w:r>
      <w:r>
        <w:t xml:space="preserve">mg SC </w:t>
      </w:r>
      <w:r w:rsidR="004A189B">
        <w:t>monthly</w:t>
      </w:r>
      <w:r>
        <w:t xml:space="preserve"> dose in </w:t>
      </w:r>
      <w:r w:rsidR="00726BDB">
        <w:t>postmenopausal osteoporosis</w:t>
      </w:r>
      <w:r>
        <w:t xml:space="preserve"> subjects. Subjects who were on prior denosumab </w:t>
      </w:r>
      <w:r>
        <w:lastRenderedPageBreak/>
        <w:t>treatment had a slower rate of onset for romosozumab treatment effect at lumbar spine (6.2 months) but showed no total hip gain when transitioned to romosozumab.</w:t>
      </w:r>
    </w:p>
    <w:p w14:paraId="6C4AE8A3" w14:textId="256A0BF7" w:rsidR="008E29CC" w:rsidRDefault="008E29CC" w:rsidP="008E29CC">
      <w:r>
        <w:t>The dose-</w:t>
      </w:r>
      <w:r w:rsidR="00881772">
        <w:t>BMD</w:t>
      </w:r>
      <w:r>
        <w:t xml:space="preserve"> model demonstrated a significant relationship between romosozumab dose and frequency with </w:t>
      </w:r>
      <w:r w:rsidR="00881772">
        <w:t>BMD</w:t>
      </w:r>
      <w:r>
        <w:t xml:space="preserve"> gains at lumbar spine and hip. For a given dose, </w:t>
      </w:r>
      <w:r w:rsidR="004A189B">
        <w:t>monthly</w:t>
      </w:r>
      <w:r>
        <w:t xml:space="preserve"> administration provided significantly greater </w:t>
      </w:r>
      <w:r w:rsidR="00881772">
        <w:t>BMD</w:t>
      </w:r>
      <w:r>
        <w:t xml:space="preserve"> gains at lumbar spine and total hip than </w:t>
      </w:r>
      <w:r w:rsidR="00726BDB">
        <w:t>with every 3 months</w:t>
      </w:r>
      <w:r>
        <w:t xml:space="preserve"> administration, while </w:t>
      </w:r>
      <w:r w:rsidR="00881772">
        <w:t>BMD</w:t>
      </w:r>
      <w:r>
        <w:t xml:space="preserve"> gains were similar for </w:t>
      </w:r>
      <w:r w:rsidR="004A189B">
        <w:t>monthly</w:t>
      </w:r>
      <w:r>
        <w:t xml:space="preserve"> and </w:t>
      </w:r>
      <w:r w:rsidR="00726BDB">
        <w:t>every 3 months</w:t>
      </w:r>
      <w:r>
        <w:t xml:space="preserve"> dosing of the same cumulative dose (</w:t>
      </w:r>
      <w:r w:rsidR="00726BDB">
        <w:t>for example</w:t>
      </w:r>
      <w:r>
        <w:t xml:space="preserve">, 70 mg </w:t>
      </w:r>
      <w:r w:rsidR="004A189B">
        <w:t>monthly</w:t>
      </w:r>
      <w:r>
        <w:t xml:space="preserve"> versus 210 mg </w:t>
      </w:r>
      <w:r w:rsidR="00726BDB">
        <w:t>every 3 months</w:t>
      </w:r>
      <w:r>
        <w:t xml:space="preserve">). Model predicted time courses for the </w:t>
      </w:r>
      <w:r w:rsidR="004A189B">
        <w:t>monthly</w:t>
      </w:r>
      <w:r>
        <w:t xml:space="preserve"> dose regimens indicated that the 210</w:t>
      </w:r>
      <w:r w:rsidR="00726BDB">
        <w:t xml:space="preserve"> </w:t>
      </w:r>
      <w:r>
        <w:t xml:space="preserve">mg dose provided the most rapid and extensive gains in </w:t>
      </w:r>
      <w:r w:rsidR="00881772">
        <w:t>BMD</w:t>
      </w:r>
      <w:r>
        <w:t xml:space="preserve"> over the course of 12</w:t>
      </w:r>
      <w:r w:rsidR="00726BDB">
        <w:t xml:space="preserve"> </w:t>
      </w:r>
      <w:r>
        <w:t>month treatment.</w:t>
      </w:r>
    </w:p>
    <w:p w14:paraId="10CBA89C" w14:textId="77777777" w:rsidR="008E29CC" w:rsidRDefault="008E29CC" w:rsidP="00726BDB">
      <w:pPr>
        <w:pStyle w:val="Heading4"/>
      </w:pPr>
      <w:r>
        <w:t>Phase III pivotal studies investigating more than one dose regimen</w:t>
      </w:r>
    </w:p>
    <w:p w14:paraId="701011A8" w14:textId="6DB735F9" w:rsidR="00726BDB" w:rsidRDefault="008E29CC" w:rsidP="00726BDB">
      <w:r>
        <w:t>Only the proposed dose of 210</w:t>
      </w:r>
      <w:r w:rsidR="005709A5">
        <w:t xml:space="preserve"> </w:t>
      </w:r>
      <w:r>
        <w:t xml:space="preserve">mg SC administered monthly was evaluated in all three </w:t>
      </w:r>
      <w:r w:rsidR="005709A5" w:rsidRPr="005709A5">
        <w:t xml:space="preserve">Phase </w:t>
      </w:r>
      <w:r w:rsidR="005709A5">
        <w:t>III</w:t>
      </w:r>
      <w:r w:rsidR="005709A5" w:rsidRPr="005709A5">
        <w:t xml:space="preserve"> studies (</w:t>
      </w:r>
      <w:r w:rsidR="0046080E">
        <w:t xml:space="preserve">Studies </w:t>
      </w:r>
      <w:r w:rsidR="005709A5" w:rsidRPr="005709A5">
        <w:t>20070337, 20110142 and 20110174</w:t>
      </w:r>
      <w:r w:rsidR="005709A5">
        <w:t>).</w:t>
      </w:r>
    </w:p>
    <w:p w14:paraId="33824195" w14:textId="77777777" w:rsidR="008E29CC" w:rsidRDefault="008E29CC" w:rsidP="00726BDB">
      <w:pPr>
        <w:pStyle w:val="Heading4"/>
      </w:pPr>
      <w:r>
        <w:t>Evaluator’s conclusions on dose finding for the pivotal studies</w:t>
      </w:r>
    </w:p>
    <w:p w14:paraId="271ACC2B" w14:textId="12023FD7" w:rsidR="008D74BF" w:rsidRDefault="008E29CC" w:rsidP="008E29CC">
      <w:r>
        <w:t xml:space="preserve">The </w:t>
      </w:r>
      <w:r w:rsidR="00726BDB">
        <w:t>P</w:t>
      </w:r>
      <w:r>
        <w:t xml:space="preserve">hase </w:t>
      </w:r>
      <w:r w:rsidR="00726BDB">
        <w:t>II</w:t>
      </w:r>
      <w:r w:rsidR="0046080E">
        <w:t xml:space="preserve"> S</w:t>
      </w:r>
      <w:r>
        <w:t>tudie</w:t>
      </w:r>
      <w:r w:rsidR="0046080E">
        <w:t>s 20060326 and 20101291,</w:t>
      </w:r>
      <w:r>
        <w:t xml:space="preserve"> evaluated a range of doses, durations and intervals to allow identification of the most efficacious dosing regimen without incurring additional adverse events. As recommended in the CHMP guidelines</w:t>
      </w:r>
      <w:r w:rsidR="00A25795">
        <w:t>;</w:t>
      </w:r>
      <w:r w:rsidR="0046080E">
        <w:rPr>
          <w:rStyle w:val="FootnoteReference"/>
        </w:rPr>
        <w:footnoteReference w:id="40"/>
      </w:r>
      <w:r>
        <w:t xml:space="preserve"> on the evaluation of medicinal products in the treatment of primary osteoporosis (</w:t>
      </w:r>
      <w:r w:rsidR="005111DC">
        <w:t xml:space="preserve">adopted </w:t>
      </w:r>
      <w:r>
        <w:t>2007), a parallel</w:t>
      </w:r>
      <w:r w:rsidR="00726BDB">
        <w:t xml:space="preserve"> </w:t>
      </w:r>
      <w:r>
        <w:t>group, fixed dose, double</w:t>
      </w:r>
      <w:r w:rsidR="00726BDB">
        <w:t xml:space="preserve"> </w:t>
      </w:r>
      <w:r>
        <w:t>blind, placebo</w:t>
      </w:r>
      <w:r w:rsidR="00726BDB">
        <w:t xml:space="preserve"> </w:t>
      </w:r>
      <w:r>
        <w:t xml:space="preserve">controlled study design was used in these dose-finding Phase </w:t>
      </w:r>
      <w:r w:rsidR="00726BDB">
        <w:t>II</w:t>
      </w:r>
      <w:r>
        <w:t xml:space="preserve"> studies; the efficacy variables included </w:t>
      </w:r>
      <w:r w:rsidR="00881772">
        <w:t>BMD</w:t>
      </w:r>
      <w:r>
        <w:t xml:space="preserve"> measured at the spine and/or the hip and appropriate biochemical markers of bone turnover and the studies were powered to detect significant effects on each variable. Results from the Phase </w:t>
      </w:r>
      <w:r w:rsidR="00726BDB">
        <w:t>II</w:t>
      </w:r>
      <w:r>
        <w:t xml:space="preserve"> studies showed that romosozumab exhibits robust dose-exposure-response relationships and supported the 210</w:t>
      </w:r>
      <w:r w:rsidR="005709A5">
        <w:t xml:space="preserve"> </w:t>
      </w:r>
      <w:r>
        <w:t xml:space="preserve">mg </w:t>
      </w:r>
      <w:r w:rsidR="004A189B">
        <w:t>monthly</w:t>
      </w:r>
      <w:r>
        <w:t xml:space="preserve"> dose regimen tested in the </w:t>
      </w:r>
      <w:r w:rsidR="00726BDB">
        <w:t>P</w:t>
      </w:r>
      <w:r>
        <w:t xml:space="preserve">hase </w:t>
      </w:r>
      <w:r w:rsidR="00726BDB">
        <w:t>III</w:t>
      </w:r>
      <w:r>
        <w:t xml:space="preserve"> clinical program</w:t>
      </w:r>
      <w:r w:rsidR="008D74BF">
        <w:t>.</w:t>
      </w:r>
    </w:p>
    <w:p w14:paraId="4A175BB2" w14:textId="77777777" w:rsidR="008E29CC" w:rsidRPr="008E29CC" w:rsidRDefault="008E29CC" w:rsidP="008E29CC">
      <w:r>
        <w:t xml:space="preserve">Overall, the proposed dosing of 210 mg SC </w:t>
      </w:r>
      <w:r w:rsidR="004A189B">
        <w:t>monthly</w:t>
      </w:r>
      <w:r>
        <w:t xml:space="preserve"> for the pivotal Phase </w:t>
      </w:r>
      <w:r w:rsidR="00726BDB">
        <w:t>III</w:t>
      </w:r>
      <w:r>
        <w:t xml:space="preserve"> studies was supported by the efficacy and safety data from the </w:t>
      </w:r>
      <w:r w:rsidR="00726BDB">
        <w:t>P</w:t>
      </w:r>
      <w:r>
        <w:t xml:space="preserve">hase </w:t>
      </w:r>
      <w:r w:rsidR="00726BDB">
        <w:t>II</w:t>
      </w:r>
      <w:r>
        <w:t xml:space="preserve"> studies (Studies 20060326 and 20101291) and was later confirmed by the </w:t>
      </w:r>
      <w:r w:rsidR="00C6013F">
        <w:t>pharmacokinetics</w:t>
      </w:r>
      <w:r>
        <w:t>/</w:t>
      </w:r>
      <w:r w:rsidR="00C6013F">
        <w:t>pharmacodynamics</w:t>
      </w:r>
      <w:r w:rsidR="00C36ACF">
        <w:t xml:space="preserve"> </w:t>
      </w:r>
      <w:r>
        <w:t xml:space="preserve">based exposure-response analyses which also used data from the pivotal Phase </w:t>
      </w:r>
      <w:r w:rsidR="00726BDB">
        <w:t>III</w:t>
      </w:r>
      <w:r>
        <w:t xml:space="preserve"> studies.</w:t>
      </w:r>
    </w:p>
    <w:p w14:paraId="7D259FD7" w14:textId="77777777" w:rsidR="008E7846" w:rsidRPr="00254787" w:rsidRDefault="008E7846" w:rsidP="008E7846">
      <w:pPr>
        <w:pStyle w:val="Heading3"/>
      </w:pPr>
      <w:bookmarkStart w:id="85" w:name="_Toc163441372"/>
      <w:bookmarkStart w:id="86" w:name="_Toc196046485"/>
      <w:bookmarkStart w:id="87" w:name="_Toc247691521"/>
      <w:bookmarkStart w:id="88" w:name="_Toc314842504"/>
      <w:bookmarkStart w:id="89" w:name="_Toc32481914"/>
      <w:r w:rsidRPr="00254787">
        <w:t>Efficacy</w:t>
      </w:r>
      <w:bookmarkEnd w:id="85"/>
      <w:bookmarkEnd w:id="86"/>
      <w:bookmarkEnd w:id="87"/>
      <w:bookmarkEnd w:id="88"/>
      <w:bookmarkEnd w:id="89"/>
    </w:p>
    <w:p w14:paraId="2771F5B1" w14:textId="77777777" w:rsidR="003F09E4" w:rsidRDefault="00605AD4" w:rsidP="00605AD4">
      <w:pPr>
        <w:pStyle w:val="Heading4"/>
      </w:pPr>
      <w:bookmarkStart w:id="90" w:name="_Toc184439992"/>
      <w:bookmarkStart w:id="91" w:name="_Toc184440279"/>
      <w:bookmarkStart w:id="92" w:name="_Toc184444657"/>
      <w:bookmarkStart w:id="93" w:name="_Toc196046487"/>
      <w:r>
        <w:t>Studies providing efficacy data</w:t>
      </w:r>
    </w:p>
    <w:p w14:paraId="59EB4112" w14:textId="4A3EE4DB" w:rsidR="00C44BAA" w:rsidRDefault="008E29CC" w:rsidP="005111DC">
      <w:pPr>
        <w:pStyle w:val="ListBullet"/>
      </w:pPr>
      <w:r>
        <w:t xml:space="preserve">Two </w:t>
      </w:r>
      <w:r w:rsidR="005111DC">
        <w:t>p</w:t>
      </w:r>
      <w:r>
        <w:t xml:space="preserve">ivotal Phase </w:t>
      </w:r>
      <w:r w:rsidR="00726BDB">
        <w:t>III</w:t>
      </w:r>
      <w:r>
        <w:t xml:space="preserve"> efficacy studies:</w:t>
      </w:r>
    </w:p>
    <w:p w14:paraId="312C2B1A" w14:textId="7B57D2C6" w:rsidR="008E29CC" w:rsidRDefault="005111DC" w:rsidP="005111DC">
      <w:pPr>
        <w:pStyle w:val="ListBullet2"/>
      </w:pPr>
      <w:r>
        <w:t xml:space="preserve">Study </w:t>
      </w:r>
      <w:r w:rsidR="008E29CC">
        <w:t>20070337 (FRAME</w:t>
      </w:r>
      <w:r w:rsidR="00A25795">
        <w:t xml:space="preserve"> trial</w:t>
      </w:r>
      <w:r w:rsidR="008E29CC">
        <w:t xml:space="preserve">): </w:t>
      </w:r>
      <w:r w:rsidR="00726BDB">
        <w:t>a multicentre, international, randomised, double blind, placebo controlled, parallel</w:t>
      </w:r>
      <w:r w:rsidR="00787DAB">
        <w:t xml:space="preserve"> </w:t>
      </w:r>
      <w:r w:rsidR="00726BDB">
        <w:t>group study to assess the efficacy and safety of romosozumab treatment in postmenopausal women with osteoporosis</w:t>
      </w:r>
      <w:r w:rsidR="008E29CC">
        <w:t>.</w:t>
      </w:r>
    </w:p>
    <w:p w14:paraId="067E5CF1" w14:textId="733DF48E" w:rsidR="008E29CC" w:rsidRDefault="005111DC" w:rsidP="005111DC">
      <w:pPr>
        <w:pStyle w:val="ListBullet2"/>
      </w:pPr>
      <w:r>
        <w:t xml:space="preserve">Study </w:t>
      </w:r>
      <w:r w:rsidR="008E29CC">
        <w:t>20110142 (ARCH</w:t>
      </w:r>
      <w:r w:rsidR="00A25795">
        <w:t xml:space="preserve"> trial</w:t>
      </w:r>
      <w:r w:rsidR="008E29CC">
        <w:t xml:space="preserve">): </w:t>
      </w:r>
      <w:r w:rsidR="00787DAB">
        <w:t>a multicentre, international, randomised, double blind, alendronate controlled study to determine the efficacy and safety of romosozumab in the treatment of postmenopausal women with osteoporosis</w:t>
      </w:r>
      <w:r w:rsidR="008E29CC">
        <w:t>.</w:t>
      </w:r>
    </w:p>
    <w:p w14:paraId="38C02A85" w14:textId="77777777" w:rsidR="008E29CC" w:rsidRDefault="008E29CC" w:rsidP="00506068">
      <w:pPr>
        <w:pStyle w:val="ListBullet"/>
        <w:pageBreakBefore/>
        <w:ind w:left="357" w:hanging="357"/>
      </w:pPr>
      <w:r>
        <w:lastRenderedPageBreak/>
        <w:t>Four supportive studies:</w:t>
      </w:r>
    </w:p>
    <w:p w14:paraId="3F2C0729" w14:textId="1CAE658E" w:rsidR="008E29CC" w:rsidRDefault="005111DC" w:rsidP="005111DC">
      <w:pPr>
        <w:pStyle w:val="ListBullet2"/>
      </w:pPr>
      <w:r>
        <w:t xml:space="preserve">Study </w:t>
      </w:r>
      <w:r w:rsidR="008E29CC">
        <w:t xml:space="preserve">20120156: </w:t>
      </w:r>
      <w:r w:rsidR="00A25795">
        <w:t xml:space="preserve">A </w:t>
      </w:r>
      <w:r w:rsidR="008E29CC">
        <w:t xml:space="preserve">Phase </w:t>
      </w:r>
      <w:r w:rsidR="00787DAB">
        <w:t>III</w:t>
      </w:r>
      <w:r w:rsidR="008E29CC">
        <w:t xml:space="preserve"> study in postmenopausal women with osteoporosis (90</w:t>
      </w:r>
      <w:r w:rsidR="00A25795">
        <w:t> </w:t>
      </w:r>
      <w:r w:rsidR="008E29CC">
        <w:t>mg</w:t>
      </w:r>
      <w:r w:rsidR="00C6013F">
        <w:t>/mL</w:t>
      </w:r>
      <w:r w:rsidR="008E29CC">
        <w:t xml:space="preserve"> v</w:t>
      </w:r>
      <w:r w:rsidR="00787DAB">
        <w:t>ersu</w:t>
      </w:r>
      <w:r w:rsidR="008E29CC">
        <w:t>s 70</w:t>
      </w:r>
      <w:r w:rsidR="00787DAB">
        <w:t xml:space="preserve"> </w:t>
      </w:r>
      <w:r w:rsidR="008E29CC">
        <w:t>mg</w:t>
      </w:r>
      <w:r w:rsidR="00C6013F">
        <w:t>/mL</w:t>
      </w:r>
      <w:r w:rsidR="008E29CC">
        <w:t>).</w:t>
      </w:r>
    </w:p>
    <w:p w14:paraId="171B7761" w14:textId="2F73E5E1" w:rsidR="008E29CC" w:rsidRDefault="005111DC" w:rsidP="005111DC">
      <w:pPr>
        <w:pStyle w:val="ListBullet2"/>
      </w:pPr>
      <w:r>
        <w:t xml:space="preserve">Study </w:t>
      </w:r>
      <w:r w:rsidR="008E29CC">
        <w:t xml:space="preserve">20080289: </w:t>
      </w:r>
      <w:r w:rsidR="00A25795">
        <w:t xml:space="preserve">A </w:t>
      </w:r>
      <w:r w:rsidR="008E29CC">
        <w:t xml:space="preserve">Phase </w:t>
      </w:r>
      <w:proofErr w:type="spellStart"/>
      <w:r w:rsidR="00787DAB">
        <w:t>III</w:t>
      </w:r>
      <w:r w:rsidR="008E29CC">
        <w:t>b</w:t>
      </w:r>
      <w:proofErr w:type="spellEnd"/>
      <w:r w:rsidR="008E29CC">
        <w:t xml:space="preserve"> active-controlled (</w:t>
      </w:r>
      <w:proofErr w:type="spellStart"/>
      <w:r w:rsidR="008E29CC">
        <w:t>teripratide</w:t>
      </w:r>
      <w:proofErr w:type="spellEnd"/>
      <w:r w:rsidR="008E29CC">
        <w:t>) study in postmenopausal women with osteoporosis previously treated with bisphosphonates.</w:t>
      </w:r>
    </w:p>
    <w:p w14:paraId="13BF82A8" w14:textId="0C46AD9A" w:rsidR="008E29CC" w:rsidRDefault="005111DC" w:rsidP="005111DC">
      <w:pPr>
        <w:pStyle w:val="ListBullet2"/>
      </w:pPr>
      <w:r>
        <w:t xml:space="preserve">Study </w:t>
      </w:r>
      <w:r w:rsidR="008E29CC">
        <w:t xml:space="preserve">20060326: </w:t>
      </w:r>
      <w:r w:rsidR="00A25795">
        <w:t xml:space="preserve">A </w:t>
      </w:r>
      <w:r w:rsidR="008E29CC">
        <w:t xml:space="preserve">Phase </w:t>
      </w:r>
      <w:proofErr w:type="spellStart"/>
      <w:r w:rsidR="00787DAB">
        <w:t>II</w:t>
      </w:r>
      <w:r w:rsidR="008E29CC">
        <w:t>b</w:t>
      </w:r>
      <w:proofErr w:type="spellEnd"/>
      <w:r w:rsidR="008E29CC">
        <w:t xml:space="preserve"> study in postmenopausal women with low </w:t>
      </w:r>
      <w:r w:rsidR="00881772">
        <w:t>BMD</w:t>
      </w:r>
      <w:r w:rsidR="008E29CC">
        <w:t>.</w:t>
      </w:r>
    </w:p>
    <w:p w14:paraId="35042646" w14:textId="0E7E9DA7" w:rsidR="008E29CC" w:rsidRDefault="005111DC" w:rsidP="005111DC">
      <w:pPr>
        <w:pStyle w:val="ListBullet2"/>
      </w:pPr>
      <w:r>
        <w:t xml:space="preserve">Study </w:t>
      </w:r>
      <w:r w:rsidR="008E29CC">
        <w:t xml:space="preserve">20101291: </w:t>
      </w:r>
      <w:r w:rsidR="00A25795">
        <w:t xml:space="preserve">A </w:t>
      </w:r>
      <w:r w:rsidR="008E29CC">
        <w:t xml:space="preserve">Phase </w:t>
      </w:r>
      <w:proofErr w:type="spellStart"/>
      <w:r w:rsidR="00787DAB">
        <w:t>II</w:t>
      </w:r>
      <w:r w:rsidR="008E29CC">
        <w:t>b</w:t>
      </w:r>
      <w:proofErr w:type="spellEnd"/>
      <w:r w:rsidR="008E29CC">
        <w:t xml:space="preserve"> in postmenopausal Japanese women with osteoporosis.</w:t>
      </w:r>
    </w:p>
    <w:p w14:paraId="7B3D0A97" w14:textId="77777777" w:rsidR="003F09E4" w:rsidRDefault="00605AD4" w:rsidP="00605AD4">
      <w:pPr>
        <w:pStyle w:val="Heading4"/>
      </w:pPr>
      <w:r>
        <w:t>Evaluator’s conclusions on efficacy</w:t>
      </w:r>
    </w:p>
    <w:p w14:paraId="2A72C5B1" w14:textId="77777777" w:rsidR="00A25795" w:rsidRDefault="003023A2" w:rsidP="00F32D0B">
      <w:pPr>
        <w:pStyle w:val="Heading5"/>
        <w:rPr>
          <w:rFonts w:eastAsia="Cambria"/>
        </w:rPr>
      </w:pPr>
      <w:r w:rsidRPr="00F32D0B">
        <w:rPr>
          <w:rFonts w:eastAsia="Cambria"/>
        </w:rPr>
        <w:t>Indication 1:</w:t>
      </w:r>
    </w:p>
    <w:p w14:paraId="6FCC47C7" w14:textId="6CE527EB" w:rsidR="003023A2" w:rsidRPr="00CF0630" w:rsidRDefault="00C36ACF" w:rsidP="001002BF">
      <w:pPr>
        <w:ind w:left="720" w:firstLine="45"/>
      </w:pPr>
      <w:r w:rsidRPr="001002BF">
        <w:rPr>
          <w:i/>
        </w:rPr>
        <w:t>Evenity</w:t>
      </w:r>
      <w:r w:rsidR="003023A2" w:rsidRPr="001002BF">
        <w:rPr>
          <w:i/>
        </w:rPr>
        <w:t xml:space="preserve"> is indicated for the treatment of osteoporosis in postmenopausal women at increased risk of fracture. </w:t>
      </w:r>
      <w:r w:rsidRPr="001002BF">
        <w:rPr>
          <w:i/>
        </w:rPr>
        <w:t>Evenity</w:t>
      </w:r>
      <w:r w:rsidR="003023A2" w:rsidRPr="001002BF">
        <w:rPr>
          <w:i/>
        </w:rPr>
        <w:t xml:space="preserve"> reduces the risk of vertebral, clinical and non</w:t>
      </w:r>
      <w:r w:rsidR="00F32D0B" w:rsidRPr="001002BF">
        <w:rPr>
          <w:i/>
        </w:rPr>
        <w:t>-</w:t>
      </w:r>
      <w:r w:rsidR="003023A2" w:rsidRPr="001002BF">
        <w:rPr>
          <w:i/>
        </w:rPr>
        <w:t>vertebral fractures.</w:t>
      </w:r>
    </w:p>
    <w:p w14:paraId="0AEA8021" w14:textId="741B3F59" w:rsidR="008D74BF" w:rsidRDefault="003023A2" w:rsidP="003023A2">
      <w:r>
        <w:t xml:space="preserve">The efficacy of romosozumab was evaluated in two pivotal Phase </w:t>
      </w:r>
      <w:r w:rsidR="00C36ACF">
        <w:t>III</w:t>
      </w:r>
      <w:r>
        <w:t xml:space="preserve"> multicentre, international, randomised, double</w:t>
      </w:r>
      <w:r w:rsidR="00C36ACF">
        <w:t xml:space="preserve"> </w:t>
      </w:r>
      <w:r>
        <w:t xml:space="preserve">blind studies in 11,273 women with </w:t>
      </w:r>
      <w:r w:rsidR="00C36ACF">
        <w:t>postmenopausal osteoporosis</w:t>
      </w:r>
      <w:r>
        <w:t xml:space="preserve"> at increased risk of fracture: </w:t>
      </w:r>
      <w:r w:rsidR="00C36ACF">
        <w:t>S</w:t>
      </w:r>
      <w:r>
        <w:t>tudy 20070337 (FRAME</w:t>
      </w:r>
      <w:r w:rsidR="00A25795">
        <w:t xml:space="preserve"> trial</w:t>
      </w:r>
      <w:r>
        <w:t>) was a placebo</w:t>
      </w:r>
      <w:r w:rsidR="00C36ACF">
        <w:t xml:space="preserve"> </w:t>
      </w:r>
      <w:r>
        <w:t>controlled study</w:t>
      </w:r>
      <w:r w:rsidR="008D74BF">
        <w:t xml:space="preserve"> </w:t>
      </w:r>
      <w:r>
        <w:t xml:space="preserve">in 7180 women and </w:t>
      </w:r>
      <w:r w:rsidR="005111DC">
        <w:t xml:space="preserve">Study </w:t>
      </w:r>
      <w:r>
        <w:t>20110142 (ARCH</w:t>
      </w:r>
      <w:r w:rsidR="00A25795">
        <w:t xml:space="preserve"> trial</w:t>
      </w:r>
      <w:r>
        <w:t xml:space="preserve">) was an active controlled (alendronate) study in 4093 women. Majority of the subjects were </w:t>
      </w:r>
      <w:r w:rsidR="00C36ACF">
        <w:t>w</w:t>
      </w:r>
      <w:r>
        <w:t>hite (57%</w:t>
      </w:r>
      <w:r w:rsidR="00C36ACF">
        <w:t xml:space="preserve"> to</w:t>
      </w:r>
      <w:r>
        <w:t xml:space="preserve"> 70%) with mean age of 71</w:t>
      </w:r>
      <w:r w:rsidR="00C36ACF">
        <w:t xml:space="preserve"> to</w:t>
      </w:r>
      <w:r>
        <w:t xml:space="preserve">74 years. Mean years since menopause was longer for women in Study 20110142 than in Study 20070337 (27 </w:t>
      </w:r>
      <w:r w:rsidR="00CE639A">
        <w:t xml:space="preserve">versus </w:t>
      </w:r>
      <w:r>
        <w:t xml:space="preserve">23 years), which is consistent with the somewhat older population in Study 20110142 (52.4% of subjects were aged </w:t>
      </w:r>
      <w:r w:rsidR="00C36ACF">
        <w:t>over</w:t>
      </w:r>
      <w:r>
        <w:t xml:space="preserve"> 75</w:t>
      </w:r>
      <w:r w:rsidR="00C36ACF">
        <w:t> </w:t>
      </w:r>
      <w:r>
        <w:t xml:space="preserve">years compared to 31.2% in </w:t>
      </w:r>
      <w:r w:rsidR="00241FE9">
        <w:t>S</w:t>
      </w:r>
      <w:r>
        <w:t xml:space="preserve">tudy 20070337). </w:t>
      </w:r>
      <w:r w:rsidR="00BD320B">
        <w:t>BMI</w:t>
      </w:r>
      <w:r>
        <w:t xml:space="preserve"> was similar between the </w:t>
      </w:r>
      <w:r w:rsidR="00C36ACF">
        <w:t>two</w:t>
      </w:r>
      <w:r w:rsidR="005111DC">
        <w:t xml:space="preserve"> pivotal Phase III Studies 20070337 and 20110142</w:t>
      </w:r>
      <w:r>
        <w:t>. Consistent with the differences in inclusion and exclusion criteria, the percentages of subjects with a history of osteoporosis-related fractures and prevalent vertebral</w:t>
      </w:r>
      <w:r w:rsidR="005111DC">
        <w:t xml:space="preserve"> fractures were higher in Study </w:t>
      </w:r>
      <w:r>
        <w:t>20110142 (99.0% and 96.1%, respectively) than in Study 20070337 (35.2% and 18.3%, respectively). In Study 20110142, baseline radiographs indicated the presence of one or more severe vertebral fracture for more than 60% of subjects in each treatment group. The 10</w:t>
      </w:r>
      <w:r w:rsidR="00C36ACF">
        <w:t xml:space="preserve"> </w:t>
      </w:r>
      <w:r>
        <w:t xml:space="preserve">year probabilities of a major osteoporotic fracture or hip fracture, calculated with </w:t>
      </w:r>
      <w:r w:rsidR="00881772">
        <w:t>BMD</w:t>
      </w:r>
      <w:r>
        <w:t xml:space="preserve"> according to the </w:t>
      </w:r>
      <w:r w:rsidR="007710AA" w:rsidRPr="00B861F7">
        <w:t>fract</w:t>
      </w:r>
      <w:r w:rsidR="007710AA">
        <w:t>ure</w:t>
      </w:r>
      <w:r w:rsidR="007710AA" w:rsidRPr="00B861F7">
        <w:t xml:space="preserve"> risk assessment </w:t>
      </w:r>
      <w:r w:rsidR="00241FE9" w:rsidRPr="00B861F7">
        <w:t>tool</w:t>
      </w:r>
      <w:r w:rsidR="00241FE9">
        <w:t xml:space="preserve"> (</w:t>
      </w:r>
      <w:r w:rsidRPr="00241FE9">
        <w:t>FRAX</w:t>
      </w:r>
      <w:r w:rsidR="00241FE9" w:rsidRPr="00241FE9">
        <w:t>)</w:t>
      </w:r>
      <w:r w:rsidR="00BD320B">
        <w:t>;</w:t>
      </w:r>
      <w:bookmarkStart w:id="94" w:name="_Ref30268624"/>
      <w:r w:rsidR="00BD320B">
        <w:rPr>
          <w:rStyle w:val="FootnoteReference"/>
        </w:rPr>
        <w:footnoteReference w:id="41"/>
      </w:r>
      <w:bookmarkEnd w:id="94"/>
      <w:r>
        <w:t xml:space="preserve"> were also higher for subjects in Study 20110142 (20.1</w:t>
      </w:r>
      <w:r w:rsidR="005111DC">
        <w:t>% and 9.8%) than in Study </w:t>
      </w:r>
      <w:r>
        <w:t>20070337 (13.4% and 5.9%), suggesting a population at higher risk for fracture in the alendronate-controlled study. Other baseline characteristics that contribute to the FRAX determination of fracture risk (</w:t>
      </w:r>
      <w:r w:rsidR="00C36ACF">
        <w:t>for example</w:t>
      </w:r>
      <w:r>
        <w:t xml:space="preserve">, </w:t>
      </w:r>
      <w:r w:rsidR="00C36ACF">
        <w:t>body mass index</w:t>
      </w:r>
      <w:r>
        <w:t xml:space="preserve">, smoking history, glucocorticoid use) were generally consistent between the </w:t>
      </w:r>
      <w:r w:rsidR="00C36ACF">
        <w:t>two</w:t>
      </w:r>
      <w:r>
        <w:t xml:space="preserve"> studies</w:t>
      </w:r>
      <w:r w:rsidR="008D74BF">
        <w:t>.</w:t>
      </w:r>
    </w:p>
    <w:p w14:paraId="61421594" w14:textId="77777777" w:rsidR="008D74BF" w:rsidRDefault="003023A2" w:rsidP="003023A2">
      <w:r>
        <w:t>Supplementation with calcium and/or vitamin D was consistent in all patient groups and clearly documented. However, dietary and relevant life style factors were not summarised. Overall, the study population was representative of the target patient population in Australia with similar baseline demographics and disease characteristics between treatment groups in both pivotal studies. However, only 6</w:t>
      </w:r>
      <w:r w:rsidR="00C36ACF">
        <w:t xml:space="preserve"> to </w:t>
      </w:r>
      <w:r>
        <w:t>9% of patients in both pivotal studies had received prior treatments for osteoporosis (mainly bisphosphonates)</w:t>
      </w:r>
      <w:r w:rsidR="008D74BF">
        <w:t>.</w:t>
      </w:r>
    </w:p>
    <w:p w14:paraId="3F42B352" w14:textId="674964A1" w:rsidR="008D74BF" w:rsidRPr="00241FE9" w:rsidRDefault="003023A2" w:rsidP="003023A2">
      <w:r>
        <w:lastRenderedPageBreak/>
        <w:t xml:space="preserve">The proposed dosing of 210 mg SC </w:t>
      </w:r>
      <w:r w:rsidR="004A189B">
        <w:t>monthly</w:t>
      </w:r>
      <w:r>
        <w:t xml:space="preserve"> for the pivotal Phase </w:t>
      </w:r>
      <w:r w:rsidR="00C36ACF">
        <w:t>III</w:t>
      </w:r>
      <w:r>
        <w:t xml:space="preserve"> studies was supported by the efficacy and safety data from the </w:t>
      </w:r>
      <w:r w:rsidR="00C36ACF">
        <w:t>P</w:t>
      </w:r>
      <w:r>
        <w:t xml:space="preserve">hase </w:t>
      </w:r>
      <w:r w:rsidR="00C36ACF">
        <w:t>II</w:t>
      </w:r>
      <w:r>
        <w:t xml:space="preserve"> studies (Studies 20060326 and 20101291) and was later confirmed by the </w:t>
      </w:r>
      <w:r w:rsidR="00C36ACF">
        <w:t>pharmacokinetics</w:t>
      </w:r>
      <w:r>
        <w:t>/</w:t>
      </w:r>
      <w:r w:rsidR="00C36ACF">
        <w:t xml:space="preserve">pharmacodynamics </w:t>
      </w:r>
      <w:r>
        <w:t xml:space="preserve">based exposure-response analyses which also used data from the pivotal Phase </w:t>
      </w:r>
      <w:r w:rsidR="00C36ACF">
        <w:t>III</w:t>
      </w:r>
      <w:r>
        <w:t xml:space="preserve"> studies. Although the 70</w:t>
      </w:r>
      <w:r w:rsidR="00C36ACF">
        <w:t xml:space="preserve"> </w:t>
      </w:r>
      <w:r>
        <w:t>mg/</w:t>
      </w:r>
      <w:r w:rsidR="00C36ACF">
        <w:t>mL prefilled syringe</w:t>
      </w:r>
      <w:r>
        <w:t xml:space="preserve"> used in both the pivotal Phase </w:t>
      </w:r>
      <w:r w:rsidR="00C36ACF">
        <w:t>III</w:t>
      </w:r>
      <w:r>
        <w:t xml:space="preserve"> studies was not the proposed marketing formulation, bioequivalence between the </w:t>
      </w:r>
      <w:r w:rsidR="00C36ACF">
        <w:t>clinical trial f</w:t>
      </w:r>
      <w:r>
        <w:t>ormulation and the proposed 90</w:t>
      </w:r>
      <w:r w:rsidR="00C36ACF">
        <w:t xml:space="preserve"> </w:t>
      </w:r>
      <w:r>
        <w:t>mg/</w:t>
      </w:r>
      <w:r w:rsidR="00C36ACF">
        <w:t xml:space="preserve">mL </w:t>
      </w:r>
      <w:r>
        <w:t xml:space="preserve">formulation was established in </w:t>
      </w:r>
      <w:r w:rsidR="007A1493">
        <w:t>S</w:t>
      </w:r>
      <w:r w:rsidR="005C2F9A">
        <w:t>tudy 20120277</w:t>
      </w:r>
      <w:r>
        <w:t xml:space="preserve"> and bioequivalence of 90 mg/mL romosozumab delivered SC using a prefilled syringe versus an auto-injector/pen was also demonstrated in an open</w:t>
      </w:r>
      <w:r w:rsidR="007A1493">
        <w:t xml:space="preserve"> </w:t>
      </w:r>
      <w:r>
        <w:t>label, randomised, single</w:t>
      </w:r>
      <w:r w:rsidR="007A1493">
        <w:t xml:space="preserve"> </w:t>
      </w:r>
      <w:r>
        <w:t xml:space="preserve">dose, parallel group </w:t>
      </w:r>
      <w:r w:rsidR="007A1493">
        <w:t>S</w:t>
      </w:r>
      <w:r>
        <w:t xml:space="preserve">tudy 20090418. Furthermore, the results of the Phase </w:t>
      </w:r>
      <w:r w:rsidR="007A1493">
        <w:t>III</w:t>
      </w:r>
      <w:r>
        <w:t xml:space="preserve"> placebo</w:t>
      </w:r>
      <w:r w:rsidR="007A1493">
        <w:t xml:space="preserve"> </w:t>
      </w:r>
      <w:r>
        <w:t xml:space="preserve">controlled, non-inferiority </w:t>
      </w:r>
      <w:r w:rsidR="007A1493">
        <w:t>S</w:t>
      </w:r>
      <w:r>
        <w:t xml:space="preserve">tudy 20120156 demonstrated that romosozumab 210 mg SC </w:t>
      </w:r>
      <w:r w:rsidR="007A1493">
        <w:t>monthly</w:t>
      </w:r>
      <w:r>
        <w:t xml:space="preserve"> for 6 months administered as the proposed 90 mg/mL concentration was non</w:t>
      </w:r>
      <w:r w:rsidR="007A1493">
        <w:t>-</w:t>
      </w:r>
      <w:r>
        <w:t xml:space="preserve">inferior to the 70 mg/mL concentration based on comparison of the percent changes from baseline in </w:t>
      </w:r>
      <w:r w:rsidR="00881772">
        <w:t>BMD</w:t>
      </w:r>
      <w:r>
        <w:t xml:space="preserve"> (by </w:t>
      </w:r>
      <w:r w:rsidR="00BD320B">
        <w:t>d</w:t>
      </w:r>
      <w:r w:rsidR="00241FE9" w:rsidRPr="00B861F7">
        <w:t xml:space="preserve">ual energy </w:t>
      </w:r>
      <w:r w:rsidR="00241FE9">
        <w:t>x</w:t>
      </w:r>
      <w:r w:rsidR="00241FE9" w:rsidRPr="00B861F7">
        <w:t xml:space="preserve">-ray </w:t>
      </w:r>
      <w:r w:rsidR="00241FE9" w:rsidRPr="00241FE9">
        <w:t xml:space="preserve">absorptiometry </w:t>
      </w:r>
      <w:r w:rsidR="005111DC">
        <w:t>(</w:t>
      </w:r>
      <w:r w:rsidRPr="00241FE9">
        <w:t>DXA</w:t>
      </w:r>
      <w:r w:rsidR="005111DC">
        <w:t>)</w:t>
      </w:r>
      <w:r w:rsidRPr="00241FE9">
        <w:t>) at the lumbar spine in 294 postmenopausal women with osteoporosis</w:t>
      </w:r>
      <w:r w:rsidR="008D74BF" w:rsidRPr="00241FE9">
        <w:t>.</w:t>
      </w:r>
    </w:p>
    <w:p w14:paraId="7CE6217C" w14:textId="458B701D" w:rsidR="008D74BF" w:rsidRDefault="003023A2" w:rsidP="003023A2">
      <w:r w:rsidRPr="00241FE9">
        <w:t>The co-primary efficacy endpoint in the alendronate</w:t>
      </w:r>
      <w:r w:rsidR="007A1493" w:rsidRPr="00241FE9">
        <w:t xml:space="preserve"> </w:t>
      </w:r>
      <w:r w:rsidRPr="00241FE9">
        <w:t>controlled study was incidence</w:t>
      </w:r>
      <w:r>
        <w:t xml:space="preserve"> of new vertebral fracture and clinical fracture (non</w:t>
      </w:r>
      <w:r w:rsidR="007A1493">
        <w:t>-</w:t>
      </w:r>
      <w:r>
        <w:t xml:space="preserve">vertebral fracture and clinical vertebral fracture) through </w:t>
      </w:r>
      <w:r w:rsidR="007A1493">
        <w:t>M</w:t>
      </w:r>
      <w:r>
        <w:t>onth 24. However, clinical fracture and non</w:t>
      </w:r>
      <w:r w:rsidR="007A1493">
        <w:t>-</w:t>
      </w:r>
      <w:r>
        <w:t>vertebral fractures were only secondary endpoints in the placebo</w:t>
      </w:r>
      <w:r w:rsidR="007A1493">
        <w:t xml:space="preserve"> </w:t>
      </w:r>
      <w:r>
        <w:t>controlled study (co-primary efficacy endpoints were subject incidence of new vertebral fracture at 12 and 24 months). It is difficult to determine relative contribution of ‘</w:t>
      </w:r>
      <w:r w:rsidR="00864D4D">
        <w:t>non-vertebral</w:t>
      </w:r>
      <w:r>
        <w:t xml:space="preserve"> fractures’ and ‘clinical vertebral fractures’ in the ‘clinical fracture’ endpoint. Other secondary endpoints were assessment of changes in </w:t>
      </w:r>
      <w:r w:rsidR="00881772">
        <w:t>BMD</w:t>
      </w:r>
      <w:r>
        <w:t xml:space="preserve"> (by DXA) at lumbar spine, total hip and </w:t>
      </w:r>
      <w:r w:rsidR="00C85473">
        <w:t>femoral</w:t>
      </w:r>
      <w:r>
        <w:t xml:space="preserve"> neck. Effect of romosozumab on quality of life was assessed by the </w:t>
      </w:r>
      <w:r w:rsidR="00D60601">
        <w:t xml:space="preserve">patient reported outcome/clinical reported outcome </w:t>
      </w:r>
      <w:r>
        <w:t>endpoints. Vertebral fractures were assessed by the central imaging vendor based on lateral spine x-rays (T4 to L4).</w:t>
      </w:r>
      <w:r w:rsidR="00BD320B">
        <w:rPr>
          <w:rStyle w:val="FootnoteReference"/>
        </w:rPr>
        <w:footnoteReference w:id="42"/>
      </w:r>
      <w:r>
        <w:t xml:space="preserve"> Fractures were validated according to pre-defined criteria and assessment was done by central blinded investigators using a visual semi</w:t>
      </w:r>
      <w:r w:rsidR="00654353">
        <w:t xml:space="preserve"> </w:t>
      </w:r>
      <w:r>
        <w:t>quantitative grading scale</w:t>
      </w:r>
      <w:r w:rsidR="005111DC">
        <w:t>.</w:t>
      </w:r>
      <w:r w:rsidR="00D60601">
        <w:rPr>
          <w:rStyle w:val="FootnoteReference"/>
        </w:rPr>
        <w:footnoteReference w:id="43"/>
      </w:r>
      <w:r>
        <w:t xml:space="preserve"> Serial </w:t>
      </w:r>
      <w:r w:rsidR="007A1493">
        <w:t>x</w:t>
      </w:r>
      <w:r>
        <w:t xml:space="preserve">-rays performed once a year were used to assess vertebral fractures. Bone density measurements were performed by DXA (only Lunar or </w:t>
      </w:r>
      <w:proofErr w:type="spellStart"/>
      <w:r>
        <w:t>Hologic</w:t>
      </w:r>
      <w:proofErr w:type="spellEnd"/>
      <w:r>
        <w:t xml:space="preserve"> bone densitometers were allowed for the study) with same DXA machine used for all study procedures and all DXA scans were submitted to and analysed by the central imaging vendor. For all subjects, bone density was measured at the lumbar spine and the proximal femur; lumbar spine scans must include L1 </w:t>
      </w:r>
      <w:r w:rsidR="00BD320B">
        <w:t xml:space="preserve">to </w:t>
      </w:r>
      <w:r>
        <w:t xml:space="preserve">through L4. Overall, assessment of fractures and </w:t>
      </w:r>
      <w:r w:rsidR="00881772">
        <w:t>BMD</w:t>
      </w:r>
      <w:r>
        <w:t xml:space="preserve"> complied with the CHMP guidelines for evaluation of medicinal treatments for treatment of postmenopausal women with osteoporosis at increased risk of fracture</w:t>
      </w:r>
      <w:r w:rsidR="008D74BF">
        <w:t>.</w:t>
      </w:r>
    </w:p>
    <w:p w14:paraId="239F83F1" w14:textId="3EB728E2" w:rsidR="008D74BF" w:rsidRDefault="003023A2" w:rsidP="003023A2">
      <w:r>
        <w:t xml:space="preserve">Study 20070337 assessed whether the </w:t>
      </w:r>
      <w:r w:rsidR="00881772">
        <w:t>BMD</w:t>
      </w:r>
      <w:r>
        <w:t xml:space="preserve"> gains observed in </w:t>
      </w:r>
      <w:r w:rsidR="007A1493">
        <w:t>P</w:t>
      </w:r>
      <w:r>
        <w:t xml:space="preserve">hase </w:t>
      </w:r>
      <w:r w:rsidR="007A1493">
        <w:t>I</w:t>
      </w:r>
      <w:r>
        <w:t xml:space="preserve"> and </w:t>
      </w:r>
      <w:r w:rsidR="007A1493">
        <w:t>II</w:t>
      </w:r>
      <w:r>
        <w:t xml:space="preserve"> studies translated into fracture risk reduction after 1 year of romosozumab treatment, and whether there was continued benefit with follow-on treatment with denosumab. Study</w:t>
      </w:r>
      <w:r w:rsidR="00D71BFB">
        <w:t> </w:t>
      </w:r>
      <w:r>
        <w:t>20110142 assessed the efficacy of 1 year of romosozumab treatment in relation to alendronate alone, both during romosozumab treatment and afterwards when all subjects received alendronate. Alendronate (70</w:t>
      </w:r>
      <w:r w:rsidR="007A1493">
        <w:t xml:space="preserve"> </w:t>
      </w:r>
      <w:r>
        <w:t xml:space="preserve">mg orally every week) is considered </w:t>
      </w:r>
      <w:r w:rsidR="00D71BFB">
        <w:t xml:space="preserve">standard of </w:t>
      </w:r>
      <w:r>
        <w:t>Care and was the appropriate choice for the pivotal active</w:t>
      </w:r>
      <w:r w:rsidR="007A1493">
        <w:t xml:space="preserve"> </w:t>
      </w:r>
      <w:r>
        <w:t xml:space="preserve">controlled Phase </w:t>
      </w:r>
      <w:r w:rsidR="007A1493">
        <w:t>III</w:t>
      </w:r>
      <w:r>
        <w:t xml:space="preserve"> study. Denosumab (60</w:t>
      </w:r>
      <w:r w:rsidR="007A1493">
        <w:t xml:space="preserve"> </w:t>
      </w:r>
      <w:r>
        <w:t>mg SC every 6 months) is approved in Australia for treatment of osteoporosis in postmenopausal women (it significantly reduces risk of vertebral, non</w:t>
      </w:r>
      <w:r w:rsidR="00D71BFB">
        <w:noBreakHyphen/>
      </w:r>
      <w:r>
        <w:t>vertebral and hip fractures)</w:t>
      </w:r>
      <w:r w:rsidR="008D74BF">
        <w:t>.</w:t>
      </w:r>
    </w:p>
    <w:p w14:paraId="39956BA0" w14:textId="70E81636" w:rsidR="008D74BF" w:rsidRDefault="003023A2" w:rsidP="003023A2">
      <w:r>
        <w:t xml:space="preserve">The subject incidence of new vertebral fracture through </w:t>
      </w:r>
      <w:r w:rsidR="007A1493">
        <w:t>M</w:t>
      </w:r>
      <w:r>
        <w:t xml:space="preserve">onth 24 was a primary endpoint in both pivotal fracture studies. Vertebral fracture risk reduction persisted through </w:t>
      </w:r>
      <w:r w:rsidR="007A1493">
        <w:t>M</w:t>
      </w:r>
      <w:r>
        <w:t>onth</w:t>
      </w:r>
      <w:r w:rsidR="007A1493">
        <w:t> </w:t>
      </w:r>
      <w:r>
        <w:t xml:space="preserve">24 for subjects initially randomised to romosozumab, independent of the follow-on </w:t>
      </w:r>
      <w:r>
        <w:lastRenderedPageBreak/>
        <w:t>anti</w:t>
      </w:r>
      <w:r w:rsidR="00654353">
        <w:t>-</w:t>
      </w:r>
      <w:proofErr w:type="spellStart"/>
      <w:r>
        <w:t>resorptive</w:t>
      </w:r>
      <w:proofErr w:type="spellEnd"/>
      <w:r>
        <w:t xml:space="preserve"> therapy. </w:t>
      </w:r>
      <w:r w:rsidR="00696AC6">
        <w:t>Romosozumab</w:t>
      </w:r>
      <w:r>
        <w:t xml:space="preserve"> for 12 months followed by denosumab for 12</w:t>
      </w:r>
      <w:r w:rsidR="007A1493">
        <w:t> </w:t>
      </w:r>
      <w:r>
        <w:t xml:space="preserve">months significantly reduced the risk of new vertebral fractures through </w:t>
      </w:r>
      <w:r w:rsidR="007A1493">
        <w:t>M</w:t>
      </w:r>
      <w:r>
        <w:t xml:space="preserve">onth 24 compared with placebo followed by denosumab (0.6% </w:t>
      </w:r>
      <w:r w:rsidR="00CE639A">
        <w:t xml:space="preserve">versus </w:t>
      </w:r>
      <w:r>
        <w:t xml:space="preserve">2.5%, </w:t>
      </w:r>
      <w:r w:rsidR="007A1493">
        <w:t xml:space="preserve">odds ratio </w:t>
      </w:r>
      <w:r>
        <w:t>=</w:t>
      </w:r>
      <w:r w:rsidR="007A1493">
        <w:t xml:space="preserve"> </w:t>
      </w:r>
      <w:r>
        <w:t>0.24, p</w:t>
      </w:r>
      <w:r w:rsidR="007A1493">
        <w:t> </w:t>
      </w:r>
      <w:r>
        <w:t>&lt;</w:t>
      </w:r>
      <w:r w:rsidR="007A1493">
        <w:t> </w:t>
      </w:r>
      <w:r>
        <w:t xml:space="preserve">0.001) and romosozumab for 12 months followed by alendronate for 12 months significantly reduced the risk of new vertebral fractures through month 24 compared with alendronate alone (4.1% </w:t>
      </w:r>
      <w:r w:rsidR="00CE639A">
        <w:t xml:space="preserve">versus </w:t>
      </w:r>
      <w:r>
        <w:t xml:space="preserve">8.0%, </w:t>
      </w:r>
      <w:r w:rsidR="007A1493">
        <w:t xml:space="preserve">odds ratio </w:t>
      </w:r>
      <w:r>
        <w:t>= 0.48, p &lt; 0.001). The relative risk reductions for new vertebral fracture through month 24 were 75% (95% CI: 60%</w:t>
      </w:r>
      <w:r w:rsidR="007A1493">
        <w:t xml:space="preserve"> to </w:t>
      </w:r>
      <w:r>
        <w:t>84%) in Study 20070337 and 50% (95% CI: 34%</w:t>
      </w:r>
      <w:r w:rsidR="007A1493">
        <w:t xml:space="preserve"> to</w:t>
      </w:r>
      <w:r>
        <w:t xml:space="preserve"> 62%) in Study 20110142. A consistent treatment effect for romosozumab over placebo and alendronate was observed in all subgroups of baseline characteristics examined (age, prevalent vertebral fracture status, race, geographic region, baseline lumbar spine </w:t>
      </w:r>
      <w:r w:rsidR="00881772">
        <w:t>BMD</w:t>
      </w:r>
      <w:r>
        <w:t xml:space="preserve"> T-score</w:t>
      </w:r>
      <w:r w:rsidR="00D71BFB">
        <w:t>;</w:t>
      </w:r>
      <w:bookmarkStart w:id="95" w:name="_Ref30268662"/>
      <w:r w:rsidR="00D71BFB">
        <w:rPr>
          <w:rStyle w:val="FootnoteReference"/>
        </w:rPr>
        <w:footnoteReference w:id="44"/>
      </w:r>
      <w:bookmarkEnd w:id="95"/>
      <w:r>
        <w:t xml:space="preserve"> baseline total hip/</w:t>
      </w:r>
      <w:r w:rsidR="00C85473">
        <w:t>femoral</w:t>
      </w:r>
      <w:r>
        <w:t xml:space="preserve"> neck </w:t>
      </w:r>
      <w:r w:rsidR="00881772">
        <w:t>BMD</w:t>
      </w:r>
      <w:r>
        <w:t xml:space="preserve"> T-score, baseline </w:t>
      </w:r>
      <w:r w:rsidR="00C36ACF">
        <w:t>body mass index</w:t>
      </w:r>
      <w:r>
        <w:t xml:space="preserve">, FRAX score, history of </w:t>
      </w:r>
      <w:r w:rsidR="00864D4D">
        <w:t>non-vertebral</w:t>
      </w:r>
      <w:r>
        <w:t xml:space="preserve"> fracture at or after age 55 and history of fragility fracture)</w:t>
      </w:r>
      <w:r w:rsidR="008D74BF">
        <w:t>.</w:t>
      </w:r>
    </w:p>
    <w:p w14:paraId="344EA002" w14:textId="56B73C53" w:rsidR="008D74BF" w:rsidRDefault="003023A2" w:rsidP="003023A2">
      <w:r>
        <w:t>Evidence of efficacy of romosozumab for reducing incidence of non</w:t>
      </w:r>
      <w:r w:rsidR="007A1493">
        <w:t>-</w:t>
      </w:r>
      <w:r>
        <w:t>vertebral and clinical fractures was not consistent and unequivocal. In the placebo</w:t>
      </w:r>
      <w:r w:rsidR="007A1493">
        <w:t xml:space="preserve"> </w:t>
      </w:r>
      <w:r>
        <w:t xml:space="preserve">controlled </w:t>
      </w:r>
      <w:r w:rsidR="007A1493">
        <w:t>S</w:t>
      </w:r>
      <w:r>
        <w:t xml:space="preserve">tudy 20070337, romosozumab treatment for 12 months failed to show statistically significant reduction in the incidence of </w:t>
      </w:r>
      <w:r w:rsidR="00864D4D">
        <w:t>non-vertebral</w:t>
      </w:r>
      <w:r>
        <w:t xml:space="preserve"> fracture at month 12 (1.6% </w:t>
      </w:r>
      <w:r w:rsidR="00CE639A">
        <w:t xml:space="preserve">versus </w:t>
      </w:r>
      <w:r>
        <w:t xml:space="preserve">2.1%, </w:t>
      </w:r>
      <w:r w:rsidR="007A1493">
        <w:t xml:space="preserve">odds ratio </w:t>
      </w:r>
      <w:r>
        <w:t>=</w:t>
      </w:r>
      <w:r w:rsidR="007A1493">
        <w:t> </w:t>
      </w:r>
      <w:r>
        <w:t>0.75, adjusted p</w:t>
      </w:r>
      <w:r w:rsidR="007A1493">
        <w:t xml:space="preserve"> </w:t>
      </w:r>
      <w:r>
        <w:t>=</w:t>
      </w:r>
      <w:r w:rsidR="007A1493">
        <w:t xml:space="preserve"> </w:t>
      </w:r>
      <w:r>
        <w:t xml:space="preserve">0.096) or 24 (romosozumab/ denosumab </w:t>
      </w:r>
      <w:r w:rsidR="00CE639A">
        <w:t xml:space="preserve">versus </w:t>
      </w:r>
      <w:r>
        <w:t xml:space="preserve">romosozumab/placebo: 2.7% </w:t>
      </w:r>
      <w:r w:rsidR="00CE639A">
        <w:t xml:space="preserve">versus </w:t>
      </w:r>
      <w:r>
        <w:t xml:space="preserve">3.6%, </w:t>
      </w:r>
      <w:r w:rsidR="007A1493">
        <w:t xml:space="preserve">odds ratio </w:t>
      </w:r>
      <w:r>
        <w:t>=</w:t>
      </w:r>
      <w:r w:rsidR="007A1493">
        <w:t xml:space="preserve"> </w:t>
      </w:r>
      <w:r>
        <w:t>0.75, adjusted p</w:t>
      </w:r>
      <w:r w:rsidR="007A1493">
        <w:t xml:space="preserve"> </w:t>
      </w:r>
      <w:r>
        <w:t>=</w:t>
      </w:r>
      <w:r w:rsidR="007A1493">
        <w:t xml:space="preserve"> </w:t>
      </w:r>
      <w:r>
        <w:t xml:space="preserve">0.057). The incidence of clinical fracture did not show statistically significant reduction in the romosozumab/denosumab </w:t>
      </w:r>
      <w:r w:rsidR="00CE639A">
        <w:t xml:space="preserve">versus </w:t>
      </w:r>
      <w:r>
        <w:t xml:space="preserve">placebo/denosumab group at month 24 (2.8% </w:t>
      </w:r>
      <w:r w:rsidR="00CE639A">
        <w:t xml:space="preserve">versus </w:t>
      </w:r>
      <w:r>
        <w:t xml:space="preserve">4.1%, </w:t>
      </w:r>
      <w:r w:rsidR="007A1493">
        <w:t xml:space="preserve">odds ratio </w:t>
      </w:r>
      <w:r>
        <w:t>=</w:t>
      </w:r>
      <w:r w:rsidR="007A1493">
        <w:t xml:space="preserve"> </w:t>
      </w:r>
      <w:r>
        <w:t>0.67, adjusted p</w:t>
      </w:r>
      <w:r w:rsidR="007A1493">
        <w:t> </w:t>
      </w:r>
      <w:r>
        <w:t>=</w:t>
      </w:r>
      <w:r w:rsidR="007A1493">
        <w:t> </w:t>
      </w:r>
      <w:r>
        <w:t xml:space="preserve">0.096) although the difference between romosozumab and placebo was statistically significant at </w:t>
      </w:r>
      <w:r w:rsidR="00635CE9">
        <w:t>M</w:t>
      </w:r>
      <w:r>
        <w:t>onth 12. In the alendronate</w:t>
      </w:r>
      <w:r w:rsidR="00635CE9">
        <w:t xml:space="preserve"> </w:t>
      </w:r>
      <w:r>
        <w:t xml:space="preserve">controlled </w:t>
      </w:r>
      <w:r w:rsidR="00635CE9">
        <w:t>S</w:t>
      </w:r>
      <w:r>
        <w:t>tudy 20110142, romosozumab 210</w:t>
      </w:r>
      <w:r w:rsidR="00635CE9">
        <w:t> </w:t>
      </w:r>
      <w:r>
        <w:t xml:space="preserve">mg </w:t>
      </w:r>
      <w:r w:rsidR="00635CE9">
        <w:t>monthly</w:t>
      </w:r>
      <w:r>
        <w:t xml:space="preserve"> for 12 months followed by alendronate 70 mg </w:t>
      </w:r>
      <w:r w:rsidR="00635CE9">
        <w:t>weekly</w:t>
      </w:r>
      <w:r>
        <w:t xml:space="preserve"> through the primary analysis significantly reduced the risk of </w:t>
      </w:r>
      <w:r w:rsidR="00864D4D">
        <w:t>non-vertebral</w:t>
      </w:r>
      <w:r>
        <w:t xml:space="preserve"> fractures by 19%</w:t>
      </w:r>
      <w:r w:rsidR="008D74BF">
        <w:t xml:space="preserve"> </w:t>
      </w:r>
      <w:r>
        <w:t>(romosozumab/alendronate: 178</w:t>
      </w:r>
      <w:r w:rsidR="00635CE9">
        <w:t xml:space="preserve"> of </w:t>
      </w:r>
      <w:r>
        <w:t xml:space="preserve">2046, 8.7% </w:t>
      </w:r>
      <w:r w:rsidR="00CE639A">
        <w:t xml:space="preserve">versus </w:t>
      </w:r>
      <w:r>
        <w:t>alendronate/alendronate: 217</w:t>
      </w:r>
      <w:r w:rsidR="00635CE9">
        <w:t xml:space="preserve"> of </w:t>
      </w:r>
      <w:r>
        <w:t xml:space="preserve">2047, 10.6%; </w:t>
      </w:r>
      <w:r w:rsidR="00635CE9">
        <w:t xml:space="preserve">hazard ratio </w:t>
      </w:r>
      <w:r>
        <w:t>=</w:t>
      </w:r>
      <w:r w:rsidR="00635CE9">
        <w:t xml:space="preserve"> </w:t>
      </w:r>
      <w:r>
        <w:t>0.81, 95% CI: 0.66</w:t>
      </w:r>
      <w:r w:rsidR="00635CE9">
        <w:t xml:space="preserve"> to</w:t>
      </w:r>
      <w:r>
        <w:t xml:space="preserve"> 0.99; 2-sided adjusted p value</w:t>
      </w:r>
      <w:r w:rsidR="00635CE9">
        <w:t xml:space="preserve"> </w:t>
      </w:r>
      <w:r>
        <w:t>=</w:t>
      </w:r>
      <w:r w:rsidR="00635CE9">
        <w:t> </w:t>
      </w:r>
      <w:r>
        <w:t xml:space="preserve">0.040). However, the difference for </w:t>
      </w:r>
      <w:r w:rsidR="00864D4D">
        <w:t>non-vertebral</w:t>
      </w:r>
      <w:r>
        <w:t xml:space="preserve"> fractures just statistically significant (as upper limit 95% CI was 0.99) and furthermore, </w:t>
      </w:r>
      <w:r w:rsidR="00654353">
        <w:t>romosozumab</w:t>
      </w:r>
      <w:r>
        <w:t xml:space="preserve">/ alendronate failed to show statistically significant reduction in </w:t>
      </w:r>
      <w:r w:rsidR="00864D4D">
        <w:t>non-vertebral</w:t>
      </w:r>
      <w:r>
        <w:t xml:space="preserve"> fractures at the end of the </w:t>
      </w:r>
      <w:r w:rsidR="00566372">
        <w:t>double blind</w:t>
      </w:r>
      <w:r>
        <w:t xml:space="preserve"> treatment period at </w:t>
      </w:r>
      <w:r w:rsidR="00635CE9">
        <w:t>M</w:t>
      </w:r>
      <w:r>
        <w:t xml:space="preserve">onth 12 (p = 0.057) or at </w:t>
      </w:r>
      <w:r w:rsidR="00635CE9">
        <w:t>M</w:t>
      </w:r>
      <w:r>
        <w:t>onth 24 (p = 0.074). The risk of clinical fractures (</w:t>
      </w:r>
      <w:r w:rsidR="00864D4D">
        <w:t>non-vertebral</w:t>
      </w:r>
      <w:r>
        <w:t xml:space="preserve"> fracture and clinical vertebral fracture) was significantly reduced by 27% compared with alendronate alone (romosozumab/ alendronate </w:t>
      </w:r>
      <w:r w:rsidR="00CE639A">
        <w:t xml:space="preserve">versus </w:t>
      </w:r>
      <w:r>
        <w:t xml:space="preserve">alendronate/ alendronate: 9.7% </w:t>
      </w:r>
      <w:r w:rsidR="00CE639A">
        <w:t xml:space="preserve">versus </w:t>
      </w:r>
      <w:r>
        <w:t xml:space="preserve">13%; </w:t>
      </w:r>
      <w:r w:rsidR="00635CE9">
        <w:t>hazard ratio</w:t>
      </w:r>
      <w:r>
        <w:t xml:space="preserve"> = 0.73; 95% CI: 0.61</w:t>
      </w:r>
      <w:r w:rsidR="00635CE9">
        <w:t xml:space="preserve"> to</w:t>
      </w:r>
      <w:r>
        <w:t xml:space="preserve"> 0.88, adjusted p &lt; 0.001)</w:t>
      </w:r>
      <w:r w:rsidR="008D74BF">
        <w:t>.</w:t>
      </w:r>
    </w:p>
    <w:p w14:paraId="475D401F" w14:textId="7A5943D7" w:rsidR="008D74BF" w:rsidRDefault="003023A2" w:rsidP="003023A2">
      <w:r>
        <w:t>Other fracture endpoints such as hip, major non</w:t>
      </w:r>
      <w:r w:rsidR="005C2F9A">
        <w:t>-</w:t>
      </w:r>
      <w:r>
        <w:t xml:space="preserve">vertebral, major osteoporotic, all osteoporotic and new or worsening vertebral fractures showed numerically lower incidence in the romosozumab group compared to both placebo (in </w:t>
      </w:r>
      <w:r w:rsidR="00635CE9">
        <w:t>S</w:t>
      </w:r>
      <w:r>
        <w:t xml:space="preserve">tudy 20070337, </w:t>
      </w:r>
      <w:r w:rsidRPr="00A808F5">
        <w:t xml:space="preserve">Table </w:t>
      </w:r>
      <w:r w:rsidR="00A808F5" w:rsidRPr="00A808F5">
        <w:t>7</w:t>
      </w:r>
      <w:r w:rsidRPr="00A808F5">
        <w:t xml:space="preserve">) and alendronate (in </w:t>
      </w:r>
      <w:r w:rsidR="00635CE9" w:rsidRPr="00A808F5">
        <w:t>S</w:t>
      </w:r>
      <w:r w:rsidRPr="00A808F5">
        <w:t xml:space="preserve">tudy 20110142, Table </w:t>
      </w:r>
      <w:r w:rsidR="00A808F5" w:rsidRPr="00A808F5">
        <w:t>8</w:t>
      </w:r>
      <w:r w:rsidRPr="00A808F5">
        <w:t>)</w:t>
      </w:r>
      <w:r w:rsidR="008D74BF" w:rsidRPr="00A808F5">
        <w:t>.</w:t>
      </w:r>
    </w:p>
    <w:p w14:paraId="5F71C578" w14:textId="56BF82F1" w:rsidR="001D3DDC" w:rsidRDefault="001D3DDC" w:rsidP="00E43741">
      <w:pPr>
        <w:pStyle w:val="TableTitle"/>
      </w:pPr>
      <w:r>
        <w:lastRenderedPageBreak/>
        <w:t xml:space="preserve">Table </w:t>
      </w:r>
      <w:r w:rsidR="00A808F5">
        <w:t>7</w:t>
      </w:r>
      <w:r w:rsidR="00E43741">
        <w:t>:</w:t>
      </w:r>
      <w:r>
        <w:t xml:space="preserve"> Subject </w:t>
      </w:r>
      <w:r w:rsidR="00A62BA9">
        <w:t xml:space="preserve">incidence rates of new vertebral fracture </w:t>
      </w:r>
      <w:r w:rsidR="00D71BFB">
        <w:t xml:space="preserve">at </w:t>
      </w:r>
      <w:r>
        <w:t>Month 12</w:t>
      </w:r>
      <w:r w:rsidR="00D71BFB">
        <w:t>;</w:t>
      </w:r>
      <w:r>
        <w:t xml:space="preserve"> and Month</w:t>
      </w:r>
      <w:r w:rsidR="001002BF">
        <w:t> </w:t>
      </w:r>
      <w:r>
        <w:t>24 (Pr</w:t>
      </w:r>
      <w:r w:rsidR="00E43741">
        <w:t xml:space="preserve">imary </w:t>
      </w:r>
      <w:r w:rsidR="00D71BFB">
        <w:t>e</w:t>
      </w:r>
      <w:r w:rsidR="00E43741">
        <w:t xml:space="preserve">fficacy </w:t>
      </w:r>
      <w:r w:rsidR="00D71BFB">
        <w:t>a</w:t>
      </w:r>
      <w:r w:rsidR="00E43741">
        <w:t xml:space="preserve">nalysis </w:t>
      </w:r>
      <w:r w:rsidR="00D71BFB">
        <w:t>s</w:t>
      </w:r>
      <w:r w:rsidR="00E43741">
        <w:t xml:space="preserve">et, </w:t>
      </w:r>
      <w:r w:rsidR="00A62BA9">
        <w:t>LOCF</w:t>
      </w:r>
      <w:r>
        <w:t xml:space="preserve"> </w:t>
      </w:r>
      <w:r w:rsidR="00D71BFB">
        <w:t>i</w:t>
      </w:r>
      <w:r>
        <w:t>mputation)</w:t>
      </w:r>
    </w:p>
    <w:p w14:paraId="6D040C64" w14:textId="0C2D5738" w:rsidR="00654353" w:rsidRDefault="001D3DDC" w:rsidP="001D3DDC">
      <w:r>
        <w:rPr>
          <w:noProof/>
          <w:lang w:eastAsia="en-AU"/>
        </w:rPr>
        <w:drawing>
          <wp:inline distT="0" distB="0" distL="0" distR="0" wp14:anchorId="0FAA8D56" wp14:editId="1AB02DCD">
            <wp:extent cx="4945075" cy="2963120"/>
            <wp:effectExtent l="0" t="0" r="8255" b="8890"/>
            <wp:docPr id="2" name="Picture 2" descr="Subject incidence rates of new vertebral fracture through Month 12 and through Month 24 (Primary Efficacy Analysis Set, LOCF Imputation)et,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47091" cy="2964328"/>
                    </a:xfrm>
                    <a:prstGeom prst="rect">
                      <a:avLst/>
                    </a:prstGeom>
                  </pic:spPr>
                </pic:pic>
              </a:graphicData>
            </a:graphic>
          </wp:inline>
        </w:drawing>
      </w:r>
    </w:p>
    <w:p w14:paraId="7400F2FE" w14:textId="755BE5D1" w:rsidR="005579F3" w:rsidRPr="00654353" w:rsidRDefault="001D3DDC" w:rsidP="00654353">
      <w:pPr>
        <w:pStyle w:val="TableDescription"/>
      </w:pPr>
      <w:r w:rsidRPr="00654353">
        <w:t xml:space="preserve">LOCF = last observation carried forward; Point </w:t>
      </w:r>
      <w:proofErr w:type="spellStart"/>
      <w:r w:rsidRPr="00654353">
        <w:t>est</w:t>
      </w:r>
      <w:proofErr w:type="spellEnd"/>
      <w:r w:rsidRPr="00654353">
        <w:t xml:space="preserve"> = point estimate; Q6M = every 6 months; QM = every; month; </w:t>
      </w:r>
      <w:r w:rsidR="007B4630" w:rsidRPr="00654353">
        <w:t>RRR</w:t>
      </w:r>
      <w:r w:rsidR="003D64C5" w:rsidRPr="00654353">
        <w:t xml:space="preserve"> </w:t>
      </w:r>
      <w:r w:rsidRPr="00654353">
        <w:t>= relative risk reduction; N = Number of subjects randomized; N1 = Number of subjects in the primary analysis set for vertebral fractures; Positive values for absolute risk reduction and values &lt; 1 for risk ratio and odds ratio favo</w:t>
      </w:r>
      <w:r w:rsidR="00E43741" w:rsidRPr="00654353">
        <w:t>u</w:t>
      </w:r>
      <w:r w:rsidRPr="00654353">
        <w:t>r romosozumab.; a Based on the Mantel-</w:t>
      </w:r>
      <w:proofErr w:type="spellStart"/>
      <w:r w:rsidRPr="00654353">
        <w:t>Haenszel</w:t>
      </w:r>
      <w:proofErr w:type="spellEnd"/>
      <w:r w:rsidRPr="00654353">
        <w:t xml:space="preserve"> method adjusted for age and prevalent vertebral fracture stratification; variables; b SE represents the standard error of log(risk ratio).; c Calculated from risk ratio as 100 x (1 – risk ratio); d Based on logistic regression model adjusted for age and prevalent vertebral fracture stratification variables;; p-value based on score test; e SE represents the standard error of log(odds ratio)</w:t>
      </w:r>
    </w:p>
    <w:p w14:paraId="6376E857" w14:textId="387F4C5A" w:rsidR="005C2F9A" w:rsidRDefault="00A62BA9" w:rsidP="00E43741">
      <w:pPr>
        <w:pStyle w:val="TableTitle"/>
      </w:pPr>
      <w:r>
        <w:t>Table 8</w:t>
      </w:r>
      <w:r w:rsidR="00E43741">
        <w:t xml:space="preserve">: </w:t>
      </w:r>
      <w:r w:rsidR="005C2F9A" w:rsidRPr="005C2F9A">
        <w:t>Subject incidence of non</w:t>
      </w:r>
      <w:r w:rsidR="00E43741">
        <w:t>-</w:t>
      </w:r>
      <w:r w:rsidR="005C2F9A" w:rsidRPr="005C2F9A">
        <w:t>vertebral fracture through primary analysis (</w:t>
      </w:r>
      <w:r w:rsidR="00D71BFB">
        <w:t>Study 20110142 F</w:t>
      </w:r>
      <w:r w:rsidR="00BB2139">
        <w:t>ull analysis set</w:t>
      </w:r>
      <w:r w:rsidR="005C2F9A" w:rsidRPr="005C2F9A">
        <w:t>, primary analysis)</w:t>
      </w:r>
    </w:p>
    <w:p w14:paraId="63BC4B5D" w14:textId="77777777" w:rsidR="005C2F9A" w:rsidRDefault="00C85473" w:rsidP="003023A2">
      <w:r>
        <w:rPr>
          <w:noProof/>
          <w:lang w:eastAsia="en-AU"/>
        </w:rPr>
        <w:drawing>
          <wp:inline distT="0" distB="0" distL="0" distR="0" wp14:anchorId="27FC0B90" wp14:editId="0B545F4B">
            <wp:extent cx="4614530" cy="2281341"/>
            <wp:effectExtent l="0" t="0" r="0" b="5080"/>
            <wp:docPr id="16" name="Picture 16" descr="Subject incidence of nonvertebral fracture through primary analysis (full analysis set, Study 20110142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16482" cy="2282306"/>
                    </a:xfrm>
                    <a:prstGeom prst="rect">
                      <a:avLst/>
                    </a:prstGeom>
                  </pic:spPr>
                </pic:pic>
              </a:graphicData>
            </a:graphic>
          </wp:inline>
        </w:drawing>
      </w:r>
    </w:p>
    <w:p w14:paraId="49A40EFE" w14:textId="77777777" w:rsidR="00C85473" w:rsidRDefault="00C85473" w:rsidP="005111DC">
      <w:pPr>
        <w:pStyle w:val="TableDescription"/>
      </w:pPr>
      <w:r>
        <w:t>Hazard ratio &lt; 1 favours romosozumab; SE represents the standard error of log (hazard ratio): a The hazard ratio estimate is based on Cox proportional hazards model adjusting for age strata, baseline total hip BMD T-score, and presence of severe vertebral fracture at baseline</w:t>
      </w:r>
    </w:p>
    <w:p w14:paraId="35E008CE" w14:textId="4571BED5" w:rsidR="008D74BF" w:rsidRDefault="003023A2" w:rsidP="003023A2">
      <w:r>
        <w:t xml:space="preserve">In Study 20070337, romosozumab 210 mg SC </w:t>
      </w:r>
      <w:r w:rsidR="00635CE9">
        <w:t>monthly</w:t>
      </w:r>
      <w:r>
        <w:t xml:space="preserve"> for 12 months increased </w:t>
      </w:r>
      <w:r w:rsidR="00881772">
        <w:t>BMD</w:t>
      </w:r>
      <w:r>
        <w:t xml:space="preserve"> compared with placebo at the lumbar spine, total hip and </w:t>
      </w:r>
      <w:r w:rsidR="003F3B8A">
        <w:t>fem</w:t>
      </w:r>
      <w:r w:rsidR="00C85473">
        <w:t>o</w:t>
      </w:r>
      <w:r w:rsidR="003F3B8A">
        <w:t>ral</w:t>
      </w:r>
      <w:r>
        <w:t xml:space="preserve"> neck, with mean differences of 12.7%, 5.8% and 5.2%, respectively. Simi</w:t>
      </w:r>
      <w:r w:rsidR="00635CE9">
        <w:t>lar increases were observed in S</w:t>
      </w:r>
      <w:r>
        <w:t xml:space="preserve">tudy 20110142, in which romosozumab increased </w:t>
      </w:r>
      <w:r w:rsidR="00881772">
        <w:t>BMD</w:t>
      </w:r>
      <w:r>
        <w:t xml:space="preserve"> compared with alendronate at </w:t>
      </w:r>
      <w:r w:rsidR="00635CE9">
        <w:t>M</w:t>
      </w:r>
      <w:r>
        <w:t xml:space="preserve">onth 12, with mean differences of 8.7% at the lumbar spine, 3.3% at the total hip and 3.2% at the </w:t>
      </w:r>
      <w:r w:rsidR="00C85473">
        <w:t>femoral</w:t>
      </w:r>
      <w:r>
        <w:t xml:space="preserve"> neck (multiplicity adjusted p &lt; 0.001 for all </w:t>
      </w:r>
      <w:r w:rsidR="00635CE9">
        <w:t>three</w:t>
      </w:r>
      <w:r>
        <w:t xml:space="preserve"> sites) </w:t>
      </w:r>
      <w:r w:rsidRPr="00A62BA9">
        <w:t>(</w:t>
      </w:r>
      <w:r w:rsidR="00D71BFB">
        <w:t xml:space="preserve">see </w:t>
      </w:r>
      <w:r w:rsidRPr="00A62BA9">
        <w:t>Table</w:t>
      </w:r>
      <w:r w:rsidR="00A62BA9" w:rsidRPr="00A62BA9">
        <w:t xml:space="preserve"> 9</w:t>
      </w:r>
      <w:r w:rsidRPr="00A62BA9">
        <w:t>)</w:t>
      </w:r>
      <w:r w:rsidR="008D74BF" w:rsidRPr="00A62BA9">
        <w:t>.</w:t>
      </w:r>
    </w:p>
    <w:p w14:paraId="6EBE9B34" w14:textId="651FFA73" w:rsidR="005C2F9A" w:rsidRDefault="005C2F9A" w:rsidP="007C63B5">
      <w:pPr>
        <w:pStyle w:val="TableTitle"/>
      </w:pPr>
      <w:r w:rsidRPr="005C2F9A">
        <w:lastRenderedPageBreak/>
        <w:t xml:space="preserve">Table </w:t>
      </w:r>
      <w:r w:rsidR="00A62BA9">
        <w:t>9</w:t>
      </w:r>
      <w:r w:rsidRPr="005C2F9A">
        <w:t xml:space="preserve">: </w:t>
      </w:r>
      <w:r w:rsidR="00A62BA9">
        <w:t>BMD</w:t>
      </w:r>
      <w:r w:rsidRPr="005C2F9A">
        <w:t xml:space="preserve"> of percent change from </w:t>
      </w:r>
      <w:r w:rsidR="00D71BFB">
        <w:t>B</w:t>
      </w:r>
      <w:r w:rsidRPr="005C2F9A">
        <w:t xml:space="preserve">aseline at </w:t>
      </w:r>
      <w:r w:rsidR="00C85473">
        <w:t>M</w:t>
      </w:r>
      <w:r w:rsidRPr="005C2F9A">
        <w:t xml:space="preserve">onth 12 in the pivotal fracture studies (ANCOVA model) (Primary efficacy analysis set for BMD, </w:t>
      </w:r>
      <w:r w:rsidR="003D7E26">
        <w:t>LOCF</w:t>
      </w:r>
      <w:r w:rsidRPr="005C2F9A">
        <w:t>)</w:t>
      </w:r>
    </w:p>
    <w:p w14:paraId="561F3BC3" w14:textId="193D9F9B" w:rsidR="007C63B5" w:rsidRDefault="003D7E26" w:rsidP="003D7E26">
      <w:r>
        <w:rPr>
          <w:noProof/>
          <w:lang w:eastAsia="en-AU"/>
        </w:rPr>
        <w:drawing>
          <wp:inline distT="0" distB="0" distL="0" distR="0" wp14:anchorId="1000C309" wp14:editId="7FF44C51">
            <wp:extent cx="4279392" cy="4272347"/>
            <wp:effectExtent l="0" t="0" r="6985" b="0"/>
            <wp:docPr id="29" name="Picture 29" descr="Bone mineral density of percent change from baseline at Month 12 in the pivotal fracture studies (ANCOVA model) (Primary efficacy analysis set for BMD, 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86353" cy="4279297"/>
                    </a:xfrm>
                    <a:prstGeom prst="rect">
                      <a:avLst/>
                    </a:prstGeom>
                  </pic:spPr>
                </pic:pic>
              </a:graphicData>
            </a:graphic>
          </wp:inline>
        </w:drawing>
      </w:r>
    </w:p>
    <w:p w14:paraId="0744880D" w14:textId="2B17E540" w:rsidR="008D74BF" w:rsidRDefault="003023A2" w:rsidP="003023A2">
      <w:r>
        <w:t xml:space="preserve">A </w:t>
      </w:r>
      <w:r w:rsidRPr="00BB4ED2">
        <w:rPr>
          <w:i/>
        </w:rPr>
        <w:t>post hoc</w:t>
      </w:r>
      <w:r>
        <w:t xml:space="preserve"> responder analysis in </w:t>
      </w:r>
      <w:r w:rsidR="003D7E26">
        <w:t>Study</w:t>
      </w:r>
      <w:r>
        <w:t xml:space="preserve"> 20070337 demonstrated that among subjects randomised to romosozumab, 96.2%, 92.4% and 68.4% had an increase from baseline in lumbar spine </w:t>
      </w:r>
      <w:r w:rsidR="00881772">
        <w:t>BMD</w:t>
      </w:r>
      <w:r>
        <w:t xml:space="preserve"> at </w:t>
      </w:r>
      <w:r w:rsidR="00635CE9">
        <w:t>M</w:t>
      </w:r>
      <w:r>
        <w:t>onth 12 of &gt; 3%, &gt; 5% and &gt; 10%, respectively.</w:t>
      </w:r>
      <w:r w:rsidR="008D74BF">
        <w:t xml:space="preserve"> </w:t>
      </w:r>
      <w:r>
        <w:t xml:space="preserve">For total hip and </w:t>
      </w:r>
      <w:r w:rsidR="00C85473">
        <w:t>femoral</w:t>
      </w:r>
      <w:r>
        <w:t xml:space="preserve"> neck, 77.7% and 71.2% of subjects achieved at least a 3% </w:t>
      </w:r>
      <w:r w:rsidR="00881772">
        <w:t>BMD</w:t>
      </w:r>
      <w:r>
        <w:t xml:space="preserve"> increase from </w:t>
      </w:r>
      <w:r w:rsidR="00D71BFB">
        <w:t xml:space="preserve">Baseline </w:t>
      </w:r>
      <w:r>
        <w:t xml:space="preserve">at </w:t>
      </w:r>
      <w:r w:rsidR="00635CE9">
        <w:t>M</w:t>
      </w:r>
      <w:r>
        <w:t xml:space="preserve">onth 12, with 58.0% and 51.7% of subjects achieving a ≥ 5% </w:t>
      </w:r>
      <w:r w:rsidR="00881772">
        <w:t>BMD</w:t>
      </w:r>
      <w:r>
        <w:t xml:space="preserve"> increase, respectively. Similar results were observed for the post hoc responder analysis in Study 20110142: Among subjects randomised to romosozumab, 95.1%, 91.2% and 68.2% had and had an increase from </w:t>
      </w:r>
      <w:r w:rsidR="00D71BFB">
        <w:t>B</w:t>
      </w:r>
      <w:r>
        <w:t xml:space="preserve">aseline in lumbar spine </w:t>
      </w:r>
      <w:r w:rsidR="00881772">
        <w:t>BMD</w:t>
      </w:r>
      <w:r>
        <w:t xml:space="preserve"> at </w:t>
      </w:r>
      <w:r w:rsidR="00635CE9">
        <w:t>M</w:t>
      </w:r>
      <w:r>
        <w:t>onth 12 of &gt;</w:t>
      </w:r>
      <w:r w:rsidR="00635CE9">
        <w:t> </w:t>
      </w:r>
      <w:r>
        <w:t>3%, &gt; 5% and &gt; 10%, respectively.</w:t>
      </w:r>
      <w:r w:rsidR="008D74BF">
        <w:t xml:space="preserve"> </w:t>
      </w:r>
      <w:r>
        <w:t xml:space="preserve">For total hip and </w:t>
      </w:r>
      <w:r w:rsidR="00C85473">
        <w:t>femoral</w:t>
      </w:r>
      <w:r>
        <w:t xml:space="preserve"> neck, 74.1% and 65.6% of subjects achieved at least a 3% </w:t>
      </w:r>
      <w:r w:rsidR="00881772">
        <w:t>BMD</w:t>
      </w:r>
      <w:r>
        <w:t xml:space="preserve"> increase from baseline at </w:t>
      </w:r>
      <w:r w:rsidR="00635CE9">
        <w:t>M</w:t>
      </w:r>
      <w:r>
        <w:t xml:space="preserve">onth 12, with 55.9% and 49.6% of subjects achieving a ≥ 5% </w:t>
      </w:r>
      <w:r w:rsidR="00881772">
        <w:t>BMD</w:t>
      </w:r>
      <w:r>
        <w:t xml:space="preserve"> increase, respectively. In both Phase </w:t>
      </w:r>
      <w:r w:rsidR="00635CE9">
        <w:t>III</w:t>
      </w:r>
      <w:r>
        <w:t xml:space="preserve"> pivotal studies, the statistically and clinically relevant improvements in </w:t>
      </w:r>
      <w:r w:rsidR="00881772">
        <w:t>BMD</w:t>
      </w:r>
      <w:r>
        <w:t xml:space="preserve"> (at lumbar spine and total hip) with romosozumab compared with placebo/ denosumab or alendronate were observed in all subgroups by baseline T-score, age and geographic region</w:t>
      </w:r>
      <w:r w:rsidR="008D74BF">
        <w:t>.</w:t>
      </w:r>
    </w:p>
    <w:p w14:paraId="6B2416E3" w14:textId="3BCBB90A" w:rsidR="008D74BF" w:rsidRPr="00AE6845" w:rsidRDefault="003023A2" w:rsidP="003023A2">
      <w:r>
        <w:t>In the open</w:t>
      </w:r>
      <w:r w:rsidR="00635CE9">
        <w:t xml:space="preserve"> </w:t>
      </w:r>
      <w:r>
        <w:t xml:space="preserve">label Phase </w:t>
      </w:r>
      <w:proofErr w:type="spellStart"/>
      <w:r w:rsidR="00635CE9">
        <w:t>III</w:t>
      </w:r>
      <w:r>
        <w:t>b</w:t>
      </w:r>
      <w:proofErr w:type="spellEnd"/>
      <w:r>
        <w:t xml:space="preserve"> </w:t>
      </w:r>
      <w:r w:rsidR="003D7E26">
        <w:t>Study</w:t>
      </w:r>
      <w:r>
        <w:t xml:space="preserve"> 20080289, which enrolled subjects transitioning from bisphosphonate therapy, romosozumab led to robust gains in </w:t>
      </w:r>
      <w:r w:rsidR="00881772">
        <w:t>BMD</w:t>
      </w:r>
      <w:r>
        <w:t xml:space="preserve"> over 12 months of treatment. However, these gains were modestly lower than in the bisphosphonate-naïve subjects enrolled in the </w:t>
      </w:r>
      <w:r w:rsidR="00566372">
        <w:t>placebo controlled</w:t>
      </w:r>
      <w:r>
        <w:t xml:space="preserve"> studies discussed above. This apparent difference between </w:t>
      </w:r>
      <w:r w:rsidR="00881772">
        <w:t>BMD</w:t>
      </w:r>
      <w:r>
        <w:t xml:space="preserve"> responses in pre-treated subjects is consistent with prior studies of subjects initiating bone-forming therapy after bisphosphonates that also demonstrated lower </w:t>
      </w:r>
      <w:r w:rsidR="00881772">
        <w:t>BMD</w:t>
      </w:r>
      <w:r>
        <w:t xml:space="preserve"> increases compared to treatment-naïve subjects</w:t>
      </w:r>
      <w:r w:rsidR="003D7E26">
        <w:t>.</w:t>
      </w:r>
      <w:r w:rsidR="00D60601" w:rsidRPr="00AE6845">
        <w:rPr>
          <w:rStyle w:val="FootnoteReference"/>
        </w:rPr>
        <w:footnoteReference w:id="45"/>
      </w:r>
      <w:r w:rsidR="00D60601" w:rsidRPr="00AE6845">
        <w:t>,</w:t>
      </w:r>
      <w:r w:rsidR="00D60601" w:rsidRPr="00AE6845">
        <w:rPr>
          <w:rStyle w:val="FootnoteReference"/>
        </w:rPr>
        <w:footnoteReference w:id="46"/>
      </w:r>
      <w:r w:rsidR="00D60601" w:rsidRPr="00AE6845">
        <w:t>,</w:t>
      </w:r>
      <w:r w:rsidR="00D60601" w:rsidRPr="00AE6845">
        <w:rPr>
          <w:rStyle w:val="FootnoteReference"/>
        </w:rPr>
        <w:footnoteReference w:id="47"/>
      </w:r>
    </w:p>
    <w:p w14:paraId="628EFD32" w14:textId="49D784B1" w:rsidR="008D74BF" w:rsidRDefault="003023A2" w:rsidP="003023A2">
      <w:r>
        <w:lastRenderedPageBreak/>
        <w:t>The maintenance of effect after the second year (</w:t>
      </w:r>
      <w:r w:rsidR="00C36ACF">
        <w:t>for example</w:t>
      </w:r>
      <w:r>
        <w:t xml:space="preserve"> 3</w:t>
      </w:r>
      <w:r w:rsidR="007B4630">
        <w:t xml:space="preserve"> to </w:t>
      </w:r>
      <w:r>
        <w:t xml:space="preserve">5 years) was only evaluated in the </w:t>
      </w:r>
      <w:r w:rsidR="00566372">
        <w:t>placebo controlled</w:t>
      </w:r>
      <w:r>
        <w:t xml:space="preserve"> pivotal </w:t>
      </w:r>
      <w:r w:rsidR="00635CE9">
        <w:t>S</w:t>
      </w:r>
      <w:r>
        <w:t>tudy 20070337. The treatment benefit on new vertebral fractures established with romosozumab for 12 months compared with placebo continued to be present when treatment was followed by denosumab for 24</w:t>
      </w:r>
      <w:r w:rsidR="00635CE9">
        <w:t> </w:t>
      </w:r>
      <w:r>
        <w:t>months.</w:t>
      </w:r>
      <w:r w:rsidR="008D74BF">
        <w:t xml:space="preserve"> </w:t>
      </w:r>
      <w:r>
        <w:t xml:space="preserve">The risk of new vertebral fractures through </w:t>
      </w:r>
      <w:r w:rsidR="00635CE9">
        <w:t>M</w:t>
      </w:r>
      <w:r>
        <w:t>onth 36 was reduced by 66% for romosozumab/denosumab compared with placebo/denosumab (nominal p &lt; 0.001). Other secondary fracture endpoints showed similar results to those observed in the primary 24</w:t>
      </w:r>
      <w:r w:rsidR="00635CE9">
        <w:t xml:space="preserve"> </w:t>
      </w:r>
      <w:r>
        <w:t>month analysis with a 27% reduction in risk of clinical fractures, 21% reduction in risk of non</w:t>
      </w:r>
      <w:r w:rsidR="00635CE9">
        <w:t>-</w:t>
      </w:r>
      <w:r>
        <w:t xml:space="preserve">vertebral fractures. At month 36, romosozumab followed by denosumab resulted in continued increases in </w:t>
      </w:r>
      <w:r w:rsidR="00881772">
        <w:t>BMD</w:t>
      </w:r>
      <w:r>
        <w:t xml:space="preserve"> at the lumbar spine, total hip and </w:t>
      </w:r>
      <w:r w:rsidR="00C85473">
        <w:t>femoral</w:t>
      </w:r>
      <w:r>
        <w:t xml:space="preserve"> neck compared with placebo followed by denosumab. However, results of the extension study (from </w:t>
      </w:r>
      <w:r w:rsidR="00635CE9">
        <w:t>M</w:t>
      </w:r>
      <w:r>
        <w:t>onth 24 to 36) were only exploratory</w:t>
      </w:r>
      <w:r w:rsidR="008D74BF">
        <w:t>.</w:t>
      </w:r>
    </w:p>
    <w:p w14:paraId="22945563" w14:textId="3A065306" w:rsidR="003023A2" w:rsidRDefault="003023A2" w:rsidP="003023A2">
      <w:r>
        <w:t>In all studies among bisphosphonate-naïve and bisphosphonate pre</w:t>
      </w:r>
      <w:r w:rsidR="00654353">
        <w:t>-</w:t>
      </w:r>
      <w:r>
        <w:t xml:space="preserve">treated subjects, </w:t>
      </w:r>
      <w:r w:rsidR="00635CE9">
        <w:t>bone turnover marker</w:t>
      </w:r>
      <w:r>
        <w:t xml:space="preserve"> levels during romosozumab treatment showed a generally similar pattern, reflecting the dual effect of romosozumab, with an increase in bone formation and a decrease in bone resorption. Across the studies, bone formation markers peaked and returned to baseline by approximately month 6 to 9 while bone resorption markers decreased within a month after the first dose and generally remained below placebo at month 12, but above the</w:t>
      </w:r>
      <w:r w:rsidR="003B40F2" w:rsidRPr="003B40F2">
        <w:t xml:space="preserve"> </w:t>
      </w:r>
      <w:r w:rsidR="003B40F2">
        <w:t>serum C-</w:t>
      </w:r>
      <w:proofErr w:type="spellStart"/>
      <w:r w:rsidR="003B40F2">
        <w:t>telopeptide</w:t>
      </w:r>
      <w:proofErr w:type="spellEnd"/>
      <w:r>
        <w:t xml:space="preserve"> </w:t>
      </w:r>
      <w:r w:rsidR="003B40F2">
        <w:t>(</w:t>
      </w:r>
      <w:proofErr w:type="spellStart"/>
      <w:r>
        <w:t>sCTX</w:t>
      </w:r>
      <w:proofErr w:type="spellEnd"/>
      <w:r w:rsidR="003B40F2">
        <w:t>)</w:t>
      </w:r>
      <w:r>
        <w:t xml:space="preserve"> levels of the anti</w:t>
      </w:r>
      <w:r w:rsidR="00654353">
        <w:t>-</w:t>
      </w:r>
      <w:proofErr w:type="spellStart"/>
      <w:r>
        <w:t>resorptive</w:t>
      </w:r>
      <w:proofErr w:type="spellEnd"/>
      <w:r>
        <w:t xml:space="preserve"> therapy alendronate in active-controlled Study 20110142. Despite a general trend towards baseline, transient responses in markers of bone turnover still occurred 14 days post romosozumab dose at </w:t>
      </w:r>
      <w:r w:rsidR="00635CE9">
        <w:t>M</w:t>
      </w:r>
      <w:r>
        <w:t xml:space="preserve">onths 3 and 6 in Study 20070337. This same pattern was observed at the same time points in Study 20080289 and 1 week post the 12 month dose in Study 20060326. Thus across these 3 studies, </w:t>
      </w:r>
      <w:r w:rsidR="00635CE9">
        <w:t>bone turnover marker</w:t>
      </w:r>
      <w:r>
        <w:t xml:space="preserve">s responded to each romosozumab administration with transient increases over the </w:t>
      </w:r>
      <w:r w:rsidR="00531AFF">
        <w:t>12 month</w:t>
      </w:r>
      <w:r>
        <w:t xml:space="preserve"> treatment period suggesting continued but lessening effect of the drug during the dosing period. The fact that P1NP, </w:t>
      </w:r>
      <w:r w:rsidR="00635CE9">
        <w:t>bone specific alkaline phosphatase</w:t>
      </w:r>
      <w:r>
        <w:t xml:space="preserve"> and </w:t>
      </w:r>
      <w:proofErr w:type="spellStart"/>
      <w:r>
        <w:t>osteocalcin</w:t>
      </w:r>
      <w:proofErr w:type="spellEnd"/>
      <w:r>
        <w:t xml:space="preserve"> showed more dose-dependency than </w:t>
      </w:r>
      <w:proofErr w:type="spellStart"/>
      <w:r w:rsidR="00654353">
        <w:t>sCTX</w:t>
      </w:r>
      <w:proofErr w:type="spellEnd"/>
      <w:r w:rsidR="00654353">
        <w:t xml:space="preserve"> </w:t>
      </w:r>
      <w:r>
        <w:t xml:space="preserve">suggests that the selected dose of 210 mg </w:t>
      </w:r>
      <w:r w:rsidR="00635CE9">
        <w:t>monthly</w:t>
      </w:r>
      <w:r>
        <w:t xml:space="preserve"> may promote the most potent bone-forming effect, without an increased anti</w:t>
      </w:r>
      <w:r w:rsidR="00654353">
        <w:t>-</w:t>
      </w:r>
      <w:proofErr w:type="spellStart"/>
      <w:r>
        <w:t>resorptive</w:t>
      </w:r>
      <w:proofErr w:type="spellEnd"/>
      <w:r>
        <w:t xml:space="preserve"> effect.</w:t>
      </w:r>
    </w:p>
    <w:p w14:paraId="2F9C71DC" w14:textId="23181CC8" w:rsidR="008D74BF" w:rsidRDefault="003023A2" w:rsidP="003023A2">
      <w:r>
        <w:t xml:space="preserve">Assessment of bone </w:t>
      </w:r>
      <w:r w:rsidR="00635CE9">
        <w:t>s</w:t>
      </w:r>
      <w:r>
        <w:t xml:space="preserve">trength by </w:t>
      </w:r>
      <w:r w:rsidR="00635CE9">
        <w:t xml:space="preserve">quantitative computed </w:t>
      </w:r>
      <w:r w:rsidR="003D7E26">
        <w:t xml:space="preserve">tomography at the total hip, lumbar spine, distal tibia and distal radius showed that the finite </w:t>
      </w:r>
      <w:r w:rsidR="00635CE9">
        <w:t>element analysis (</w:t>
      </w:r>
      <w:r w:rsidRPr="00D60601">
        <w:t>FEA</w:t>
      </w:r>
      <w:r w:rsidR="00635CE9">
        <w:t xml:space="preserve">) </w:t>
      </w:r>
      <w:r>
        <w:t>percent change from baseline statistically significantly favoured romosozumab in both the cortical and trabecular compartments at the total lumbar spine (as compared to placebo), at the lumbar spine (as compared to alendronate), and the hip (as compared to teriparatide and as compared to placebo), supporting significant increases in estimated strength. At the peripheral skeletal sites, no significant increases in estimated strength were seen</w:t>
      </w:r>
      <w:r w:rsidR="008D74BF">
        <w:t>.</w:t>
      </w:r>
    </w:p>
    <w:p w14:paraId="2F3C5521" w14:textId="0212E149" w:rsidR="003D7E26" w:rsidRDefault="003023A2" w:rsidP="003D7E26">
      <w:r>
        <w:t xml:space="preserve">Studies 20070337, 20060326 and 20080289 included bone biopsy </w:t>
      </w:r>
      <w:proofErr w:type="spellStart"/>
      <w:r>
        <w:t>substudies</w:t>
      </w:r>
      <w:proofErr w:type="spellEnd"/>
      <w:r>
        <w:t xml:space="preserve"> to assess the formation of new bone and the bone quality these histologic and </w:t>
      </w:r>
      <w:proofErr w:type="spellStart"/>
      <w:r>
        <w:t>histomorphometric</w:t>
      </w:r>
      <w:proofErr w:type="spellEnd"/>
      <w:r>
        <w:t xml:space="preserve"> results are indicative of increased osteoblastic and decreased </w:t>
      </w:r>
      <w:proofErr w:type="spellStart"/>
      <w:r>
        <w:t>osteoclastic</w:t>
      </w:r>
      <w:proofErr w:type="spellEnd"/>
      <w:r>
        <w:t xml:space="preserve"> activity both leading to increased trabecular and cortical bone mass. Robust bone formation occurred early in the course of treatment with romosozumab, with inhibition of resorption present early in the course of treatment continued through</w:t>
      </w:r>
      <w:r w:rsidR="001B328D">
        <w:t xml:space="preserve"> to</w:t>
      </w:r>
      <w:r>
        <w:t xml:space="preserve"> </w:t>
      </w:r>
      <w:r w:rsidR="00F32D0B">
        <w:t>M</w:t>
      </w:r>
      <w:r>
        <w:t xml:space="preserve">onth 12. Quantitative bone </w:t>
      </w:r>
      <w:proofErr w:type="spellStart"/>
      <w:r>
        <w:t>histomorphomertry</w:t>
      </w:r>
      <w:proofErr w:type="spellEnd"/>
      <w:r>
        <w:t xml:space="preserve"> on </w:t>
      </w:r>
      <w:proofErr w:type="spellStart"/>
      <w:r>
        <w:t>undecalcified</w:t>
      </w:r>
      <w:proofErr w:type="spellEnd"/>
      <w:r>
        <w:t xml:space="preserve"> sections were performed in a subset of patients in Phase </w:t>
      </w:r>
      <w:r w:rsidR="00F32D0B">
        <w:t>III</w:t>
      </w:r>
      <w:r>
        <w:t xml:space="preserve"> studies. The subset of patients evaluated in the </w:t>
      </w:r>
      <w:proofErr w:type="spellStart"/>
      <w:r>
        <w:t>substudies</w:t>
      </w:r>
      <w:proofErr w:type="spellEnd"/>
      <w:r>
        <w:t xml:space="preserve"> was representative of the overall patient population in the main study and also representative of target patient population. These </w:t>
      </w:r>
      <w:proofErr w:type="spellStart"/>
      <w:r>
        <w:t>substudies</w:t>
      </w:r>
      <w:proofErr w:type="spellEnd"/>
      <w:r>
        <w:t xml:space="preserve"> evaluated potentially negative effects of the drug on bone </w:t>
      </w:r>
      <w:r>
        <w:lastRenderedPageBreak/>
        <w:t xml:space="preserve">remodelling and also helped characterise its effects on bone remodelling balance, degree of mineralisation and hardness. Biopsies of patients treated with romosozumab demonstrated that bone formed during treatment is of normal lamellar structure and there was no evidence of </w:t>
      </w:r>
      <w:proofErr w:type="spellStart"/>
      <w:r>
        <w:t>osteomalacia</w:t>
      </w:r>
      <w:proofErr w:type="spellEnd"/>
      <w:r>
        <w:t xml:space="preserve"> or other defects</w:t>
      </w:r>
      <w:r w:rsidR="003D7E26">
        <w:t>.</w:t>
      </w:r>
    </w:p>
    <w:p w14:paraId="76C37FC5" w14:textId="51415E0C" w:rsidR="003023A2" w:rsidRDefault="003D7E26" w:rsidP="003D7E26">
      <w:pPr>
        <w:pStyle w:val="Heading6"/>
      </w:pPr>
      <w:r>
        <w:t>L</w:t>
      </w:r>
      <w:r w:rsidR="003023A2">
        <w:t>imitations of t</w:t>
      </w:r>
      <w:r>
        <w:t>he submitted efficacy data</w:t>
      </w:r>
    </w:p>
    <w:p w14:paraId="36E6F301" w14:textId="61B94661" w:rsidR="003D7E26" w:rsidRPr="003D7E26" w:rsidRDefault="003D7E26" w:rsidP="003D7E26">
      <w:r>
        <w:t>Some limitations of the submitted efficacy data were:</w:t>
      </w:r>
    </w:p>
    <w:p w14:paraId="45099BE2" w14:textId="6552E397" w:rsidR="008D74BF" w:rsidRDefault="003023A2" w:rsidP="003D7E26">
      <w:pPr>
        <w:pStyle w:val="ListBullet"/>
      </w:pPr>
      <w:r>
        <w:t>Only 6</w:t>
      </w:r>
      <w:r w:rsidR="00F32D0B">
        <w:t xml:space="preserve"> to </w:t>
      </w:r>
      <w:r>
        <w:t>9% of patients in both pivotal studies had received prior treatments for osteoporosis (mainly bisphosphonates). The open</w:t>
      </w:r>
      <w:r w:rsidR="00F32D0B">
        <w:t xml:space="preserve"> </w:t>
      </w:r>
      <w:r>
        <w:t>label</w:t>
      </w:r>
      <w:r w:rsidR="00F32D0B">
        <w:t xml:space="preserve"> Phase </w:t>
      </w:r>
      <w:proofErr w:type="spellStart"/>
      <w:r w:rsidR="00F32D0B">
        <w:t>III</w:t>
      </w:r>
      <w:r>
        <w:t>b</w:t>
      </w:r>
      <w:proofErr w:type="spellEnd"/>
      <w:r>
        <w:t xml:space="preserve"> </w:t>
      </w:r>
      <w:r w:rsidR="00F32D0B">
        <w:t>S</w:t>
      </w:r>
      <w:r>
        <w:t xml:space="preserve">tudy 20080289 in 436 women with </w:t>
      </w:r>
      <w:r w:rsidR="00C36ACF">
        <w:t>postmenopausal osteoporosis</w:t>
      </w:r>
      <w:r>
        <w:t xml:space="preserve"> transitioning from bisphosphonate therapy demonstrated larger gains than treatment with </w:t>
      </w:r>
      <w:r w:rsidR="00284EFB" w:rsidRPr="00D60601">
        <w:t>teriparatide</w:t>
      </w:r>
      <w:r>
        <w:t xml:space="preserve"> in total hip </w:t>
      </w:r>
      <w:r w:rsidR="00881772">
        <w:t>BMD</w:t>
      </w:r>
      <w:r>
        <w:t xml:space="preserve"> by DXA through month 12 (primary endpoint), with a mean difference from </w:t>
      </w:r>
      <w:r w:rsidR="00284EFB">
        <w:t>teriparatide</w:t>
      </w:r>
      <w:r>
        <w:t xml:space="preserve"> (romosozumab </w:t>
      </w:r>
      <w:r w:rsidR="001B328D">
        <w:t>minus</w:t>
      </w:r>
      <w:r>
        <w:t xml:space="preserve"> </w:t>
      </w:r>
      <w:r w:rsidR="00284EFB">
        <w:t>teriparatide</w:t>
      </w:r>
      <w:r>
        <w:t xml:space="preserve">) of 3.2% (p &lt; 0.0001) with similar gains observed for </w:t>
      </w:r>
      <w:r w:rsidR="00C85473">
        <w:t>femoral</w:t>
      </w:r>
      <w:r>
        <w:t xml:space="preserve"> neck and lumbar spine. However, this study did not evaluate effects on incidence of fractures and so effect of romosozumab in patients with prior exposure to other treatments for osteoporosis is limited suggesting that romosozumab can only be used as first line treatment. Furthermore, efficacy of romosozumab was not evaluated in combination with other osteoporosis treatments</w:t>
      </w:r>
      <w:r w:rsidR="008D74BF">
        <w:t>.</w:t>
      </w:r>
    </w:p>
    <w:p w14:paraId="1CADF58F" w14:textId="255BE3B5" w:rsidR="008D74BF" w:rsidRDefault="003023A2" w:rsidP="003D7E26">
      <w:pPr>
        <w:pStyle w:val="ListBullet"/>
      </w:pPr>
      <w:r>
        <w:t xml:space="preserve">Efficacy was only demonstrated for 12 months of romosozumab treatment and effect of retreatment with romosozumab was not adequately evaluated (except in dose ranging Phase </w:t>
      </w:r>
      <w:r w:rsidR="00F32D0B">
        <w:t>II</w:t>
      </w:r>
      <w:r>
        <w:t xml:space="preserve"> </w:t>
      </w:r>
      <w:r w:rsidR="00F32D0B">
        <w:t>S</w:t>
      </w:r>
      <w:r w:rsidR="003D7E26">
        <w:t>tudy 220060236)</w:t>
      </w:r>
      <w:r w:rsidR="008D74BF">
        <w:t>.</w:t>
      </w:r>
    </w:p>
    <w:p w14:paraId="58B23B3A" w14:textId="77777777" w:rsidR="008D74BF" w:rsidRDefault="003023A2" w:rsidP="003D7E26">
      <w:pPr>
        <w:pStyle w:val="ListBullet"/>
      </w:pPr>
      <w:r>
        <w:t>Follow-on treatment with denosumab (60</w:t>
      </w:r>
      <w:r w:rsidR="00F32D0B">
        <w:t xml:space="preserve"> </w:t>
      </w:r>
      <w:r>
        <w:t>mg SC every 6 months) or alendronate (70</w:t>
      </w:r>
      <w:r w:rsidR="00F32D0B">
        <w:t> </w:t>
      </w:r>
      <w:r>
        <w:t xml:space="preserve">mg </w:t>
      </w:r>
      <w:r w:rsidR="00F32D0B">
        <w:t>weekly</w:t>
      </w:r>
      <w:r>
        <w:t>) was required to demonstrate efficacy of romosozumab. There is no evidence for efficacy of romosozumab without other follow-on treatment</w:t>
      </w:r>
      <w:r w:rsidR="008D74BF">
        <w:t>.</w:t>
      </w:r>
    </w:p>
    <w:p w14:paraId="4896F676" w14:textId="450C1E3A" w:rsidR="003023A2" w:rsidRDefault="003023A2" w:rsidP="003D7E26">
      <w:pPr>
        <w:pStyle w:val="ListBullet"/>
      </w:pPr>
      <w:r>
        <w:t>Efficacy of romosozumab was only evaluated in postmenopausal women and men (aged over 50 years) with primary osteoporosis. It was not evaluated in patients with glucocorticoid-induced osteoporosis (as patients on &gt; 7.5</w:t>
      </w:r>
      <w:r w:rsidR="003D7E26">
        <w:t xml:space="preserve"> </w:t>
      </w:r>
      <w:r>
        <w:t>mg equivalent of prednisone were excluded from the studies) or other secondary osteoporosis conditions.</w:t>
      </w:r>
    </w:p>
    <w:p w14:paraId="6279F743" w14:textId="77777777" w:rsidR="008D74BF" w:rsidRDefault="003023A2" w:rsidP="003D7E26">
      <w:pPr>
        <w:pStyle w:val="ListBullet"/>
      </w:pPr>
      <w:r>
        <w:t>The submitted efficacy data was not accurately represented in the draft PI</w:t>
      </w:r>
      <w:r w:rsidR="008D74BF">
        <w:t>.</w:t>
      </w:r>
    </w:p>
    <w:p w14:paraId="6629F9F4" w14:textId="77777777" w:rsidR="001B328D" w:rsidRDefault="003023A2" w:rsidP="008719C0">
      <w:pPr>
        <w:pStyle w:val="Heading5"/>
      </w:pPr>
      <w:r>
        <w:t>Indication 2</w:t>
      </w:r>
    </w:p>
    <w:p w14:paraId="7C0FC2D7" w14:textId="652E263D" w:rsidR="003023A2" w:rsidRPr="00CF0630" w:rsidRDefault="00C36ACF" w:rsidP="00BB4ED2">
      <w:pPr>
        <w:ind w:left="720"/>
      </w:pPr>
      <w:r w:rsidRPr="00BB4ED2">
        <w:rPr>
          <w:i/>
        </w:rPr>
        <w:t>Evenity</w:t>
      </w:r>
      <w:r w:rsidR="003023A2" w:rsidRPr="00BB4ED2">
        <w:rPr>
          <w:i/>
        </w:rPr>
        <w:t xml:space="preserve"> is indicated for the treatment of osteoporosis in men at increased risk of fracture. </w:t>
      </w:r>
      <w:r w:rsidRPr="00BB4ED2">
        <w:rPr>
          <w:i/>
        </w:rPr>
        <w:t>Evenity</w:t>
      </w:r>
      <w:r w:rsidR="003023A2" w:rsidRPr="00BB4ED2">
        <w:rPr>
          <w:i/>
        </w:rPr>
        <w:t xml:space="preserve"> increases bone mass</w:t>
      </w:r>
    </w:p>
    <w:p w14:paraId="03B2BBD4" w14:textId="08D5712F" w:rsidR="008D74BF" w:rsidRDefault="003023A2" w:rsidP="003023A2">
      <w:r>
        <w:t xml:space="preserve">No WHO definition for osteoporosis exists for men. However, in clinical practice the same cut-off for the diagnosis of osteoporosis in men, </w:t>
      </w:r>
      <w:r w:rsidR="00D24492">
        <w:t>that is</w:t>
      </w:r>
      <w:r>
        <w:t xml:space="preserve"> T-score below –2.5 of the female reference range, has been used.</w:t>
      </w:r>
      <w:r w:rsidR="001B328D" w:rsidRPr="00D62AEE">
        <w:rPr>
          <w:vertAlign w:val="superscript"/>
        </w:rPr>
        <w:fldChar w:fldCharType="begin"/>
      </w:r>
      <w:r w:rsidR="001B328D" w:rsidRPr="00D62AEE">
        <w:rPr>
          <w:vertAlign w:val="superscript"/>
        </w:rPr>
        <w:instrText xml:space="preserve"> NOTEREF _Ref30268662 \h </w:instrText>
      </w:r>
      <w:r w:rsidR="001B328D">
        <w:rPr>
          <w:vertAlign w:val="superscript"/>
        </w:rPr>
        <w:instrText xml:space="preserve"> \* MERGEFORMAT </w:instrText>
      </w:r>
      <w:r w:rsidR="001B328D" w:rsidRPr="00D62AEE">
        <w:rPr>
          <w:vertAlign w:val="superscript"/>
        </w:rPr>
      </w:r>
      <w:r w:rsidR="001B328D" w:rsidRPr="00D62AEE">
        <w:rPr>
          <w:vertAlign w:val="superscript"/>
        </w:rPr>
        <w:fldChar w:fldCharType="separate"/>
      </w:r>
      <w:r w:rsidR="001B328D" w:rsidRPr="00D62AEE">
        <w:rPr>
          <w:vertAlign w:val="superscript"/>
        </w:rPr>
        <w:t>44</w:t>
      </w:r>
      <w:r w:rsidR="001B328D" w:rsidRPr="00D62AEE">
        <w:rPr>
          <w:vertAlign w:val="superscript"/>
        </w:rPr>
        <w:fldChar w:fldCharType="end"/>
      </w:r>
      <w:r>
        <w:t xml:space="preserve"> However, the incidence of osteoporotic fractures increases with age while the predictive value of </w:t>
      </w:r>
      <w:r w:rsidR="00881772">
        <w:t>BMD</w:t>
      </w:r>
      <w:r>
        <w:t xml:space="preserve"> becomes weaker with age. Furthermore, fracture risk is also driven by parameters including bone size and shape, bone turnover, micro-architecture, damage accumulation (micro cracks), and degree of mineralisation or collagen structure, all playing a role in bone strength, and hence in the risk of osteoporotic fractures</w:t>
      </w:r>
      <w:r w:rsidR="008D74BF">
        <w:t>.</w:t>
      </w:r>
    </w:p>
    <w:p w14:paraId="7ADC6218" w14:textId="77777777" w:rsidR="00C44BAA" w:rsidRDefault="003023A2" w:rsidP="003023A2">
      <w:r>
        <w:t>The TGA adopted CHMP guidelines clearly state the following:</w:t>
      </w:r>
    </w:p>
    <w:p w14:paraId="73AC27C1" w14:textId="286227A2" w:rsidR="003023A2" w:rsidRPr="003D7E26" w:rsidRDefault="003D7E26" w:rsidP="003D7E26">
      <w:pPr>
        <w:ind w:left="720"/>
      </w:pPr>
      <w:r>
        <w:t>‘</w:t>
      </w:r>
      <w:r w:rsidR="003023A2" w:rsidRPr="003D7E26">
        <w:t>The gold standard for being granted a marketing authorisation for the treatment of osteoporosis in men at increased risk of fracture remains the demonstration of anti-fracture efficacy (spine and/or non-spine fractures) during a 2</w:t>
      </w:r>
      <w:r w:rsidR="00313486" w:rsidRPr="003D7E26">
        <w:t xml:space="preserve"> </w:t>
      </w:r>
      <w:r w:rsidR="003023A2" w:rsidRPr="003D7E26">
        <w:t>year minimum, placebo</w:t>
      </w:r>
      <w:r w:rsidR="00313486" w:rsidRPr="003D7E26">
        <w:t xml:space="preserve"> </w:t>
      </w:r>
      <w:r w:rsidR="003023A2" w:rsidRPr="003D7E26">
        <w:t xml:space="preserve">controlled, prospective study. However, once an initial marketing authorisation has been granted to a </w:t>
      </w:r>
      <w:r w:rsidR="001B328D">
        <w:t>new chemical entity (NCE)</w:t>
      </w:r>
      <w:r w:rsidR="003023A2" w:rsidRPr="003D7E26">
        <w:t xml:space="preserve"> for the treatment of postmenopausal osteoporosis in women at high risk of fracture, a separate bridging study of the same NCE, using the same formulation, dose, and route of administration in male osteoporotic patients could be sufficient for being granted a marketing aut</w:t>
      </w:r>
      <w:r>
        <w:t>horisation with the indication ‘</w:t>
      </w:r>
      <w:r w:rsidR="003023A2" w:rsidRPr="003D7E26">
        <w:t>treatment of osteoporosis in me</w:t>
      </w:r>
      <w:r>
        <w:t xml:space="preserve">n at </w:t>
      </w:r>
      <w:r>
        <w:lastRenderedPageBreak/>
        <w:t>increased risk of fracture’</w:t>
      </w:r>
      <w:r w:rsidR="003023A2" w:rsidRPr="003D7E26">
        <w:t xml:space="preserve"> provided that:</w:t>
      </w:r>
      <w:r w:rsidR="008D74BF" w:rsidRPr="003D7E26">
        <w:t xml:space="preserve"> </w:t>
      </w:r>
      <w:r w:rsidR="003023A2" w:rsidRPr="003D7E26">
        <w:t xml:space="preserve">the duration of the study is at least one year; the dosage is justified; the applicant justifies that the cut-off of </w:t>
      </w:r>
      <w:r w:rsidR="00881772">
        <w:t>BMD</w:t>
      </w:r>
      <w:r w:rsidR="003023A2" w:rsidRPr="003D7E26">
        <w:t xml:space="preserve">, age and any other risk factor chosen for the inclusion of men in the pivotal study will generate a fracture risk of a similar magnitude compared with postmenopausal women that were recruited in the studies used to obtain the indication of treatment of postmenopausal osteoporosis in women at increased risk of fracture. The increase in </w:t>
      </w:r>
      <w:r w:rsidR="00881772">
        <w:t>BMD</w:t>
      </w:r>
      <w:r w:rsidR="003023A2" w:rsidRPr="003D7E26">
        <w:t xml:space="preserve"> observed in men should also be similar to that observed in the studies in postmenopausal women.</w:t>
      </w:r>
      <w:r>
        <w:t>’</w:t>
      </w:r>
    </w:p>
    <w:p w14:paraId="2E7E0CD4" w14:textId="228F4C47" w:rsidR="008D74BF" w:rsidRDefault="003023A2" w:rsidP="003023A2">
      <w:r>
        <w:t xml:space="preserve">The pivotal Phase </w:t>
      </w:r>
      <w:r w:rsidR="00313486">
        <w:t>III</w:t>
      </w:r>
      <w:r>
        <w:t xml:space="preserve"> </w:t>
      </w:r>
      <w:r w:rsidR="00D60601">
        <w:t>S</w:t>
      </w:r>
      <w:r>
        <w:t xml:space="preserve">tudy 20110174 in 245 men with osteoporosis showed that treatment with romosozumab 210 mg SC </w:t>
      </w:r>
      <w:r w:rsidR="00313486">
        <w:t>monthly</w:t>
      </w:r>
      <w:r>
        <w:t xml:space="preserve"> increases </w:t>
      </w:r>
      <w:r w:rsidR="00881772">
        <w:t>BMD</w:t>
      </w:r>
      <w:r>
        <w:t xml:space="preserve"> at the lumbar spine, total hip and </w:t>
      </w:r>
      <w:r w:rsidR="00C85473">
        <w:t>femoral</w:t>
      </w:r>
      <w:r>
        <w:t xml:space="preserve"> neck compared with placebo at </w:t>
      </w:r>
      <w:r w:rsidR="00313486">
        <w:t>M</w:t>
      </w:r>
      <w:r>
        <w:t xml:space="preserve">onth 6 and </w:t>
      </w:r>
      <w:r w:rsidR="00313486">
        <w:t>M</w:t>
      </w:r>
      <w:r>
        <w:t>onth</w:t>
      </w:r>
      <w:r w:rsidR="00313486">
        <w:t> </w:t>
      </w:r>
      <w:r>
        <w:t xml:space="preserve">12. Consistency of effects on </w:t>
      </w:r>
      <w:r w:rsidR="00881772">
        <w:t>BMD</w:t>
      </w:r>
      <w:r>
        <w:t xml:space="preserve"> was shown in per</w:t>
      </w:r>
      <w:r w:rsidR="00313486">
        <w:t xml:space="preserve"> </w:t>
      </w:r>
      <w:r>
        <w:t>protocol analysis set or using a linear mixed effects model for repeated measures</w:t>
      </w:r>
      <w:r w:rsidR="008D74BF">
        <w:t>.</w:t>
      </w:r>
    </w:p>
    <w:p w14:paraId="34BEE247" w14:textId="3D2E3522" w:rsidR="008D74BF" w:rsidRDefault="003023A2" w:rsidP="003023A2">
      <w:r>
        <w:t xml:space="preserve">Compared to the improvement in </w:t>
      </w:r>
      <w:r w:rsidR="00881772">
        <w:t>BMD</w:t>
      </w:r>
      <w:r>
        <w:t xml:space="preserve"> observed in the pivotal study in postmenopausal women, similar increase in </w:t>
      </w:r>
      <w:r w:rsidR="00881772">
        <w:t>BMD</w:t>
      </w:r>
      <w:r>
        <w:t xml:space="preserve"> in lumbar spine was observed in this pivotal</w:t>
      </w:r>
      <w:r w:rsidR="00654353">
        <w:t xml:space="preserve"> study in men with osteoporosis</w:t>
      </w:r>
      <w:r>
        <w:t xml:space="preserve">; however, the increases in </w:t>
      </w:r>
      <w:r w:rsidR="00881772">
        <w:t>BMD</w:t>
      </w:r>
      <w:r>
        <w:t xml:space="preserve"> at the </w:t>
      </w:r>
      <w:r w:rsidR="00C85473">
        <w:t>femoral</w:t>
      </w:r>
      <w:r>
        <w:t xml:space="preserve"> neck and hip were lower than those observed in the pivotal study in postmenopausal women</w:t>
      </w:r>
      <w:r w:rsidR="008D74BF">
        <w:t>.</w:t>
      </w:r>
    </w:p>
    <w:p w14:paraId="19FB9FA7" w14:textId="0CF54CC6" w:rsidR="003023A2" w:rsidRDefault="003023A2" w:rsidP="003023A2">
      <w:r>
        <w:t>The baseline demographics and disease characteristics were generally representative of the target population of Australian men with osteoporosis. However, there were some imbalances between the treatment groups especially with respect to the baseline characteristics relevant to determination of the 10</w:t>
      </w:r>
      <w:r w:rsidR="00313486">
        <w:t xml:space="preserve"> </w:t>
      </w:r>
      <w:r>
        <w:t>year probability of a major osteoporotic fracture, according to the WHO Fracture Risk Assessment tool (FRAX) score for major osteoporotic fracture</w:t>
      </w:r>
      <w:r w:rsidR="001B328D">
        <w:t>;</w:t>
      </w:r>
      <w:r w:rsidR="001B328D" w:rsidRPr="00BB4ED2">
        <w:rPr>
          <w:vertAlign w:val="superscript"/>
        </w:rPr>
        <w:fldChar w:fldCharType="begin"/>
      </w:r>
      <w:r w:rsidR="001B328D" w:rsidRPr="00BB4ED2">
        <w:rPr>
          <w:vertAlign w:val="superscript"/>
        </w:rPr>
        <w:instrText xml:space="preserve"> NOTEREF _Ref30268624 \h </w:instrText>
      </w:r>
      <w:r w:rsidR="001B328D">
        <w:rPr>
          <w:vertAlign w:val="superscript"/>
        </w:rPr>
        <w:instrText xml:space="preserve"> \* MERGEFORMAT </w:instrText>
      </w:r>
      <w:r w:rsidR="001B328D" w:rsidRPr="00BB4ED2">
        <w:rPr>
          <w:vertAlign w:val="superscript"/>
        </w:rPr>
      </w:r>
      <w:r w:rsidR="001B328D" w:rsidRPr="00BB4ED2">
        <w:rPr>
          <w:vertAlign w:val="superscript"/>
        </w:rPr>
        <w:fldChar w:fldCharType="separate"/>
      </w:r>
      <w:r w:rsidR="001B328D" w:rsidRPr="00BB4ED2">
        <w:rPr>
          <w:vertAlign w:val="superscript"/>
        </w:rPr>
        <w:t>41</w:t>
      </w:r>
      <w:r w:rsidR="001B328D" w:rsidRPr="00BB4ED2">
        <w:rPr>
          <w:vertAlign w:val="superscript"/>
        </w:rPr>
        <w:fldChar w:fldCharType="end"/>
      </w:r>
      <w:r>
        <w:t xml:space="preserve"> differed between treatment groups with respect to secondary osteoporosis (romosozumab </w:t>
      </w:r>
      <w:r w:rsidR="00CE639A">
        <w:t xml:space="preserve">versus </w:t>
      </w:r>
      <w:r>
        <w:t xml:space="preserve">placebo: 11.7%; </w:t>
      </w:r>
      <w:r w:rsidR="00CE639A">
        <w:t xml:space="preserve">versus </w:t>
      </w:r>
      <w:r>
        <w:t xml:space="preserve">2.4%) and alcohol use (&lt; 3 drinks per day; 47.9% </w:t>
      </w:r>
      <w:r w:rsidR="00CE639A">
        <w:t xml:space="preserve">versus </w:t>
      </w:r>
      <w:r>
        <w:t>56.1%). For the total subject population, the mean 10</w:t>
      </w:r>
      <w:r w:rsidR="00313486">
        <w:t xml:space="preserve"> </w:t>
      </w:r>
      <w:r>
        <w:t xml:space="preserve">year probabilities of major osteoporotic fractures and of hip fractures, respectively, (calculated with </w:t>
      </w:r>
      <w:r w:rsidR="00881772">
        <w:t>BMD</w:t>
      </w:r>
      <w:r>
        <w:t xml:space="preserve">) was slightly higher in the romosozumab (8.9%; range: 1.5% to 33.0%) compared to the placebo group (3.9%; range: 0.1% to 22.6%). Furthermore, interpretation of efficacy results may have been confounded by slightly higher incidence of protocol deviations in the romosozumab compared with the placebo group (11.7% </w:t>
      </w:r>
      <w:r w:rsidR="00CE639A">
        <w:t xml:space="preserve">versus </w:t>
      </w:r>
      <w:r>
        <w:t>3.7%).</w:t>
      </w:r>
    </w:p>
    <w:p w14:paraId="652885AF" w14:textId="35A44573" w:rsidR="003023A2" w:rsidRDefault="003023A2" w:rsidP="003023A2">
      <w:r>
        <w:t xml:space="preserve">The bone formation marker P1NP showed a significant increase from baseline to </w:t>
      </w:r>
      <w:r w:rsidR="00313486">
        <w:t>M</w:t>
      </w:r>
      <w:r>
        <w:t xml:space="preserve">onth 1 in the romosozumab group when compared to the placebo group, and returned to approximately baseline level by </w:t>
      </w:r>
      <w:r w:rsidR="00313486">
        <w:t>M</w:t>
      </w:r>
      <w:r>
        <w:t xml:space="preserve">onth 6. The bone resorption marker </w:t>
      </w:r>
      <w:proofErr w:type="spellStart"/>
      <w:r w:rsidR="00654353">
        <w:t>sCTX</w:t>
      </w:r>
      <w:proofErr w:type="spellEnd"/>
      <w:r w:rsidR="00654353">
        <w:t xml:space="preserve"> </w:t>
      </w:r>
      <w:r>
        <w:t xml:space="preserve">decreased in the romosozumab group early in treatment, reaching a nadir at </w:t>
      </w:r>
      <w:r w:rsidR="00313486">
        <w:t>M</w:t>
      </w:r>
      <w:r>
        <w:t xml:space="preserve">onth 1 which was statistically significant when compared to placebo, and remained below the placebo level through </w:t>
      </w:r>
      <w:r w:rsidR="00A019AE">
        <w:t>M</w:t>
      </w:r>
      <w:r>
        <w:t>onth 12.</w:t>
      </w:r>
    </w:p>
    <w:p w14:paraId="5E9D775E" w14:textId="77777777" w:rsidR="003023A2" w:rsidRDefault="003023A2" w:rsidP="003023A2">
      <w:r>
        <w:t xml:space="preserve">All evaluable biopsies at </w:t>
      </w:r>
      <w:r w:rsidR="00A019AE">
        <w:t>M</w:t>
      </w:r>
      <w:r>
        <w:t xml:space="preserve">onth 12 showed normal lamellar bone and normal mineralisation, and all evaluable biopsies showed normal osteoid. There was no evidence of </w:t>
      </w:r>
      <w:proofErr w:type="spellStart"/>
      <w:r>
        <w:t>osteomalacia</w:t>
      </w:r>
      <w:proofErr w:type="spellEnd"/>
      <w:r>
        <w:t>, marrow fibrosis, woven bone or clinically significant marrow abnormality in any subject.</w:t>
      </w:r>
    </w:p>
    <w:p w14:paraId="59F94775" w14:textId="77777777" w:rsidR="003023A2" w:rsidRPr="003023A2" w:rsidRDefault="00696AC6" w:rsidP="003023A2">
      <w:r>
        <w:t>Romosozumab</w:t>
      </w:r>
      <w:r w:rsidR="003023A2">
        <w:t xml:space="preserve"> is not yet approved for treatment of postmenopausal osteoporosis in women at increased risk of fracture. Hence, the evidence to support proposed indication of treatment of osteoporosis in men at increased risk of fractu</w:t>
      </w:r>
      <w:r w:rsidR="00A019AE">
        <w:t>re is inadequate at this stage.</w:t>
      </w:r>
    </w:p>
    <w:p w14:paraId="4B374C70" w14:textId="77777777" w:rsidR="008E7846" w:rsidRPr="002E238E" w:rsidRDefault="008E7846" w:rsidP="008E7846">
      <w:pPr>
        <w:pStyle w:val="Heading3"/>
      </w:pPr>
      <w:bookmarkStart w:id="96" w:name="_Toc163441378"/>
      <w:bookmarkStart w:id="97" w:name="_Toc196046495"/>
      <w:bookmarkStart w:id="98" w:name="_Toc247691522"/>
      <w:bookmarkStart w:id="99" w:name="_Toc314842505"/>
      <w:bookmarkStart w:id="100" w:name="_Toc32481915"/>
      <w:bookmarkEnd w:id="90"/>
      <w:bookmarkEnd w:id="91"/>
      <w:bookmarkEnd w:id="92"/>
      <w:bookmarkEnd w:id="93"/>
      <w:r w:rsidRPr="002E238E">
        <w:lastRenderedPageBreak/>
        <w:t>Safety</w:t>
      </w:r>
      <w:bookmarkEnd w:id="96"/>
      <w:bookmarkEnd w:id="97"/>
      <w:bookmarkEnd w:id="98"/>
      <w:bookmarkEnd w:id="99"/>
      <w:bookmarkEnd w:id="100"/>
    </w:p>
    <w:p w14:paraId="237C44F9" w14:textId="77777777" w:rsidR="003F09E4" w:rsidRDefault="00605AD4" w:rsidP="00605AD4">
      <w:pPr>
        <w:pStyle w:val="Heading4"/>
      </w:pPr>
      <w:bookmarkStart w:id="101" w:name="_Toc247691524"/>
      <w:bookmarkStart w:id="102" w:name="_Toc314842508"/>
      <w:bookmarkStart w:id="103" w:name="_Toc196046504"/>
      <w:bookmarkStart w:id="104" w:name="_Toc163441390"/>
      <w:r w:rsidRPr="00605AD4">
        <w:t>Studies providing safety data</w:t>
      </w:r>
    </w:p>
    <w:p w14:paraId="5D3B4CC0" w14:textId="43F7E52C" w:rsidR="00E97201" w:rsidRDefault="008719C0" w:rsidP="008719C0">
      <w:r>
        <w:t xml:space="preserve">The romosozumab clinical program consists of 19 clinical studies in healthy volunteers, postmenopausal women, and men with osteoporosis or low </w:t>
      </w:r>
      <w:r w:rsidR="00881772">
        <w:t>BMD</w:t>
      </w:r>
      <w:r>
        <w:t xml:space="preserve"> conducted between 2006 and 2017.</w:t>
      </w:r>
    </w:p>
    <w:p w14:paraId="265B6FA8" w14:textId="22880662" w:rsidR="00E97201" w:rsidRDefault="008719C0" w:rsidP="008719C0">
      <w:r>
        <w:t xml:space="preserve">The main studies providing safety data for romosozumab were the pivotal Phase </w:t>
      </w:r>
      <w:r w:rsidR="00CA30BF">
        <w:t>III</w:t>
      </w:r>
      <w:r>
        <w:t xml:space="preserve"> studies for the treatment of osteoporosis in postmenopausal women (</w:t>
      </w:r>
      <w:r w:rsidR="00B5267B">
        <w:t xml:space="preserve">Studies </w:t>
      </w:r>
      <w:r>
        <w:t>20070337 and 20110142) and in men (</w:t>
      </w:r>
      <w:r w:rsidR="00B5267B">
        <w:t xml:space="preserve">Study </w:t>
      </w:r>
      <w:r>
        <w:t>20110174) at increased risk of fractures.</w:t>
      </w:r>
    </w:p>
    <w:p w14:paraId="3E33FB4E" w14:textId="03643170" w:rsidR="00E97201" w:rsidRDefault="008719C0" w:rsidP="008719C0">
      <w:r>
        <w:t>Data are also included from t</w:t>
      </w:r>
      <w:r w:rsidR="00E97201">
        <w:t>he following studies:</w:t>
      </w:r>
    </w:p>
    <w:p w14:paraId="652B3010" w14:textId="443E6309" w:rsidR="00E97201" w:rsidRDefault="00E97201" w:rsidP="00E97201">
      <w:pPr>
        <w:pStyle w:val="ListBullet"/>
      </w:pPr>
      <w:r>
        <w:t xml:space="preserve">Study </w:t>
      </w:r>
      <w:r w:rsidR="008719C0">
        <w:t xml:space="preserve">20080289: a Phase </w:t>
      </w:r>
      <w:proofErr w:type="spellStart"/>
      <w:r w:rsidR="00CA30BF">
        <w:t>III</w:t>
      </w:r>
      <w:r w:rsidR="008719C0">
        <w:t>b</w:t>
      </w:r>
      <w:proofErr w:type="spellEnd"/>
      <w:r w:rsidR="008719C0">
        <w:t xml:space="preserve"> active</w:t>
      </w:r>
      <w:r w:rsidR="00CA30BF">
        <w:t xml:space="preserve"> </w:t>
      </w:r>
      <w:r w:rsidR="008719C0">
        <w:t>cont</w:t>
      </w:r>
      <w:r>
        <w:t>rolled study with teriparatide)</w:t>
      </w:r>
    </w:p>
    <w:p w14:paraId="3607E0E8" w14:textId="65FCB220" w:rsidR="00E97201" w:rsidRDefault="00E97201" w:rsidP="00E97201">
      <w:pPr>
        <w:pStyle w:val="ListBullet"/>
      </w:pPr>
      <w:r>
        <w:t xml:space="preserve">Study </w:t>
      </w:r>
      <w:r w:rsidR="008719C0">
        <w:t xml:space="preserve">20060326: a Phase </w:t>
      </w:r>
      <w:proofErr w:type="spellStart"/>
      <w:r w:rsidR="00CA30BF">
        <w:t>II</w:t>
      </w:r>
      <w:r w:rsidR="008719C0">
        <w:t>a</w:t>
      </w:r>
      <w:proofErr w:type="spellEnd"/>
      <w:r w:rsidR="008719C0">
        <w:t xml:space="preserve"> dose</w:t>
      </w:r>
      <w:r w:rsidR="00CA30BF">
        <w:t xml:space="preserve"> </w:t>
      </w:r>
      <w:r w:rsidR="008719C0">
        <w:t>ranging placebo and active</w:t>
      </w:r>
      <w:r w:rsidR="00CA30BF">
        <w:t xml:space="preserve"> </w:t>
      </w:r>
      <w:r w:rsidR="008719C0">
        <w:t>controlled study</w:t>
      </w:r>
      <w:r>
        <w:t xml:space="preserve"> (teriparatide or alendronate)</w:t>
      </w:r>
    </w:p>
    <w:p w14:paraId="4D4AD781" w14:textId="7F63C255" w:rsidR="00E97201" w:rsidRDefault="00E97201" w:rsidP="00E97201">
      <w:pPr>
        <w:pStyle w:val="ListBullet"/>
      </w:pPr>
      <w:r>
        <w:t xml:space="preserve">Study </w:t>
      </w:r>
      <w:r w:rsidR="008719C0">
        <w:t xml:space="preserve">20101291: a Phase </w:t>
      </w:r>
      <w:proofErr w:type="spellStart"/>
      <w:r w:rsidR="00CA30BF">
        <w:t>II</w:t>
      </w:r>
      <w:r w:rsidR="008719C0">
        <w:t>b</w:t>
      </w:r>
      <w:proofErr w:type="spellEnd"/>
      <w:r w:rsidR="008719C0">
        <w:t xml:space="preserve"> dose</w:t>
      </w:r>
      <w:r w:rsidR="00CA30BF">
        <w:t xml:space="preserve"> </w:t>
      </w:r>
      <w:r w:rsidR="008719C0">
        <w:t>ranging placebo</w:t>
      </w:r>
      <w:r w:rsidR="00CA30BF">
        <w:t xml:space="preserve"> </w:t>
      </w:r>
      <w:r w:rsidR="008719C0">
        <w:t>controlled study in Japanese women;</w:t>
      </w:r>
      <w:r w:rsidR="001B328D">
        <w:t xml:space="preserve"> and</w:t>
      </w:r>
    </w:p>
    <w:p w14:paraId="11C646A9" w14:textId="201456C1" w:rsidR="00E97201" w:rsidRDefault="00E97201" w:rsidP="00E97201">
      <w:pPr>
        <w:pStyle w:val="ListBullet"/>
      </w:pPr>
      <w:r>
        <w:t xml:space="preserve">Study </w:t>
      </w:r>
      <w:r w:rsidR="008719C0">
        <w:t xml:space="preserve">20120156: a Phase </w:t>
      </w:r>
      <w:r w:rsidR="00CA30BF">
        <w:t>III</w:t>
      </w:r>
      <w:r w:rsidR="008719C0">
        <w:t xml:space="preserve"> placebo</w:t>
      </w:r>
      <w:r w:rsidR="00CA30BF">
        <w:t xml:space="preserve"> </w:t>
      </w:r>
      <w:r w:rsidR="008719C0">
        <w:t>controlled non</w:t>
      </w:r>
      <w:r w:rsidR="00BF060E">
        <w:t>-</w:t>
      </w:r>
      <w:r>
        <w:t>inferiority study.</w:t>
      </w:r>
    </w:p>
    <w:p w14:paraId="716EC797" w14:textId="0ACDBC87" w:rsidR="008D74BF" w:rsidRDefault="008719C0" w:rsidP="008719C0">
      <w:r>
        <w:t>The clinical trials supporting this submission were conducted in North America, Europe, the Middle East, Central and Latin America, Australia, New Zealand, Asia (including Japan) and South Africa</w:t>
      </w:r>
      <w:r w:rsidR="008D74BF">
        <w:t>.</w:t>
      </w:r>
    </w:p>
    <w:p w14:paraId="41EBE278" w14:textId="77777777" w:rsidR="00C44BAA" w:rsidRDefault="008719C0" w:rsidP="008719C0">
      <w:r>
        <w:t>The safety profile of romosozumab for the treatment of osteoporosis was based on data from studies in the following integrated safety populations:</w:t>
      </w:r>
    </w:p>
    <w:p w14:paraId="115BDDC1" w14:textId="77777777" w:rsidR="00C44BAA" w:rsidRDefault="00531AFF" w:rsidP="00CA30BF">
      <w:pPr>
        <w:pStyle w:val="ListBullet"/>
      </w:pPr>
      <w:r>
        <w:t>12 month</w:t>
      </w:r>
      <w:r w:rsidR="008719C0">
        <w:t xml:space="preserve"> </w:t>
      </w:r>
      <w:r w:rsidR="00566372">
        <w:t>placebo controlled</w:t>
      </w:r>
      <w:r w:rsidR="008719C0">
        <w:t xml:space="preserve"> osteoporosis safety analysis set:</w:t>
      </w:r>
    </w:p>
    <w:p w14:paraId="0C56E585" w14:textId="77777777" w:rsidR="008D74BF" w:rsidRDefault="00CA30BF" w:rsidP="00CA30BF">
      <w:pPr>
        <w:pStyle w:val="ListBullet2"/>
      </w:pPr>
      <w:r>
        <w:t>s</w:t>
      </w:r>
      <w:r w:rsidR="008719C0">
        <w:t>ubjects who were randomised and received at least 1 dose of romosozumab 210</w:t>
      </w:r>
      <w:r w:rsidR="00BF060E">
        <w:t> </w:t>
      </w:r>
      <w:r w:rsidR="008719C0">
        <w:t xml:space="preserve">mg </w:t>
      </w:r>
      <w:r>
        <w:t>monthly</w:t>
      </w:r>
      <w:r w:rsidR="008719C0">
        <w:t xml:space="preserve"> or placebo in the 12</w:t>
      </w:r>
      <w:r>
        <w:t xml:space="preserve"> </w:t>
      </w:r>
      <w:r w:rsidR="008719C0">
        <w:t>month placebo</w:t>
      </w:r>
      <w:r>
        <w:t xml:space="preserve"> </w:t>
      </w:r>
      <w:r w:rsidR="008719C0">
        <w:t>controlled osteoporosis randomised analysi</w:t>
      </w:r>
      <w:r w:rsidR="00BF060E">
        <w:t>s set</w:t>
      </w:r>
      <w:r w:rsidR="008D74BF">
        <w:t>.</w:t>
      </w:r>
    </w:p>
    <w:p w14:paraId="7CAFDFD4" w14:textId="77777777" w:rsidR="00C44BAA" w:rsidRDefault="008719C0" w:rsidP="00CA30BF">
      <w:pPr>
        <w:pStyle w:val="ListBullet"/>
      </w:pPr>
      <w:r>
        <w:t xml:space="preserve">Osteoporosis safety analysis </w:t>
      </w:r>
      <w:r w:rsidR="00CA30BF">
        <w:t>set:</w:t>
      </w:r>
    </w:p>
    <w:p w14:paraId="022AB0EB" w14:textId="179D6E32" w:rsidR="008D74BF" w:rsidRDefault="00CA30BF" w:rsidP="00CA30BF">
      <w:pPr>
        <w:pStyle w:val="ListBullet2"/>
      </w:pPr>
      <w:r>
        <w:t>s</w:t>
      </w:r>
      <w:r w:rsidR="008719C0">
        <w:t xml:space="preserve">ubjects who were randomised and received at least 1 dose of romosozumab (any dose or frequency) or control (placebo, alendronate, teriparatide) in the seven </w:t>
      </w:r>
      <w:r>
        <w:t>P</w:t>
      </w:r>
      <w:r w:rsidR="008719C0">
        <w:t xml:space="preserve">hase </w:t>
      </w:r>
      <w:r>
        <w:t>II</w:t>
      </w:r>
      <w:r w:rsidR="008719C0">
        <w:t xml:space="preserve"> and </w:t>
      </w:r>
      <w:r>
        <w:t>P</w:t>
      </w:r>
      <w:r w:rsidR="008719C0">
        <w:t xml:space="preserve">hase </w:t>
      </w:r>
      <w:r>
        <w:t>III</w:t>
      </w:r>
      <w:r w:rsidR="008719C0">
        <w:t xml:space="preserve"> osteoporosis studies. For this analysis set, 24</w:t>
      </w:r>
      <w:r>
        <w:t xml:space="preserve"> </w:t>
      </w:r>
      <w:r w:rsidR="008719C0">
        <w:t xml:space="preserve">month data from </w:t>
      </w:r>
      <w:r w:rsidR="001B328D">
        <w:t xml:space="preserve">Study </w:t>
      </w:r>
      <w:r w:rsidR="008719C0">
        <w:t>20060326, 12</w:t>
      </w:r>
      <w:r>
        <w:t xml:space="preserve"> </w:t>
      </w:r>
      <w:r w:rsidR="008719C0">
        <w:t xml:space="preserve">month data from </w:t>
      </w:r>
      <w:r w:rsidR="001B328D">
        <w:t xml:space="preserve">Study </w:t>
      </w:r>
      <w:r w:rsidR="008719C0">
        <w:t>20070337, 12</w:t>
      </w:r>
      <w:r>
        <w:t xml:space="preserve"> </w:t>
      </w:r>
      <w:r w:rsidR="008719C0">
        <w:t xml:space="preserve">month data from </w:t>
      </w:r>
      <w:r w:rsidR="001B328D">
        <w:t xml:space="preserve">Study </w:t>
      </w:r>
      <w:r w:rsidR="008719C0">
        <w:t>20080289, 12</w:t>
      </w:r>
      <w:r>
        <w:t xml:space="preserve"> </w:t>
      </w:r>
      <w:r w:rsidR="008719C0">
        <w:t xml:space="preserve">month data from </w:t>
      </w:r>
      <w:r w:rsidR="001B328D">
        <w:t xml:space="preserve">Study </w:t>
      </w:r>
      <w:r w:rsidR="008719C0">
        <w:t>20101291, 12</w:t>
      </w:r>
      <w:r>
        <w:t> </w:t>
      </w:r>
      <w:r w:rsidR="008719C0">
        <w:t xml:space="preserve">month data from </w:t>
      </w:r>
      <w:r w:rsidR="001B328D">
        <w:t>Study </w:t>
      </w:r>
      <w:r w:rsidR="008719C0">
        <w:t>20110142, 12</w:t>
      </w:r>
      <w:r>
        <w:t xml:space="preserve"> </w:t>
      </w:r>
      <w:r w:rsidR="008719C0">
        <w:t xml:space="preserve">month data from </w:t>
      </w:r>
      <w:r w:rsidR="001B328D">
        <w:t xml:space="preserve">Study </w:t>
      </w:r>
      <w:r w:rsidR="008719C0">
        <w:t>20110174 and 6</w:t>
      </w:r>
      <w:r>
        <w:t xml:space="preserve"> </w:t>
      </w:r>
      <w:r w:rsidR="008719C0">
        <w:t xml:space="preserve">month data from </w:t>
      </w:r>
      <w:r w:rsidR="001B328D">
        <w:t xml:space="preserve">Study </w:t>
      </w:r>
      <w:r w:rsidR="008719C0">
        <w:t>20120156 were used to summarise safety endpoints</w:t>
      </w:r>
      <w:r w:rsidR="008D74BF">
        <w:t>.</w:t>
      </w:r>
    </w:p>
    <w:p w14:paraId="3AD1E63D" w14:textId="77777777" w:rsidR="00C44BAA" w:rsidRDefault="008719C0" w:rsidP="00CA30BF">
      <w:pPr>
        <w:pStyle w:val="ListBullet"/>
      </w:pPr>
      <w:r>
        <w:t>Overall safety analysis set:</w:t>
      </w:r>
    </w:p>
    <w:p w14:paraId="217A74DA" w14:textId="77777777" w:rsidR="008719C0" w:rsidRDefault="00CA30BF" w:rsidP="00CA30BF">
      <w:pPr>
        <w:pStyle w:val="ListBullet2"/>
      </w:pPr>
      <w:r>
        <w:t>s</w:t>
      </w:r>
      <w:r w:rsidR="008719C0">
        <w:t xml:space="preserve">ubjects who were randomised and received at least 1 dose of romosozumab (any dose or frequency) or control (placebo, alendronate, teriparatide). This analysis set includes all data from the </w:t>
      </w:r>
      <w:r>
        <w:t>P</w:t>
      </w:r>
      <w:r w:rsidR="008719C0">
        <w:t xml:space="preserve">hase </w:t>
      </w:r>
      <w:r>
        <w:t>I</w:t>
      </w:r>
      <w:r w:rsidR="008719C0">
        <w:t xml:space="preserve">, </w:t>
      </w:r>
      <w:r>
        <w:t>II</w:t>
      </w:r>
      <w:r w:rsidR="008719C0">
        <w:t xml:space="preserve"> and </w:t>
      </w:r>
      <w:r>
        <w:t>III</w:t>
      </w:r>
      <w:r w:rsidR="008719C0">
        <w:t xml:space="preserve"> studies and was used to summarise exposure to romosozumab and placebo and to produce an integrated death listing.</w:t>
      </w:r>
    </w:p>
    <w:p w14:paraId="71E18CA2" w14:textId="77777777" w:rsidR="008719C0" w:rsidRDefault="008719C0" w:rsidP="008719C0">
      <w:r>
        <w:t>Data from Study 20110142 were not integrated with Study 20070337 to evaluate safety because of th</w:t>
      </w:r>
      <w:r w:rsidR="00CA30BF">
        <w:t>e</w:t>
      </w:r>
      <w:r>
        <w:t xml:space="preserve"> difference in target study population (population was older and more likely to have comorbid conditions) and the difference in the comparator arm (alendronate </w:t>
      </w:r>
      <w:r w:rsidR="00CE639A">
        <w:t xml:space="preserve">versus </w:t>
      </w:r>
      <w:r>
        <w:t>placebo).</w:t>
      </w:r>
    </w:p>
    <w:p w14:paraId="74DD20F4" w14:textId="77777777" w:rsidR="008D74BF" w:rsidRDefault="008719C0" w:rsidP="008719C0">
      <w:r>
        <w:t xml:space="preserve">Phase </w:t>
      </w:r>
      <w:r w:rsidR="00CA30BF">
        <w:t>I</w:t>
      </w:r>
      <w:r>
        <w:t xml:space="preserve"> studies were not included in pooled integrated analyses other than the overall exposure analysis and death listing due to differences in study design and/or study populations</w:t>
      </w:r>
      <w:r w:rsidR="008D74BF">
        <w:t>.</w:t>
      </w:r>
    </w:p>
    <w:p w14:paraId="62462574" w14:textId="77777777" w:rsidR="008D74BF" w:rsidRDefault="008719C0" w:rsidP="008719C0">
      <w:r>
        <w:lastRenderedPageBreak/>
        <w:t>Only treatment</w:t>
      </w:r>
      <w:r w:rsidR="00CA30BF">
        <w:t xml:space="preserve"> </w:t>
      </w:r>
      <w:r>
        <w:t>emergent adverse events were included in the safety analyses. The Medical Dictionary for Regulatory Activities (</w:t>
      </w:r>
      <w:proofErr w:type="spellStart"/>
      <w:r>
        <w:t>MedDRA</w:t>
      </w:r>
      <w:proofErr w:type="spellEnd"/>
      <w:r>
        <w:t>) version 19.1 was used to code all adverse events to a system organ class, preferred term, and high</w:t>
      </w:r>
      <w:r w:rsidR="00CA30BF">
        <w:t xml:space="preserve"> </w:t>
      </w:r>
      <w:r>
        <w:t>level group term for all studies</w:t>
      </w:r>
      <w:r w:rsidR="008D74BF">
        <w:t>.</w:t>
      </w:r>
    </w:p>
    <w:p w14:paraId="3817B3E0" w14:textId="77777777" w:rsidR="00C44BAA" w:rsidRDefault="008719C0" w:rsidP="008719C0">
      <w:r>
        <w:t>Unless otherwise specified, the data presentation using the osteoporosis safety analysis set will present</w:t>
      </w:r>
      <w:r w:rsidR="00B5267B">
        <w:t>:</w:t>
      </w:r>
    </w:p>
    <w:p w14:paraId="005C5EF6" w14:textId="419AE1CF" w:rsidR="00C44BAA" w:rsidRDefault="001B328D" w:rsidP="00CA30BF">
      <w:pPr>
        <w:pStyle w:val="ListBullet"/>
      </w:pPr>
      <w:r>
        <w:t>i</w:t>
      </w:r>
      <w:r w:rsidR="008719C0">
        <w:t xml:space="preserve">ntegrated data across all studies excluding </w:t>
      </w:r>
      <w:r w:rsidR="00D60601">
        <w:t xml:space="preserve">Study </w:t>
      </w:r>
      <w:r w:rsidR="003D7E26">
        <w:t xml:space="preserve">20110142 </w:t>
      </w:r>
      <w:r w:rsidR="008719C0">
        <w:t xml:space="preserve">for placebo and romosozumab 210 mg </w:t>
      </w:r>
      <w:r w:rsidR="00CA30BF">
        <w:t>monthly</w:t>
      </w:r>
      <w:r w:rsidR="008719C0">
        <w:t>;</w:t>
      </w:r>
    </w:p>
    <w:p w14:paraId="72B3BAE3" w14:textId="48C30C55" w:rsidR="00C44BAA" w:rsidRDefault="001B328D" w:rsidP="00CA30BF">
      <w:pPr>
        <w:pStyle w:val="ListBullet"/>
      </w:pPr>
      <w:r>
        <w:t xml:space="preserve">data </w:t>
      </w:r>
      <w:r w:rsidR="008719C0">
        <w:t xml:space="preserve">from </w:t>
      </w:r>
      <w:r w:rsidR="00D60601">
        <w:t xml:space="preserve">Study </w:t>
      </w:r>
      <w:r w:rsidR="003D7E26">
        <w:t>20110142</w:t>
      </w:r>
      <w:r w:rsidR="008719C0">
        <w:t xml:space="preserve"> for alendronate and romosozumab 210 mg </w:t>
      </w:r>
      <w:r w:rsidR="00CA30BF">
        <w:t>monthly</w:t>
      </w:r>
      <w:r w:rsidR="008719C0">
        <w:t>;</w:t>
      </w:r>
      <w:r>
        <w:t xml:space="preserve"> and</w:t>
      </w:r>
    </w:p>
    <w:p w14:paraId="74158728" w14:textId="5C60C520" w:rsidR="008D74BF" w:rsidRDefault="001B328D" w:rsidP="00CA30BF">
      <w:pPr>
        <w:pStyle w:val="ListBullet"/>
      </w:pPr>
      <w:r>
        <w:t>i</w:t>
      </w:r>
      <w:r w:rsidR="008719C0">
        <w:t xml:space="preserve">ntegrated data across all studies for: the integrated control (including placebo, alendronate and teriparatide), romosozumab 210 mg </w:t>
      </w:r>
      <w:r w:rsidR="00CA30BF">
        <w:t>monthly</w:t>
      </w:r>
      <w:r w:rsidR="008719C0">
        <w:t xml:space="preserve">, total romosozumab groups (any dosing and frequency including </w:t>
      </w:r>
      <w:r w:rsidR="00CA30BF">
        <w:t>3 monthly</w:t>
      </w:r>
      <w:r w:rsidR="008719C0">
        <w:t>)</w:t>
      </w:r>
      <w:r w:rsidR="008D74BF">
        <w:t>.</w:t>
      </w:r>
    </w:p>
    <w:p w14:paraId="78EEF8F2" w14:textId="78F513F5" w:rsidR="008719C0" w:rsidRDefault="008719C0" w:rsidP="008719C0">
      <w:r>
        <w:t xml:space="preserve">For the overall summary of adverse events (AE) and summary of adverse events of </w:t>
      </w:r>
      <w:r w:rsidR="003F3B8A">
        <w:t xml:space="preserve">special </w:t>
      </w:r>
      <w:r>
        <w:t>interest (</w:t>
      </w:r>
      <w:r w:rsidRPr="00D60601">
        <w:t>AESI</w:t>
      </w:r>
      <w:r>
        <w:t xml:space="preserve">) using the osteoporosis safety analysis set, the data were also presented by placebo, romosozumab 70 mg </w:t>
      </w:r>
      <w:r w:rsidR="00CA30BF">
        <w:t>monthly</w:t>
      </w:r>
      <w:r>
        <w:t xml:space="preserve">, romosozumab 140 mg </w:t>
      </w:r>
      <w:r w:rsidR="00CA30BF">
        <w:t>monthly</w:t>
      </w:r>
      <w:r>
        <w:t xml:space="preserve">, romosozumab 210 mg </w:t>
      </w:r>
      <w:r w:rsidR="00CA30BF">
        <w:t>monthly</w:t>
      </w:r>
      <w:r>
        <w:t xml:space="preserve">, and total romosozumab groups (any dosing or frequency </w:t>
      </w:r>
      <w:r w:rsidR="00654353">
        <w:t>(</w:t>
      </w:r>
      <w:r w:rsidR="00CA30BF">
        <w:t>monthly</w:t>
      </w:r>
      <w:r>
        <w:t xml:space="preserve"> or </w:t>
      </w:r>
      <w:r w:rsidR="00CA30BF">
        <w:t>three monthly</w:t>
      </w:r>
      <w:r w:rsidR="00654353">
        <w:t>)</w:t>
      </w:r>
      <w:r>
        <w:t>) groups to evaluate a potential dose response.</w:t>
      </w:r>
    </w:p>
    <w:p w14:paraId="02D16004" w14:textId="13199F45" w:rsidR="008719C0" w:rsidRDefault="008719C0" w:rsidP="008719C0">
      <w:r>
        <w:t>Investigator assessed relationship to treatment, subject incidence of treatment</w:t>
      </w:r>
      <w:r w:rsidR="002D39CD">
        <w:t xml:space="preserve"> </w:t>
      </w:r>
      <w:r>
        <w:t>related AEs and treatment</w:t>
      </w:r>
      <w:r w:rsidR="005A6A6D">
        <w:t xml:space="preserve"> </w:t>
      </w:r>
      <w:r>
        <w:t xml:space="preserve">related serious adverse events (SAE) were tabulated by </w:t>
      </w:r>
      <w:r w:rsidR="00365805">
        <w:t>P</w:t>
      </w:r>
      <w:r>
        <w:t xml:space="preserve">referred </w:t>
      </w:r>
      <w:r w:rsidR="00365805">
        <w:t>T</w:t>
      </w:r>
      <w:r>
        <w:t xml:space="preserve">erm </w:t>
      </w:r>
      <w:r w:rsidR="00365805">
        <w:t>(PT)</w:t>
      </w:r>
      <w:r w:rsidR="00BB4ED2">
        <w:t xml:space="preserve"> </w:t>
      </w:r>
      <w:r>
        <w:t xml:space="preserve">and </w:t>
      </w:r>
      <w:r w:rsidR="00365805">
        <w:t xml:space="preserve">System Organ Class </w:t>
      </w:r>
      <w:r>
        <w:t xml:space="preserve">(SOC) </w:t>
      </w:r>
      <w:r w:rsidR="00365805">
        <w:t xml:space="preserve">in </w:t>
      </w:r>
      <w:r>
        <w:t>descending order of frequency using the 12</w:t>
      </w:r>
      <w:r w:rsidR="005A6A6D">
        <w:t xml:space="preserve"> </w:t>
      </w:r>
      <w:r>
        <w:t xml:space="preserve">month </w:t>
      </w:r>
      <w:r w:rsidR="00566372">
        <w:t>placebo controlled</w:t>
      </w:r>
      <w:r>
        <w:t xml:space="preserve"> osteoporosis safety analysis set.</w:t>
      </w:r>
      <w:r w:rsidR="008D74BF">
        <w:t xml:space="preserve"> </w:t>
      </w:r>
      <w:r>
        <w:t>Exposure-adjusted incidence rate</w:t>
      </w:r>
      <w:r w:rsidR="00654353">
        <w:t>s</w:t>
      </w:r>
      <w:r>
        <w:t xml:space="preserve"> were also provided.</w:t>
      </w:r>
    </w:p>
    <w:p w14:paraId="355D35EC" w14:textId="00669551" w:rsidR="00C44BAA" w:rsidRDefault="008719C0" w:rsidP="00F15420">
      <w:pPr>
        <w:pStyle w:val="Heading5"/>
      </w:pPr>
      <w:r w:rsidRPr="008719C0">
        <w:t>AE</w:t>
      </w:r>
      <w:r w:rsidR="002D39CD">
        <w:t xml:space="preserve">s of </w:t>
      </w:r>
      <w:r w:rsidR="00506068">
        <w:t>special interest</w:t>
      </w:r>
    </w:p>
    <w:p w14:paraId="53EA689D" w14:textId="5D0DF7CD" w:rsidR="008719C0" w:rsidRPr="008719C0" w:rsidRDefault="008719C0" w:rsidP="008719C0">
      <w:r w:rsidRPr="008719C0">
        <w:t xml:space="preserve">The subject incidence rates of AEs corresponding to preferred terms for hypocalcaemia , injection site reactions, adverse events potentially related to hypersensitivity, malignancy (malignant or unspecified tumour Standardised </w:t>
      </w:r>
      <w:proofErr w:type="spellStart"/>
      <w:r w:rsidRPr="008719C0">
        <w:t>MedDRA</w:t>
      </w:r>
      <w:proofErr w:type="spellEnd"/>
      <w:r w:rsidRPr="008719C0">
        <w:t xml:space="preserve"> Query </w:t>
      </w:r>
      <w:r w:rsidR="00654353">
        <w:t>(</w:t>
      </w:r>
      <w:r w:rsidRPr="008719C0">
        <w:t>SMQ</w:t>
      </w:r>
      <w:r w:rsidR="00654353">
        <w:t>)</w:t>
      </w:r>
      <w:r w:rsidRPr="008719C0">
        <w:t xml:space="preserve">), hyperostosis, osteoarthritis, adjudicated positive osteonecrosis of the jaw, and adjudicated positive </w:t>
      </w:r>
      <w:r w:rsidRPr="00EB5023">
        <w:t xml:space="preserve">atypical </w:t>
      </w:r>
      <w:r w:rsidR="00C85473">
        <w:t>femoral</w:t>
      </w:r>
      <w:r w:rsidRPr="00EB5023">
        <w:t xml:space="preserve"> fracture (</w:t>
      </w:r>
      <w:r w:rsidRPr="008719C0">
        <w:t>AFF) were provided using the 12</w:t>
      </w:r>
      <w:r w:rsidR="005A6A6D">
        <w:t xml:space="preserve"> </w:t>
      </w:r>
      <w:r w:rsidRPr="008719C0">
        <w:t>month placebo</w:t>
      </w:r>
      <w:r w:rsidR="005A6A6D">
        <w:t xml:space="preserve"> </w:t>
      </w:r>
      <w:r w:rsidRPr="008719C0">
        <w:t xml:space="preserve">controlled osteoporosis safety analysis set. Exposure-adjusted incidence rates of AEs corresponding to preferred terms for events of interest were also summarised using the osteoporosis safety analysis set. </w:t>
      </w:r>
      <w:r w:rsidR="003F3B8A">
        <w:t xml:space="preserve">Osteonecrosis of the jaw and atypical </w:t>
      </w:r>
      <w:r w:rsidR="00C85473">
        <w:t>femoral</w:t>
      </w:r>
      <w:r w:rsidR="003F3B8A">
        <w:t xml:space="preserve"> fracture</w:t>
      </w:r>
      <w:r w:rsidRPr="008719C0">
        <w:t xml:space="preserve"> were adjudicated in Studies 20070337, 20110142, 20060326, 20080289 and 20110174, but not in Studies 20101291 and 20120156.</w:t>
      </w:r>
    </w:p>
    <w:p w14:paraId="62BC439F" w14:textId="77777777" w:rsidR="003F09E4" w:rsidRDefault="00605AD4" w:rsidP="00605AD4">
      <w:pPr>
        <w:pStyle w:val="Heading4"/>
      </w:pPr>
      <w:r w:rsidRPr="00605AD4">
        <w:t>Patient exposure</w:t>
      </w:r>
    </w:p>
    <w:p w14:paraId="6B7B1CE0" w14:textId="26D0BF29" w:rsidR="008719C0" w:rsidRDefault="008719C0" w:rsidP="008719C0">
      <w:r>
        <w:t>The safety database includes 11</w:t>
      </w:r>
      <w:r w:rsidR="00E97201">
        <w:t>,</w:t>
      </w:r>
      <w:r>
        <w:t>553 subjects in 19 romosozumab clinical studies who received at least 1 dose of romosozumab (n = 7681) or placebo (n = 3872). Additionally, the integrated control group for the osteoporosis safety analysis set includes 6155</w:t>
      </w:r>
      <w:r w:rsidR="00365805">
        <w:t> </w:t>
      </w:r>
      <w:r>
        <w:t>subjects who received placebo, alendronate, teriparatide, and/or denosumab. However, safety evaluation is mainly focussed on data from 7157 postmenopausal women wit</w:t>
      </w:r>
      <w:r w:rsidR="00E97201">
        <w:t>h osteoporosis in Study 2007337;</w:t>
      </w:r>
      <w:r>
        <w:t xml:space="preserve"> 4054 postmenopausal women with</w:t>
      </w:r>
      <w:r w:rsidR="00E97201">
        <w:t xml:space="preserve"> osteoporosis in Study 20110142;</w:t>
      </w:r>
      <w:r>
        <w:t xml:space="preserve"> 218 subjects with osteoporosis who were transitioni</w:t>
      </w:r>
      <w:r w:rsidR="00E97201">
        <w:t>ng from bisphosphonate therapy Study 20080289;</w:t>
      </w:r>
      <w:r>
        <w:t xml:space="preserve"> 3</w:t>
      </w:r>
      <w:r w:rsidR="00E97201">
        <w:t>53 subjects with low bone mass Study 20060326;</w:t>
      </w:r>
      <w:r>
        <w:t xml:space="preserve"> 252</w:t>
      </w:r>
      <w:r w:rsidR="00365805">
        <w:t> </w:t>
      </w:r>
      <w:r>
        <w:t>Japanese subjects with osteoporosis in a dedicated study in</w:t>
      </w:r>
      <w:r w:rsidR="00E97201">
        <w:t xml:space="preserve"> Japan Study 20101291;</w:t>
      </w:r>
      <w:r>
        <w:t xml:space="preserve"> 244 subjects fr</w:t>
      </w:r>
      <w:r w:rsidR="003D7E26">
        <w:t>om the male osteoporosis Study 20110174</w:t>
      </w:r>
      <w:r>
        <w:t>, and 294 subjects with osteoporosis enro</w:t>
      </w:r>
      <w:r w:rsidR="003D7E26">
        <w:t>lled in a non</w:t>
      </w:r>
      <w:r w:rsidR="00E97201">
        <w:t>-</w:t>
      </w:r>
      <w:r w:rsidR="003D7E26">
        <w:t>inferiority Study 20120156</w:t>
      </w:r>
      <w:r>
        <w:t>.</w:t>
      </w:r>
    </w:p>
    <w:p w14:paraId="6D0FAFB7" w14:textId="16F49465" w:rsidR="008D74BF" w:rsidRDefault="008719C0" w:rsidP="008719C0">
      <w:r>
        <w:t xml:space="preserve">Overall, 7681 subjects (6573 women and 163 men) received at least 1 dose of romosozumab, 6338 subjects (6177 women and 158 men) received romosozumab for at least 6 months and 5863 subjects (5712 women and 151 men) received romosozumab for at least 12 </w:t>
      </w:r>
      <w:r w:rsidRPr="00A62BA9">
        <w:t>months (</w:t>
      </w:r>
      <w:r w:rsidR="00365805">
        <w:t xml:space="preserve">see </w:t>
      </w:r>
      <w:r w:rsidRPr="00A62BA9">
        <w:t xml:space="preserve">Table </w:t>
      </w:r>
      <w:r w:rsidR="00A62BA9" w:rsidRPr="00A62BA9">
        <w:t>10</w:t>
      </w:r>
      <w:r w:rsidRPr="00A62BA9">
        <w:t>)</w:t>
      </w:r>
      <w:r w:rsidR="008D74BF" w:rsidRPr="00A62BA9">
        <w:t>.</w:t>
      </w:r>
    </w:p>
    <w:p w14:paraId="0DD4E084" w14:textId="0BE6BADE" w:rsidR="00BF060E" w:rsidRDefault="00BF060E" w:rsidP="00F15420">
      <w:pPr>
        <w:pStyle w:val="TableTitle"/>
      </w:pPr>
      <w:r w:rsidRPr="00BF060E">
        <w:lastRenderedPageBreak/>
        <w:t xml:space="preserve">Table </w:t>
      </w:r>
      <w:r w:rsidR="00A62BA9">
        <w:t>10</w:t>
      </w:r>
      <w:r w:rsidRPr="00BF060E">
        <w:t>: Number of subjects receiving treatment and duration of cumulative exposure by study type (</w:t>
      </w:r>
      <w:r w:rsidR="00365805">
        <w:t>O</w:t>
      </w:r>
      <w:r w:rsidR="00365805" w:rsidRPr="00BF060E">
        <w:t xml:space="preserve">verall </w:t>
      </w:r>
      <w:r w:rsidRPr="00BF060E">
        <w:t>safety analysis set)</w:t>
      </w:r>
    </w:p>
    <w:p w14:paraId="5B396608" w14:textId="2DC535C6" w:rsidR="00E97201" w:rsidRDefault="00E97201" w:rsidP="00E97201">
      <w:r>
        <w:rPr>
          <w:noProof/>
          <w:lang w:eastAsia="en-AU"/>
        </w:rPr>
        <w:drawing>
          <wp:inline distT="0" distB="0" distL="0" distR="0" wp14:anchorId="01ACC1C1" wp14:editId="7EB201C4">
            <wp:extent cx="5400040" cy="1716405"/>
            <wp:effectExtent l="0" t="0" r="0" b="0"/>
            <wp:docPr id="453" name="Picture 453" descr="Number of subjects receiving treatment and duration of cumulative exposure by study type (overall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1716405"/>
                    </a:xfrm>
                    <a:prstGeom prst="rect">
                      <a:avLst/>
                    </a:prstGeom>
                  </pic:spPr>
                </pic:pic>
              </a:graphicData>
            </a:graphic>
          </wp:inline>
        </w:drawing>
      </w:r>
    </w:p>
    <w:p w14:paraId="790718AB" w14:textId="6E03CDD8" w:rsidR="008D74BF" w:rsidRDefault="008719C0" w:rsidP="008719C0">
      <w:r>
        <w:t xml:space="preserve">Demographics were generally similar between treatment groups in the </w:t>
      </w:r>
      <w:r w:rsidR="00531AFF">
        <w:t>12 month</w:t>
      </w:r>
      <w:r>
        <w:t xml:space="preserve"> placebo</w:t>
      </w:r>
      <w:r w:rsidR="00531AFF">
        <w:t xml:space="preserve"> </w:t>
      </w:r>
      <w:r>
        <w:t xml:space="preserve">controlled osteoporosis population and were generally similar between the total romosozumab, romosozumab 210 mg </w:t>
      </w:r>
      <w:r w:rsidR="00531AFF">
        <w:t>monthly</w:t>
      </w:r>
      <w:r>
        <w:t xml:space="preserve"> and integrated control groups in the osteoporosis safety analysis set. In the </w:t>
      </w:r>
      <w:r w:rsidR="00531AFF">
        <w:t>12 month</w:t>
      </w:r>
      <w:r>
        <w:t xml:space="preserve"> placebo</w:t>
      </w:r>
      <w:r w:rsidR="00531AFF">
        <w:t xml:space="preserve"> </w:t>
      </w:r>
      <w:r>
        <w:t xml:space="preserve">controlled osteoporosis population, baseline characteristics were consistent between the total romosozumab and placebo groups. Prior use of osteoporosis medication was reported for only 7.1% of subjects in both treatment groups, and was higher in the </w:t>
      </w:r>
      <w:r w:rsidR="00531AFF">
        <w:t>P</w:t>
      </w:r>
      <w:r>
        <w:t xml:space="preserve">hase </w:t>
      </w:r>
      <w:r w:rsidR="00531AFF">
        <w:t>II</w:t>
      </w:r>
      <w:r>
        <w:t xml:space="preserve"> dose ranging </w:t>
      </w:r>
      <w:r w:rsidR="00531AFF">
        <w:t>S</w:t>
      </w:r>
      <w:r>
        <w:t>tudy</w:t>
      </w:r>
      <w:r w:rsidR="00365805">
        <w:t> </w:t>
      </w:r>
      <w:r>
        <w:t>20060326 (romosozumab: 17.6%; placebo: 14.0%). Approximately 99% of all subjects reported baseline use of calcium and vitamin D, and approximately 41% of subjects had a history of fractures. Height, weight and mean creatin</w:t>
      </w:r>
      <w:r w:rsidR="00E97201">
        <w:t>ine results were lower in Study </w:t>
      </w:r>
      <w:r>
        <w:t>20101291 (Japanese women) and higher in Study 20110174 (men with osteoporosis) compared with the total population, but this was not unexpected. Baseline laboratory values were consistent across studies and between treatment groups within studies</w:t>
      </w:r>
      <w:r w:rsidR="008D74BF">
        <w:t>.</w:t>
      </w:r>
    </w:p>
    <w:p w14:paraId="204A5434" w14:textId="77777777" w:rsidR="008719C0" w:rsidRPr="008719C0" w:rsidRDefault="008719C0" w:rsidP="008719C0">
      <w:r>
        <w:t xml:space="preserve">In the osteoporosis safety analysis set, baseline characteristics were generally similar between the total romosozumab, romosozumab 210 mg </w:t>
      </w:r>
      <w:r w:rsidR="00531AFF">
        <w:t>monthly</w:t>
      </w:r>
      <w:r>
        <w:t xml:space="preserve"> and integrated control groups. Prior use of osteoporosis medication was reported for about 11% of subjects, 99% of all subjects reported baseline use of calcium and vitamin D, and 60</w:t>
      </w:r>
      <w:r w:rsidR="008B4220">
        <w:t xml:space="preserve"> to </w:t>
      </w:r>
      <w:r>
        <w:t>62% had a history of fractures.</w:t>
      </w:r>
    </w:p>
    <w:p w14:paraId="5E8D20F0" w14:textId="77777777" w:rsidR="003F09E4" w:rsidRDefault="00605AD4" w:rsidP="00605AD4">
      <w:pPr>
        <w:pStyle w:val="Heading4"/>
      </w:pPr>
      <w:r w:rsidRPr="00605AD4">
        <w:t>Safety issues with the potential for major regulatory impact</w:t>
      </w:r>
    </w:p>
    <w:p w14:paraId="67356D0E" w14:textId="77777777" w:rsidR="008719C0" w:rsidRDefault="008719C0" w:rsidP="00531AFF">
      <w:pPr>
        <w:pStyle w:val="Heading5"/>
      </w:pPr>
      <w:r>
        <w:t>Liver function and liver toxicity</w:t>
      </w:r>
    </w:p>
    <w:p w14:paraId="07A59213" w14:textId="03088684" w:rsidR="00531AFF" w:rsidRDefault="008719C0" w:rsidP="00531AFF">
      <w:pPr>
        <w:pStyle w:val="Heading6"/>
      </w:pPr>
      <w:r>
        <w:t>12</w:t>
      </w:r>
      <w:r w:rsidR="00531AFF">
        <w:t xml:space="preserve"> </w:t>
      </w:r>
      <w:r w:rsidR="00E97201">
        <w:t>month placebo controlled osteoporosis safety analysis set</w:t>
      </w:r>
    </w:p>
    <w:p w14:paraId="75E18A29" w14:textId="3D21997F" w:rsidR="008719C0" w:rsidRDefault="008719C0" w:rsidP="008719C0">
      <w:r>
        <w:t xml:space="preserve">The occurrence of elevated baseline </w:t>
      </w:r>
      <w:r w:rsidR="00365805">
        <w:t>aspartate transaminase (</w:t>
      </w:r>
      <w:r>
        <w:t>AST</w:t>
      </w:r>
      <w:r w:rsidR="00365805">
        <w:t>)</w:t>
      </w:r>
      <w:r>
        <w:t xml:space="preserve"> of</w:t>
      </w:r>
      <w:r w:rsidR="008D74BF">
        <w:t xml:space="preserve"> </w:t>
      </w:r>
      <w:r>
        <w:t xml:space="preserve">&gt; </w:t>
      </w:r>
      <w:r w:rsidRPr="00F15420">
        <w:t xml:space="preserve">3 x </w:t>
      </w:r>
      <w:r w:rsidR="00D60601">
        <w:t>upper limit of normal (ULN)</w:t>
      </w:r>
      <w:r>
        <w:t xml:space="preserve"> and &gt;</w:t>
      </w:r>
      <w:r w:rsidR="00365805">
        <w:t> </w:t>
      </w:r>
      <w:r>
        <w:t>5</w:t>
      </w:r>
      <w:r w:rsidR="00365805">
        <w:t> </w:t>
      </w:r>
      <w:r>
        <w:t>x</w:t>
      </w:r>
      <w:r w:rsidR="00365805">
        <w:t> </w:t>
      </w:r>
      <w:r>
        <w:t>ULN was slightly lower in the romosozumab group (&lt; 0.1% and 0.0%, respectively) than the placebo group (0.2% and &lt;</w:t>
      </w:r>
      <w:r w:rsidR="00531AFF">
        <w:t xml:space="preserve"> </w:t>
      </w:r>
      <w:r>
        <w:t>0.1%, respectively) with no baseline elevations &gt; 10 x ULN and &gt; 20 x ULN in both treatment groups.</w:t>
      </w:r>
      <w:r w:rsidR="008D74BF">
        <w:t xml:space="preserve"> </w:t>
      </w:r>
      <w:r>
        <w:t>Elevations to 3</w:t>
      </w:r>
      <w:r w:rsidR="00365805">
        <w:t> </w:t>
      </w:r>
      <w:r>
        <w:t>x</w:t>
      </w:r>
      <w:r w:rsidR="00365805">
        <w:t> </w:t>
      </w:r>
      <w:r>
        <w:t xml:space="preserve">ULN, 5 x ULN and 10 x ULN during the </w:t>
      </w:r>
      <w:r w:rsidR="00531AFF">
        <w:t>12 month</w:t>
      </w:r>
      <w:r>
        <w:t xml:space="preserve"> </w:t>
      </w:r>
      <w:r w:rsidR="00365805">
        <w:t>double blind</w:t>
      </w:r>
      <w:r>
        <w:t xml:space="preserve"> period were reported for ≤ 0.4% in the romosozumab group and ≤ 0.8% in the placebo group. No subject in either treatment group had an elevation to 20 x ULN. At baseline no subject met the criteria for </w:t>
      </w:r>
      <w:proofErr w:type="spellStart"/>
      <w:r>
        <w:t>Hy’s</w:t>
      </w:r>
      <w:proofErr w:type="spellEnd"/>
      <w:r>
        <w:t xml:space="preserve"> Law (</w:t>
      </w:r>
      <w:r w:rsidR="00365805">
        <w:t>defined as alanine transaminase (</w:t>
      </w:r>
      <w:r>
        <w:t>ALT</w:t>
      </w:r>
      <w:r w:rsidR="00365805">
        <w:t>)</w:t>
      </w:r>
      <w:r>
        <w:t xml:space="preserve"> or AST &gt; 3 x ULN and total bilirubin &gt;</w:t>
      </w:r>
      <w:r w:rsidR="00365805">
        <w:t> </w:t>
      </w:r>
      <w:r>
        <w:t>2</w:t>
      </w:r>
      <w:r w:rsidR="00365805">
        <w:t> </w:t>
      </w:r>
      <w:r>
        <w:t>x ULN and ALP &lt;</w:t>
      </w:r>
      <w:r w:rsidR="00531AFF">
        <w:t xml:space="preserve"> </w:t>
      </w:r>
      <w:r>
        <w:t>2 x ULN) in either treatment group. One (&lt; 0.1%) subject in the romosozumab group of Study 20070337 met all of these criteria while on study with all results occurring within a 7</w:t>
      </w:r>
      <w:r w:rsidR="00531AFF">
        <w:t xml:space="preserve"> </w:t>
      </w:r>
      <w:r>
        <w:t xml:space="preserve">day window. The subject was diagnosed with </w:t>
      </w:r>
      <w:proofErr w:type="spellStart"/>
      <w:r>
        <w:t>cholelithiasis</w:t>
      </w:r>
      <w:proofErr w:type="spellEnd"/>
      <w:r>
        <w:t xml:space="preserve"> and fatty liver deposit that were considered by the investigator as not related to treatment.</w:t>
      </w:r>
    </w:p>
    <w:p w14:paraId="687E4DFD" w14:textId="011878F9" w:rsidR="00C44BAA" w:rsidRDefault="008719C0" w:rsidP="00531AFF">
      <w:pPr>
        <w:pStyle w:val="Heading6"/>
      </w:pPr>
      <w:r>
        <w:lastRenderedPageBreak/>
        <w:t xml:space="preserve">Osteoporosis </w:t>
      </w:r>
      <w:r w:rsidR="00E97201">
        <w:t>safety analysis set</w:t>
      </w:r>
    </w:p>
    <w:p w14:paraId="5082CFEE" w14:textId="1757A256" w:rsidR="008719C0" w:rsidRDefault="008719C0" w:rsidP="008719C0">
      <w:r>
        <w:t xml:space="preserve">The subject incidences of elevated ALT and AST at </w:t>
      </w:r>
      <w:r w:rsidR="00365805">
        <w:t>B</w:t>
      </w:r>
      <w:r>
        <w:t xml:space="preserve">aseline and while on study for the osteoporosis safety analysis set were similar to those observed in the </w:t>
      </w:r>
      <w:r w:rsidR="00531AFF">
        <w:t>12 month</w:t>
      </w:r>
      <w:r>
        <w:t xml:space="preserve"> placebo</w:t>
      </w:r>
      <w:r w:rsidR="00531AFF">
        <w:t xml:space="preserve"> </w:t>
      </w:r>
      <w:r>
        <w:t>controlled osteoporosis safety analysis set.</w:t>
      </w:r>
      <w:r w:rsidR="008D74BF">
        <w:t xml:space="preserve"> </w:t>
      </w:r>
      <w:r>
        <w:t xml:space="preserve">In Study 20110142, at </w:t>
      </w:r>
      <w:r w:rsidR="00365805">
        <w:t>B</w:t>
      </w:r>
      <w:r>
        <w:t>aseline, ALT or AST &gt;</w:t>
      </w:r>
      <w:r w:rsidR="00876111">
        <w:t> </w:t>
      </w:r>
      <w:r>
        <w:t>3</w:t>
      </w:r>
      <w:r w:rsidR="00876111">
        <w:t> </w:t>
      </w:r>
      <w:r>
        <w:t xml:space="preserve">x the ULN was reported in 7 (0.3%) and 5 (0.2%) subjects in the romosozumab and alendronate groups, respectively; 19 (1.0%) and 17 (0.9%) subjects in the romosozumab and alendronate groups, respectively had these values during the </w:t>
      </w:r>
      <w:r w:rsidR="00531AFF">
        <w:t>12 month</w:t>
      </w:r>
      <w:r>
        <w:t xml:space="preserve"> </w:t>
      </w:r>
      <w:r w:rsidR="00531AFF">
        <w:t>double blind</w:t>
      </w:r>
      <w:r>
        <w:t xml:space="preserve"> period. At baseline, total bilirubin &gt; 2 x the ULN was reported for 1 (&lt; 0.1%) subject in the romosozumab group and no subjects in the alendronate group. During the </w:t>
      </w:r>
      <w:r w:rsidR="00531AFF">
        <w:t>12 month</w:t>
      </w:r>
      <w:r>
        <w:t xml:space="preserve"> double</w:t>
      </w:r>
      <w:r w:rsidR="00531AFF">
        <w:t xml:space="preserve"> </w:t>
      </w:r>
      <w:r>
        <w:t xml:space="preserve">blind period, these results were reported for 3 (0.2%) subjects in the romosozumab group and 2 (0.1%) subjects in the alendronate group. No subject met all of the laboratory criteria for potential </w:t>
      </w:r>
      <w:proofErr w:type="spellStart"/>
      <w:r>
        <w:t>Hy’s</w:t>
      </w:r>
      <w:proofErr w:type="spellEnd"/>
      <w:r>
        <w:t xml:space="preserve"> Law at any time.</w:t>
      </w:r>
    </w:p>
    <w:p w14:paraId="456FC250" w14:textId="77777777" w:rsidR="008719C0" w:rsidRDefault="008719C0" w:rsidP="00531AFF">
      <w:pPr>
        <w:pStyle w:val="Heading5"/>
      </w:pPr>
      <w:r>
        <w:t>Renal function and renal toxicity</w:t>
      </w:r>
    </w:p>
    <w:p w14:paraId="6B7E63A2" w14:textId="77777777" w:rsidR="008719C0" w:rsidRDefault="008719C0" w:rsidP="008719C0">
      <w:r>
        <w:t>No meaningful differences between treatment groups were observed for renal function parameters in any of the individual studies or integrated analyses.</w:t>
      </w:r>
    </w:p>
    <w:p w14:paraId="6AC11F42" w14:textId="77777777" w:rsidR="008719C0" w:rsidRDefault="008719C0" w:rsidP="00531AFF">
      <w:pPr>
        <w:pStyle w:val="Heading5"/>
      </w:pPr>
      <w:r>
        <w:t>Other clinical chemistry</w:t>
      </w:r>
    </w:p>
    <w:p w14:paraId="0DD905EA" w14:textId="419F0F9B" w:rsidR="00C44BAA" w:rsidRDefault="008719C0" w:rsidP="00531AFF">
      <w:pPr>
        <w:pStyle w:val="Heading6"/>
      </w:pPr>
      <w:r>
        <w:t>12</w:t>
      </w:r>
      <w:r w:rsidR="00531AFF">
        <w:t xml:space="preserve"> </w:t>
      </w:r>
      <w:r w:rsidR="00E97201">
        <w:t>month placebo-controlled osteoporosis safety analysis set</w:t>
      </w:r>
    </w:p>
    <w:p w14:paraId="59C49ACD" w14:textId="61E7B80A" w:rsidR="008719C0" w:rsidRDefault="008719C0" w:rsidP="008719C0">
      <w:r>
        <w:t xml:space="preserve">Laboratory test results with grade ≥ 2 were reported for 19.1% in the romosozumab group and 18.4% in the placebo group with no clinically important trends were noted </w:t>
      </w:r>
      <w:r w:rsidRPr="00A62BA9">
        <w:t>(</w:t>
      </w:r>
      <w:r w:rsidR="00365805">
        <w:t xml:space="preserve">see </w:t>
      </w:r>
      <w:r w:rsidRPr="00A62BA9">
        <w:t xml:space="preserve">Table </w:t>
      </w:r>
      <w:r w:rsidR="00A62BA9" w:rsidRPr="00A62BA9">
        <w:t>11</w:t>
      </w:r>
      <w:r w:rsidRPr="00A62BA9">
        <w:t>).</w:t>
      </w:r>
      <w:r w:rsidR="008D74BF" w:rsidRPr="00A62BA9">
        <w:t xml:space="preserve"> </w:t>
      </w:r>
      <w:r w:rsidRPr="00A62BA9">
        <w:t>Laboratory</w:t>
      </w:r>
      <w:r>
        <w:t xml:space="preserve"> test results with </w:t>
      </w:r>
      <w:r w:rsidR="007710AA">
        <w:t xml:space="preserve">common terminology criteria for </w:t>
      </w:r>
      <w:r w:rsidR="00365805">
        <w:t xml:space="preserve">adverse events </w:t>
      </w:r>
      <w:r w:rsidR="007710AA">
        <w:t>(</w:t>
      </w:r>
      <w:r>
        <w:t>CTCAE</w:t>
      </w:r>
      <w:r w:rsidR="007710AA">
        <w:t>)</w:t>
      </w:r>
      <w:r>
        <w:t xml:space="preserve"> grade ≥ 3 were reported for 4.2% in the romosozumab group and 3.8% in the placebo group. All grade 3 and 4 laboratory results were reported for &lt; 1% of subjects in both treatment groups, with the exception of grade 3 increase in glucose, which was reported for 1.5% of subjects in the romosozumab group and 1.9% in the placebo group; grade 4 glucose results were reported for &lt; 0.1% and 0.0%, respectively. No clinically important trends were </w:t>
      </w:r>
      <w:r w:rsidRPr="00A62BA9">
        <w:t xml:space="preserve">noted (Table </w:t>
      </w:r>
      <w:r w:rsidR="00A62BA9">
        <w:t>11</w:t>
      </w:r>
      <w:r w:rsidRPr="00A62BA9">
        <w:t>).</w:t>
      </w:r>
    </w:p>
    <w:p w14:paraId="66739E89" w14:textId="4350B01C" w:rsidR="00D460E7" w:rsidRDefault="00D460E7" w:rsidP="00F15420">
      <w:pPr>
        <w:pStyle w:val="TableTitle"/>
      </w:pPr>
      <w:r w:rsidRPr="00D460E7">
        <w:lastRenderedPageBreak/>
        <w:t xml:space="preserve">Table </w:t>
      </w:r>
      <w:r w:rsidR="00A62BA9">
        <w:t>11</w:t>
      </w:r>
      <w:r w:rsidRPr="00D460E7">
        <w:t>:</w:t>
      </w:r>
      <w:r w:rsidR="00F15420">
        <w:t xml:space="preserve"> </w:t>
      </w:r>
      <w:r w:rsidRPr="00D460E7">
        <w:t xml:space="preserve">Subject incidence of laboratory value shifts away from </w:t>
      </w:r>
      <w:r w:rsidR="00365805">
        <w:t>B</w:t>
      </w:r>
      <w:r w:rsidRPr="00D460E7">
        <w:t xml:space="preserve">aseline by </w:t>
      </w:r>
      <w:r w:rsidR="00202792">
        <w:t>≥</w:t>
      </w:r>
      <w:r w:rsidR="00E97201">
        <w:t> </w:t>
      </w:r>
      <w:r w:rsidRPr="00D460E7">
        <w:t>2</w:t>
      </w:r>
      <w:r w:rsidR="00202792">
        <w:t> </w:t>
      </w:r>
      <w:r w:rsidRPr="00D460E7">
        <w:t>grades (12 month placebo</w:t>
      </w:r>
      <w:r w:rsidR="00202792">
        <w:t xml:space="preserve"> </w:t>
      </w:r>
      <w:r w:rsidRPr="00D460E7">
        <w:t>controlled osteoporosis safety analysis set)</w:t>
      </w:r>
    </w:p>
    <w:p w14:paraId="7C95D578" w14:textId="312C23D0" w:rsidR="00D460E7" w:rsidRDefault="00BC49ED" w:rsidP="008719C0">
      <w:r>
        <w:rPr>
          <w:noProof/>
          <w:lang w:eastAsia="en-AU"/>
        </w:rPr>
        <w:drawing>
          <wp:inline distT="0" distB="0" distL="0" distR="0" wp14:anchorId="70960005" wp14:editId="7C6CC62F">
            <wp:extent cx="5400040" cy="4586605"/>
            <wp:effectExtent l="0" t="0" r="0" b="4445"/>
            <wp:docPr id="454" name="Picture 454" descr="Subject incidence of laboratory value shifts away from baseline by ≥ 2 grades (12 month placebo controlled osteoporosi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4586605"/>
                    </a:xfrm>
                    <a:prstGeom prst="rect">
                      <a:avLst/>
                    </a:prstGeom>
                  </pic:spPr>
                </pic:pic>
              </a:graphicData>
            </a:graphic>
          </wp:inline>
        </w:drawing>
      </w:r>
    </w:p>
    <w:p w14:paraId="1B2B456C" w14:textId="362262DC" w:rsidR="008719C0" w:rsidRDefault="008719C0" w:rsidP="008719C0">
      <w:r>
        <w:t xml:space="preserve">The incidence of discontinuation of study treatment with &gt; 2 grade laboratory value shifts from </w:t>
      </w:r>
      <w:r w:rsidR="00365805">
        <w:t>B</w:t>
      </w:r>
      <w:r>
        <w:t>aseline was low and similar in the romosozumab (&lt;</w:t>
      </w:r>
      <w:r w:rsidR="00531AFF">
        <w:t xml:space="preserve"> </w:t>
      </w:r>
      <w:r>
        <w:t>0.1%, n</w:t>
      </w:r>
      <w:r w:rsidR="00531AFF">
        <w:t xml:space="preserve"> </w:t>
      </w:r>
      <w:r>
        <w:t>=</w:t>
      </w:r>
      <w:r w:rsidR="00531AFF">
        <w:t xml:space="preserve"> </w:t>
      </w:r>
      <w:r>
        <w:t>2) and placebo</w:t>
      </w:r>
      <w:r w:rsidR="00531AFF">
        <w:t xml:space="preserve"> </w:t>
      </w:r>
      <w:r>
        <w:t xml:space="preserve">treated subjects (0.1%, </w:t>
      </w:r>
      <w:r w:rsidR="00531AFF">
        <w:t xml:space="preserve">n = </w:t>
      </w:r>
      <w:r>
        <w:t>5). In the romosozumab group, the laboratory shifts included: grade 3 increases in ALT and AST in a subject with pancreatic malignancy in Study</w:t>
      </w:r>
      <w:r w:rsidR="00365805">
        <w:t> </w:t>
      </w:r>
      <w:r>
        <w:t xml:space="preserve">20070337 and increase in </w:t>
      </w:r>
      <w:r w:rsidR="002B04AF">
        <w:t>intact parathyroid hormone</w:t>
      </w:r>
      <w:r>
        <w:t xml:space="preserve"> without any associated AE in Study 20101291. Neither discontinuation was due to the abnormal laboratory values. In the placebo group, the laboratory shifts included the following: increase in </w:t>
      </w:r>
      <w:r w:rsidR="002B04AF">
        <w:t>intact parathyroid hormone</w:t>
      </w:r>
      <w:r>
        <w:t>, grade 2 decrease in magnesium, 1 grade 2 and 1 grade 3 increase in ALT and AST, and a grade 2 increase in creatinine. No new concomitant medications were reported to be taken by these 7 subjects within 30</w:t>
      </w:r>
      <w:r w:rsidR="00531AFF">
        <w:t> </w:t>
      </w:r>
      <w:r>
        <w:t>days of investigational product discontinuation.</w:t>
      </w:r>
    </w:p>
    <w:p w14:paraId="6612F834" w14:textId="6FE0A089" w:rsidR="00C44BAA" w:rsidRDefault="008719C0" w:rsidP="002B04AF">
      <w:pPr>
        <w:pStyle w:val="Heading6"/>
      </w:pPr>
      <w:r>
        <w:t xml:space="preserve">Osteoporosis </w:t>
      </w:r>
      <w:r w:rsidR="00BC49ED">
        <w:t>safety analysis set</w:t>
      </w:r>
    </w:p>
    <w:p w14:paraId="00C8D709" w14:textId="0E5CC964" w:rsidR="008719C0" w:rsidRDefault="008719C0" w:rsidP="008719C0">
      <w:r>
        <w:t>The percentages of subjects with grade of 2, 3 or 4 laboratory abnormalities, shifts of</w:t>
      </w:r>
      <w:r w:rsidR="008D74BF">
        <w:t xml:space="preserve"> </w:t>
      </w:r>
      <w:r>
        <w:t>≥</w:t>
      </w:r>
      <w:r w:rsidR="00365805">
        <w:t> </w:t>
      </w:r>
      <w:r>
        <w:t>2</w:t>
      </w:r>
      <w:r w:rsidR="00365805">
        <w:t> </w:t>
      </w:r>
      <w:r>
        <w:t xml:space="preserve">severity grades from </w:t>
      </w:r>
      <w:r w:rsidR="00365805">
        <w:t xml:space="preserve">Baseline </w:t>
      </w:r>
      <w:r>
        <w:t>for selected laboratory parameters were not integrated for the osteoporosis safety analysis set.</w:t>
      </w:r>
    </w:p>
    <w:p w14:paraId="33EE1637" w14:textId="77777777" w:rsidR="008719C0" w:rsidRDefault="008719C0" w:rsidP="008719C0">
      <w:r>
        <w:t xml:space="preserve">In Study 20110142, mild and transitory decreases in serum albumin-corrected calcium were observed in both the romosozumab and alendronate treatment groups. Mild decreases in phosphorus in both treatment groups were also observed throughout the primary analysis period. Laboratory test results with grade ≥ 2 during the </w:t>
      </w:r>
      <w:r w:rsidR="00531AFF">
        <w:t>12 month</w:t>
      </w:r>
      <w:r>
        <w:t xml:space="preserve"> double blind period were reported for 22.2% of subjects in the romosozumab group and 23.3% of subjects in the alendronate group. Results for the entire study period (through </w:t>
      </w:r>
      <w:r>
        <w:lastRenderedPageBreak/>
        <w:t>the end of the study) were similar to those for the primary analysis and generally balanced between the treatment groups.</w:t>
      </w:r>
    </w:p>
    <w:p w14:paraId="4FD6FA52" w14:textId="77777777" w:rsidR="008D74BF" w:rsidRDefault="008719C0" w:rsidP="008719C0">
      <w:r>
        <w:t>In Study 20110142, 155 of 2040 (7.6%) subjects in the romosozumab group had grade 3 and 4 laboratory results. Four (0.2%) subjects in the romosozumab group had grade 4 laboratory results including 2 (&lt; 0.1%) subjects with below-normal sodium; 1 (&lt; 0.1%) subject with below-normal bicarbonate; 2 (&lt; 0.1%) subjects with below-normal haemoglobin; and 1 (&lt;0.1%) subject with below-normal platelet count. In the alendronate group 152 of 2014 (7.5%), group had grade 3 and 4 laboratory results. Subjects with grade 4 laboratory results included 1 (&lt; 0.1%) subject with above-normal glucose and 1 (&lt;</w:t>
      </w:r>
      <w:r w:rsidR="00F15420">
        <w:t> </w:t>
      </w:r>
      <w:r>
        <w:t>0.1%) subject with below-normal neutrophil count</w:t>
      </w:r>
      <w:r w:rsidR="008D74BF">
        <w:t>.</w:t>
      </w:r>
    </w:p>
    <w:p w14:paraId="054E05EE" w14:textId="77777777" w:rsidR="008D74BF" w:rsidRDefault="008719C0" w:rsidP="008719C0">
      <w:r>
        <w:t>For the male osteoporosis Study 20110174, laboratory test results with grade ≥ 2 were reported for 19.0% in the romosozumab group and 19.8% in the placebo group. No clinically important trends were noted and few grade 3 or 4 results were observed; 11</w:t>
      </w:r>
      <w:r w:rsidR="002B04AF">
        <w:t xml:space="preserve"> of</w:t>
      </w:r>
      <w:r>
        <w:t xml:space="preserve">163 (6.7%) subjects in the romosozumab group had grade 3 or 4 laboratory results including 1 (0.6%) subject with grade 3 below-normal sodium; 1 (0.6%) subject with grade 4 below-normal magnesium; 5 (3.1%) subjects with grade 3 below-normal phosphorous; 3 (1.8%) subjects with grade 3 above-normal glucose and 1 (0.6%) subject with grade 3 below-normal total neutrophil count. These results were similar to those observed in the placebo group of Study 20110174 and in the </w:t>
      </w:r>
      <w:r w:rsidR="00C36ACF">
        <w:t>postmenopausal osteoporosis</w:t>
      </w:r>
      <w:r>
        <w:t xml:space="preserve"> Study 20070337</w:t>
      </w:r>
      <w:r w:rsidR="008D74BF">
        <w:t>.</w:t>
      </w:r>
    </w:p>
    <w:p w14:paraId="1D462712" w14:textId="77777777" w:rsidR="008719C0" w:rsidRDefault="008719C0" w:rsidP="008719C0">
      <w:r>
        <w:t xml:space="preserve">Lipid parameters were not evaluated in the three pivotal </w:t>
      </w:r>
      <w:r w:rsidR="002B04AF">
        <w:t>P</w:t>
      </w:r>
      <w:r>
        <w:t xml:space="preserve">hase </w:t>
      </w:r>
      <w:r w:rsidR="002B04AF">
        <w:t>III</w:t>
      </w:r>
      <w:r>
        <w:t xml:space="preserve"> studies.</w:t>
      </w:r>
    </w:p>
    <w:p w14:paraId="2755AC71" w14:textId="77777777" w:rsidR="008719C0" w:rsidRDefault="008719C0" w:rsidP="002B04AF">
      <w:pPr>
        <w:pStyle w:val="Heading5"/>
      </w:pPr>
      <w:r>
        <w:t>Haematology and haematological toxicity</w:t>
      </w:r>
    </w:p>
    <w:p w14:paraId="1CC528CB" w14:textId="77777777" w:rsidR="008D74BF" w:rsidRDefault="008719C0" w:rsidP="008719C0">
      <w:r>
        <w:t>Overall, clinical laboratory evaluations for haematology demonstrated no meaningful differences between treatment groups in the individual studies</w:t>
      </w:r>
      <w:r w:rsidR="008D74BF">
        <w:t>.</w:t>
      </w:r>
    </w:p>
    <w:p w14:paraId="52BAC0FF" w14:textId="77777777" w:rsidR="008719C0" w:rsidRDefault="008719C0" w:rsidP="002B04AF">
      <w:pPr>
        <w:pStyle w:val="Heading5"/>
      </w:pPr>
      <w:r>
        <w:t>Other laboratory tests</w:t>
      </w:r>
    </w:p>
    <w:p w14:paraId="618ADAE4" w14:textId="77777777" w:rsidR="008719C0" w:rsidRDefault="008719C0" w:rsidP="002B04AF">
      <w:pPr>
        <w:pStyle w:val="Heading6"/>
      </w:pPr>
      <w:r>
        <w:t>Serum calcium</w:t>
      </w:r>
    </w:p>
    <w:p w14:paraId="26FC3805" w14:textId="61753C2F" w:rsidR="008D74BF" w:rsidRDefault="008719C0" w:rsidP="008719C0">
      <w:r>
        <w:t xml:space="preserve">For the </w:t>
      </w:r>
      <w:r w:rsidR="00531AFF">
        <w:t>12 month</w:t>
      </w:r>
      <w:r>
        <w:t xml:space="preserve"> </w:t>
      </w:r>
      <w:r w:rsidR="00566372">
        <w:t>placebo controlled</w:t>
      </w:r>
      <w:r>
        <w:t xml:space="preserve"> osteoporosis safety analysis set, slightly higher proportion of subjects in the romosozumab group reported albumin-corrected serum calcium with a maximum decrease of ≥1 grade (romosozumab </w:t>
      </w:r>
      <w:r w:rsidR="00CE639A">
        <w:t xml:space="preserve">versus </w:t>
      </w:r>
      <w:r>
        <w:t xml:space="preserve">placebo: 0.4% </w:t>
      </w:r>
      <w:r w:rsidR="00CE639A">
        <w:t xml:space="preserve">versus </w:t>
      </w:r>
      <w:r>
        <w:t>0.1%) with similar results for</w:t>
      </w:r>
      <w:r w:rsidR="008D74BF">
        <w:t xml:space="preserve"> </w:t>
      </w:r>
      <w:r>
        <w:t xml:space="preserve">grade 2 decreases in serum calcium (0.2% </w:t>
      </w:r>
      <w:r w:rsidR="00CE639A">
        <w:t xml:space="preserve">versus </w:t>
      </w:r>
      <w:r>
        <w:t>&lt;</w:t>
      </w:r>
      <w:r w:rsidR="002B04AF">
        <w:t> </w:t>
      </w:r>
      <w:r>
        <w:t xml:space="preserve">0.1%). The median nadir of corrected serum calcium from </w:t>
      </w:r>
      <w:r w:rsidR="00365805">
        <w:t>B</w:t>
      </w:r>
      <w:r>
        <w:t>aseline was observed by month 1. No subject in the romosozumab group had a grade 3 or 4 decrease in serum calcium</w:t>
      </w:r>
      <w:r w:rsidR="008D74BF">
        <w:t>.</w:t>
      </w:r>
    </w:p>
    <w:p w14:paraId="34FDCD77" w14:textId="79EA3141" w:rsidR="008719C0" w:rsidRDefault="008719C0" w:rsidP="008719C0">
      <w:r>
        <w:t>In the osteoporosis safety analysis set, the exposure-adjusted incidence of albumin-adjusted serum calcium maximum decrease of ≥1 grade shift from baseline per 100</w:t>
      </w:r>
      <w:r w:rsidR="002B04AF">
        <w:t> </w:t>
      </w:r>
      <w:r>
        <w:t>subject-years was 0.5 in the total romosozumab and romosozumab 210 mg groups and 0.2 in the integrated control group. No subject in the romosozumab groups and 1</w:t>
      </w:r>
      <w:r w:rsidR="00365805">
        <w:t> </w:t>
      </w:r>
      <w:r>
        <w:t>subject in the placebo group had an increase of grade ≥ 3 in albumin-corrected serum calcium.</w:t>
      </w:r>
    </w:p>
    <w:p w14:paraId="07C02A2C" w14:textId="5454589F" w:rsidR="008D74BF" w:rsidRDefault="008719C0" w:rsidP="008719C0">
      <w:r>
        <w:t xml:space="preserve">Similar to the </w:t>
      </w:r>
      <w:r w:rsidR="00C36ACF">
        <w:t>postmenopausal osteoporosis</w:t>
      </w:r>
      <w:r>
        <w:t xml:space="preserve"> Study 20070337, romosozumab administration was associated with mild, transient decreases in serum calcium in the male osteoporosis </w:t>
      </w:r>
      <w:r w:rsidR="003D7E26">
        <w:t>Study</w:t>
      </w:r>
      <w:r>
        <w:t xml:space="preserve"> 20110174. There was a slight decrease in corrected serum calcium levels at </w:t>
      </w:r>
      <w:r w:rsidR="00365805">
        <w:t>M</w:t>
      </w:r>
      <w:r>
        <w:t xml:space="preserve">onth 1; calcium levels returned toward near-baseline levels over time, such that at </w:t>
      </w:r>
      <w:r w:rsidR="00365805">
        <w:t>M</w:t>
      </w:r>
      <w:r>
        <w:t>onth 12, the median percent change from baseline was -1.3% for the romosozumab group and -0.9% for the placebo group. One (0.6%) subject in the romosozumab group had a grade 2 below-normal serum corrected calcium result. No grade 3 or 4 serum corrected calcium results were reported in the romosozumab or placebo groups</w:t>
      </w:r>
      <w:r w:rsidR="008D74BF">
        <w:t>.</w:t>
      </w:r>
    </w:p>
    <w:p w14:paraId="721E8896" w14:textId="77777777" w:rsidR="008719C0" w:rsidRDefault="008719C0" w:rsidP="002B04AF">
      <w:pPr>
        <w:pStyle w:val="Heading6"/>
      </w:pPr>
      <w:r>
        <w:lastRenderedPageBreak/>
        <w:t xml:space="preserve">Serum intact </w:t>
      </w:r>
      <w:r w:rsidR="002B04AF">
        <w:t>parathyroid hormone</w:t>
      </w:r>
      <w:r>
        <w:t xml:space="preserve"> and urinary calcium</w:t>
      </w:r>
    </w:p>
    <w:p w14:paraId="186AE1F3" w14:textId="6C9CC4F5" w:rsidR="008719C0" w:rsidRDefault="008719C0" w:rsidP="008719C0">
      <w:r>
        <w:t xml:space="preserve">Because romosozumab increases bone formation, there may be compensatory responses in </w:t>
      </w:r>
      <w:r w:rsidR="002B04AF">
        <w:t>intact parathyroid hormone</w:t>
      </w:r>
      <w:r>
        <w:t xml:space="preserve"> as a result of calcium demands from bone matrix mineralisation. In the Phase </w:t>
      </w:r>
      <w:r w:rsidR="002B04AF">
        <w:t>I</w:t>
      </w:r>
      <w:r>
        <w:t xml:space="preserve"> Study 20110227, the administration of romosozumab resulted in a greater increase in </w:t>
      </w:r>
      <w:r w:rsidR="002B04AF">
        <w:t>intact parathyroid hormone</w:t>
      </w:r>
      <w:r>
        <w:t xml:space="preserve"> in subjects with stage 4 </w:t>
      </w:r>
      <w:r w:rsidR="002B04AF">
        <w:t>renal impairment</w:t>
      </w:r>
      <w:r>
        <w:t xml:space="preserve"> and stage 5 </w:t>
      </w:r>
      <w:r w:rsidR="002B04AF">
        <w:t xml:space="preserve">chronic kidney </w:t>
      </w:r>
      <w:r w:rsidR="00BC49ED">
        <w:t>disease</w:t>
      </w:r>
      <w:r>
        <w:t xml:space="preserve"> requiring haemodialysis than in healthy subjects.</w:t>
      </w:r>
    </w:p>
    <w:p w14:paraId="576AD9B4" w14:textId="284FFBEE" w:rsidR="008719C0" w:rsidRDefault="008719C0" w:rsidP="008719C0">
      <w:r>
        <w:t xml:space="preserve">Study 20070337 included an </w:t>
      </w:r>
      <w:r w:rsidR="002B04AF">
        <w:t>intact parathyroid hormone</w:t>
      </w:r>
      <w:r>
        <w:t xml:space="preserve"> and urinary calcium </w:t>
      </w:r>
      <w:r w:rsidR="00BC49ED">
        <w:t>sub study</w:t>
      </w:r>
      <w:r>
        <w:t xml:space="preserve"> comprising 656 subjects to characterise serum </w:t>
      </w:r>
      <w:r w:rsidR="002B04AF">
        <w:t>intact parathyroid hormone</w:t>
      </w:r>
      <w:r>
        <w:t xml:space="preserve"> concentration and urinary calcium excretion through </w:t>
      </w:r>
      <w:r w:rsidR="002B04AF">
        <w:t>M</w:t>
      </w:r>
      <w:r>
        <w:t xml:space="preserve">onth 12. The median percentage change from baseline in </w:t>
      </w:r>
      <w:r w:rsidR="002B04AF">
        <w:t>intact parathyroid hormone</w:t>
      </w:r>
      <w:r>
        <w:t xml:space="preserve"> was statistically significantly higher in the romosozumab </w:t>
      </w:r>
      <w:r w:rsidR="00CE639A">
        <w:t xml:space="preserve">versus </w:t>
      </w:r>
      <w:r>
        <w:t xml:space="preserve">placebo group (nominal p-value &lt; 0.001 from Wilcoxon rank-sum test without multiplicity adjustment) at both month 6 (29% </w:t>
      </w:r>
      <w:r w:rsidR="00CE639A">
        <w:t xml:space="preserve">versus </w:t>
      </w:r>
      <w:r>
        <w:t xml:space="preserve">4%) and </w:t>
      </w:r>
      <w:r w:rsidR="002B04AF">
        <w:t>M</w:t>
      </w:r>
      <w:r>
        <w:t xml:space="preserve">onth 12 (27% </w:t>
      </w:r>
      <w:r w:rsidR="00CE639A">
        <w:t xml:space="preserve">versus </w:t>
      </w:r>
      <w:r>
        <w:t xml:space="preserve">8%) </w:t>
      </w:r>
      <w:r w:rsidR="00BC49ED">
        <w:t>time points</w:t>
      </w:r>
      <w:r>
        <w:t>.</w:t>
      </w:r>
      <w:r w:rsidR="008D74BF">
        <w:t xml:space="preserve"> </w:t>
      </w:r>
      <w:r>
        <w:t>Corresponding median percentage change from baseline in estimated 24</w:t>
      </w:r>
      <w:r w:rsidR="002B04AF">
        <w:t xml:space="preserve"> </w:t>
      </w:r>
      <w:r>
        <w:t xml:space="preserve">hour urinary calcium excretion values were also statistically significantly greater in the romosozumab group at </w:t>
      </w:r>
      <w:r w:rsidR="002B04AF">
        <w:t>M</w:t>
      </w:r>
      <w:r>
        <w:t>onth 6 (</w:t>
      </w:r>
      <w:r w:rsidR="00F33D57">
        <w:t>-</w:t>
      </w:r>
      <w:r>
        <w:t xml:space="preserve">16.8% </w:t>
      </w:r>
      <w:r w:rsidR="00CE639A">
        <w:t xml:space="preserve">versus </w:t>
      </w:r>
      <w:r>
        <w:t xml:space="preserve">3.0%) and </w:t>
      </w:r>
      <w:r w:rsidR="002B04AF">
        <w:t>M</w:t>
      </w:r>
      <w:r>
        <w:t>onth 12 (</w:t>
      </w:r>
      <w:r w:rsidR="00F33D57">
        <w:noBreakHyphen/>
        <w:t>1</w:t>
      </w:r>
      <w:r>
        <w:t xml:space="preserve">5.9% </w:t>
      </w:r>
      <w:r w:rsidR="00CE639A">
        <w:t xml:space="preserve">versus </w:t>
      </w:r>
      <w:r w:rsidR="00F33D57">
        <w:t>-</w:t>
      </w:r>
      <w:r>
        <w:t>7.6%).</w:t>
      </w:r>
      <w:r w:rsidR="008D74BF">
        <w:t xml:space="preserve"> </w:t>
      </w:r>
      <w:r>
        <w:t>Differences between romosozumab and placebo for urinary calcium excretion were statistically significan</w:t>
      </w:r>
      <w:r w:rsidR="002B04AF">
        <w:t xml:space="preserve">t at 6 months (nominal p-value </w:t>
      </w:r>
      <w:r>
        <w:t>&lt; 0.001) but not at 12 months (nominal p-value</w:t>
      </w:r>
      <w:r w:rsidR="002B04AF">
        <w:t xml:space="preserve"> </w:t>
      </w:r>
      <w:r>
        <w:t>= 0.10).</w:t>
      </w:r>
    </w:p>
    <w:p w14:paraId="392EB199" w14:textId="053F253B" w:rsidR="008D74BF" w:rsidRDefault="008719C0" w:rsidP="008719C0">
      <w:r>
        <w:t xml:space="preserve">In the </w:t>
      </w:r>
      <w:r w:rsidR="00635CE9">
        <w:t>bone turnover marker</w:t>
      </w:r>
      <w:r>
        <w:t xml:space="preserve"> and biomarker </w:t>
      </w:r>
      <w:r w:rsidR="00BC49ED">
        <w:t>sub study</w:t>
      </w:r>
      <w:r>
        <w:t xml:space="preserve"> of Study 20110142, </w:t>
      </w:r>
      <w:r w:rsidR="002B04AF">
        <w:t>intact parathyroid hormone</w:t>
      </w:r>
      <w:r>
        <w:t xml:space="preserve"> was analysed for 67 subjects in the romosozumab/alendronate group and 64 subjects in the alendronate/alendronate group. At baseline, the median </w:t>
      </w:r>
      <w:r w:rsidR="002B04AF">
        <w:t>intact parathyroid hormone</w:t>
      </w:r>
      <w:r>
        <w:t xml:space="preserve"> value was 4.83 </w:t>
      </w:r>
      <w:proofErr w:type="spellStart"/>
      <w:r>
        <w:t>pmol</w:t>
      </w:r>
      <w:proofErr w:type="spellEnd"/>
      <w:r>
        <w:t xml:space="preserve">/L (45.60 </w:t>
      </w:r>
      <w:proofErr w:type="spellStart"/>
      <w:r>
        <w:t>pg</w:t>
      </w:r>
      <w:proofErr w:type="spellEnd"/>
      <w:r>
        <w:t xml:space="preserve">/mL) and 4.80 </w:t>
      </w:r>
      <w:proofErr w:type="spellStart"/>
      <w:r>
        <w:t>pmol</w:t>
      </w:r>
      <w:proofErr w:type="spellEnd"/>
      <w:r>
        <w:t xml:space="preserve">/L (45.25 </w:t>
      </w:r>
      <w:proofErr w:type="spellStart"/>
      <w:r>
        <w:t>pg</w:t>
      </w:r>
      <w:proofErr w:type="spellEnd"/>
      <w:r>
        <w:t xml:space="preserve">/mL) in the romosozumab and alendronate groups, respectively. There was a statistically significantly greater median percent change in </w:t>
      </w:r>
      <w:r w:rsidR="002B04AF">
        <w:t>intact parathyroid hormone</w:t>
      </w:r>
      <w:r>
        <w:t xml:space="preserve"> at </w:t>
      </w:r>
      <w:r w:rsidR="002B04AF">
        <w:t>M</w:t>
      </w:r>
      <w:r>
        <w:t xml:space="preserve">onth 1 (60.1% and 34.7% in the romosozumab and alendronate groups, respectively, nominal p-value &lt; 0.006 using the Wilcoxon rank-sum test) and remained statistically significantly higher in the romosozumab through </w:t>
      </w:r>
      <w:r w:rsidR="002B04AF">
        <w:t>M</w:t>
      </w:r>
      <w:r>
        <w:t xml:space="preserve">onth 6. After subjects began to receive alendronate at </w:t>
      </w:r>
      <w:r w:rsidR="002B04AF">
        <w:t>M</w:t>
      </w:r>
      <w:r>
        <w:t xml:space="preserve">onth 12, serum </w:t>
      </w:r>
      <w:r w:rsidR="002B04AF">
        <w:t>intact parathyroid hormone</w:t>
      </w:r>
      <w:r>
        <w:t xml:space="preserve"> was increased relative to baseline in both the romosozumab/alendronate and</w:t>
      </w:r>
      <w:r w:rsidR="008D74BF">
        <w:t xml:space="preserve"> </w:t>
      </w:r>
      <w:r>
        <w:t xml:space="preserve">alendronate/ alendronate groups at </w:t>
      </w:r>
      <w:r w:rsidR="002B04AF">
        <w:t>M</w:t>
      </w:r>
      <w:r>
        <w:t xml:space="preserve">onth 15 (median percent changes from </w:t>
      </w:r>
      <w:r w:rsidR="00365805">
        <w:t xml:space="preserve">Baseline </w:t>
      </w:r>
      <w:r>
        <w:t xml:space="preserve">of 33.9% and 29.3%, respectively), then stabilised and remained above baseline thereafter. The difference between the romosozumab/alendronate and alendronate/alendronate groups in median percent change in serum </w:t>
      </w:r>
      <w:r w:rsidR="002B04AF">
        <w:t>intact parathyroid hormone</w:t>
      </w:r>
      <w:r>
        <w:t xml:space="preserve"> level was not statistically significant at </w:t>
      </w:r>
      <w:r w:rsidR="002B04AF">
        <w:t>M</w:t>
      </w:r>
      <w:r>
        <w:t>onth 15 or any point thereafter</w:t>
      </w:r>
      <w:r w:rsidR="008D74BF">
        <w:t>.</w:t>
      </w:r>
    </w:p>
    <w:p w14:paraId="4F6000F0" w14:textId="77777777" w:rsidR="008D74BF" w:rsidRDefault="008719C0" w:rsidP="008719C0">
      <w:r>
        <w:t xml:space="preserve">In the male osteoporosis </w:t>
      </w:r>
      <w:r w:rsidR="002B04AF">
        <w:t>S</w:t>
      </w:r>
      <w:r>
        <w:t xml:space="preserve">tudy 20110174, the levels of </w:t>
      </w:r>
      <w:r w:rsidR="002B04AF">
        <w:t>intact parathyroid hormone</w:t>
      </w:r>
      <w:r>
        <w:t xml:space="preserve"> increased at </w:t>
      </w:r>
      <w:r w:rsidR="002B04AF">
        <w:t>M</w:t>
      </w:r>
      <w:r>
        <w:t xml:space="preserve">onth 6; the median percent change from baseline was 39.4% and 3.6% for subjects who received romosozumab and placebo, respectively. Levels of </w:t>
      </w:r>
      <w:r w:rsidR="002B04AF">
        <w:t>intact parathyroid hormone</w:t>
      </w:r>
      <w:r>
        <w:t xml:space="preserve"> decreased from </w:t>
      </w:r>
      <w:r w:rsidR="002B04AF">
        <w:t>M</w:t>
      </w:r>
      <w:r>
        <w:t xml:space="preserve">onth 6 to </w:t>
      </w:r>
      <w:r w:rsidR="002B04AF">
        <w:t>M</w:t>
      </w:r>
      <w:r>
        <w:t xml:space="preserve">onth 12 for subjects in the romosozumab group, such that the median percent change from baseline at </w:t>
      </w:r>
      <w:r w:rsidR="002B04AF">
        <w:t>M</w:t>
      </w:r>
      <w:r>
        <w:t>onth 12 was 18.7 and 5.7%, respectively</w:t>
      </w:r>
      <w:r w:rsidR="008D74BF">
        <w:t>.</w:t>
      </w:r>
    </w:p>
    <w:p w14:paraId="3110E688" w14:textId="77777777" w:rsidR="008719C0" w:rsidRDefault="008719C0" w:rsidP="002B04AF">
      <w:pPr>
        <w:pStyle w:val="Heading6"/>
      </w:pPr>
      <w:r>
        <w:t>Phosphorus</w:t>
      </w:r>
    </w:p>
    <w:p w14:paraId="7068C618" w14:textId="77777777" w:rsidR="008D74BF" w:rsidRDefault="008719C0" w:rsidP="008719C0">
      <w:r>
        <w:t>As romosozumab increases bone formation, there is an increased demand for phosphorus, in addition to calcium, to support bone matrix mineralisation.</w:t>
      </w:r>
      <w:r w:rsidR="008D74BF">
        <w:t xml:space="preserve"> </w:t>
      </w:r>
      <w:r>
        <w:t xml:space="preserve">For the </w:t>
      </w:r>
      <w:r w:rsidR="00531AFF">
        <w:t>12 month</w:t>
      </w:r>
      <w:r>
        <w:t xml:space="preserve"> placebo</w:t>
      </w:r>
      <w:r w:rsidR="002B04AF">
        <w:t xml:space="preserve"> </w:t>
      </w:r>
      <w:r>
        <w:t xml:space="preserve">controlled osteoporosis safety analysis set, mild decreases in phosphorus levels with romosozumab treatment were observed. The median percent change from baseline at </w:t>
      </w:r>
      <w:r w:rsidR="002B04AF">
        <w:t>M</w:t>
      </w:r>
      <w:r>
        <w:t>onth 12 was -5.6% and -1.9% in the romosozumab and placebo groups, respectively; grade 3 below-normal phosphorus was reported for 0.3% and 0.2%, respectively</w:t>
      </w:r>
      <w:r w:rsidR="008D74BF">
        <w:t>.</w:t>
      </w:r>
    </w:p>
    <w:p w14:paraId="7E848CFD" w14:textId="41E9BCF6" w:rsidR="008719C0" w:rsidRDefault="008719C0" w:rsidP="008719C0">
      <w:r>
        <w:t xml:space="preserve">In Study 20110142, at </w:t>
      </w:r>
      <w:r w:rsidR="002B04AF">
        <w:t>M</w:t>
      </w:r>
      <w:r>
        <w:t xml:space="preserve">onth 1, the median percent change in phosphorus level was -6.4% in the romosozumab group and -3.5% in the alendronate group. Phosphorus levels remained below baseline through </w:t>
      </w:r>
      <w:r w:rsidR="003535FE">
        <w:t>M</w:t>
      </w:r>
      <w:r>
        <w:t xml:space="preserve">onth 30, returning to near baseline levels by </w:t>
      </w:r>
      <w:r w:rsidR="003535FE">
        <w:t>M</w:t>
      </w:r>
      <w:r>
        <w:t xml:space="preserve">onth 36 </w:t>
      </w:r>
      <w:r>
        <w:lastRenderedPageBreak/>
        <w:t xml:space="preserve">(median percent change from </w:t>
      </w:r>
      <w:r w:rsidR="00365805">
        <w:t xml:space="preserve">Baseline </w:t>
      </w:r>
      <w:r>
        <w:t xml:space="preserve">was -2.9% in the romosozumab/alendronate group and 0.5% in the alendronate/alendronate group). Median phosphorus values remained within the normal range. With the exception of </w:t>
      </w:r>
      <w:r w:rsidR="003535FE">
        <w:t>M</w:t>
      </w:r>
      <w:r>
        <w:t>onth 1, no differences in the phosphorus levels between treatment groups were statistically significant.</w:t>
      </w:r>
    </w:p>
    <w:p w14:paraId="3E21B2EE" w14:textId="13D2A5E5" w:rsidR="008D74BF" w:rsidRDefault="008719C0" w:rsidP="008719C0">
      <w:r>
        <w:t xml:space="preserve">In the male osteoporosis Study 20110174, 5 (3.1%) subjects in the romosozumab group and 2 (2.5%) subjects in the placebo group had a grade 3 below-normal phosphorus result; no grade 4 results were reported in either group; these results were higher than those observed in the </w:t>
      </w:r>
      <w:r w:rsidR="00C36ACF">
        <w:t>postmenopausal osteoporosis</w:t>
      </w:r>
      <w:r>
        <w:t xml:space="preserve"> Study 20070337 (0.1% in each treatment group). There was a decrease in phosphorus levels at month 1 for subjects who received romosozumab; the median percent change from </w:t>
      </w:r>
      <w:r w:rsidR="00365805">
        <w:t xml:space="preserve">Baseline </w:t>
      </w:r>
      <w:r>
        <w:t xml:space="preserve">was -6.5% (0.0% for subjects who received placebo). Phosphorus levels remained below baseline levels for subjects in the romosozumab group and decreased slightly for subjects in the placebo group over time. At month 12, the median percent change from </w:t>
      </w:r>
      <w:r w:rsidR="00365805">
        <w:t xml:space="preserve">Baseline </w:t>
      </w:r>
      <w:r>
        <w:t>was -7.8% for the romosozumab group and -2.4% for the placebo group</w:t>
      </w:r>
      <w:r w:rsidR="008D74BF">
        <w:t>.</w:t>
      </w:r>
    </w:p>
    <w:p w14:paraId="2DDA3964" w14:textId="77777777" w:rsidR="008719C0" w:rsidRDefault="008719C0" w:rsidP="003535FE">
      <w:pPr>
        <w:pStyle w:val="Heading6"/>
      </w:pPr>
      <w:r>
        <w:t>Magnesium</w:t>
      </w:r>
    </w:p>
    <w:p w14:paraId="27D87E82" w14:textId="77777777" w:rsidR="008719C0" w:rsidRDefault="008719C0" w:rsidP="008719C0">
      <w:r>
        <w:t xml:space="preserve">There may be an increased demand for magnesium, in addition to calcium and phosphorus, to support bone matrix mineralisation. For the </w:t>
      </w:r>
      <w:r w:rsidR="00531AFF">
        <w:t>12 month</w:t>
      </w:r>
      <w:r>
        <w:t xml:space="preserve"> </w:t>
      </w:r>
      <w:r w:rsidR="00566372">
        <w:t>placebo controlled</w:t>
      </w:r>
      <w:r>
        <w:t xml:space="preserve"> safety analysis set, no change in magnesium was observed in either treatment group. One subject in the romosozumab treatment group had a grade 4 below-normal magnesium result. Four subjects (0.1%) in the total romosozumab group and 3 subjects (&lt; 0.1%) in the placebo group had grade 3 above-normal magnesium results.</w:t>
      </w:r>
    </w:p>
    <w:p w14:paraId="3779F826" w14:textId="25E3CAEE" w:rsidR="008719C0" w:rsidRDefault="008719C0" w:rsidP="008719C0">
      <w:r>
        <w:t xml:space="preserve">In Study 20110142, during the </w:t>
      </w:r>
      <w:r w:rsidR="00531AFF">
        <w:t>12 month</w:t>
      </w:r>
      <w:r>
        <w:t xml:space="preserve"> </w:t>
      </w:r>
      <w:r w:rsidR="00566372">
        <w:t>double blind</w:t>
      </w:r>
      <w:r>
        <w:t xml:space="preserve"> period, 2 (&lt; 0.1%) subjects in the romosozumab group and 1 (&lt; 0.1%) subject in the alendronate group had a grade 3 below-normal result for magnesium. No grade 4 results were reported and no grade &gt;</w:t>
      </w:r>
      <w:r w:rsidR="003535FE">
        <w:t> </w:t>
      </w:r>
      <w:r>
        <w:t xml:space="preserve">2 above-normal magnesium results were reported in either group. One (&lt; 0.1%) subject in the romosozumab group and no subjects in the alendronate group had a decrease in magnesium of 2 CTCAE toxicity grades from grade 0 at </w:t>
      </w:r>
      <w:r w:rsidR="00365805">
        <w:t>B</w:t>
      </w:r>
      <w:r>
        <w:t>aseline.</w:t>
      </w:r>
    </w:p>
    <w:p w14:paraId="5D31A91D" w14:textId="31423BAA" w:rsidR="008D74BF" w:rsidRDefault="008719C0" w:rsidP="008719C0">
      <w:r>
        <w:t xml:space="preserve">In the male osteoporosis study, 1 (0.6%) subject in the romosozumab group had a decrease in magnesium of 4 toxicity grades from grade 0 at </w:t>
      </w:r>
      <w:r w:rsidR="00365805">
        <w:t>B</w:t>
      </w:r>
      <w:r>
        <w:t>aseline. No other grade 3 or grade 4 results were reported in either treatment group</w:t>
      </w:r>
      <w:r w:rsidR="008D74BF">
        <w:t>.</w:t>
      </w:r>
    </w:p>
    <w:p w14:paraId="5531992C" w14:textId="77777777" w:rsidR="008719C0" w:rsidRDefault="008719C0" w:rsidP="003535FE">
      <w:pPr>
        <w:pStyle w:val="Heading5"/>
      </w:pPr>
      <w:r>
        <w:t>Electrocardiograph findings and cardiovascular safety</w:t>
      </w:r>
    </w:p>
    <w:p w14:paraId="6ACE0C71" w14:textId="77777777" w:rsidR="008D74BF" w:rsidRDefault="008719C0" w:rsidP="008719C0">
      <w:r>
        <w:t xml:space="preserve">Electrocardiogram (ECG) data collected in Study 20060326 and some </w:t>
      </w:r>
      <w:r w:rsidR="00D460E7">
        <w:t>P</w:t>
      </w:r>
      <w:r>
        <w:t xml:space="preserve">hase </w:t>
      </w:r>
      <w:r w:rsidR="00D460E7">
        <w:t>I</w:t>
      </w:r>
      <w:r>
        <w:t xml:space="preserve"> studies are also provided in individual </w:t>
      </w:r>
      <w:r w:rsidR="00D460E7">
        <w:t>clinical study report</w:t>
      </w:r>
      <w:r>
        <w:t>s. Electrocardiograms were not performed in Studies 20070337, 20080289, 20110142 and 20110174. Analysis of ECG results in individual studies in which they were analysed demonstrated no clinically important effect of romosozumab</w:t>
      </w:r>
      <w:r w:rsidR="008D74BF">
        <w:t>.</w:t>
      </w:r>
    </w:p>
    <w:p w14:paraId="7DC0349F" w14:textId="6031B6AF" w:rsidR="008D74BF" w:rsidRDefault="008719C0" w:rsidP="008719C0">
      <w:r>
        <w:t>During the development program, an imbalance in positively</w:t>
      </w:r>
      <w:r w:rsidR="00365805">
        <w:t xml:space="preserve"> </w:t>
      </w:r>
      <w:r>
        <w:t>adjudicated cardiovascular SAEs were observed between treatment groups in Study 20110142. This imbalance was due specifically to serious cardiac ischemic and cerebrovascular events; however, these findings were not observed in the larger, placebo</w:t>
      </w:r>
      <w:r w:rsidR="003535FE">
        <w:t xml:space="preserve"> </w:t>
      </w:r>
      <w:r w:rsidR="003D7E26">
        <w:t>controlled Study 20070337</w:t>
      </w:r>
      <w:r>
        <w:t>. In the smaller placebo</w:t>
      </w:r>
      <w:r w:rsidR="003535FE">
        <w:t xml:space="preserve"> </w:t>
      </w:r>
      <w:r>
        <w:t>controlled study of men with osteoporosis, an imbalance in positively</w:t>
      </w:r>
      <w:r w:rsidR="00365805">
        <w:t xml:space="preserve"> </w:t>
      </w:r>
      <w:r>
        <w:t>adjudicated cardiovascular events was observed between treatment groups. However, due to the limited number of subjects, meaningful conclusions could not be drawn</w:t>
      </w:r>
      <w:r w:rsidR="008D74BF">
        <w:t>.</w:t>
      </w:r>
    </w:p>
    <w:p w14:paraId="51AFB56A" w14:textId="77777777" w:rsidR="008719C0" w:rsidRDefault="008719C0" w:rsidP="008719C0">
      <w:r>
        <w:t xml:space="preserve">In order to address the concerns associated with higher incidence of serious </w:t>
      </w:r>
      <w:r w:rsidR="003535FE">
        <w:t>cardiovascular</w:t>
      </w:r>
      <w:r>
        <w:t xml:space="preserve"> events, the sponsors have provided a detailed integrated </w:t>
      </w:r>
      <w:r w:rsidR="003535FE">
        <w:t>cardiovascular</w:t>
      </w:r>
      <w:r>
        <w:t xml:space="preserve"> safety report in the submitted dossier. This report included an analysis of adjudicated </w:t>
      </w:r>
      <w:r w:rsidR="003535FE">
        <w:t>cardiovascular</w:t>
      </w:r>
      <w:r>
        <w:t xml:space="preserve"> SAEs across the </w:t>
      </w:r>
      <w:r w:rsidR="003535FE">
        <w:t>three pivotal Phase III</w:t>
      </w:r>
      <w:r>
        <w:t xml:space="preserve"> studies; analyses of baseline factors (</w:t>
      </w:r>
      <w:r w:rsidR="003535FE">
        <w:t>cardiovascular</w:t>
      </w:r>
      <w:r>
        <w:t xml:space="preserve"> related medical history, medications, impact of age and other </w:t>
      </w:r>
      <w:r w:rsidR="003535FE">
        <w:t>cardiovascular</w:t>
      </w:r>
      <w:r>
        <w:t xml:space="preserve"> risk factors on results); Other known </w:t>
      </w:r>
      <w:r w:rsidR="003535FE">
        <w:t>cardiovascular</w:t>
      </w:r>
      <w:r>
        <w:t xml:space="preserve"> risks; literature review and epidemiology assessment.</w:t>
      </w:r>
    </w:p>
    <w:p w14:paraId="5CCF94DF" w14:textId="320CD635" w:rsidR="008D74BF" w:rsidRDefault="008719C0" w:rsidP="008719C0">
      <w:r>
        <w:lastRenderedPageBreak/>
        <w:t>The romosozumab clinical study program revealed an imbalance in positively-adjudicated cardiovascular SAEs between treatment groups in Study 20110142, which was not observed in the larger, placebo</w:t>
      </w:r>
      <w:r w:rsidR="003535FE">
        <w:t xml:space="preserve"> </w:t>
      </w:r>
      <w:r>
        <w:t xml:space="preserve">controlled Study 20070337. While subjects enrolled in Study 20110142 were on average 4 years older than in Study 20070337, there was no evidence to suggest that increased age was associated with the observed difference in cardiovascular risk between the </w:t>
      </w:r>
      <w:r w:rsidR="003535FE">
        <w:t>two</w:t>
      </w:r>
      <w:r>
        <w:t xml:space="preserve"> studies. Furthermore, analysis of baseline characteristics within each study and across studies, including baseline cardiovascular risk factors, cardiovascular-related medical history, baseline cardiovascular medications, and vital signs (blood pressure) did not explain the imbalance in cardiovascular events with romosozumab treatment.</w:t>
      </w:r>
      <w:r w:rsidR="008D74BF">
        <w:t xml:space="preserve"> </w:t>
      </w:r>
      <w:r>
        <w:t>The differences in Study 20110142 were driven by a small number of events in a population with a high cardiovascular comorbidity and incidence rates were within those expected from the epidemiology in similar populations. The Kaplan-Meier curves for positively adjudicated serious cardiovascular AE</w:t>
      </w:r>
      <w:r w:rsidR="00365805">
        <w:t>s</w:t>
      </w:r>
      <w:r>
        <w:t xml:space="preserve">, cardiac ischemic event and cerebrovascular event indicate early separation between </w:t>
      </w:r>
      <w:r w:rsidRPr="00A349BB">
        <w:t>romo</w:t>
      </w:r>
      <w:r w:rsidR="00D460E7" w:rsidRPr="00A349BB">
        <w:t>sozumab</w:t>
      </w:r>
      <w:r w:rsidRPr="00A349BB">
        <w:t>/alen</w:t>
      </w:r>
      <w:r w:rsidR="00D460E7" w:rsidRPr="00A349BB">
        <w:t>dronate</w:t>
      </w:r>
      <w:r w:rsidRPr="00A349BB">
        <w:t xml:space="preserve"> and alen</w:t>
      </w:r>
      <w:r w:rsidR="00D460E7" w:rsidRPr="00A349BB">
        <w:t>dronate</w:t>
      </w:r>
      <w:r w:rsidRPr="00A349BB">
        <w:t>/alen</w:t>
      </w:r>
      <w:r w:rsidR="00D460E7" w:rsidRPr="00A349BB">
        <w:t>dronate</w:t>
      </w:r>
      <w:r w:rsidRPr="00A349BB">
        <w:t xml:space="preserve"> groups which is maintained up to 48 months (</w:t>
      </w:r>
      <w:r w:rsidR="00D24492" w:rsidRPr="00A349BB">
        <w:t>that is</w:t>
      </w:r>
      <w:r w:rsidRPr="00A349BB">
        <w:t>, 36 months after discontinuation of</w:t>
      </w:r>
      <w:r>
        <w:t xml:space="preserve"> romosozumab treatment. An assessment of clinical and preclinical studies in animals and humans, early cardiovascular events (</w:t>
      </w:r>
      <w:r w:rsidR="00D24492">
        <w:t>that is</w:t>
      </w:r>
      <w:r>
        <w:t xml:space="preserve">, within 3 to 6 months of dosing) were observed with romosozumab, while the literature would suggest any </w:t>
      </w:r>
      <w:proofErr w:type="spellStart"/>
      <w:r>
        <w:t>cardioprotective</w:t>
      </w:r>
      <w:proofErr w:type="spellEnd"/>
      <w:r>
        <w:t xml:space="preserve"> effects of alendronate would be seen after longer term observations. Thus, the available evidence does not suggest a consistent </w:t>
      </w:r>
      <w:proofErr w:type="spellStart"/>
      <w:r>
        <w:t>cardioprotective</w:t>
      </w:r>
      <w:proofErr w:type="spellEnd"/>
      <w:r>
        <w:t xml:space="preserve"> effect of alendronate. Literature review did not identify any association of increased risk or notable trend in cardiovascular disease in patients who suffer from </w:t>
      </w:r>
      <w:proofErr w:type="spellStart"/>
      <w:r>
        <w:t>sclerosteosis</w:t>
      </w:r>
      <w:proofErr w:type="spellEnd"/>
      <w:r>
        <w:t xml:space="preserve"> or van </w:t>
      </w:r>
      <w:proofErr w:type="spellStart"/>
      <w:r>
        <w:t>Buchem</w:t>
      </w:r>
      <w:proofErr w:type="spellEnd"/>
      <w:r>
        <w:t xml:space="preserve"> disease and have significantly reduced or absent sclerostin activity. However, interpretation was limited as the reviewed literature mainly consisted of </w:t>
      </w:r>
      <w:r w:rsidR="003535FE">
        <w:t>two</w:t>
      </w:r>
      <w:r>
        <w:t xml:space="preserve"> types of publications, those that described clinical and radiographic features of a group of patients with </w:t>
      </w:r>
      <w:proofErr w:type="spellStart"/>
      <w:r>
        <w:t>sclerosteosis</w:t>
      </w:r>
      <w:proofErr w:type="spellEnd"/>
      <w:r>
        <w:t xml:space="preserve"> or van </w:t>
      </w:r>
      <w:proofErr w:type="spellStart"/>
      <w:r>
        <w:t>Buchem</w:t>
      </w:r>
      <w:proofErr w:type="spellEnd"/>
      <w:r>
        <w:t xml:space="preserve"> disease, or case studies of a single individual with one of these disorders</w:t>
      </w:r>
      <w:r w:rsidR="008D74BF">
        <w:t>.</w:t>
      </w:r>
    </w:p>
    <w:p w14:paraId="228F2866" w14:textId="7DA1DF8C" w:rsidR="008D74BF" w:rsidRDefault="008719C0" w:rsidP="008719C0">
      <w:r>
        <w:t xml:space="preserve">Overall a causal relationship between romosozumab and positively-adjudicated cardiovascular SAEs was not established although a relationship to romosozumab could not be excluded. However, the sponsors hope to address the important potential risk of cardiovascular SAEs with ongoing monitoring and evaluation in pharmacovigilance </w:t>
      </w:r>
      <w:r w:rsidRPr="00876111">
        <w:t>activities (</w:t>
      </w:r>
      <w:r w:rsidR="00365805">
        <w:t>risk management plan</w:t>
      </w:r>
      <w:r w:rsidRPr="00876111">
        <w:t>)</w:t>
      </w:r>
      <w:r w:rsidR="008D74BF" w:rsidRPr="00876111">
        <w:t>.</w:t>
      </w:r>
    </w:p>
    <w:p w14:paraId="690D8E6B" w14:textId="77777777" w:rsidR="008719C0" w:rsidRDefault="008719C0" w:rsidP="003535FE">
      <w:pPr>
        <w:pStyle w:val="Heading5"/>
      </w:pPr>
      <w:r>
        <w:t>Vital signs and clinical examination findings</w:t>
      </w:r>
    </w:p>
    <w:p w14:paraId="481D9602" w14:textId="55C41428" w:rsidR="008D74BF" w:rsidRDefault="008719C0" w:rsidP="008719C0">
      <w:r>
        <w:t xml:space="preserve">Absolute values and changes from </w:t>
      </w:r>
      <w:r w:rsidR="00365805">
        <w:t>B</w:t>
      </w:r>
      <w:r>
        <w:t xml:space="preserve">aseline in vital signs are provided in individual study reports with no integration of data. Analysis of vital signs (mean values of systolic and diastolic blood pressures, pulse rate, body temperature, body weight, and </w:t>
      </w:r>
      <w:r w:rsidR="00C36ACF">
        <w:t>body mass index</w:t>
      </w:r>
      <w:r>
        <w:t>) in individual studies demonstrated no clinically important effect of romosozumab</w:t>
      </w:r>
      <w:r w:rsidR="008D74BF">
        <w:t>.</w:t>
      </w:r>
    </w:p>
    <w:p w14:paraId="32109D39" w14:textId="77777777" w:rsidR="008719C0" w:rsidRDefault="008719C0" w:rsidP="003535FE">
      <w:pPr>
        <w:pStyle w:val="Heading5"/>
      </w:pPr>
      <w:r>
        <w:t>Immunogenicity and immunological events</w:t>
      </w:r>
    </w:p>
    <w:p w14:paraId="426C6D06" w14:textId="5C9BDDFD" w:rsidR="008D74BF" w:rsidRDefault="008719C0" w:rsidP="008719C0">
      <w:r>
        <w:t>The pharmacokinetic exposure, safety (</w:t>
      </w:r>
      <w:r w:rsidR="00C36ACF">
        <w:t>for example</w:t>
      </w:r>
      <w:r>
        <w:t xml:space="preserve">, hypersensitivity, injection site reactions, or autoimmune disorder) and efficacy (changes in </w:t>
      </w:r>
      <w:r w:rsidR="00881772">
        <w:t>BMD</w:t>
      </w:r>
      <w:r>
        <w:t>) profiles of the subjects who tested positive for binding anti</w:t>
      </w:r>
      <w:r w:rsidR="00BC49ED">
        <w:t xml:space="preserve"> </w:t>
      </w:r>
      <w:r>
        <w:t>romosozumab antibodies were found to be consistent with the profiles of anti</w:t>
      </w:r>
      <w:r w:rsidR="00BC49ED">
        <w:t xml:space="preserve"> </w:t>
      </w:r>
      <w:r>
        <w:t>romosozumab antibody-negative subjects</w:t>
      </w:r>
      <w:r w:rsidR="008D74BF">
        <w:t>.</w:t>
      </w:r>
    </w:p>
    <w:p w14:paraId="549F4670" w14:textId="468AA707" w:rsidR="008D74BF" w:rsidRDefault="008719C0" w:rsidP="008719C0">
      <w:r>
        <w:t xml:space="preserve">In </w:t>
      </w:r>
      <w:r w:rsidR="003535FE">
        <w:t>P</w:t>
      </w:r>
      <w:r>
        <w:t xml:space="preserve">hase </w:t>
      </w:r>
      <w:r w:rsidR="003535FE">
        <w:t>II</w:t>
      </w:r>
      <w:r>
        <w:t xml:space="preserve"> and </w:t>
      </w:r>
      <w:r w:rsidR="003535FE">
        <w:t>III</w:t>
      </w:r>
      <w:r>
        <w:t xml:space="preserve"> clinical studies of osteoporosis in postmenopausal women, the incidence of developing anti</w:t>
      </w:r>
      <w:r w:rsidR="00BC49ED">
        <w:t xml:space="preserve"> </w:t>
      </w:r>
      <w:r>
        <w:t>romosozumab antibodies was 18.6% (1162 of 6244) across all doses studied. Neutralising antibodies developed in 0.9% (58 of 6244) of subjects. The incidence of developing binding and neutralising anti</w:t>
      </w:r>
      <w:r w:rsidR="00BC49ED">
        <w:t xml:space="preserve"> </w:t>
      </w:r>
      <w:r>
        <w:t xml:space="preserve">romosozumab antibodies in women who received 210 mg </w:t>
      </w:r>
      <w:r w:rsidR="003B40F2">
        <w:t>once monthly (</w:t>
      </w:r>
      <w:r>
        <w:t>QM</w:t>
      </w:r>
      <w:r w:rsidR="003B40F2">
        <w:t>)</w:t>
      </w:r>
      <w:r>
        <w:t xml:space="preserve"> was similar to the overall studies at 18.1% (1068 of 5914) and 0.7% (43 of 5914), respectively</w:t>
      </w:r>
      <w:r w:rsidR="008D74BF">
        <w:t>.</w:t>
      </w:r>
    </w:p>
    <w:p w14:paraId="7D5E068F" w14:textId="24898C81" w:rsidR="008719C0" w:rsidRDefault="008719C0" w:rsidP="008719C0">
      <w:r>
        <w:t xml:space="preserve">In men with osteoporosis who received romosozumab 210 mg </w:t>
      </w:r>
      <w:r w:rsidR="003535FE">
        <w:t>monthly</w:t>
      </w:r>
      <w:r>
        <w:t>, the incidence of anti</w:t>
      </w:r>
      <w:r w:rsidR="003535FE">
        <w:t>-</w:t>
      </w:r>
      <w:r>
        <w:t xml:space="preserve">romosozumab antibodies through </w:t>
      </w:r>
      <w:r w:rsidR="003535FE">
        <w:t>M</w:t>
      </w:r>
      <w:r>
        <w:t xml:space="preserve">onth 15 was consistent for binding antibodies </w:t>
      </w:r>
      <w:r>
        <w:lastRenderedPageBreak/>
        <w:t xml:space="preserve">(17.3% </w:t>
      </w:r>
      <w:r w:rsidR="00654353">
        <w:t>(</w:t>
      </w:r>
      <w:r>
        <w:t>28 of 162 subjects</w:t>
      </w:r>
      <w:r w:rsidR="00654353">
        <w:t>)</w:t>
      </w:r>
      <w:r>
        <w:t xml:space="preserve">) and neutralising antibodies (0.6% </w:t>
      </w:r>
      <w:r w:rsidR="00654353">
        <w:t>(</w:t>
      </w:r>
      <w:r>
        <w:t>1 of 161 subjects</w:t>
      </w:r>
      <w:r w:rsidR="00654353">
        <w:t>)</w:t>
      </w:r>
      <w:r>
        <w:t xml:space="preserve"> with that observed for postmenopausal women with osteoporosis.</w:t>
      </w:r>
    </w:p>
    <w:p w14:paraId="1B2E8DEB" w14:textId="39DB8D95" w:rsidR="008D74BF" w:rsidRDefault="008719C0" w:rsidP="008719C0">
      <w:r>
        <w:t>The effect of anti</w:t>
      </w:r>
      <w:r w:rsidR="00BC49ED">
        <w:t xml:space="preserve"> </w:t>
      </w:r>
      <w:r>
        <w:t xml:space="preserve">romosozumab antibodies on the subject incidence of </w:t>
      </w:r>
      <w:r w:rsidR="003535FE">
        <w:t xml:space="preserve">treatment emergent </w:t>
      </w:r>
      <w:r>
        <w:t xml:space="preserve">AEs of injection site reactions, hypersensitivity and autoimmune disorders was evaluated for the </w:t>
      </w:r>
      <w:r w:rsidR="00531AFF">
        <w:t>12 month</w:t>
      </w:r>
      <w:r>
        <w:t xml:space="preserve"> placebo</w:t>
      </w:r>
      <w:r w:rsidR="003535FE">
        <w:t xml:space="preserve"> </w:t>
      </w:r>
      <w:r>
        <w:t>controlled safety analysis set and the osteoporosis safety analysis set</w:t>
      </w:r>
      <w:r w:rsidR="008D74BF">
        <w:t>.</w:t>
      </w:r>
    </w:p>
    <w:p w14:paraId="64072E7C" w14:textId="77777777" w:rsidR="008D74BF" w:rsidRDefault="008719C0" w:rsidP="008719C0">
      <w:r>
        <w:t xml:space="preserve">Injection site reaction AEs were reported for 6.9%, 5.0% and 2.9% of subjects who were binding antibody positive, binding antibody negative and placebo groups, respectively. The most frequently reported AEs </w:t>
      </w:r>
      <w:r w:rsidR="003535FE">
        <w:t>were injection site erythema (</w:t>
      </w:r>
      <w:r>
        <w:t>2.1%, 1.4% and 0.2%, respectively),</w:t>
      </w:r>
      <w:r w:rsidR="008D74BF">
        <w:t xml:space="preserve"> </w:t>
      </w:r>
      <w:r>
        <w:t>injection site pain (1.9%, 1.8% and 1.2%), injection site pruritus (1.5%, 0.5% and 0.2%) and injection site bruising (1.0%,</w:t>
      </w:r>
      <w:r w:rsidR="008D74BF">
        <w:t xml:space="preserve"> </w:t>
      </w:r>
      <w:r>
        <w:t>0.8% and 0.6%). Similar results were observed for neutralising antibodies: injection site reaction AEs were reported for 7.1%, 6.8% and 2.9%</w:t>
      </w:r>
      <w:r w:rsidR="008D74BF">
        <w:t xml:space="preserve"> </w:t>
      </w:r>
      <w:r>
        <w:t>of subjects who were neutralising antibody positive, antibody negative and placebo groups, respectively; the most frequently reported AEs were injection site erythema (3.6%, 2.1% and 0.2%, respectively) and injection site haemorrhage (3.6%, 0.4% and 0.4%, respectively)</w:t>
      </w:r>
      <w:r w:rsidR="008D74BF">
        <w:t>.</w:t>
      </w:r>
    </w:p>
    <w:p w14:paraId="028F3B25" w14:textId="77777777" w:rsidR="008D74BF" w:rsidRDefault="008719C0" w:rsidP="008719C0">
      <w:r>
        <w:t>AEs potentially related to hypersensitivity were reported for 7.0%, 6.9% and 6.9% of subjects who were binding antibody positive, binding antibody negative and placebo groups, respectively.</w:t>
      </w:r>
      <w:r w:rsidR="008D74BF">
        <w:t xml:space="preserve"> </w:t>
      </w:r>
      <w:r>
        <w:t>The only AE reported for ≥ 1.0% of subjects was rash (1.1%, 1.1% and 0.9%, respectively).</w:t>
      </w:r>
      <w:r w:rsidR="003535FE">
        <w:t xml:space="preserve"> </w:t>
      </w:r>
      <w:r>
        <w:t>For neutralising antibodies, there was no relation between AEs potentially related to hypersensitivity (3.6%, 7.2% and 6.9% of subjects who were neutralising antibody positive, negative and placebo groups, respectively); the most frequently reported AE was conjunctivitis allergic (3.6%, 0.4% and 0.5%, respectively)</w:t>
      </w:r>
      <w:r w:rsidR="008D74BF">
        <w:t>.</w:t>
      </w:r>
    </w:p>
    <w:p w14:paraId="4BDCA3BA" w14:textId="77777777" w:rsidR="008D74BF" w:rsidRDefault="008719C0" w:rsidP="008719C0">
      <w:r>
        <w:t>The incidence of autoimmune disorders AEs was low and similar across groups based on presence of binding antibody (0.7%, 0.9% and 0.9% of subjects who were binding antibody positive, binding antibody negative and placebo groups, respectively) or neutralising antibody (0.0%, 0.7% and 0.9% of subjects who were neutralising antibody positive, negative and placebo groups, respectively), chronic gastritis (neutralising antibody positive: 0.7%; neutralising antibody negative: 0.6%; placebo: 0.4%)</w:t>
      </w:r>
      <w:r w:rsidR="008D74BF">
        <w:t>.</w:t>
      </w:r>
    </w:p>
    <w:p w14:paraId="6A81F3A2" w14:textId="77777777" w:rsidR="008719C0" w:rsidRDefault="008719C0" w:rsidP="008719C0">
      <w:r>
        <w:t xml:space="preserve">Results for the osteoporosis safety analysis set were similar to those for the </w:t>
      </w:r>
      <w:r w:rsidR="00531AFF">
        <w:t>12 month</w:t>
      </w:r>
      <w:r>
        <w:t xml:space="preserve"> </w:t>
      </w:r>
      <w:r w:rsidR="00566372">
        <w:t>placebo controlled</w:t>
      </w:r>
      <w:r>
        <w:t xml:space="preserve"> safety analysis set.</w:t>
      </w:r>
    </w:p>
    <w:p w14:paraId="166C6F43" w14:textId="77777777" w:rsidR="008719C0" w:rsidRDefault="008719C0" w:rsidP="003535FE">
      <w:pPr>
        <w:pStyle w:val="Heading5"/>
      </w:pPr>
      <w:r>
        <w:t>Serious skin reactions</w:t>
      </w:r>
    </w:p>
    <w:p w14:paraId="58F515E9" w14:textId="34FDFE98" w:rsidR="008D74BF" w:rsidRDefault="008719C0" w:rsidP="008719C0">
      <w:r>
        <w:t>None</w:t>
      </w:r>
      <w:r w:rsidR="00365805">
        <w:t xml:space="preserve"> listed.</w:t>
      </w:r>
    </w:p>
    <w:p w14:paraId="4D566ACE" w14:textId="4AD5C9E6" w:rsidR="008719C0" w:rsidRDefault="008719C0" w:rsidP="00E951F0">
      <w:pPr>
        <w:pStyle w:val="Heading4"/>
      </w:pPr>
      <w:r>
        <w:t xml:space="preserve">AEs of </w:t>
      </w:r>
      <w:r w:rsidR="00E951F0">
        <w:t xml:space="preserve">special </w:t>
      </w:r>
      <w:r>
        <w:t xml:space="preserve">interest (AESIs) and </w:t>
      </w:r>
      <w:r w:rsidR="00506068">
        <w:t>a</w:t>
      </w:r>
      <w:r>
        <w:t>djudicated AEs</w:t>
      </w:r>
    </w:p>
    <w:p w14:paraId="074C2E8A" w14:textId="77777777" w:rsidR="008719C0" w:rsidRDefault="008719C0" w:rsidP="008719C0">
      <w:r>
        <w:t xml:space="preserve">Events of interest included hypocalcaemia, injection site reactions, adverse events potentially related to hypersensitivity, malignancy (malignant or unspecified tumour </w:t>
      </w:r>
      <w:r w:rsidRPr="00876111">
        <w:t>SMQ)</w:t>
      </w:r>
      <w:r>
        <w:t xml:space="preserve">, hyperostosis and osteoarthritis. Adjudicated AEs included positive </w:t>
      </w:r>
      <w:r w:rsidR="00E951F0">
        <w:t>osteonecrosis of the jaw</w:t>
      </w:r>
      <w:r>
        <w:t xml:space="preserve"> and adjudicated positive </w:t>
      </w:r>
      <w:r w:rsidR="00E951F0">
        <w:t xml:space="preserve">atypical </w:t>
      </w:r>
      <w:r w:rsidR="00C85473">
        <w:t>femoral</w:t>
      </w:r>
      <w:r w:rsidR="00E951F0">
        <w:t xml:space="preserve"> fracture</w:t>
      </w:r>
      <w:r>
        <w:t>.</w:t>
      </w:r>
    </w:p>
    <w:p w14:paraId="10A22579" w14:textId="45F3D465" w:rsidR="008D74BF" w:rsidRPr="00A62BA9" w:rsidRDefault="008719C0" w:rsidP="008719C0">
      <w:r>
        <w:t xml:space="preserve">Summary of AESI and adjudicated AEs in the </w:t>
      </w:r>
      <w:r w:rsidR="00531AFF">
        <w:t>12 month</w:t>
      </w:r>
      <w:r>
        <w:t xml:space="preserve"> placebo</w:t>
      </w:r>
      <w:r w:rsidR="00E951F0">
        <w:t xml:space="preserve"> </w:t>
      </w:r>
      <w:r>
        <w:t xml:space="preserve">controlled osteoporosis safety set and Osteoporosis safety set are </w:t>
      </w:r>
      <w:r w:rsidRPr="00A62BA9">
        <w:t xml:space="preserve">summarised in Tables </w:t>
      </w:r>
      <w:r w:rsidR="00A62BA9" w:rsidRPr="00A62BA9">
        <w:t>12 and 13</w:t>
      </w:r>
      <w:r w:rsidRPr="00A62BA9">
        <w:t>, respectively</w:t>
      </w:r>
      <w:r w:rsidR="008D74BF" w:rsidRPr="00A62BA9">
        <w:t>.</w:t>
      </w:r>
    </w:p>
    <w:p w14:paraId="3784556B" w14:textId="249B8B1C" w:rsidR="00D460E7" w:rsidRDefault="00D460E7" w:rsidP="00C809F2">
      <w:pPr>
        <w:pStyle w:val="TableTitle"/>
      </w:pPr>
      <w:r w:rsidRPr="00D460E7">
        <w:lastRenderedPageBreak/>
        <w:t xml:space="preserve">Table </w:t>
      </w:r>
      <w:r w:rsidR="00A62BA9">
        <w:t>12</w:t>
      </w:r>
      <w:r w:rsidRPr="00D460E7">
        <w:t>: Summary of treatment-emergent AEs of interest and adjudicated AEs (12</w:t>
      </w:r>
      <w:r w:rsidR="00C809F2">
        <w:t> </w:t>
      </w:r>
      <w:r w:rsidRPr="00D460E7">
        <w:t>month placebo</w:t>
      </w:r>
      <w:r w:rsidR="00C809F2">
        <w:t xml:space="preserve"> </w:t>
      </w:r>
      <w:r w:rsidRPr="00D460E7">
        <w:t>controlled osteoporosis safety analysis set)</w:t>
      </w:r>
    </w:p>
    <w:p w14:paraId="6ACDC821" w14:textId="5802711C" w:rsidR="00D460E7" w:rsidRDefault="00BC49ED" w:rsidP="008719C0">
      <w:r>
        <w:rPr>
          <w:noProof/>
          <w:lang w:eastAsia="en-AU"/>
        </w:rPr>
        <w:drawing>
          <wp:inline distT="0" distB="0" distL="0" distR="0" wp14:anchorId="4ED4839B" wp14:editId="53F04BCD">
            <wp:extent cx="5400040" cy="3571875"/>
            <wp:effectExtent l="0" t="0" r="0" b="9525"/>
            <wp:docPr id="1" name="Picture 1" descr="Summary of treatment-emergent AEs of interest and adjudicated AEs (12 month placebo controlled osteoporosi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3571875"/>
                    </a:xfrm>
                    <a:prstGeom prst="rect">
                      <a:avLst/>
                    </a:prstGeom>
                  </pic:spPr>
                </pic:pic>
              </a:graphicData>
            </a:graphic>
          </wp:inline>
        </w:drawing>
      </w:r>
    </w:p>
    <w:p w14:paraId="73838728" w14:textId="6970EEAC" w:rsidR="00A70F2D" w:rsidRDefault="00A70F2D" w:rsidP="00C809F2">
      <w:pPr>
        <w:pStyle w:val="TableTitle"/>
      </w:pPr>
      <w:r w:rsidRPr="00A70F2D">
        <w:t xml:space="preserve">Table </w:t>
      </w:r>
      <w:r w:rsidR="00A62BA9">
        <w:t>13</w:t>
      </w:r>
      <w:r w:rsidRPr="00A70F2D">
        <w:t>: Summary of exposure-adjusted incidence rate of treatment-emergent AEs of interest (osteoporosis safety analysis set)</w:t>
      </w:r>
    </w:p>
    <w:p w14:paraId="17E4FC66" w14:textId="7DD150C5" w:rsidR="00A70F2D" w:rsidRDefault="00BC49ED" w:rsidP="008719C0">
      <w:r>
        <w:rPr>
          <w:noProof/>
          <w:lang w:eastAsia="en-AU"/>
        </w:rPr>
        <w:drawing>
          <wp:inline distT="0" distB="0" distL="0" distR="0" wp14:anchorId="666A7884" wp14:editId="798594F6">
            <wp:extent cx="5400040" cy="4280535"/>
            <wp:effectExtent l="0" t="0" r="0" b="5715"/>
            <wp:docPr id="455" name="Picture 455" descr="Summary of exposure-adjusted incidence rate of treatment-emergent AEs of interest (osteoporosi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4280535"/>
                    </a:xfrm>
                    <a:prstGeom prst="rect">
                      <a:avLst/>
                    </a:prstGeom>
                  </pic:spPr>
                </pic:pic>
              </a:graphicData>
            </a:graphic>
          </wp:inline>
        </w:drawing>
      </w:r>
    </w:p>
    <w:p w14:paraId="46B39A10" w14:textId="77777777" w:rsidR="00E951F0" w:rsidRDefault="00E951F0" w:rsidP="00E951F0">
      <w:pPr>
        <w:pStyle w:val="Heading5"/>
      </w:pPr>
      <w:r>
        <w:lastRenderedPageBreak/>
        <w:t>Hypocalcaemia</w:t>
      </w:r>
    </w:p>
    <w:p w14:paraId="732A3CD0" w14:textId="77777777" w:rsidR="008D74BF" w:rsidRDefault="008719C0" w:rsidP="008719C0">
      <w:r>
        <w:t>The mechanism of action of romosozumab suggests that administration of romosozumab may be associated with decreases in serum calcium as a result of increased bone formation and increased demands for calcium for matrix mineralisation</w:t>
      </w:r>
      <w:r w:rsidR="008D74BF">
        <w:t>.</w:t>
      </w:r>
    </w:p>
    <w:p w14:paraId="366BF212" w14:textId="4B1367EF" w:rsidR="008D74BF" w:rsidRDefault="008719C0" w:rsidP="008719C0">
      <w:r>
        <w:t xml:space="preserve">In the </w:t>
      </w:r>
      <w:r w:rsidR="00531AFF">
        <w:t>12 month</w:t>
      </w:r>
      <w:r>
        <w:t xml:space="preserve"> </w:t>
      </w:r>
      <w:r w:rsidR="00566372">
        <w:t>placebo controlled</w:t>
      </w:r>
      <w:r>
        <w:t xml:space="preserve"> osteoporosis population, a </w:t>
      </w:r>
      <w:r w:rsidR="00654353">
        <w:t>non-serious</w:t>
      </w:r>
      <w:r>
        <w:t xml:space="preserve"> AE of hypocalcaemia (grade 2) was reported for 1 (&lt; 0.1%) subject in the total romosozumab 210 mg </w:t>
      </w:r>
      <w:r w:rsidR="003535FE">
        <w:t>monthly</w:t>
      </w:r>
      <w:r>
        <w:t xml:space="preserve"> treatment group (Study 20070337); no hypocalcaemia events were reported in the placebo group. No </w:t>
      </w:r>
      <w:r w:rsidR="0064376D">
        <w:t>SAEs</w:t>
      </w:r>
      <w:r>
        <w:t xml:space="preserve"> of hypocalcaemia were reported. No subject had both a ≥</w:t>
      </w:r>
      <w:r w:rsidR="00E951F0">
        <w:t xml:space="preserve"> </w:t>
      </w:r>
      <w:r>
        <w:t xml:space="preserve">1 grade decrease from </w:t>
      </w:r>
      <w:r w:rsidR="0064376D">
        <w:t>B</w:t>
      </w:r>
      <w:r>
        <w:t xml:space="preserve">aseline and a hypocalcaemia AE. Results for the osteoporosis safety analysis set were similar to the </w:t>
      </w:r>
      <w:r w:rsidR="00531AFF">
        <w:t>12 month</w:t>
      </w:r>
      <w:r>
        <w:t xml:space="preserve"> placebo</w:t>
      </w:r>
      <w:r w:rsidR="003535FE">
        <w:t xml:space="preserve"> </w:t>
      </w:r>
      <w:r>
        <w:t>controlled osteoporosis population</w:t>
      </w:r>
      <w:r w:rsidR="008D74BF">
        <w:t>.</w:t>
      </w:r>
    </w:p>
    <w:p w14:paraId="663275C7" w14:textId="341CD29F" w:rsidR="008D74BF" w:rsidRDefault="008719C0" w:rsidP="008719C0">
      <w:r>
        <w:t>In the alendronate</w:t>
      </w:r>
      <w:r w:rsidR="003535FE">
        <w:t xml:space="preserve"> </w:t>
      </w:r>
      <w:r>
        <w:t xml:space="preserve">controlled Study 20110142, during the </w:t>
      </w:r>
      <w:r w:rsidR="00531AFF">
        <w:t>12 month</w:t>
      </w:r>
      <w:r>
        <w:t xml:space="preserve"> double</w:t>
      </w:r>
      <w:r w:rsidR="003535FE">
        <w:t xml:space="preserve"> </w:t>
      </w:r>
      <w:r>
        <w:t>blind period, 1 (&lt;</w:t>
      </w:r>
      <w:r w:rsidR="00E951F0">
        <w:t xml:space="preserve"> </w:t>
      </w:r>
      <w:r>
        <w:t>0.1%) AE of hypocalcaemia (</w:t>
      </w:r>
      <w:r w:rsidR="0064376D">
        <w:t>PT</w:t>
      </w:r>
      <w:r>
        <w:t xml:space="preserve">) was reported in each treatment group. No hypocalcaemia event was serious. All AEs of hypocalcaemia were grade 1 or grade 2 in severity, considered not related to investigational product, and did not result in discontinuation of investigational product or discontinuation from the study. No subject who received romosozumab had a decrease in serum albumin-corrected calcium from grade 0 at baseline during the </w:t>
      </w:r>
      <w:r w:rsidR="00531AFF">
        <w:t>12 month</w:t>
      </w:r>
      <w:r>
        <w:t xml:space="preserve"> </w:t>
      </w:r>
      <w:r w:rsidR="00566372">
        <w:t>double blind</w:t>
      </w:r>
      <w:r>
        <w:t xml:space="preserve"> period. In the alendronate group, 3</w:t>
      </w:r>
      <w:r w:rsidR="00E951F0">
        <w:t> </w:t>
      </w:r>
      <w:r>
        <w:t xml:space="preserve">(0.1%) subjects had a decrease in serum corrected calcium to grade 1 and 2 (&lt; 0.1%) subjects had a decrease to grade 2 from grade 0 at </w:t>
      </w:r>
      <w:r w:rsidR="0064376D">
        <w:t>B</w:t>
      </w:r>
      <w:r>
        <w:t>aseline. No hypocalcaemia AEs were reported in the male osteoporosis Study 20110174</w:t>
      </w:r>
      <w:r w:rsidR="008D74BF">
        <w:t>.</w:t>
      </w:r>
    </w:p>
    <w:p w14:paraId="38DD39F2" w14:textId="77777777" w:rsidR="00E951F0" w:rsidRDefault="00E951F0" w:rsidP="00E951F0">
      <w:pPr>
        <w:pStyle w:val="Heading5"/>
      </w:pPr>
      <w:r>
        <w:t>Hypersensitivity</w:t>
      </w:r>
    </w:p>
    <w:p w14:paraId="1A04CCE9" w14:textId="77777777" w:rsidR="008D74BF" w:rsidRDefault="008719C0" w:rsidP="008719C0">
      <w:r>
        <w:t xml:space="preserve">Overall, review of the hypersensitivity cases across the </w:t>
      </w:r>
      <w:r w:rsidR="00531AFF">
        <w:t>12 month</w:t>
      </w:r>
      <w:r>
        <w:t xml:space="preserve"> placebo</w:t>
      </w:r>
      <w:r w:rsidR="00D72E5F">
        <w:t xml:space="preserve"> </w:t>
      </w:r>
      <w:r>
        <w:t>controlled osteoporosis safety analysis set showed that there were no anaphylactic reactions reported that were attributable to romosozumab</w:t>
      </w:r>
      <w:r w:rsidR="008D74BF">
        <w:t>.</w:t>
      </w:r>
    </w:p>
    <w:p w14:paraId="4535D1DF" w14:textId="79C49958" w:rsidR="008D74BF" w:rsidRDefault="008719C0" w:rsidP="008719C0">
      <w:r>
        <w:t xml:space="preserve">In the </w:t>
      </w:r>
      <w:r w:rsidR="00531AFF">
        <w:t>12 month</w:t>
      </w:r>
      <w:r>
        <w:t xml:space="preserve"> placebo</w:t>
      </w:r>
      <w:r w:rsidR="00E951F0">
        <w:t xml:space="preserve"> </w:t>
      </w:r>
      <w:r>
        <w:t xml:space="preserve">controlled osteoporosis population, AEs potentially related to hypersensitivity were reported for 6.7% of subjects in the total romosozumab group and 6.9% of subjects in the placebo group. The most frequently reported (&gt; 0.5%) AEs were rash (romosozumab </w:t>
      </w:r>
      <w:r w:rsidR="00CE639A">
        <w:t xml:space="preserve">versus </w:t>
      </w:r>
      <w:r>
        <w:t xml:space="preserve">placebo: 1.1% </w:t>
      </w:r>
      <w:r w:rsidR="00CE639A">
        <w:t xml:space="preserve">versus </w:t>
      </w:r>
      <w:r>
        <w:t xml:space="preserve">0.9%), dermatitis allergic (0.7% </w:t>
      </w:r>
      <w:r w:rsidR="00CE639A">
        <w:t xml:space="preserve">versus </w:t>
      </w:r>
      <w:r>
        <w:t xml:space="preserve">0.8%), eczema (0.6% </w:t>
      </w:r>
      <w:r w:rsidR="00CE639A">
        <w:t xml:space="preserve">versus </w:t>
      </w:r>
      <w:r>
        <w:t>0.8%), rhinitis allergic (0.6%</w:t>
      </w:r>
      <w:r w:rsidR="00CE639A">
        <w:t xml:space="preserve">versus </w:t>
      </w:r>
      <w:r>
        <w:t xml:space="preserve">0.7%), </w:t>
      </w:r>
      <w:proofErr w:type="spellStart"/>
      <w:r>
        <w:t>urticaria</w:t>
      </w:r>
      <w:proofErr w:type="spellEnd"/>
      <w:r>
        <w:t xml:space="preserve"> (0.5% </w:t>
      </w:r>
      <w:r w:rsidR="00CE639A">
        <w:t xml:space="preserve">versus </w:t>
      </w:r>
      <w:r>
        <w:t xml:space="preserve">0.6%) and dermatitis (0.4%, 0.8%). SAEs potentially related to hypersensitivity reactions were reported for 6 (0.2%) subjects in the total romosozumab group (all in Study 20070337) and 1 (&lt; 0.1%) subject in the placebo group (Study 20060326). AEs potentially related to hypersensitivity led to discontinuation from investigational product for 11 (0.3%) subjects in the total romosozumab group and 6 (0.2%) subjects in the placebo group (all AEs were reported in Study 20070337). All events were reported for single subjects with the exceptions of dermatitis allergic (romosozumab: 3 subjects; placebo: 1 subject) and rash (2 subjects; 0 subjects). AEs potentially related to hypersensitivity led to discontinuation from the study for 3 (&lt; 0.1%) subjects in the romosozumab group and 2 (&lt; 0.1%) subjects in the placebo group </w:t>
      </w:r>
      <w:r w:rsidRPr="00A62BA9">
        <w:t xml:space="preserve">(Table </w:t>
      </w:r>
      <w:r w:rsidR="00A62BA9">
        <w:t>14</w:t>
      </w:r>
      <w:r>
        <w:t xml:space="preserve">). All events were reported in Study 20070337 and included 1 event each of </w:t>
      </w:r>
      <w:proofErr w:type="spellStart"/>
      <w:r>
        <w:t>alveolitis</w:t>
      </w:r>
      <w:proofErr w:type="spellEnd"/>
      <w:r>
        <w:t xml:space="preserve"> allergic, drug eruption and rash </w:t>
      </w:r>
      <w:proofErr w:type="spellStart"/>
      <w:r>
        <w:t>maculo-papular</w:t>
      </w:r>
      <w:proofErr w:type="spellEnd"/>
      <w:r>
        <w:t xml:space="preserve"> in the </w:t>
      </w:r>
      <w:proofErr w:type="spellStart"/>
      <w:r>
        <w:t>romosozumab</w:t>
      </w:r>
      <w:proofErr w:type="spellEnd"/>
      <w:r>
        <w:t xml:space="preserve"> group and 1 event each of eczema and rhinitis allergic in the placebo group</w:t>
      </w:r>
      <w:r w:rsidR="008D74BF">
        <w:t>.</w:t>
      </w:r>
    </w:p>
    <w:p w14:paraId="3CC13FF0" w14:textId="77777777" w:rsidR="008D74BF" w:rsidRDefault="008719C0" w:rsidP="008719C0">
      <w:r>
        <w:t>AEs potentially related to hypersensitivity leading to discontinuation from the study were not collected in Study 20110174</w:t>
      </w:r>
      <w:r w:rsidR="008D74BF">
        <w:t>.</w:t>
      </w:r>
    </w:p>
    <w:p w14:paraId="5CBEB18D" w14:textId="322D0EA7" w:rsidR="00A70F2D" w:rsidRDefault="00A70F2D" w:rsidP="00C809F2">
      <w:pPr>
        <w:pStyle w:val="TableTitle"/>
      </w:pPr>
      <w:r w:rsidRPr="00A70F2D">
        <w:lastRenderedPageBreak/>
        <w:t xml:space="preserve">Table </w:t>
      </w:r>
      <w:r w:rsidR="00A62BA9">
        <w:t>14</w:t>
      </w:r>
      <w:r w:rsidRPr="00A70F2D">
        <w:t>:</w:t>
      </w:r>
      <w:r w:rsidR="00C809F2">
        <w:t xml:space="preserve"> </w:t>
      </w:r>
      <w:r w:rsidRPr="00A70F2D">
        <w:t xml:space="preserve">Treatment-emergent AEs potentially related to hypersensitivity by </w:t>
      </w:r>
      <w:r w:rsidR="0064376D">
        <w:t>PT</w:t>
      </w:r>
      <w:r w:rsidRPr="00A70F2D">
        <w:t xml:space="preserve"> reported (&gt;</w:t>
      </w:r>
      <w:r w:rsidR="00C809F2">
        <w:t xml:space="preserve"> </w:t>
      </w:r>
      <w:r w:rsidRPr="00A70F2D">
        <w:t>0.2% of subjects in the total romosozumab or placebo groups (12 month placebo</w:t>
      </w:r>
      <w:r w:rsidR="00F33D57">
        <w:t xml:space="preserve"> </w:t>
      </w:r>
      <w:r w:rsidRPr="00A70F2D">
        <w:t>controlled osteoporosis safety analysis set)</w:t>
      </w:r>
    </w:p>
    <w:p w14:paraId="1AAE667C" w14:textId="77777777" w:rsidR="00A70F2D" w:rsidRDefault="00A70F2D" w:rsidP="008719C0">
      <w:r>
        <w:rPr>
          <w:noProof/>
          <w:lang w:eastAsia="en-AU"/>
        </w:rPr>
        <w:drawing>
          <wp:inline distT="0" distB="0" distL="0" distR="0" wp14:anchorId="3185CE82" wp14:editId="75502DE9">
            <wp:extent cx="5400040" cy="2400595"/>
            <wp:effectExtent l="0" t="0" r="0" b="0"/>
            <wp:docPr id="6" name="Picture 6" descr="Treatment-emergent AEs potentially related to hypersensitivity by preferred term reported (&gt; 0.2% of subjects in the total romosozumab or placebo groups (12 month placebo-controlled osteoporosi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sharpenSoften amount="33000"/>
                              </a14:imgEffect>
                            </a14:imgLayer>
                          </a14:imgProps>
                        </a:ext>
                      </a:extLst>
                    </a:blip>
                    <a:stretch>
                      <a:fillRect/>
                    </a:stretch>
                  </pic:blipFill>
                  <pic:spPr>
                    <a:xfrm>
                      <a:off x="0" y="0"/>
                      <a:ext cx="5400040" cy="2400595"/>
                    </a:xfrm>
                    <a:prstGeom prst="rect">
                      <a:avLst/>
                    </a:prstGeom>
                  </pic:spPr>
                </pic:pic>
              </a:graphicData>
            </a:graphic>
          </wp:inline>
        </w:drawing>
      </w:r>
    </w:p>
    <w:p w14:paraId="2F9E6AFB" w14:textId="0B956C02" w:rsidR="008D74BF" w:rsidRDefault="008719C0" w:rsidP="008719C0">
      <w:r>
        <w:t xml:space="preserve">AEs potentially related to hypersensitivity that occurred ≤ 2 days after administration of investigational product were reported for 48 (1.2%) subjects in the total romosozumab group and 32 (0.8%) subjects in the placebo group; injection site rash (romosozumab </w:t>
      </w:r>
      <w:r w:rsidR="00CE639A">
        <w:t>versus</w:t>
      </w:r>
      <w:r w:rsidR="008D74BF">
        <w:t xml:space="preserve"> </w:t>
      </w:r>
      <w:r>
        <w:t xml:space="preserve">placebo: 0.3% </w:t>
      </w:r>
      <w:r w:rsidR="00CE639A">
        <w:t xml:space="preserve">versus </w:t>
      </w:r>
      <w:r>
        <w:t>&lt; 0.1%) and rash (0.2%</w:t>
      </w:r>
      <w:r w:rsidR="00CE639A">
        <w:t xml:space="preserve">versus </w:t>
      </w:r>
      <w:r>
        <w:t xml:space="preserve">0.1%). AEs potentially related to hypersensitivity that occurred from &gt; 2 days to ≤ 7 days after administration of investigational product were reported for 54 (1.4%) subjects in the romosozumab group and 39 (1.0%) subjects in the placebo group. The most frequently reported AEs (≥ 0.2% in either treatment group) were dermatitis allergic (romosozumab </w:t>
      </w:r>
      <w:r w:rsidR="00CE639A">
        <w:t xml:space="preserve">versus </w:t>
      </w:r>
      <w:r>
        <w:t xml:space="preserve">placebo: 0.3% </w:t>
      </w:r>
      <w:r w:rsidR="00CE639A">
        <w:t xml:space="preserve">versus </w:t>
      </w:r>
      <w:r>
        <w:t xml:space="preserve">0.2%), rash (0.2% in each group) and eczema (0.2% </w:t>
      </w:r>
      <w:r w:rsidR="00CE639A">
        <w:t xml:space="preserve">versus </w:t>
      </w:r>
      <w:r>
        <w:t>0.0%). Recurrent</w:t>
      </w:r>
      <w:r w:rsidR="0064376D">
        <w:t> </w:t>
      </w:r>
      <w:r>
        <w:t>events reported for more than 1 subject in either group, were rash (romosozumab:</w:t>
      </w:r>
      <w:r w:rsidR="0064376D">
        <w:t> </w:t>
      </w:r>
      <w:r>
        <w:t>5</w:t>
      </w:r>
      <w:r w:rsidR="0064376D">
        <w:t> </w:t>
      </w:r>
      <w:r>
        <w:t xml:space="preserve">subjects; placebo: 6 subjects), </w:t>
      </w:r>
      <w:proofErr w:type="spellStart"/>
      <w:r>
        <w:t>urticaria</w:t>
      </w:r>
      <w:proofErr w:type="spellEnd"/>
      <w:r>
        <w:t xml:space="preserve"> (4 subjects; 1 subject), dermatitis allergic (3 subjects; 1 subject), injection site hypersensitivity (2 subjects; 0</w:t>
      </w:r>
      <w:r w:rsidR="0064376D">
        <w:t> </w:t>
      </w:r>
      <w:r>
        <w:t>subjects), injection site rash (2 subjects; 1 subject), dermatitis (1 subject; 2 subjects) and dermatitis contact (0 subjects; 2 subjects)</w:t>
      </w:r>
      <w:r w:rsidR="008D74BF">
        <w:t>.</w:t>
      </w:r>
    </w:p>
    <w:p w14:paraId="6B7AE10B" w14:textId="77777777" w:rsidR="00C44BAA" w:rsidRDefault="008719C0" w:rsidP="00327AB1">
      <w:pPr>
        <w:pStyle w:val="Heading5"/>
      </w:pPr>
      <w:r>
        <w:t>Fatal or life-threatening AEs</w:t>
      </w:r>
    </w:p>
    <w:p w14:paraId="6418563C" w14:textId="60F91DC4" w:rsidR="00C44BAA" w:rsidRDefault="00327AB1" w:rsidP="008719C0">
      <w:r>
        <w:t xml:space="preserve">Events </w:t>
      </w:r>
      <w:r w:rsidR="008719C0">
        <w:t>potentially related to hypersensitivity were reported for 2 subjects, both in Study</w:t>
      </w:r>
      <w:r w:rsidR="0064376D">
        <w:t> </w:t>
      </w:r>
      <w:r w:rsidR="008719C0">
        <w:t>20070337:</w:t>
      </w:r>
    </w:p>
    <w:p w14:paraId="14B123BA" w14:textId="5ACD79AE" w:rsidR="008D74BF" w:rsidRDefault="0064376D" w:rsidP="00327AB1">
      <w:pPr>
        <w:pStyle w:val="ListBullet"/>
      </w:pPr>
      <w:r>
        <w:t xml:space="preserve">one </w:t>
      </w:r>
      <w:r w:rsidR="008719C0">
        <w:t xml:space="preserve">fatal event of circulatory collapse was reported on </w:t>
      </w:r>
      <w:r w:rsidR="00F33D57">
        <w:t>D</w:t>
      </w:r>
      <w:r w:rsidR="008719C0">
        <w:t xml:space="preserve">ay 365 in a subject who received romosozumab 210 mg </w:t>
      </w:r>
      <w:r w:rsidR="00327AB1">
        <w:t>monthly</w:t>
      </w:r>
      <w:r w:rsidR="008719C0">
        <w:t>. This 78</w:t>
      </w:r>
      <w:r w:rsidR="00327AB1">
        <w:t xml:space="preserve"> </w:t>
      </w:r>
      <w:r w:rsidR="008719C0">
        <w:t>year</w:t>
      </w:r>
      <w:r w:rsidR="00327AB1">
        <w:t xml:space="preserve"> </w:t>
      </w:r>
      <w:r w:rsidR="008719C0">
        <w:t xml:space="preserve">old subject with a medical history of tobacco use developed unspecified cardiovascular disease and was hospitalised on </w:t>
      </w:r>
      <w:r w:rsidR="00327AB1">
        <w:t>D</w:t>
      </w:r>
      <w:r w:rsidR="008719C0">
        <w:t>ay 345, 8 days after receiving her twelfth dose of romosozumab. She was hospitalised i</w:t>
      </w:r>
      <w:r w:rsidR="00327AB1">
        <w:t xml:space="preserve">n the </w:t>
      </w:r>
      <w:r>
        <w:t>intensive care unit</w:t>
      </w:r>
      <w:r w:rsidR="00327AB1">
        <w:t xml:space="preserve"> </w:t>
      </w:r>
      <w:r w:rsidR="008719C0">
        <w:t xml:space="preserve">and died from cardiovascular collapse on </w:t>
      </w:r>
      <w:r w:rsidR="00327AB1">
        <w:t>D</w:t>
      </w:r>
      <w:r w:rsidR="008719C0">
        <w:t>ay 365. The investigator considered the event to be unrelated to treatment</w:t>
      </w:r>
      <w:r w:rsidR="008D74BF">
        <w:t>.</w:t>
      </w:r>
    </w:p>
    <w:p w14:paraId="6AB44792" w14:textId="1E7EE3A9" w:rsidR="008D74BF" w:rsidRDefault="008719C0" w:rsidP="00327AB1">
      <w:pPr>
        <w:pStyle w:val="ListBullet"/>
      </w:pPr>
      <w:r>
        <w:t>the life–threatening event occurred in a 74</w:t>
      </w:r>
      <w:r w:rsidR="00327AB1">
        <w:t xml:space="preserve"> </w:t>
      </w:r>
      <w:r>
        <w:t>year</w:t>
      </w:r>
      <w:r w:rsidR="00327AB1">
        <w:t xml:space="preserve"> </w:t>
      </w:r>
      <w:r>
        <w:t xml:space="preserve">old subject with a relevant medical history of allergic respiratory disease, allergies to </w:t>
      </w:r>
      <w:proofErr w:type="spellStart"/>
      <w:r>
        <w:t>roxithromycin</w:t>
      </w:r>
      <w:proofErr w:type="spellEnd"/>
      <w:r>
        <w:t xml:space="preserve"> and codeine, </w:t>
      </w:r>
      <w:proofErr w:type="spellStart"/>
      <w:r>
        <w:t>aspergillosis</w:t>
      </w:r>
      <w:proofErr w:type="spellEnd"/>
      <w:r>
        <w:t xml:space="preserve">, asthma, bronchiectasis, gastroesophageal reflux disease, </w:t>
      </w:r>
      <w:proofErr w:type="spellStart"/>
      <w:r>
        <w:t>hypercholesterol</w:t>
      </w:r>
      <w:r w:rsidR="0064376D">
        <w:t>a</w:t>
      </w:r>
      <w:r>
        <w:t>emia</w:t>
      </w:r>
      <w:proofErr w:type="spellEnd"/>
      <w:r>
        <w:t xml:space="preserve">, osteoporosis and nephrolithiasis (all of which were ongoing at </w:t>
      </w:r>
      <w:r w:rsidR="0064376D">
        <w:t>Baseline</w:t>
      </w:r>
      <w:r>
        <w:t xml:space="preserve">) who had dyspnoea, cough and wheezing approximately 24 hours after receiving the first dose of romosozumab. On </w:t>
      </w:r>
      <w:r w:rsidR="00327AB1">
        <w:t>D</w:t>
      </w:r>
      <w:r>
        <w:t xml:space="preserve">ay 3, she presented with a rash on her chest and back. A serious, grade 4 adverse event of acute allergic reaction with unknown aetiology (on chest and back) was reported. The rash resolved after treatment with hydrocortisone, and the event was reported as resolved on </w:t>
      </w:r>
      <w:r w:rsidR="00327AB1">
        <w:t>D</w:t>
      </w:r>
      <w:r>
        <w:t>ay 7. The investigator considered the event to be related to treatment, as he was unaware of exposure to any other antigens, and investigational product was withdrawn</w:t>
      </w:r>
      <w:r w:rsidR="008D74BF">
        <w:t>.</w:t>
      </w:r>
    </w:p>
    <w:p w14:paraId="212AA44D" w14:textId="77777777" w:rsidR="00327AB1" w:rsidRDefault="00327AB1" w:rsidP="00327AB1">
      <w:pPr>
        <w:pStyle w:val="Heading5"/>
      </w:pPr>
      <w:r>
        <w:lastRenderedPageBreak/>
        <w:t>Hypersensitivity</w:t>
      </w:r>
    </w:p>
    <w:p w14:paraId="7BEDE5E7" w14:textId="77777777" w:rsidR="00C44BAA" w:rsidRDefault="008719C0" w:rsidP="008719C0">
      <w:r>
        <w:t>Three subjects had SAEs potentially related to hypersensitivity that were considered related to romosozumab, all of which occurred in Study 20070337:</w:t>
      </w:r>
    </w:p>
    <w:p w14:paraId="7099B724" w14:textId="77777777" w:rsidR="008D74BF" w:rsidRDefault="008719C0" w:rsidP="00327AB1">
      <w:pPr>
        <w:pStyle w:val="ListBullet"/>
      </w:pPr>
      <w:r>
        <w:t>A 64</w:t>
      </w:r>
      <w:r w:rsidR="00327AB1">
        <w:t xml:space="preserve"> </w:t>
      </w:r>
      <w:r>
        <w:t>year</w:t>
      </w:r>
      <w:r w:rsidR="00327AB1">
        <w:t xml:space="preserve"> </w:t>
      </w:r>
      <w:r>
        <w:t xml:space="preserve">old subject with a medical history of chronic obstructive pulmonary disease and eczema had a grade 3 adverse event of eczema 9 days after first dose, and was hospitalised for a serious adverse event of dermatitis on </w:t>
      </w:r>
      <w:r w:rsidR="00327AB1">
        <w:t>D</w:t>
      </w:r>
      <w:r>
        <w:t>ay 166; the subject received IV steroids and IV antihistamines, and the event resolved</w:t>
      </w:r>
      <w:r w:rsidR="008D74BF">
        <w:t>.</w:t>
      </w:r>
    </w:p>
    <w:p w14:paraId="5413D364" w14:textId="77777777" w:rsidR="008D74BF" w:rsidRDefault="008719C0" w:rsidP="00327AB1">
      <w:pPr>
        <w:pStyle w:val="ListBullet"/>
      </w:pPr>
      <w:r>
        <w:t>A 65</w:t>
      </w:r>
      <w:r w:rsidR="00327AB1">
        <w:t xml:space="preserve"> </w:t>
      </w:r>
      <w:r>
        <w:t>year</w:t>
      </w:r>
      <w:r w:rsidR="00327AB1">
        <w:t xml:space="preserve"> </w:t>
      </w:r>
      <w:r>
        <w:t xml:space="preserve">old subject with a medical history of allergic rhinitis and a milk allergy, had </w:t>
      </w:r>
      <w:proofErr w:type="spellStart"/>
      <w:r>
        <w:t>nonserious</w:t>
      </w:r>
      <w:proofErr w:type="spellEnd"/>
      <w:r>
        <w:t xml:space="preserve"> adverse events of skin tingling for 2 days after the first 3 doses of romosozumab. Approximately 3 weeks after the fifth dose, the subject developed facial eczema and generalised rash. The subject was hospitalised with a serious adverse event of dermatitis allergic and received IV corticosteroids and topical steroids, IV fluids and oral antihistamine. Study drug was withdrawn; the event resolved</w:t>
      </w:r>
      <w:r w:rsidR="008D74BF">
        <w:t>.</w:t>
      </w:r>
    </w:p>
    <w:p w14:paraId="17A19226" w14:textId="3432AC2F" w:rsidR="008D74BF" w:rsidRDefault="008719C0" w:rsidP="00327AB1">
      <w:pPr>
        <w:pStyle w:val="ListBullet"/>
      </w:pPr>
      <w:r>
        <w:t>A 75</w:t>
      </w:r>
      <w:r w:rsidR="00327AB1">
        <w:t xml:space="preserve"> year </w:t>
      </w:r>
      <w:r>
        <w:t xml:space="preserve">old subject with a medical history of childhood asthma developed nausea, ill being, chills, and burning sternal pressure 8 hours after the initial romosozumab dose. On </w:t>
      </w:r>
      <w:r w:rsidR="00327AB1">
        <w:t>D</w:t>
      </w:r>
      <w:r>
        <w:t xml:space="preserve">ay 3, a serious adverse event of macular rash on trunk was reported and a skin biopsy revealed </w:t>
      </w:r>
      <w:r w:rsidR="0064376D">
        <w:t>‘</w:t>
      </w:r>
      <w:r w:rsidRPr="00327AB1">
        <w:rPr>
          <w:i/>
        </w:rPr>
        <w:t>unspecific superficial dermatitis with urticarial components, drug reaction cannot be excluded</w:t>
      </w:r>
      <w:r w:rsidR="0064376D">
        <w:t>’.</w:t>
      </w:r>
      <w:r>
        <w:t xml:space="preserve"> Study drug was withdrawn, and the event resolved on </w:t>
      </w:r>
      <w:r w:rsidR="00327AB1">
        <w:t>D</w:t>
      </w:r>
      <w:r>
        <w:t xml:space="preserve">ay 10. On </w:t>
      </w:r>
      <w:r w:rsidR="00327AB1">
        <w:t>D</w:t>
      </w:r>
      <w:r>
        <w:t xml:space="preserve">ay 28, the subject was hospitalised with a serious adverse event of dermatitis </w:t>
      </w:r>
      <w:proofErr w:type="spellStart"/>
      <w:r>
        <w:t>exfoliative</w:t>
      </w:r>
      <w:proofErr w:type="spellEnd"/>
      <w:r>
        <w:t xml:space="preserve"> and angioedema (considered by the investigator as not related to study drug). A skin biopsy showed discrete superficial perivascular dermatitis. The subject was treated with topical steroids and creams, and the events resolved on </w:t>
      </w:r>
      <w:r w:rsidR="00327AB1">
        <w:t>D</w:t>
      </w:r>
      <w:r>
        <w:t>ay</w:t>
      </w:r>
      <w:r w:rsidR="00327AB1">
        <w:t> </w:t>
      </w:r>
      <w:r>
        <w:t xml:space="preserve">31. On </w:t>
      </w:r>
      <w:r w:rsidR="00327AB1">
        <w:t>D</w:t>
      </w:r>
      <w:r>
        <w:t xml:space="preserve">ay 135, the subject was hospitalised for a macular rash and treated with topical steroid creams and oral antihistamines; the event resolved on </w:t>
      </w:r>
      <w:r w:rsidR="00327AB1">
        <w:t>D</w:t>
      </w:r>
      <w:r>
        <w:t>ay 148</w:t>
      </w:r>
      <w:r w:rsidR="008D74BF">
        <w:t>.</w:t>
      </w:r>
    </w:p>
    <w:p w14:paraId="2C708815" w14:textId="09C0B88F" w:rsidR="008D74BF" w:rsidRDefault="008719C0" w:rsidP="008719C0">
      <w:r>
        <w:t>In Study 20070337, potential anaphylactic events were identified using the World Allergy Organization Guidelines</w:t>
      </w:r>
      <w:r w:rsidR="0064376D">
        <w:t xml:space="preserve"> (2012);</w:t>
      </w:r>
      <w:r w:rsidR="00876111">
        <w:rPr>
          <w:rStyle w:val="FootnoteReference"/>
        </w:rPr>
        <w:footnoteReference w:id="48"/>
      </w:r>
      <w:r>
        <w:t xml:space="preserve"> to further assess the anaphylactic reactions using the </w:t>
      </w:r>
      <w:r w:rsidR="0064376D">
        <w:t>‘</w:t>
      </w:r>
      <w:r>
        <w:t>Anaphylaxis Reaction</w:t>
      </w:r>
      <w:r w:rsidR="0064376D">
        <w:t>’</w:t>
      </w:r>
      <w:r>
        <w:t xml:space="preserve"> SMQ algorithm. The subject incidence of potential anaphylactic reactions was generally similar between both treatment groups and both study periods. Based on a review of the cases, none of the anaphylactic reactions were associated with romosozumab use</w:t>
      </w:r>
      <w:r w:rsidR="008D74BF">
        <w:t>.</w:t>
      </w:r>
    </w:p>
    <w:p w14:paraId="74216405" w14:textId="24D437F0" w:rsidR="008D74BF" w:rsidRDefault="008719C0" w:rsidP="008719C0">
      <w:r>
        <w:t xml:space="preserve">In the </w:t>
      </w:r>
      <w:r w:rsidR="0064376D">
        <w:t>osteoporosis safety analysis set</w:t>
      </w:r>
      <w:r>
        <w:t>, exposure-adjusted incidence rates per 100</w:t>
      </w:r>
      <w:r w:rsidR="00327AB1">
        <w:t> </w:t>
      </w:r>
      <w:r>
        <w:t xml:space="preserve">subject-years of AEs potentially related to hypersensitivity were 7.3 in the total romosozumab group, 7.1 in the romosozumab 210 mg group, and 7.1 in the integrated control group with similar profile to that observed in the </w:t>
      </w:r>
      <w:r w:rsidR="00531AFF">
        <w:t>12 month</w:t>
      </w:r>
      <w:r>
        <w:t xml:space="preserve"> placebo</w:t>
      </w:r>
      <w:r w:rsidR="00327AB1">
        <w:t xml:space="preserve"> </w:t>
      </w:r>
      <w:r>
        <w:t xml:space="preserve">controlled osteoporosis safety </w:t>
      </w:r>
      <w:r w:rsidRPr="00A62BA9">
        <w:t>set (</w:t>
      </w:r>
      <w:r w:rsidR="0064376D">
        <w:t xml:space="preserve">see </w:t>
      </w:r>
      <w:r w:rsidRPr="00A62BA9">
        <w:t xml:space="preserve">Table </w:t>
      </w:r>
      <w:r w:rsidR="00A62BA9" w:rsidRPr="00A62BA9">
        <w:t>15</w:t>
      </w:r>
      <w:r w:rsidRPr="00A62BA9">
        <w:t>)</w:t>
      </w:r>
      <w:r w:rsidR="008D74BF" w:rsidRPr="00A62BA9">
        <w:t>.</w:t>
      </w:r>
    </w:p>
    <w:p w14:paraId="4006FE37" w14:textId="4F6149DC" w:rsidR="00A70F2D" w:rsidRDefault="00A70F2D" w:rsidP="00C809F2">
      <w:pPr>
        <w:pStyle w:val="TableTitle"/>
      </w:pPr>
      <w:r w:rsidRPr="00A70F2D">
        <w:lastRenderedPageBreak/>
        <w:t xml:space="preserve">Table </w:t>
      </w:r>
      <w:r w:rsidR="00A62BA9">
        <w:t>15</w:t>
      </w:r>
      <w:r w:rsidRPr="00A70F2D">
        <w:t>: Exposure-adjusted incidence of treatment-emergent concomitant or recurrent AEs potentially associated with hypersensitivity by preferred term: exposure-adjusted incidence rate of &gt;</w:t>
      </w:r>
      <w:r w:rsidR="00A43FC2">
        <w:t xml:space="preserve"> </w:t>
      </w:r>
      <w:r w:rsidRPr="00A70F2D">
        <w:t>0.5 per 100 subject years in total romosozumab or integrated control groups (osteoporosis safety analysis set)</w:t>
      </w:r>
    </w:p>
    <w:p w14:paraId="67535B1F" w14:textId="77777777" w:rsidR="00A70F2D" w:rsidRDefault="00A70F2D" w:rsidP="008719C0">
      <w:r>
        <w:rPr>
          <w:noProof/>
          <w:lang w:eastAsia="en-AU"/>
        </w:rPr>
        <w:drawing>
          <wp:inline distT="0" distB="0" distL="0" distR="0" wp14:anchorId="1FFE37EF" wp14:editId="76B4A210">
            <wp:extent cx="5400040" cy="2377518"/>
            <wp:effectExtent l="0" t="0" r="0" b="3810"/>
            <wp:docPr id="9" name="Picture 9" descr="Exposure-adjusted incidence of treatment-emergent concomitant or recurrent AEs potentially associated with hypersensitivity by preferred term: exposure-adjusted incidence rate of &gt; 0.5 per 100 subject years in total romosozumab or integrated control groups (osteoporosi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sharpenSoften amount="39000"/>
                              </a14:imgEffect>
                            </a14:imgLayer>
                          </a14:imgProps>
                        </a:ext>
                      </a:extLst>
                    </a:blip>
                    <a:stretch>
                      <a:fillRect/>
                    </a:stretch>
                  </pic:blipFill>
                  <pic:spPr>
                    <a:xfrm>
                      <a:off x="0" y="0"/>
                      <a:ext cx="5400040" cy="2377518"/>
                    </a:xfrm>
                    <a:prstGeom prst="rect">
                      <a:avLst/>
                    </a:prstGeom>
                  </pic:spPr>
                </pic:pic>
              </a:graphicData>
            </a:graphic>
          </wp:inline>
        </w:drawing>
      </w:r>
    </w:p>
    <w:p w14:paraId="03DB979F" w14:textId="77777777" w:rsidR="008D74BF" w:rsidRDefault="008719C0" w:rsidP="008719C0">
      <w:r>
        <w:t xml:space="preserve">During the </w:t>
      </w:r>
      <w:r w:rsidR="00531AFF">
        <w:t>12 month</w:t>
      </w:r>
      <w:r>
        <w:t xml:space="preserve"> double</w:t>
      </w:r>
      <w:r w:rsidR="00327AB1">
        <w:t xml:space="preserve"> </w:t>
      </w:r>
      <w:r>
        <w:t>blind period of the alendronate</w:t>
      </w:r>
      <w:r w:rsidR="00327AB1">
        <w:t xml:space="preserve"> </w:t>
      </w:r>
      <w:r>
        <w:t xml:space="preserve">controlled Study 20110142, AEs potentially related to hypersensitivity were reported for 122 (6.0%) subjects in the romosozumab group and 118 (5.9%) subjects in the alendronate group. AEs potentially related to hypersensitivity reported for ≥ 0.5% of subjects in either treatment group were rash (romosozumab </w:t>
      </w:r>
      <w:r w:rsidR="00CE639A">
        <w:t xml:space="preserve">versus </w:t>
      </w:r>
      <w:r>
        <w:t xml:space="preserve">alendronate: 1.1% </w:t>
      </w:r>
      <w:r w:rsidR="00CE639A">
        <w:t xml:space="preserve">versus </w:t>
      </w:r>
      <w:r>
        <w:t xml:space="preserve">1.1%), dermatitis (0.8% </w:t>
      </w:r>
      <w:r w:rsidR="00CE639A">
        <w:t xml:space="preserve">versus </w:t>
      </w:r>
      <w:r>
        <w:t xml:space="preserve">0.6%), rash pruritic (0.6% </w:t>
      </w:r>
      <w:r w:rsidR="00CE639A">
        <w:t xml:space="preserve">versus </w:t>
      </w:r>
      <w:r>
        <w:t xml:space="preserve">0.3%), dermatitis allergic (0.6% </w:t>
      </w:r>
      <w:r w:rsidR="00CE639A">
        <w:t xml:space="preserve">versus </w:t>
      </w:r>
      <w:r>
        <w:t xml:space="preserve">0.7%) and eczema (0.4% </w:t>
      </w:r>
      <w:r w:rsidR="00CE639A">
        <w:t xml:space="preserve">versus </w:t>
      </w:r>
      <w:r>
        <w:t>0.6%). SAEs potentially related to hypersensitivity were reported for 3 (0.1%) subjects in the romosozumab group and 2 (&lt; 0.1%) subjects in the alendronate group. AEs potentially related to hypersensitivity led to discontinuation from investigational product and from the study for 4 (0.2%) and 1 (&lt; 0.1%) subjects, respectively, in the romosozumab group and 3 (0.1%) and 0 (0.0%) subject in the alendronate group. All events leading to discontinuation from investigational product were reported for single subjects (angioedema, dermatitis allergic, injection site rash, pruritus allergic, urticarial, rash pruritic), with the exception of rash, which was reported for 2 subjects in the alendronate treatment group</w:t>
      </w:r>
      <w:r w:rsidR="008D74BF">
        <w:t>.</w:t>
      </w:r>
    </w:p>
    <w:p w14:paraId="1A545CB2" w14:textId="2BE406A7" w:rsidR="008719C0" w:rsidRDefault="008719C0" w:rsidP="008719C0">
      <w:r>
        <w:t>In the male osteoporosis Study 20110174, AEs potentially related to hypersensitivity were reported for 4.9% of subjects in each treatment group, which was lower than the rates observed in Study 20070337 (romosozumab: 6.8%; placebo: 6.9%). No SAEs potentially related to hypersensitivity were reported in Study 20110174 and AEs potentially related to hypersensitivity leading to discontinuation from the study were not collected in Study</w:t>
      </w:r>
      <w:r w:rsidR="0064376D">
        <w:t> </w:t>
      </w:r>
      <w:r>
        <w:t>20110174.</w:t>
      </w:r>
    </w:p>
    <w:p w14:paraId="3174D967" w14:textId="77777777" w:rsidR="00327AB1" w:rsidRDefault="00327AB1" w:rsidP="00327AB1">
      <w:pPr>
        <w:pStyle w:val="Heading5"/>
      </w:pPr>
      <w:r>
        <w:t>Injection site reactions</w:t>
      </w:r>
    </w:p>
    <w:p w14:paraId="6AC51BDB" w14:textId="77777777" w:rsidR="008D74BF" w:rsidRDefault="008719C0" w:rsidP="008719C0">
      <w:r>
        <w:t xml:space="preserve">In the </w:t>
      </w:r>
      <w:r w:rsidR="00531AFF">
        <w:t>12 month</w:t>
      </w:r>
      <w:r>
        <w:t xml:space="preserve"> </w:t>
      </w:r>
      <w:r w:rsidR="00566372">
        <w:t>placebo controlled</w:t>
      </w:r>
      <w:r>
        <w:t xml:space="preserve"> osteoporosis safety analysis set, AEs of injection site reactions were reported for 5.2% and 2.9% of subjects in the total romosozumab and placebo groups, respectively; common AEs were injection site pain (1.8%, 1.2%) and injection site erythema (1.5%, 0.2%). Most AEs were mild or moderate; the only severe events reported were injection site pain (1 event each in the total romosozumab and placebo groups) and no SAEs of injection site reactions were reported. The incidence of AEs injection site reactions leading to discontinuation of investigational product or from study was low (&lt;</w:t>
      </w:r>
      <w:r w:rsidR="00327AB1">
        <w:t xml:space="preserve"> </w:t>
      </w:r>
      <w:r>
        <w:t>0.1% in both groups) all of which were reported in Study 20070337. The median time to onset of the first injection site reaction adverse event was 88.0 days (range: 1 to 338 days) for the total romosozumab group and 62.0</w:t>
      </w:r>
      <w:r w:rsidR="00327AB1">
        <w:t> </w:t>
      </w:r>
      <w:r>
        <w:t>days (range: 1 to 338</w:t>
      </w:r>
      <w:r w:rsidR="00D226D6">
        <w:t> </w:t>
      </w:r>
      <w:r>
        <w:t>days) for the total placebo group, and varied across studies</w:t>
      </w:r>
      <w:r w:rsidR="008D74BF">
        <w:t>.</w:t>
      </w:r>
    </w:p>
    <w:p w14:paraId="26CA9FCA" w14:textId="77777777" w:rsidR="008D74BF" w:rsidRDefault="008719C0" w:rsidP="008719C0">
      <w:r>
        <w:lastRenderedPageBreak/>
        <w:t>In the osteoporosis safety analysis set, the exposure-adjusted incidence rate per 100</w:t>
      </w:r>
      <w:r w:rsidR="00327AB1">
        <w:t> </w:t>
      </w:r>
      <w:r>
        <w:t>subject-years of adverse events of injection site reactions was 6.1 in the total romosozumab group, 5.8 in the romosozumab 210 mg group and 2.9 in the integrated control group. No serious adverse events of injection site reactions were reported</w:t>
      </w:r>
      <w:r w:rsidR="008D74BF">
        <w:t>.</w:t>
      </w:r>
    </w:p>
    <w:p w14:paraId="4660CC58" w14:textId="77777777" w:rsidR="008719C0" w:rsidRDefault="008719C0" w:rsidP="008719C0">
      <w:r>
        <w:t xml:space="preserve">During the </w:t>
      </w:r>
      <w:r w:rsidR="00531AFF">
        <w:t>12 month</w:t>
      </w:r>
      <w:r>
        <w:t xml:space="preserve"> double</w:t>
      </w:r>
      <w:r w:rsidR="00327AB1">
        <w:t xml:space="preserve"> </w:t>
      </w:r>
      <w:r>
        <w:t>blind period of the alendronate</w:t>
      </w:r>
      <w:r w:rsidR="00327AB1">
        <w:t xml:space="preserve"> </w:t>
      </w:r>
      <w:r>
        <w:t>controlled Study 20110142, AEs of injection site reactions were reported for 90 (4.4%) subjects in the romosozumab group and 53 (2.6%) subjects in the alendronate group; none were considered serious. In both the romosozumab and alendronate groups, all events were considered mild to moderate in severity with the exception of 1 severe event of administration site pain in the alendronate group.</w:t>
      </w:r>
    </w:p>
    <w:p w14:paraId="0A8C1C25" w14:textId="03A625AF" w:rsidR="008719C0" w:rsidRDefault="008719C0" w:rsidP="008719C0">
      <w:r>
        <w:t xml:space="preserve">In the male osteoporosis Study 20110174, injection site reactions occurred at similar rates (romosozumab </w:t>
      </w:r>
      <w:r w:rsidR="003458DF">
        <w:t>versus</w:t>
      </w:r>
      <w:r>
        <w:t>. placebo: 5.5% v</w:t>
      </w:r>
      <w:r w:rsidR="00327AB1">
        <w:t>ersus</w:t>
      </w:r>
      <w:r>
        <w:t xml:space="preserve"> 3.7%) as in Study 20070337 (5.2% v</w:t>
      </w:r>
      <w:r w:rsidR="00327AB1">
        <w:t>ersu</w:t>
      </w:r>
      <w:r>
        <w:t>s 2.9%).</w:t>
      </w:r>
    </w:p>
    <w:p w14:paraId="3C20788E" w14:textId="4B3D0481" w:rsidR="00C44BAA" w:rsidRDefault="008719C0" w:rsidP="00327AB1">
      <w:pPr>
        <w:pStyle w:val="Heading5"/>
      </w:pPr>
      <w:r>
        <w:t>Malignancy (</w:t>
      </w:r>
      <w:r w:rsidR="00BC49ED">
        <w:t>malignant or unspecified tumour</w:t>
      </w:r>
      <w:r>
        <w:t>)</w:t>
      </w:r>
    </w:p>
    <w:p w14:paraId="44BDB381" w14:textId="77777777" w:rsidR="008D74BF" w:rsidRDefault="008719C0" w:rsidP="008719C0">
      <w:r>
        <w:t xml:space="preserve">In the </w:t>
      </w:r>
      <w:r w:rsidR="00531AFF">
        <w:t>12 month</w:t>
      </w:r>
      <w:r>
        <w:t xml:space="preserve"> placebo</w:t>
      </w:r>
      <w:r w:rsidR="00327AB1">
        <w:t xml:space="preserve"> </w:t>
      </w:r>
      <w:r>
        <w:t>controlled osteoporosis safety analysis set, AEs of malignant or unspecified tumours were reported for 1.4% of subjects in the total romosozumab treatment group and 1.6% of subjects in the placebo group; SAEs were reported for 1.0% and 1.1% of subjects, respectively. Preferred terms reported for ≥ 0.2% of subjects in either treatment group were basal cell carcinoma (0.3%, 0.5%) and lung neoplasm malignant (0.2%, 0.2%). The subject incidences of lymphomas and leukaemia were low and balanced between the romosozumab and placebo groups</w:t>
      </w:r>
      <w:r w:rsidR="008D74BF">
        <w:t>.</w:t>
      </w:r>
    </w:p>
    <w:p w14:paraId="3C9C467D" w14:textId="5275FF76" w:rsidR="008D74BF" w:rsidRDefault="008719C0" w:rsidP="008719C0">
      <w:r>
        <w:t>In the osteoporosis safety analysis set, the exposure-adjusted incidence rate per 100</w:t>
      </w:r>
      <w:r w:rsidR="00160661">
        <w:t> </w:t>
      </w:r>
      <w:r>
        <w:t>subject-years of AEs of malignant or unspecified tumours was 1.5 in the total romosozumab and romosozumab 210 mg groups and 1.6 in the integrated control group; SAEs occurred at an exposure-adjusted incidence rate per 100 subject-years of 1.1 across all treatment groups. The only preferred term reported at an exposure-adjusted incidence rate per 100 subject-years of ≥ 0.2 in either treatment group was basal cell carcinoma (0.3</w:t>
      </w:r>
      <w:r w:rsidR="0064376D">
        <w:t> </w:t>
      </w:r>
      <w:r>
        <w:t>for both romosozumab groups; 0.4 for the control group)</w:t>
      </w:r>
      <w:r w:rsidR="008D74BF">
        <w:t>.</w:t>
      </w:r>
    </w:p>
    <w:p w14:paraId="5248EF18" w14:textId="77777777" w:rsidR="008719C0" w:rsidRDefault="008719C0" w:rsidP="008719C0">
      <w:r>
        <w:t xml:space="preserve">During the </w:t>
      </w:r>
      <w:r w:rsidR="00531AFF">
        <w:t>12 month</w:t>
      </w:r>
      <w:r>
        <w:t xml:space="preserve"> double</w:t>
      </w:r>
      <w:r w:rsidR="00160661">
        <w:t xml:space="preserve"> </w:t>
      </w:r>
      <w:r>
        <w:t>blind period of the alendronate</w:t>
      </w:r>
      <w:r w:rsidR="00D226D6">
        <w:t xml:space="preserve"> </w:t>
      </w:r>
      <w:r>
        <w:t>controlled Study 20110142, 31 (1.5%) subjects in the romosozumab group and 28 (1.4%) subjects in the alendronate group were reported to have adverse events of malignancies or unspecified tumours. Serious adverse events of malignancy were reported for 25 (1.2%) subjects in the romosozumab group and 20 (1.0%) subjects in the alendronate group.</w:t>
      </w:r>
    </w:p>
    <w:p w14:paraId="530942B6" w14:textId="77777777" w:rsidR="008D74BF" w:rsidRDefault="008719C0" w:rsidP="008719C0">
      <w:r>
        <w:t>In the male osteoporosis Study 20110174, malignancies occurred at similar rates (romosozumab: 1.8%; placebo: 2.5%) as in Study 20070337 (romosozumab: 1.4%; placebo: 1.5%). In the romosozumab group of Study 20110174, events included 2 (1.2%) subjects with basal cell carcinoma and 1 (0.6%) subject with oropharyngeal cancer. In the male osteoporosis Study 20110174, malignancies occurred at a similar rate in placebo and romosozumab treatment groups with no evidence of treatment-related effects on prostatic tumours</w:t>
      </w:r>
      <w:r w:rsidR="008D74BF">
        <w:t>.</w:t>
      </w:r>
    </w:p>
    <w:p w14:paraId="2551158A" w14:textId="77777777" w:rsidR="00160661" w:rsidRDefault="00160661" w:rsidP="00160661">
      <w:pPr>
        <w:pStyle w:val="Heading5"/>
      </w:pPr>
      <w:r>
        <w:t>Hyperostosis</w:t>
      </w:r>
    </w:p>
    <w:p w14:paraId="32B4054F" w14:textId="1B9DC554" w:rsidR="008D74BF" w:rsidRDefault="008719C0" w:rsidP="008719C0">
      <w:r>
        <w:t>Based on nonclinical and clinical studies, hyperostosis is not considered a potential risk in skeletally mature patients (</w:t>
      </w:r>
      <w:r w:rsidR="00D24492">
        <w:t>that is</w:t>
      </w:r>
      <w:r>
        <w:t xml:space="preserve">, adults). In the </w:t>
      </w:r>
      <w:r w:rsidR="00531AFF">
        <w:t>12 month</w:t>
      </w:r>
      <w:r>
        <w:t xml:space="preserve"> placebo</w:t>
      </w:r>
      <w:r w:rsidR="00160661">
        <w:t xml:space="preserve"> </w:t>
      </w:r>
      <w:r>
        <w:t>controlled osteoporosis safety analysis set, AEs suggestive of hyperostosis were reported for 0.5% of subjects in the total romosozumab treatment group and 0.8% of subjects in the placebo group; SAEs were reported for &lt; 0.1% and 0.1%, respectively. All events occurred in Study</w:t>
      </w:r>
      <w:r w:rsidR="0064376D">
        <w:t> </w:t>
      </w:r>
      <w:r>
        <w:t>20070337 with the exception of 2 events of exostosis in the placebo group of Study</w:t>
      </w:r>
      <w:r w:rsidR="0064376D">
        <w:t> </w:t>
      </w:r>
      <w:r>
        <w:t>20060326. AEs preferred terms for hyperostosis in Study 20070337 were lumbar spinal stenosis (0.2% in each group), exostosis (romosozumab: 0.2%; placebo: 0.3%), spinal column stenosis (&lt; 0.1%; 0.2%) and cervical spinal stenosis (&lt;</w:t>
      </w:r>
      <w:r w:rsidR="00160661">
        <w:t xml:space="preserve"> </w:t>
      </w:r>
      <w:r>
        <w:t>0.1% in each group)</w:t>
      </w:r>
      <w:r w:rsidR="008D74BF">
        <w:t>.</w:t>
      </w:r>
    </w:p>
    <w:p w14:paraId="3F3C67B0" w14:textId="77777777" w:rsidR="008D74BF" w:rsidRDefault="008719C0" w:rsidP="008719C0">
      <w:r>
        <w:lastRenderedPageBreak/>
        <w:t xml:space="preserve">A potential consequence of hyperostosis is nerve compression which may include facial drooping, numbness, or changes in hearing or vision. Neurological sequelae due to early signs of hyperostosis, such as changes in hearing, were not observed in the </w:t>
      </w:r>
      <w:proofErr w:type="spellStart"/>
      <w:r>
        <w:t>substudy</w:t>
      </w:r>
      <w:proofErr w:type="spellEnd"/>
      <w:r>
        <w:t xml:space="preserve"> involving 498 subjects conducted in pivotal </w:t>
      </w:r>
      <w:r w:rsidR="00160661">
        <w:t>P</w:t>
      </w:r>
      <w:r>
        <w:t xml:space="preserve">hase </w:t>
      </w:r>
      <w:r w:rsidR="00160661">
        <w:t>III</w:t>
      </w:r>
      <w:r>
        <w:t xml:space="preserve"> Study 20070337. No significant difference in average change in hearing threshold, nor in incidence of protocol</w:t>
      </w:r>
      <w:r w:rsidR="00160661">
        <w:t xml:space="preserve"> defined hearing loss</w:t>
      </w:r>
      <w:r>
        <w:t xml:space="preserve"> was observed between treatment groups at </w:t>
      </w:r>
      <w:r w:rsidR="00160661">
        <w:t>M</w:t>
      </w:r>
      <w:r>
        <w:t>onth 12, although the follow-up was not long enough to detect any problems</w:t>
      </w:r>
      <w:r w:rsidR="008D74BF">
        <w:t>.</w:t>
      </w:r>
    </w:p>
    <w:p w14:paraId="0B62A96D" w14:textId="77777777" w:rsidR="008719C0" w:rsidRDefault="008719C0" w:rsidP="008719C0">
      <w:r>
        <w:t xml:space="preserve">Results for the osteoporosis safety analysis set were generally similar to the </w:t>
      </w:r>
      <w:r w:rsidR="00531AFF">
        <w:t>12 month</w:t>
      </w:r>
      <w:r>
        <w:t xml:space="preserve"> placebo</w:t>
      </w:r>
      <w:r w:rsidR="00160661">
        <w:t xml:space="preserve"> </w:t>
      </w:r>
      <w:r>
        <w:t>controlled osteoporosis safety analysis set.</w:t>
      </w:r>
    </w:p>
    <w:p w14:paraId="630A6FF2" w14:textId="77777777" w:rsidR="008719C0" w:rsidRDefault="008719C0" w:rsidP="008719C0">
      <w:r>
        <w:t xml:space="preserve">During the </w:t>
      </w:r>
      <w:r w:rsidR="00531AFF">
        <w:t>12 month</w:t>
      </w:r>
      <w:r>
        <w:t xml:space="preserve"> double</w:t>
      </w:r>
      <w:r w:rsidR="00160661">
        <w:t xml:space="preserve"> </w:t>
      </w:r>
      <w:r>
        <w:t>blind period of the alendronate</w:t>
      </w:r>
      <w:r w:rsidR="00160661">
        <w:t xml:space="preserve"> </w:t>
      </w:r>
      <w:r>
        <w:t>controlled Study 20110142, 2</w:t>
      </w:r>
      <w:r w:rsidR="00D226D6">
        <w:t> </w:t>
      </w:r>
      <w:r>
        <w:t>(&lt; 0.1%) subjects in the romosozumab group and 12 (0.6%) subjects in the alendronate group were reported to have AEs of hyperostosis; main AEs were heel and calcaneal spurs. Serious hyperostosis events were reported for 2 (&lt; 0.1%) subjects in the alendronate group and no subjects in the romosozumab group.</w:t>
      </w:r>
      <w:r w:rsidR="008D74BF">
        <w:t xml:space="preserve"> </w:t>
      </w:r>
      <w:r>
        <w:t>No hyperostosis AEs were reported in the male osteoporosis Study 20110174.</w:t>
      </w:r>
    </w:p>
    <w:p w14:paraId="22757D58" w14:textId="77777777" w:rsidR="00160661" w:rsidRDefault="00D226D6" w:rsidP="00160661">
      <w:pPr>
        <w:pStyle w:val="Heading5"/>
      </w:pPr>
      <w:r>
        <w:t>Osteoarthritis</w:t>
      </w:r>
    </w:p>
    <w:p w14:paraId="10565810" w14:textId="6BFF1BD1" w:rsidR="008719C0" w:rsidRDefault="008719C0" w:rsidP="008719C0">
      <w:r w:rsidRPr="00C809F2">
        <w:t xml:space="preserve">Current literature supports a role of canonical </w:t>
      </w:r>
      <w:proofErr w:type="spellStart"/>
      <w:r w:rsidRPr="00C809F2">
        <w:t>Wnt</w:t>
      </w:r>
      <w:proofErr w:type="spellEnd"/>
      <w:r w:rsidRPr="00C809F2">
        <w:t xml:space="preserve"> </w:t>
      </w:r>
      <w:r w:rsidR="00DD4DAE" w:rsidRPr="00C809F2">
        <w:t>signalling</w:t>
      </w:r>
      <w:r w:rsidRPr="00C809F2">
        <w:t xml:space="preserve"> in the maintenance of articular cartilage and that dysregulation of the pathway</w:t>
      </w:r>
      <w:r>
        <w:t xml:space="preserve"> could negatively affect cartilage health. Sclerostin is expressed in articular cartilage but its role in maintenance of cartilage health is unclear. In a nonclinical rodent model of osteoarthritis</w:t>
      </w:r>
      <w:r w:rsidRPr="00E477F6">
        <w:t xml:space="preserve">, </w:t>
      </w:r>
      <w:proofErr w:type="spellStart"/>
      <w:r w:rsidRPr="00E477F6">
        <w:t>Sci</w:t>
      </w:r>
      <w:proofErr w:type="spellEnd"/>
      <w:r w:rsidRPr="00E477F6">
        <w:t>-Ab</w:t>
      </w:r>
      <w:r>
        <w:t xml:space="preserve"> at doses up to 7 times the clinical dose of 210 mg </w:t>
      </w:r>
      <w:r w:rsidR="00D226D6">
        <w:t>monthly</w:t>
      </w:r>
      <w:r>
        <w:t xml:space="preserve"> on a mg/kg basis increased bone mass as anticipated, with no effects on cartilage thickness or area.</w:t>
      </w:r>
    </w:p>
    <w:p w14:paraId="5B7D0F0A" w14:textId="77777777" w:rsidR="008D74BF" w:rsidRDefault="008719C0" w:rsidP="008719C0">
      <w:r>
        <w:t xml:space="preserve">In the </w:t>
      </w:r>
      <w:r w:rsidR="00531AFF">
        <w:t>12 month</w:t>
      </w:r>
      <w:r>
        <w:t xml:space="preserve"> placebo</w:t>
      </w:r>
      <w:r w:rsidR="00D226D6">
        <w:t xml:space="preserve"> </w:t>
      </w:r>
      <w:r>
        <w:t xml:space="preserve">controlled osteoporosis safety analysis set, AEs of osteoarthritis were reported for 7.9% of subjects in the total romosozumab treatment group and 8.6% of subjects in the placebo group; SAEs were reported for 0.2% and 0.5%, respectively Results for the osteoporosis safety analysis set were generally similar to the </w:t>
      </w:r>
      <w:r w:rsidR="00531AFF">
        <w:t>12 month</w:t>
      </w:r>
      <w:r>
        <w:t xml:space="preserve"> placebo</w:t>
      </w:r>
      <w:r w:rsidR="00D226D6">
        <w:t xml:space="preserve"> </w:t>
      </w:r>
      <w:r>
        <w:t>controlled osteoporosis safety analysis set</w:t>
      </w:r>
      <w:r w:rsidR="008D74BF">
        <w:t>.</w:t>
      </w:r>
    </w:p>
    <w:p w14:paraId="67B6D96F" w14:textId="2F3F3F14" w:rsidR="008D74BF" w:rsidRDefault="008719C0" w:rsidP="008719C0">
      <w:r>
        <w:t xml:space="preserve">In the </w:t>
      </w:r>
      <w:r w:rsidR="00D226D6">
        <w:t>P</w:t>
      </w:r>
      <w:r>
        <w:t xml:space="preserve">hase </w:t>
      </w:r>
      <w:r w:rsidR="00D226D6">
        <w:t>II</w:t>
      </w:r>
      <w:r>
        <w:t xml:space="preserve"> dose</w:t>
      </w:r>
      <w:r w:rsidR="00D226D6">
        <w:t xml:space="preserve"> </w:t>
      </w:r>
      <w:r>
        <w:t xml:space="preserve">ranging Study 20101291 in Japanese subjects, there was a higher incidence of osteoarthritis AEs in the total romosozumab groups (13 </w:t>
      </w:r>
      <w:r w:rsidR="00654353">
        <w:t>(</w:t>
      </w:r>
      <w:r>
        <w:t>6.9%</w:t>
      </w:r>
      <w:r w:rsidR="00654353">
        <w:t>)</w:t>
      </w:r>
      <w:r>
        <w:t xml:space="preserve">) compared with placebo (0.0%), with more events occurring in the higher dose groups (1 </w:t>
      </w:r>
      <w:r w:rsidR="00654353">
        <w:t>(</w:t>
      </w:r>
      <w:r>
        <w:t>1.6%</w:t>
      </w:r>
      <w:r w:rsidR="00654353">
        <w:t>)</w:t>
      </w:r>
      <w:r>
        <w:t xml:space="preserve"> in the 70 mg group, 2 </w:t>
      </w:r>
      <w:r w:rsidR="00654353">
        <w:t>(</w:t>
      </w:r>
      <w:r>
        <w:t>3.2%</w:t>
      </w:r>
      <w:r w:rsidR="00654353">
        <w:t>)</w:t>
      </w:r>
      <w:r>
        <w:t xml:space="preserve"> in the 140 mg group and 10 </w:t>
      </w:r>
      <w:r w:rsidR="00654353">
        <w:t>(</w:t>
      </w:r>
      <w:r>
        <w:t>15.9%</w:t>
      </w:r>
      <w:r w:rsidR="00654353">
        <w:t>)</w:t>
      </w:r>
      <w:r>
        <w:t xml:space="preserve"> in the 210 mg group). These numerical differences in osteoarthritis were not observed across doses in Study 20060326. In addition, among Japanese subjects in the </w:t>
      </w:r>
      <w:r w:rsidR="00D226D6">
        <w:t>P</w:t>
      </w:r>
      <w:r>
        <w:t xml:space="preserve">hase </w:t>
      </w:r>
      <w:r w:rsidR="00D226D6">
        <w:t>III</w:t>
      </w:r>
      <w:r>
        <w:t xml:space="preserve"> Study 20070337, the incidence of osteoarthritis was similar between the placebo and romosozumab groups</w:t>
      </w:r>
      <w:r w:rsidR="008D74BF">
        <w:t>.</w:t>
      </w:r>
    </w:p>
    <w:p w14:paraId="6CC05941" w14:textId="0A20BC82" w:rsidR="008719C0" w:rsidRDefault="008719C0" w:rsidP="008719C0">
      <w:r>
        <w:t xml:space="preserve">In an osteoarthritis </w:t>
      </w:r>
      <w:proofErr w:type="spellStart"/>
      <w:r>
        <w:t>substudy</w:t>
      </w:r>
      <w:proofErr w:type="spellEnd"/>
      <w:r>
        <w:t xml:space="preserve"> of pivotal Study 20070337, osteoarthritis AEs were reported for 7.7% (13</w:t>
      </w:r>
      <w:r w:rsidR="00D226D6">
        <w:t xml:space="preserve"> of</w:t>
      </w:r>
      <w:r>
        <w:t>168) of subjects in the romosozumab group and 12.0% (21</w:t>
      </w:r>
      <w:r w:rsidR="00D226D6">
        <w:t xml:space="preserve"> of</w:t>
      </w:r>
      <w:r>
        <w:t xml:space="preserve">175) of subjects in the placebo group. The most frequently reported AE (preferred term) was osteoarthritis (6.0% </w:t>
      </w:r>
      <w:r w:rsidR="00654353">
        <w:t>(</w:t>
      </w:r>
      <w:r>
        <w:t>10 subjects</w:t>
      </w:r>
      <w:r w:rsidR="00654353">
        <w:t>)</w:t>
      </w:r>
      <w:r>
        <w:t xml:space="preserve">, 9.1% </w:t>
      </w:r>
      <w:r w:rsidR="00654353">
        <w:t>(</w:t>
      </w:r>
      <w:r>
        <w:t>16 subjects</w:t>
      </w:r>
      <w:r w:rsidR="00654353">
        <w:t>)</w:t>
      </w:r>
      <w:r>
        <w:t>).</w:t>
      </w:r>
    </w:p>
    <w:p w14:paraId="2A2CFBF7" w14:textId="77777777" w:rsidR="008719C0" w:rsidRDefault="008719C0" w:rsidP="008719C0">
      <w:r>
        <w:t xml:space="preserve">During the </w:t>
      </w:r>
      <w:r w:rsidR="00531AFF">
        <w:t>12 month</w:t>
      </w:r>
      <w:r>
        <w:t xml:space="preserve"> double</w:t>
      </w:r>
      <w:r w:rsidR="00D226D6">
        <w:t xml:space="preserve"> </w:t>
      </w:r>
      <w:r>
        <w:t>blind period of the alendronate</w:t>
      </w:r>
      <w:r w:rsidR="00D226D6">
        <w:t xml:space="preserve"> </w:t>
      </w:r>
      <w:r>
        <w:t xml:space="preserve">controlled Study 20110142, 138 (6.8%) subjects in the romosozumab group and 146 (7.2%) subjects in the alendronate group were reported to have AEs of osteoarthritis; most common AEs were osteoarthritis (romosozumab </w:t>
      </w:r>
      <w:r w:rsidR="00CE639A">
        <w:t xml:space="preserve">versus </w:t>
      </w:r>
      <w:r>
        <w:t xml:space="preserve">alendronate: 5.7%, </w:t>
      </w:r>
      <w:r w:rsidR="00CE639A">
        <w:t xml:space="preserve">versus </w:t>
      </w:r>
      <w:r>
        <w:t xml:space="preserve">5.6%), spinal osteoarthritis (1.2% </w:t>
      </w:r>
      <w:r w:rsidR="00CE639A">
        <w:t xml:space="preserve">versus </w:t>
      </w:r>
      <w:r>
        <w:t xml:space="preserve">1.3%) and exostosis (&lt; 0.1% </w:t>
      </w:r>
      <w:r w:rsidR="00CE639A">
        <w:t xml:space="preserve">versus </w:t>
      </w:r>
      <w:r>
        <w:t>0.3%). Serious osteoarthritis events were reported for 8 (0.4%) subjects in the romosozumab group and 6 (0.3%) subjects in the alendronate group.</w:t>
      </w:r>
    </w:p>
    <w:p w14:paraId="1ACAF532" w14:textId="77777777" w:rsidR="008D74BF" w:rsidRDefault="008719C0" w:rsidP="008719C0">
      <w:r>
        <w:t xml:space="preserve">AEs of osteoarthritis were reported for 4.9% of subjects in each treatment group of the male osteoporosis Study 20110174, and 8.0% in the romosozumab group and 8.8% in the placebo group of the </w:t>
      </w:r>
      <w:r w:rsidR="00C36ACF">
        <w:t>postmenopausal osteoporosis</w:t>
      </w:r>
      <w:r>
        <w:t xml:space="preserve"> Study 20070337</w:t>
      </w:r>
      <w:r w:rsidR="008D74BF">
        <w:t>.</w:t>
      </w:r>
    </w:p>
    <w:p w14:paraId="772D370F" w14:textId="77777777" w:rsidR="00D226D6" w:rsidRDefault="008719C0" w:rsidP="00D226D6">
      <w:pPr>
        <w:pStyle w:val="Heading5"/>
      </w:pPr>
      <w:r>
        <w:lastRenderedPageBreak/>
        <w:t>TNF-mediated inflammatory AEs</w:t>
      </w:r>
    </w:p>
    <w:p w14:paraId="1CA6279F" w14:textId="4B558B25" w:rsidR="008719C0" w:rsidRDefault="008719C0" w:rsidP="008719C0">
      <w:r>
        <w:t xml:space="preserve">Sclerostin has been proposed as having a role as a negative regulator of </w:t>
      </w:r>
      <w:r w:rsidR="00654353">
        <w:t xml:space="preserve">tumour necrosis factor (TNF) </w:t>
      </w:r>
      <w:r>
        <w:t>TNF</w:t>
      </w:r>
      <w:r w:rsidR="0064376D">
        <w:t xml:space="preserve"> alpha (TNF</w:t>
      </w:r>
      <w:r>
        <w:t>α</w:t>
      </w:r>
      <w:r w:rsidR="0064376D">
        <w:t>)</w:t>
      </w:r>
      <w:r>
        <w:t xml:space="preserve"> production in synovium, and expression of sclerostin has been shown in </w:t>
      </w:r>
      <w:proofErr w:type="spellStart"/>
      <w:r>
        <w:t>synoviocytes</w:t>
      </w:r>
      <w:proofErr w:type="spellEnd"/>
      <w:r>
        <w:t xml:space="preserve"> from patients with rheumatoid arthritis</w:t>
      </w:r>
      <w:r w:rsidR="00654353">
        <w:t>.</w:t>
      </w:r>
      <w:r w:rsidR="00876111">
        <w:rPr>
          <w:rStyle w:val="FootnoteReference"/>
        </w:rPr>
        <w:footnoteReference w:id="49"/>
      </w:r>
      <w:r>
        <w:t xml:space="preserve"> However, the findings of this paper are in conflict with other studies that do not indicate a role of sclerostin in regulation of TNF-α-mediated inflammation</w:t>
      </w:r>
      <w:r w:rsidR="00654353">
        <w:t>.</w:t>
      </w:r>
      <w:r w:rsidR="00876111">
        <w:rPr>
          <w:rStyle w:val="FootnoteReference"/>
        </w:rPr>
        <w:footnoteReference w:id="50"/>
      </w:r>
      <w:r w:rsidR="00876111" w:rsidRPr="00105D98">
        <w:rPr>
          <w:vertAlign w:val="superscript"/>
        </w:rPr>
        <w:t>,</w:t>
      </w:r>
      <w:r w:rsidR="00876111">
        <w:rPr>
          <w:rStyle w:val="FootnoteReference"/>
        </w:rPr>
        <w:footnoteReference w:id="51"/>
      </w:r>
    </w:p>
    <w:p w14:paraId="2D4ACB44" w14:textId="77777777" w:rsidR="008719C0" w:rsidRDefault="008719C0" w:rsidP="008719C0">
      <w:r>
        <w:t xml:space="preserve">For the </w:t>
      </w:r>
      <w:r w:rsidR="00531AFF">
        <w:t>12 month</w:t>
      </w:r>
      <w:r>
        <w:t xml:space="preserve"> placebo</w:t>
      </w:r>
      <w:r w:rsidR="00D226D6">
        <w:t xml:space="preserve"> </w:t>
      </w:r>
      <w:r>
        <w:t>controlled osteoporosis safety analysis set, the subject incidence of treatment</w:t>
      </w:r>
      <w:r w:rsidR="00D226D6">
        <w:t xml:space="preserve"> </w:t>
      </w:r>
      <w:r>
        <w:t>emergent TNF-mediated inflammatory AEs was 0.3% in the romosozumab group and 0.4% the placebo group. AE preferred terms reported for ≥</w:t>
      </w:r>
      <w:r w:rsidR="00D226D6">
        <w:t xml:space="preserve"> </w:t>
      </w:r>
      <w:r>
        <w:t xml:space="preserve">0.1% in either treatment group were psoriasis (0.2% in each group) and rheumatoid arthritis (&lt; 0.1% in the romosozumab group and 0.1% in the placebo group). The subject incidence rate was lower in the romosozumab than placebo group for subjects with a prior history of a TNF-mediated inflammatory disease (8.1% and 12.5%, respectively) and subjects with no prior history of TNF-mediated inflammatory disease (0.1% and 0.2%, respectively. Results for the osteoporosis safety analysis set were generally similar to the </w:t>
      </w:r>
      <w:r w:rsidR="00531AFF">
        <w:t>12 month</w:t>
      </w:r>
      <w:r>
        <w:t xml:space="preserve"> </w:t>
      </w:r>
      <w:r w:rsidR="00566372">
        <w:t>placebo controlled</w:t>
      </w:r>
      <w:r>
        <w:t xml:space="preserve"> osteoporosis safety analysis set.</w:t>
      </w:r>
    </w:p>
    <w:p w14:paraId="2964B4A4" w14:textId="58786ADA" w:rsidR="008719C0" w:rsidRDefault="008719C0" w:rsidP="008719C0">
      <w:r>
        <w:t xml:space="preserve">During the </w:t>
      </w:r>
      <w:r w:rsidR="00531AFF">
        <w:t>12 month</w:t>
      </w:r>
      <w:r>
        <w:t xml:space="preserve"> double</w:t>
      </w:r>
      <w:r w:rsidR="00D226D6">
        <w:t xml:space="preserve"> </w:t>
      </w:r>
      <w:r>
        <w:t>blind treatment period of the alendronate</w:t>
      </w:r>
      <w:r w:rsidR="00D226D6">
        <w:t xml:space="preserve"> </w:t>
      </w:r>
      <w:r>
        <w:t>controlled Study</w:t>
      </w:r>
      <w:r w:rsidR="0064376D">
        <w:t> </w:t>
      </w:r>
      <w:r>
        <w:t>20110142, TNF-mediated inflammatory events were reported for 0.5% of subjects in the romosozumab group and 0.7% in the alendronate group. The most frequently reported event (preferred terms) was rheumatoid arthritis (romosozumab: 0.3%; alendronate: 0.4%). The incidence of TNF-mediated inflammatory events was consistent between treatment groups for subjects with a prior history of these events (romosozumab: 9.3%; alendronate: 8.7%) and those with no prior history (0.3% and 0.4%, respectively). The incidence of TNF-mediated inflammatory events was consistent between treatment groups for subjects with a prior history of rheumatoid arthritis (romosozumab: 11.1%; alendronate: 10.0%); all preferred terms were rheumatoid arthritis.</w:t>
      </w:r>
    </w:p>
    <w:p w14:paraId="1772AF41" w14:textId="0761D5FB" w:rsidR="008719C0" w:rsidRDefault="008719C0" w:rsidP="008719C0">
      <w:r>
        <w:t>In other studies, the following 2 ev</w:t>
      </w:r>
      <w:r w:rsidR="00D226D6">
        <w:t xml:space="preserve">ents of palindromic rheumatism </w:t>
      </w:r>
      <w:r>
        <w:t xml:space="preserve">were reported in subjects who received romosozumab: 1 subject in the </w:t>
      </w:r>
      <w:r w:rsidR="00D226D6">
        <w:t>P</w:t>
      </w:r>
      <w:r>
        <w:t xml:space="preserve">hase </w:t>
      </w:r>
      <w:r w:rsidR="00D226D6">
        <w:t>I</w:t>
      </w:r>
      <w:r>
        <w:t>1 Study 20150197 had a SAE of palindromic rheumatism reported on day 10; and 1 subject in Study 20070337 with a medical history of palindromic rheumatism had a non</w:t>
      </w:r>
      <w:r w:rsidR="00E477F6">
        <w:t>-</w:t>
      </w:r>
      <w:r>
        <w:t xml:space="preserve">serious AE of worsening palindromic rheumatism on </w:t>
      </w:r>
      <w:r w:rsidR="00D226D6">
        <w:t>D</w:t>
      </w:r>
      <w:r>
        <w:t>ays 76 to 128.</w:t>
      </w:r>
    </w:p>
    <w:p w14:paraId="25BA0284" w14:textId="77777777" w:rsidR="008D74BF" w:rsidRDefault="008719C0" w:rsidP="008719C0">
      <w:r>
        <w:t>In the male osteoporosis Study 20110174, the</w:t>
      </w:r>
      <w:r w:rsidR="00D226D6">
        <w:t xml:space="preserve"> subject incidence of treatment </w:t>
      </w:r>
      <w:r>
        <w:t xml:space="preserve">emergent TNF-mediated inflammatory adverse events was 1.2% (2 subjects) in the romosozumab group and 0.0% the placebo group (psoriasis and </w:t>
      </w:r>
      <w:r w:rsidR="00D226D6">
        <w:t>rheumatoid arthritis</w:t>
      </w:r>
      <w:r>
        <w:t xml:space="preserve"> in 1 subject each)</w:t>
      </w:r>
      <w:r w:rsidR="008D74BF">
        <w:t>.</w:t>
      </w:r>
    </w:p>
    <w:p w14:paraId="6BFF5ABE" w14:textId="2BAA42BA" w:rsidR="00D226D6" w:rsidRDefault="00D226D6" w:rsidP="00D226D6">
      <w:pPr>
        <w:pStyle w:val="Heading5"/>
      </w:pPr>
      <w:proofErr w:type="spellStart"/>
      <w:r>
        <w:t>Sarcop</w:t>
      </w:r>
      <w:r w:rsidR="0064376D">
        <w:t>a</w:t>
      </w:r>
      <w:r>
        <w:t>enia</w:t>
      </w:r>
      <w:proofErr w:type="spellEnd"/>
    </w:p>
    <w:p w14:paraId="3E490E3B" w14:textId="3B2C7091" w:rsidR="008719C0" w:rsidRDefault="008719C0" w:rsidP="008719C0">
      <w:r>
        <w:t xml:space="preserve">Theoretically, </w:t>
      </w:r>
      <w:proofErr w:type="spellStart"/>
      <w:r>
        <w:t>sarcop</w:t>
      </w:r>
      <w:r w:rsidR="0064376D">
        <w:t>a</w:t>
      </w:r>
      <w:r>
        <w:t>enia</w:t>
      </w:r>
      <w:proofErr w:type="spellEnd"/>
      <w:r>
        <w:t xml:space="preserve"> (reduced muscle weight) may be associated with sclerostin inhibition. In the </w:t>
      </w:r>
      <w:r w:rsidR="00531AFF">
        <w:t>12 month</w:t>
      </w:r>
      <w:r>
        <w:t xml:space="preserve"> placebo</w:t>
      </w:r>
      <w:r w:rsidR="00D226D6">
        <w:t xml:space="preserve"> </w:t>
      </w:r>
      <w:r>
        <w:t xml:space="preserve">controlled osteoporosis safety analysis set, the incidence of AEs of </w:t>
      </w:r>
      <w:proofErr w:type="spellStart"/>
      <w:r>
        <w:t>sarcop</w:t>
      </w:r>
      <w:r w:rsidR="0064376D">
        <w:t>a</w:t>
      </w:r>
      <w:r>
        <w:t>enia</w:t>
      </w:r>
      <w:proofErr w:type="spellEnd"/>
      <w:r>
        <w:t xml:space="preserve"> (narrow and broad scope) was 5.8% (in both romosozumab and placebo groups); common AEs were asthenia (</w:t>
      </w:r>
      <w:r w:rsidRPr="006C3089">
        <w:t>ro</w:t>
      </w:r>
      <w:r w:rsidR="00E951F0" w:rsidRPr="006C3089">
        <w:t>mosozumab</w:t>
      </w:r>
      <w:r w:rsidRPr="006C3089">
        <w:t xml:space="preserve"> </w:t>
      </w:r>
      <w:r w:rsidR="00CE639A" w:rsidRPr="006C3089">
        <w:t xml:space="preserve">versus </w:t>
      </w:r>
      <w:r w:rsidRPr="006C3089">
        <w:t xml:space="preserve">placebo: 2.2% </w:t>
      </w:r>
      <w:r w:rsidR="00CE639A" w:rsidRPr="006C3089">
        <w:t xml:space="preserve">versus </w:t>
      </w:r>
      <w:r w:rsidRPr="006C3089">
        <w:t xml:space="preserve">2.2%), fatigue (1.3% </w:t>
      </w:r>
      <w:r w:rsidR="00CE639A" w:rsidRPr="006C3089">
        <w:t xml:space="preserve">versus </w:t>
      </w:r>
      <w:r w:rsidRPr="006C3089">
        <w:t>1.5%), weight decreased</w:t>
      </w:r>
      <w:r>
        <w:t xml:space="preserve"> (0.6% </w:t>
      </w:r>
      <w:r w:rsidR="00CE639A">
        <w:t xml:space="preserve">versus </w:t>
      </w:r>
      <w:r>
        <w:t>0</w:t>
      </w:r>
      <w:r w:rsidR="00E951F0">
        <w:t>.3%), muscle contracture (0.6% versu</w:t>
      </w:r>
      <w:r>
        <w:t xml:space="preserve">s 0.5%), muscular weakness (0.5% each) and musculoskeletal stiffness (0.5% each). Results for the osteoporosis safety analysis set were generally similar to the </w:t>
      </w:r>
      <w:r w:rsidR="00531AFF">
        <w:t>12 month</w:t>
      </w:r>
      <w:r>
        <w:t xml:space="preserve"> placebo</w:t>
      </w:r>
      <w:r w:rsidR="008D74BF">
        <w:t xml:space="preserve"> </w:t>
      </w:r>
      <w:r>
        <w:t xml:space="preserve">controlled osteoporosis safety analysis set. In the male osteoporosis Study 20110174, AEs of </w:t>
      </w:r>
      <w:proofErr w:type="spellStart"/>
      <w:r>
        <w:t>sarcop</w:t>
      </w:r>
      <w:r w:rsidR="0064376D">
        <w:t>a</w:t>
      </w:r>
      <w:r>
        <w:t>enia</w:t>
      </w:r>
      <w:proofErr w:type="spellEnd"/>
      <w:r>
        <w:t xml:space="preserve"> (narrow and broad scope) </w:t>
      </w:r>
      <w:r>
        <w:lastRenderedPageBreak/>
        <w:t xml:space="preserve">were reported for 1.8% of subjects in the romosozumab group and 7.4% of subjects in the placebo group compared with 5.9% of subjects in the romosozumab group and 5.8% of subjects in the placebo group of the </w:t>
      </w:r>
      <w:r w:rsidR="00C36ACF">
        <w:t>postmenopausal osteoporosis</w:t>
      </w:r>
      <w:r>
        <w:t xml:space="preserve"> Study 20070337.</w:t>
      </w:r>
    </w:p>
    <w:p w14:paraId="13B3B3CB" w14:textId="765774F9" w:rsidR="00E951F0" w:rsidRDefault="008719C0" w:rsidP="00E951F0">
      <w:pPr>
        <w:pStyle w:val="Heading5"/>
      </w:pPr>
      <w:r>
        <w:t xml:space="preserve">Adjudicated </w:t>
      </w:r>
      <w:r w:rsidR="00E477F6">
        <w:t>positive atypical femoral fracture</w:t>
      </w:r>
    </w:p>
    <w:p w14:paraId="70053BB9" w14:textId="3117E0B7" w:rsidR="008D74BF" w:rsidRDefault="008719C0" w:rsidP="008719C0">
      <w:r>
        <w:t xml:space="preserve">Atypical </w:t>
      </w:r>
      <w:r w:rsidR="00C85473">
        <w:t>femoral</w:t>
      </w:r>
      <w:r>
        <w:t xml:space="preserve"> fracture has been observed with the use of anti</w:t>
      </w:r>
      <w:r w:rsidR="00654353">
        <w:t>-</w:t>
      </w:r>
      <w:proofErr w:type="spellStart"/>
      <w:r>
        <w:t>resorptive</w:t>
      </w:r>
      <w:proofErr w:type="spellEnd"/>
      <w:r>
        <w:t xml:space="preserve"> agents. Because inhibition of bone resorption is a component of the dual effect of romosozumab, there is a potential concern for increased risk of </w:t>
      </w:r>
      <w:r w:rsidR="00E951F0">
        <w:t xml:space="preserve">atypical </w:t>
      </w:r>
      <w:r w:rsidR="00C85473">
        <w:t>femoral</w:t>
      </w:r>
      <w:r w:rsidR="00E951F0">
        <w:t xml:space="preserve"> f</w:t>
      </w:r>
      <w:r w:rsidR="00E951F0" w:rsidRPr="00E951F0">
        <w:t>racture</w:t>
      </w:r>
      <w:r>
        <w:t xml:space="preserve">. In the </w:t>
      </w:r>
      <w:r w:rsidR="00531AFF">
        <w:t>12 month</w:t>
      </w:r>
      <w:r>
        <w:t xml:space="preserve"> placebo</w:t>
      </w:r>
      <w:r w:rsidR="00E951F0">
        <w:t xml:space="preserve"> </w:t>
      </w:r>
      <w:r>
        <w:t xml:space="preserve">controlled osteoporosis safety analysis set, 1 subject in the romosozumab group and no subjects in the placebo group had a positively adjudicated SAE of </w:t>
      </w:r>
      <w:r w:rsidR="00E951F0">
        <w:t xml:space="preserve">atypical </w:t>
      </w:r>
      <w:r w:rsidR="00C85473">
        <w:t>femoral</w:t>
      </w:r>
      <w:r w:rsidR="00E951F0">
        <w:t xml:space="preserve"> f</w:t>
      </w:r>
      <w:r w:rsidR="00E951F0" w:rsidRPr="00E951F0">
        <w:t>racture</w:t>
      </w:r>
      <w:r>
        <w:t xml:space="preserve">. The occurrence after 3.5 months of romosozumab treatment and a history of prodromal pain in the fracture area before starting the study suggests an idiopathic event in this subject who also had a low screening vitamin D level. In the osteoporosis safety analysis set, in addition to the event described above, in Study 20110142, no positively adjudicated adverse events of </w:t>
      </w:r>
      <w:r w:rsidR="00E951F0">
        <w:t xml:space="preserve">atypical </w:t>
      </w:r>
      <w:r w:rsidR="00C85473">
        <w:t>femoral</w:t>
      </w:r>
      <w:r w:rsidR="00E951F0">
        <w:t xml:space="preserve"> f</w:t>
      </w:r>
      <w:r w:rsidR="00E951F0" w:rsidRPr="00E951F0">
        <w:t>racture</w:t>
      </w:r>
      <w:r>
        <w:t xml:space="preserve"> were reported during the </w:t>
      </w:r>
      <w:r w:rsidR="00E951F0">
        <w:t>12</w:t>
      </w:r>
      <w:r w:rsidR="00DD4DAE">
        <w:t> </w:t>
      </w:r>
      <w:r w:rsidR="00531AFF">
        <w:t>month</w:t>
      </w:r>
      <w:r>
        <w:t xml:space="preserve"> double</w:t>
      </w:r>
      <w:r w:rsidR="00E951F0">
        <w:t xml:space="preserve"> </w:t>
      </w:r>
      <w:r>
        <w:t>blind period. Positively adjudicated cases were identified during the open</w:t>
      </w:r>
      <w:r w:rsidR="00E951F0">
        <w:t xml:space="preserve"> </w:t>
      </w:r>
      <w:r>
        <w:t xml:space="preserve">label alendronate treatment period for 2 subjects in the romosozumab/alendronate group and 4 subjects in the alendronate/alendronate group during the primary analysis period. All were considered serious adverse events and all occurred while subjects were receiving alendronate. One additional positively adjudicated adverse event of </w:t>
      </w:r>
      <w:r w:rsidR="00E951F0">
        <w:t xml:space="preserve">atypical </w:t>
      </w:r>
      <w:r w:rsidR="00C85473">
        <w:t>femoral</w:t>
      </w:r>
      <w:r w:rsidR="00E951F0">
        <w:t xml:space="preserve"> f</w:t>
      </w:r>
      <w:r w:rsidR="00E951F0" w:rsidRPr="00E951F0">
        <w:t>racture</w:t>
      </w:r>
      <w:r w:rsidR="00E951F0">
        <w:t xml:space="preserve"> </w:t>
      </w:r>
      <w:r w:rsidR="00D72E5F">
        <w:t xml:space="preserve">was noted for Study 20110142 </w:t>
      </w:r>
      <w:r>
        <w:t xml:space="preserve">after the snapshot date of 27 February 2017. In the male osteoporosis Study 20110174, no AEs of </w:t>
      </w:r>
      <w:r w:rsidR="00D72E5F">
        <w:t xml:space="preserve">atypical </w:t>
      </w:r>
      <w:r w:rsidR="00C85473">
        <w:t>femoral</w:t>
      </w:r>
      <w:r w:rsidR="00D72E5F">
        <w:t xml:space="preserve"> fracture</w:t>
      </w:r>
      <w:r>
        <w:t xml:space="preserve"> were positively adjudicated</w:t>
      </w:r>
      <w:r w:rsidR="008D74BF">
        <w:t>.</w:t>
      </w:r>
    </w:p>
    <w:p w14:paraId="13D12544" w14:textId="2E706B50" w:rsidR="00E951F0" w:rsidRDefault="008719C0" w:rsidP="00E951F0">
      <w:pPr>
        <w:pStyle w:val="Heading5"/>
      </w:pPr>
      <w:r>
        <w:t xml:space="preserve">Adjudicated </w:t>
      </w:r>
      <w:r w:rsidR="00E477F6">
        <w:t>positive osteonecrosis of the jaw</w:t>
      </w:r>
    </w:p>
    <w:p w14:paraId="598F5B52" w14:textId="4BF3271F" w:rsidR="008719C0" w:rsidRDefault="008719C0" w:rsidP="008719C0">
      <w:r>
        <w:t>Osteonecrosis of the jaw has been observed with the use of anti</w:t>
      </w:r>
      <w:r w:rsidR="00654353">
        <w:t>-</w:t>
      </w:r>
      <w:proofErr w:type="spellStart"/>
      <w:r>
        <w:t>resorptive</w:t>
      </w:r>
      <w:proofErr w:type="spellEnd"/>
      <w:r>
        <w:t xml:space="preserve"> agents. In the </w:t>
      </w:r>
      <w:r w:rsidR="00531AFF">
        <w:t>12</w:t>
      </w:r>
      <w:r w:rsidR="00E951F0">
        <w:t> </w:t>
      </w:r>
      <w:r w:rsidR="00531AFF">
        <w:t>month</w:t>
      </w:r>
      <w:r>
        <w:t xml:space="preserve"> placebo</w:t>
      </w:r>
      <w:r w:rsidR="00E951F0">
        <w:t xml:space="preserve"> </w:t>
      </w:r>
      <w:r>
        <w:t xml:space="preserve">controlled osteoporosis safety analysis set (excluding Study 20101291, for which events were not adjudicated), 1 subject in the romosozumab group and no placebo subject had a positively adjudicated case of </w:t>
      </w:r>
      <w:r w:rsidR="00E951F0">
        <w:t>osteonecrosis of the jaw</w:t>
      </w:r>
      <w:r>
        <w:t>. This case was confounded by continuous use of a maladaptive fitting denture. One additional positively adjudicated case was identified in the romosozumab group of Study 20070337 after the double</w:t>
      </w:r>
      <w:r w:rsidR="00E951F0">
        <w:t xml:space="preserve"> </w:t>
      </w:r>
      <w:r>
        <w:t>blind period (subject was taking denosumab at the time). This case occurred after the administration of 1 dose of denosumab in a subject who had a prior non-serious adverse event of periodontitis.</w:t>
      </w:r>
    </w:p>
    <w:p w14:paraId="6BAF4CC7" w14:textId="77777777" w:rsidR="008719C0" w:rsidRDefault="008719C0" w:rsidP="008719C0">
      <w:r>
        <w:t xml:space="preserve">To date, in Study 20110142, there are a total of 3 positively </w:t>
      </w:r>
      <w:r w:rsidR="00E951F0">
        <w:t>osteonecrosis of the jaw</w:t>
      </w:r>
      <w:r>
        <w:t xml:space="preserve"> events, all of which occurred during the open</w:t>
      </w:r>
      <w:r w:rsidR="00E951F0">
        <w:t xml:space="preserve"> </w:t>
      </w:r>
      <w:r>
        <w:t>label alendronate treatment period: 2 events occurred in the romosozumab/ alendronate group and 1 occurred in the alendronate/alendronate group.</w:t>
      </w:r>
      <w:r w:rsidR="008D74BF">
        <w:t xml:space="preserve"> </w:t>
      </w:r>
      <w:r>
        <w:t xml:space="preserve">In the male osteoporosis Study 20110174, there were no positively adjudicated AEs of </w:t>
      </w:r>
      <w:r w:rsidR="00C809F2">
        <w:t>osteonecrosis of the jaw</w:t>
      </w:r>
      <w:r>
        <w:t>.</w:t>
      </w:r>
    </w:p>
    <w:p w14:paraId="3F214F07" w14:textId="77777777" w:rsidR="008719C0" w:rsidRDefault="008719C0" w:rsidP="00D72E5F">
      <w:pPr>
        <w:pStyle w:val="Heading4"/>
      </w:pPr>
      <w:r>
        <w:t>Other safety issues</w:t>
      </w:r>
    </w:p>
    <w:p w14:paraId="7BE18632" w14:textId="77777777" w:rsidR="008719C0" w:rsidRDefault="008719C0" w:rsidP="00D72E5F">
      <w:pPr>
        <w:pStyle w:val="Heading5"/>
      </w:pPr>
      <w:r>
        <w:t>Safety in special populations</w:t>
      </w:r>
    </w:p>
    <w:p w14:paraId="15E63762" w14:textId="77777777" w:rsidR="008719C0" w:rsidRDefault="008719C0" w:rsidP="008719C0">
      <w:r>
        <w:t xml:space="preserve">No safety analyses were performed for subgroups by race, </w:t>
      </w:r>
      <w:r w:rsidR="00C36ACF">
        <w:t>body mass index</w:t>
      </w:r>
      <w:r>
        <w:t xml:space="preserve"> or renal impairment in Study 20110142 or in the male osteoporosis Study 20110174.</w:t>
      </w:r>
    </w:p>
    <w:p w14:paraId="3BE770F6" w14:textId="77777777" w:rsidR="00C44BAA" w:rsidRDefault="008719C0" w:rsidP="00D72E5F">
      <w:pPr>
        <w:pStyle w:val="Heading5"/>
      </w:pPr>
      <w:r>
        <w:t>Age</w:t>
      </w:r>
    </w:p>
    <w:p w14:paraId="38E55659" w14:textId="34491BD3" w:rsidR="008D74BF" w:rsidRDefault="008719C0" w:rsidP="008719C0">
      <w:r>
        <w:t>In the 12</w:t>
      </w:r>
      <w:r w:rsidR="00D72E5F">
        <w:t xml:space="preserve"> </w:t>
      </w:r>
      <w:r>
        <w:t xml:space="preserve">Month </w:t>
      </w:r>
      <w:r w:rsidR="00D72E5F">
        <w:t>p</w:t>
      </w:r>
      <w:r>
        <w:t>lacebo</w:t>
      </w:r>
      <w:r w:rsidR="00D72E5F">
        <w:t xml:space="preserve"> </w:t>
      </w:r>
      <w:r>
        <w:t xml:space="preserve">controlled </w:t>
      </w:r>
      <w:r w:rsidR="0064376D">
        <w:t xml:space="preserve">osteoporosis safety analysis set, </w:t>
      </w:r>
      <w:r>
        <w:t xml:space="preserve">there were no notable differences in the subjects incidences of AEs among age groups, or between the romosozumab and placebo groups within each age group, and these percentages were similar to those seen in the overall population for each treatment group. The incidence of AEs was &lt; 65 years of age: romosozumab </w:t>
      </w:r>
      <w:r w:rsidR="00CE639A">
        <w:t xml:space="preserve">versus </w:t>
      </w:r>
      <w:r>
        <w:t xml:space="preserve">placebo: 78.0% </w:t>
      </w:r>
      <w:r w:rsidR="00CE639A">
        <w:t xml:space="preserve">versus </w:t>
      </w:r>
      <w:r>
        <w:t>77.0%; 65 to 74</w:t>
      </w:r>
      <w:r w:rsidR="00D72E5F">
        <w:t> </w:t>
      </w:r>
      <w:r>
        <w:t xml:space="preserve">years of age: 77.8% </w:t>
      </w:r>
      <w:r w:rsidR="00CE639A">
        <w:t xml:space="preserve">versus </w:t>
      </w:r>
      <w:r>
        <w:t xml:space="preserve">81.0%; ≥ 75 to 84 years of age: 79.4% </w:t>
      </w:r>
      <w:r w:rsidR="00CE639A">
        <w:t xml:space="preserve">versus </w:t>
      </w:r>
      <w:r>
        <w:t>80.5%; ≥</w:t>
      </w:r>
      <w:r w:rsidR="0064376D">
        <w:t> </w:t>
      </w:r>
      <w:r>
        <w:t>85</w:t>
      </w:r>
      <w:r w:rsidR="0064376D">
        <w:t> </w:t>
      </w:r>
      <w:r>
        <w:t xml:space="preserve">years of age: 81.6% </w:t>
      </w:r>
      <w:r w:rsidR="00CE639A">
        <w:t xml:space="preserve">versus </w:t>
      </w:r>
      <w:r>
        <w:t xml:space="preserve">81.1%. The most frequently reported AEs in each age </w:t>
      </w:r>
      <w:r>
        <w:lastRenderedPageBreak/>
        <w:t xml:space="preserve">subgroup were the same events that were most frequently reported in the overall population, </w:t>
      </w:r>
      <w:r w:rsidR="00D24492">
        <w:t>that is</w:t>
      </w:r>
      <w:r>
        <w:t xml:space="preserve">, nasopharyngitis, arthralgia and back pain. In general, AEs by preferred term were reported with similar frequency in the romosozumab and placebo groups within each age subgroup, and these incidences were similar to those seen in the overall population. In </w:t>
      </w:r>
      <w:r w:rsidR="003D7E26">
        <w:t>Study</w:t>
      </w:r>
      <w:r>
        <w:t xml:space="preserve"> 20110142, the subject incidences of AEs between age groups were generally comparable within each treatment group and study period. No safety analyses were performed for subgroups in the male osteoporosis Study 20110174</w:t>
      </w:r>
      <w:r w:rsidR="008D74BF">
        <w:t>.</w:t>
      </w:r>
    </w:p>
    <w:p w14:paraId="512E6B06" w14:textId="77777777" w:rsidR="00D72E5F" w:rsidRDefault="00D72E5F" w:rsidP="00D72E5F">
      <w:pPr>
        <w:pStyle w:val="Heading5"/>
      </w:pPr>
      <w:r>
        <w:t>Race</w:t>
      </w:r>
    </w:p>
    <w:p w14:paraId="7CCCA516" w14:textId="77777777" w:rsidR="008719C0" w:rsidRDefault="008719C0" w:rsidP="008719C0">
      <w:r>
        <w:t xml:space="preserve">There was no notable difference in the incidence of AEs in White and Non-White subgroups. The most frequently reported AEs in each race subgroup were the same events that were most frequently reported in the overall population, </w:t>
      </w:r>
      <w:r w:rsidR="00D24492">
        <w:t>that is</w:t>
      </w:r>
      <w:r>
        <w:t>, nasopharyngitis, arthralgia and back pain. No safety analyses were performed for subgroups by race in Study 20110142 or in the male osteoporosis Study 20110174.</w:t>
      </w:r>
    </w:p>
    <w:p w14:paraId="51E62A03" w14:textId="77777777" w:rsidR="00C44BAA" w:rsidRDefault="00D72E5F" w:rsidP="00D72E5F">
      <w:pPr>
        <w:pStyle w:val="Heading5"/>
      </w:pPr>
      <w:r>
        <w:t>B</w:t>
      </w:r>
      <w:r w:rsidR="00C36ACF">
        <w:t>ody mass index</w:t>
      </w:r>
    </w:p>
    <w:p w14:paraId="05E69A06" w14:textId="77777777" w:rsidR="008719C0" w:rsidRDefault="008719C0" w:rsidP="008719C0">
      <w:r>
        <w:t xml:space="preserve">There were no notable differences between treatment groups in the incidence of AEs within any </w:t>
      </w:r>
      <w:r w:rsidR="00C36ACF">
        <w:t>body mass index</w:t>
      </w:r>
      <w:r>
        <w:t xml:space="preserve"> subgroup, and this was similar to results seen in the overall population for each treatment group. In general, AEs by preferred term were reported with similar frequency in the romosozumab and placebo groups within each </w:t>
      </w:r>
      <w:r w:rsidR="00C36ACF">
        <w:t>body mass index</w:t>
      </w:r>
      <w:r>
        <w:t xml:space="preserve"> subgroup, and these incidences were similar to those seen in the overall population.</w:t>
      </w:r>
    </w:p>
    <w:p w14:paraId="7AAF7EFD" w14:textId="77777777" w:rsidR="00D72E5F" w:rsidRDefault="008719C0" w:rsidP="00D72E5F">
      <w:pPr>
        <w:pStyle w:val="Heading5"/>
      </w:pPr>
      <w:r>
        <w:t>Safety in renal/hepatic impairment</w:t>
      </w:r>
    </w:p>
    <w:p w14:paraId="39A7B38F" w14:textId="125CC158" w:rsidR="008719C0" w:rsidRDefault="008719C0" w:rsidP="008719C0">
      <w:r>
        <w:t xml:space="preserve">The </w:t>
      </w:r>
      <w:r w:rsidR="00C36ACF">
        <w:t>pharmacokinetics</w:t>
      </w:r>
      <w:r>
        <w:t xml:space="preserve">, </w:t>
      </w:r>
      <w:r w:rsidR="00C36ACF">
        <w:t>pharmacodynamics</w:t>
      </w:r>
      <w:r>
        <w:t xml:space="preserve"> and safety of romosozumab in subjects with renal impairment was evaluated in the Phase </w:t>
      </w:r>
      <w:r w:rsidR="00D72E5F">
        <w:t>I</w:t>
      </w:r>
      <w:r>
        <w:t xml:space="preserve"> Study 20110227. The administration of romosozumab resulted in a greater decrease in serum calcium level and a greater compensatory physiological increase in </w:t>
      </w:r>
      <w:r w:rsidR="002B04AF">
        <w:t>intact parathyroid hormone</w:t>
      </w:r>
      <w:r w:rsidR="00D72E5F">
        <w:t xml:space="preserve"> in subjects with stage</w:t>
      </w:r>
      <w:r w:rsidR="0064376D">
        <w:t> </w:t>
      </w:r>
      <w:r w:rsidR="00D72E5F">
        <w:t xml:space="preserve">4 </w:t>
      </w:r>
      <w:r>
        <w:t xml:space="preserve">and stage 5 </w:t>
      </w:r>
      <w:r w:rsidR="00D72E5F">
        <w:t>chronic kidney disease</w:t>
      </w:r>
      <w:r>
        <w:t xml:space="preserve"> receiving haemodialysis than in healthy subjects. Most of these changes were transient and returned to </w:t>
      </w:r>
      <w:r w:rsidR="0064376D">
        <w:t>B</w:t>
      </w:r>
      <w:r>
        <w:t xml:space="preserve">aseline by end of the study. AEs were presented by each of the following subgroups using the </w:t>
      </w:r>
      <w:r w:rsidR="00531AFF">
        <w:t>12 month</w:t>
      </w:r>
      <w:r>
        <w:t xml:space="preserve"> placebo</w:t>
      </w:r>
      <w:r w:rsidR="00D72E5F">
        <w:t xml:space="preserve"> </w:t>
      </w:r>
      <w:r>
        <w:t>controlled osteoporosis safety analysis set and osteoporosis safety analysis set: Estimated glomerular filtration rate (eGFR; &lt; 15; 15 to &lt; 30; 30 to &lt; 60; 60 to &lt; 90; ≥</w:t>
      </w:r>
      <w:r w:rsidR="00D72E5F">
        <w:t> </w:t>
      </w:r>
      <w:r>
        <w:t>90</w:t>
      </w:r>
      <w:r w:rsidR="00D72E5F">
        <w:t> </w:t>
      </w:r>
      <w:r>
        <w:t>mL/min/1.73 m</w:t>
      </w:r>
      <w:r w:rsidRPr="00D72E5F">
        <w:rPr>
          <w:vertAlign w:val="superscript"/>
        </w:rPr>
        <w:t>2</w:t>
      </w:r>
      <w:r>
        <w:t>). Numerical differences were noted but are likely because of the small number of subjects in some subgroups, for example 14 subjects in the romosozumab group and 8 subjects in the placebo group for subjects with eGFR ≥ 15 to &lt;</w:t>
      </w:r>
      <w:r w:rsidR="00D72E5F">
        <w:t> </w:t>
      </w:r>
      <w:r>
        <w:t>30</w:t>
      </w:r>
      <w:r w:rsidR="00D72E5F">
        <w:t> </w:t>
      </w:r>
      <w:r>
        <w:t>mL/min/1.73 m</w:t>
      </w:r>
      <w:r w:rsidRPr="00D72E5F">
        <w:rPr>
          <w:vertAlign w:val="superscript"/>
        </w:rPr>
        <w:t>2</w:t>
      </w:r>
      <w:r>
        <w:t xml:space="preserve">. Overall, the types of AEs reported were consistent across eGFR subgroups. No safety analyses were performed for subgroups by </w:t>
      </w:r>
      <w:r w:rsidR="00D72E5F">
        <w:t>renal impairment</w:t>
      </w:r>
      <w:r>
        <w:t xml:space="preserve"> in Study 20110142.</w:t>
      </w:r>
    </w:p>
    <w:p w14:paraId="71A05455" w14:textId="77777777" w:rsidR="008D74BF" w:rsidRDefault="008719C0" w:rsidP="008719C0">
      <w:r>
        <w:t>Monoclonal antibodies are not eliminated via hepatic metabolic mechanisms; therefore, no studies have been conducted in subjects with hepatic impairment</w:t>
      </w:r>
      <w:r w:rsidR="008D74BF">
        <w:t>.</w:t>
      </w:r>
    </w:p>
    <w:p w14:paraId="2ED0237C" w14:textId="56C6191E" w:rsidR="00D72E5F" w:rsidRDefault="008719C0" w:rsidP="00D72E5F">
      <w:pPr>
        <w:pStyle w:val="Heading5"/>
      </w:pPr>
      <w:r>
        <w:t xml:space="preserve">Safety in </w:t>
      </w:r>
      <w:r w:rsidR="00E477F6">
        <w:t>subjects who transitioned from bisphosphonate therapy</w:t>
      </w:r>
    </w:p>
    <w:p w14:paraId="01EE2763" w14:textId="74A2E9AB" w:rsidR="008719C0" w:rsidRDefault="008719C0" w:rsidP="008719C0">
      <w:r>
        <w:t>Study 20080289 was a multicentre, randomised, open</w:t>
      </w:r>
      <w:r w:rsidR="00D72E5F">
        <w:t xml:space="preserve"> </w:t>
      </w:r>
      <w:r>
        <w:t>label, teriparatide</w:t>
      </w:r>
      <w:r w:rsidR="00D72E5F">
        <w:t xml:space="preserve"> </w:t>
      </w:r>
      <w:r>
        <w:t>controlled study in 436 postmenopausal women with osteoporosis (safety analysis set of 432 subjects) who were transitioning from bisphosphonate therapy. The percentages of subjects reporting AEs was slightly higher</w:t>
      </w:r>
      <w:r w:rsidR="008D74BF">
        <w:t xml:space="preserve"> </w:t>
      </w:r>
      <w:r>
        <w:t xml:space="preserve">in the romosozumab group (164 of 218 subjects </w:t>
      </w:r>
      <w:r w:rsidR="00654353">
        <w:t>(</w:t>
      </w:r>
      <w:r>
        <w:t>75.2%</w:t>
      </w:r>
      <w:r w:rsidR="00654353">
        <w:t>)</w:t>
      </w:r>
      <w:r>
        <w:t xml:space="preserve">) compared with teriparatide group (148 of 214 subjects </w:t>
      </w:r>
      <w:r w:rsidR="00654353">
        <w:t>(</w:t>
      </w:r>
      <w:r>
        <w:t>69.2%</w:t>
      </w:r>
      <w:r w:rsidR="00654353">
        <w:t>)</w:t>
      </w:r>
      <w:r>
        <w:t xml:space="preserve">). The incidences and types of events reported were those that would be expected in the population studied and were generally similar between the teriparatide and romosozumab groups. Injection site reactions were observed more frequently with romosozumab (7.8%) compared with teriparatide (2.8%) and led to study drug discontinuation for 1 subject in the romosozumab group. Of the subjects who reported injection site reactions, the median time to the first AE was 92.0 days in the romosozumab group and 36.5 days in the teriparatide group. The median duration of injection site reaction AEs was 2.0 days in the </w:t>
      </w:r>
      <w:r>
        <w:lastRenderedPageBreak/>
        <w:t>romosozumab group and 5.5 days in the teriparatide group. The safety findings in this study of subjects transitioning from at least 3 years of oral bisphosphonate therapy and alendronate in the year immediately prior were consistent with the overall safety profile of romosozumab.</w:t>
      </w:r>
    </w:p>
    <w:p w14:paraId="2869C48D" w14:textId="679173F4" w:rsidR="008D74BF" w:rsidRDefault="008719C0" w:rsidP="008719C0">
      <w:r>
        <w:t>Study 20060223 was a multicentre, randomised, open</w:t>
      </w:r>
      <w:r w:rsidR="00D72E5F">
        <w:t xml:space="preserve"> </w:t>
      </w:r>
      <w:r>
        <w:t>label, single</w:t>
      </w:r>
      <w:r w:rsidR="00D72E5F">
        <w:t xml:space="preserve"> </w:t>
      </w:r>
      <w:r>
        <w:t>dose study in 40</w:t>
      </w:r>
      <w:r w:rsidR="0064376D">
        <w:t> </w:t>
      </w:r>
      <w:r>
        <w:t>postmenopausal women with low bone mass who had been receiving alendronate for at least 1 year and in postmenopausal women with low bone mass who were treatment naive (</w:t>
      </w:r>
      <w:r w:rsidR="00D24492">
        <w:t>that is</w:t>
      </w:r>
      <w:r>
        <w:t>, had not received alendronate, other bisphosphonates, or other treatments for osteoporosis/bone loss). Subjects who had been receiving alendronate were randomised to continue alendronate treatment or transition to romosozumab; treatment</w:t>
      </w:r>
      <w:r w:rsidR="0096057D">
        <w:t xml:space="preserve"> </w:t>
      </w:r>
      <w:r>
        <w:t>naive subjects received romosozumab</w:t>
      </w:r>
      <w:r w:rsidR="008D74BF">
        <w:t>.</w:t>
      </w:r>
    </w:p>
    <w:p w14:paraId="7CA628EB" w14:textId="77777777" w:rsidR="008719C0" w:rsidRDefault="008719C0" w:rsidP="008719C0">
      <w:r>
        <w:t>Overall, AEs were reported for 5 of 10 subjects (50%) who received alendronate only; 10 of 24 subjects (42%) who received romosozumab after previous alendronate treatment; and 5 of 6 subjects (83%) who received romosozumab and were previously treatment naive. These differences may be attributed to the small number of subjects in each group. AEs were reported as treatment related for 1 subject (4%) who received romosozumab after previous alendronate treatment (injection site reaction) and for 3 subjects (50%) who received romosozumab and were previously treatment naive (injection site erythema, injection site reaction and nausea); all of these events were reported as mild in severity.</w:t>
      </w:r>
    </w:p>
    <w:p w14:paraId="0D7CAC18" w14:textId="31ACABC3" w:rsidR="0096057D" w:rsidRDefault="008719C0" w:rsidP="0096057D">
      <w:pPr>
        <w:pStyle w:val="Heading5"/>
      </w:pPr>
      <w:r>
        <w:t xml:space="preserve">Use in </w:t>
      </w:r>
      <w:r w:rsidR="00E477F6">
        <w:t>pregnancy and lactation</w:t>
      </w:r>
    </w:p>
    <w:p w14:paraId="02E2DDC7" w14:textId="77777777" w:rsidR="008719C0" w:rsidRDefault="008719C0" w:rsidP="008719C0">
      <w:r>
        <w:t>All studies were conducted in men and postmenopausal women, and no pregnancy has been reported across the romosozumab development program. Also, no studies have been conducted to determine whether romosozumab is present in breast milk or to assess the effects of romosozumab in breast-fed infants.</w:t>
      </w:r>
    </w:p>
    <w:p w14:paraId="5462D297" w14:textId="45B2B089" w:rsidR="0096057D" w:rsidRDefault="008719C0" w:rsidP="0096057D">
      <w:pPr>
        <w:pStyle w:val="Heading5"/>
      </w:pPr>
      <w:r>
        <w:t xml:space="preserve">Overdose, drug </w:t>
      </w:r>
      <w:r w:rsidR="00E477F6">
        <w:t>abuse effects on ability to drive or operate machinery or impairment of mental ability</w:t>
      </w:r>
    </w:p>
    <w:p w14:paraId="6E35C6A4" w14:textId="610BD3B4" w:rsidR="008D74BF" w:rsidRDefault="008719C0" w:rsidP="008719C0">
      <w:r>
        <w:t xml:space="preserve">Neither the effects of overdose of romosozumab nor an antidote to overdose are known. Data from completed </w:t>
      </w:r>
      <w:r w:rsidR="0064376D">
        <w:t>P</w:t>
      </w:r>
      <w:r>
        <w:t xml:space="preserve">hase </w:t>
      </w:r>
      <w:r w:rsidR="0064376D">
        <w:t>I</w:t>
      </w:r>
      <w:r>
        <w:t xml:space="preserve"> clinical studies demonstrate that romosozumab has an acceptable safety profile up to the highest dose tested (doses up to 10 mg/kg SC and 5</w:t>
      </w:r>
      <w:r w:rsidR="0096057D">
        <w:t> </w:t>
      </w:r>
      <w:r>
        <w:t>mg/kg IV). There is no evidence that romosozumab is habit forming or could lead to dependence. There is no pharmacological basis or clinical evidence that romosozumab would affect the ability to operate machinery or cause impairment of mental ability</w:t>
      </w:r>
      <w:r w:rsidR="008D74BF">
        <w:t>.</w:t>
      </w:r>
    </w:p>
    <w:p w14:paraId="201285FB" w14:textId="1928FCF0" w:rsidR="0096057D" w:rsidRDefault="008719C0" w:rsidP="0096057D">
      <w:pPr>
        <w:pStyle w:val="Heading5"/>
      </w:pPr>
      <w:r>
        <w:t xml:space="preserve">Withdrawal and </w:t>
      </w:r>
      <w:r w:rsidR="00E477F6">
        <w:t>r</w:t>
      </w:r>
      <w:r>
        <w:t>ebound</w:t>
      </w:r>
    </w:p>
    <w:p w14:paraId="01AAA02A" w14:textId="77777777" w:rsidR="008D74BF" w:rsidRDefault="008719C0" w:rsidP="008719C0">
      <w:r>
        <w:t>There was no evidence of withdrawal or rebound effects with romosozumab. Reduction in incidence of vertebral and clinical fractures was sustained after 12 months of treatment although it is very important to stress that follow-on treatment with other medications for osteoporosis such as denosumab and alendronate is essential for maintenance of efficacy. Rebound or withdrawal effects without any other osteoporosis treatment following end of the 12 months of romosozumab treatment was not evaluated</w:t>
      </w:r>
      <w:r w:rsidR="008D74BF">
        <w:t>.</w:t>
      </w:r>
    </w:p>
    <w:p w14:paraId="09CF24A8" w14:textId="77777777" w:rsidR="00C44BAA" w:rsidRDefault="008719C0" w:rsidP="0096057D">
      <w:pPr>
        <w:pStyle w:val="Heading4"/>
      </w:pPr>
      <w:r>
        <w:t>Long-term safety</w:t>
      </w:r>
    </w:p>
    <w:p w14:paraId="6ABDF9C1" w14:textId="5777CB63" w:rsidR="00C44BAA" w:rsidRDefault="008719C0" w:rsidP="008719C0">
      <w:r>
        <w:t>Safety data after stopping romosozumab treatment (off-treatment) and following re</w:t>
      </w:r>
      <w:r w:rsidR="007E3704">
        <w:noBreakHyphen/>
      </w:r>
      <w:r>
        <w:t>exposure to romosozumab:</w:t>
      </w:r>
    </w:p>
    <w:p w14:paraId="15233ED8" w14:textId="77777777" w:rsidR="008D74BF" w:rsidRDefault="008719C0" w:rsidP="00DD1BA4">
      <w:pPr>
        <w:pStyle w:val="ListParagraph"/>
        <w:numPr>
          <w:ilvl w:val="0"/>
          <w:numId w:val="39"/>
        </w:numPr>
      </w:pPr>
      <w:r>
        <w:t xml:space="preserve">There was no integration of studies for off-treatment and re-exposure to romosozumab. Safety data for post- or re-exposure of romosozumab was only provided in the </w:t>
      </w:r>
      <w:r w:rsidR="0096057D">
        <w:t>P</w:t>
      </w:r>
      <w:r>
        <w:t xml:space="preserve">hase </w:t>
      </w:r>
      <w:r w:rsidR="0096057D">
        <w:t>II</w:t>
      </w:r>
      <w:r>
        <w:t xml:space="preserve"> dose ranging </w:t>
      </w:r>
      <w:r w:rsidR="00AD6890">
        <w:t>S</w:t>
      </w:r>
      <w:r>
        <w:t>tudy 20060326</w:t>
      </w:r>
      <w:r w:rsidR="008D74BF">
        <w:t>.</w:t>
      </w:r>
    </w:p>
    <w:p w14:paraId="042E9194" w14:textId="552E111B" w:rsidR="00C44BAA" w:rsidRDefault="008719C0" w:rsidP="00DD1BA4">
      <w:pPr>
        <w:pStyle w:val="ListParagraph"/>
        <w:numPr>
          <w:ilvl w:val="0"/>
          <w:numId w:val="39"/>
        </w:numPr>
      </w:pPr>
      <w:r>
        <w:t>Events occurring during the 24</w:t>
      </w:r>
      <w:r w:rsidR="0096057D">
        <w:t xml:space="preserve"> </w:t>
      </w:r>
      <w:r>
        <w:t xml:space="preserve">month treatment period were included in the osteoporosis safety analysis set results. The proportion of subjects reporting AEs, </w:t>
      </w:r>
      <w:r>
        <w:lastRenderedPageBreak/>
        <w:t>SAEs, fatal AEs and AEs leading to discontinuation from study or investigational product over the 24</w:t>
      </w:r>
      <w:r w:rsidR="0096057D">
        <w:t xml:space="preserve"> </w:t>
      </w:r>
      <w:r>
        <w:t xml:space="preserve">month treatment period were similar between the romosozumab and placebo groups (Table </w:t>
      </w:r>
      <w:r w:rsidR="00A62BA9">
        <w:t>16</w:t>
      </w:r>
      <w:r>
        <w:t>).</w:t>
      </w:r>
    </w:p>
    <w:p w14:paraId="09939B95" w14:textId="68EB2D95" w:rsidR="00511DFE" w:rsidRDefault="00511DFE" w:rsidP="00C809F2">
      <w:pPr>
        <w:pStyle w:val="TableTitle"/>
      </w:pPr>
      <w:r w:rsidRPr="00511DFE">
        <w:t xml:space="preserve">Table </w:t>
      </w:r>
      <w:r w:rsidR="00A62BA9">
        <w:t>16</w:t>
      </w:r>
      <w:r w:rsidRPr="00511DFE">
        <w:t>: Summary of AEs (events starting during the initial 24 month treatment period) (safety analysis set for subjects enrolled in the initial treatment period) (</w:t>
      </w:r>
      <w:r w:rsidR="00C809F2">
        <w:t>S</w:t>
      </w:r>
      <w:r w:rsidRPr="00511DFE">
        <w:t>tudy 20060326</w:t>
      </w:r>
      <w:r w:rsidR="007E3704">
        <w:t>,</w:t>
      </w:r>
      <w:r w:rsidRPr="00511DFE">
        <w:t xml:space="preserve"> </w:t>
      </w:r>
      <w:r w:rsidR="00C809F2">
        <w:t>M</w:t>
      </w:r>
      <w:r w:rsidRPr="00511DFE">
        <w:t>onth 72 final analysis)</w:t>
      </w:r>
    </w:p>
    <w:p w14:paraId="7EC45B2C" w14:textId="77777777" w:rsidR="00511DFE" w:rsidRDefault="00511DFE" w:rsidP="008719C0">
      <w:r>
        <w:rPr>
          <w:noProof/>
          <w:lang w:eastAsia="en-AU"/>
        </w:rPr>
        <w:drawing>
          <wp:inline distT="0" distB="0" distL="0" distR="0" wp14:anchorId="0ABA42A4" wp14:editId="269B46C0">
            <wp:extent cx="5400040" cy="1878465"/>
            <wp:effectExtent l="0" t="0" r="0" b="7620"/>
            <wp:docPr id="412" name="Picture 412" descr="Summary of AEs (events starting during the initial 24 month treatment period) (safety analysis set for subjects enrolled in the initial treatment period) (Study 20060326 Month 72 fin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a:lum bright="-20000" contrast="40000"/>
                      <a:extLst>
                        <a:ext uri="{28A0092B-C50C-407E-A947-70E740481C1C}">
                          <a14:useLocalDpi xmlns:a14="http://schemas.microsoft.com/office/drawing/2010/main" val="0"/>
                        </a:ext>
                      </a:extLst>
                    </a:blip>
                    <a:srcRect/>
                    <a:stretch>
                      <a:fillRect/>
                    </a:stretch>
                  </pic:blipFill>
                  <pic:spPr bwMode="auto">
                    <a:xfrm>
                      <a:off x="0" y="0"/>
                      <a:ext cx="5400040" cy="1878465"/>
                    </a:xfrm>
                    <a:prstGeom prst="rect">
                      <a:avLst/>
                    </a:prstGeom>
                    <a:noFill/>
                    <a:ln>
                      <a:noFill/>
                    </a:ln>
                  </pic:spPr>
                </pic:pic>
              </a:graphicData>
            </a:graphic>
          </wp:inline>
        </w:drawing>
      </w:r>
    </w:p>
    <w:p w14:paraId="4DEAA217" w14:textId="1BB94CAF" w:rsidR="008D74BF" w:rsidRDefault="008719C0" w:rsidP="008719C0">
      <w:r>
        <w:t xml:space="preserve">There was no dose-dependent trend seen in the overall incidence of AEs across the romosozumab groups. SAEs (preferred terms) reported in more than 1 subject across all romosozumab treatment groups were osteoarthritis, pneumonia, appendicitis and breast cancer. All of these events were reported in &lt; 2% of subjects in any treatment group. Two fatal AEs occurred during the first 12 months (1 romosozumab subject </w:t>
      </w:r>
      <w:r w:rsidR="00654353">
        <w:t>(</w:t>
      </w:r>
      <w:r>
        <w:t xml:space="preserve">post-operative </w:t>
      </w:r>
      <w:r w:rsidRPr="00A62BA9">
        <w:t>ileus</w:t>
      </w:r>
      <w:r w:rsidR="00654353">
        <w:t>)</w:t>
      </w:r>
      <w:r w:rsidRPr="00A62BA9">
        <w:t xml:space="preserve"> and 1 placebo subject </w:t>
      </w:r>
      <w:r w:rsidR="00654353">
        <w:t>(</w:t>
      </w:r>
      <w:r w:rsidRPr="00A62BA9">
        <w:t>colon cancer</w:t>
      </w:r>
      <w:r w:rsidR="00654353">
        <w:t>)</w:t>
      </w:r>
      <w:r w:rsidRPr="00A62BA9">
        <w:t xml:space="preserve">); no fatal AEs occurred during </w:t>
      </w:r>
      <w:r w:rsidR="0096057D" w:rsidRPr="00A62BA9">
        <w:t>M</w:t>
      </w:r>
      <w:r w:rsidRPr="00A62BA9">
        <w:t xml:space="preserve">onths 12 to 24 (Table </w:t>
      </w:r>
      <w:r w:rsidR="00A62BA9" w:rsidRPr="00A62BA9">
        <w:t>17</w:t>
      </w:r>
      <w:r w:rsidRPr="00A62BA9">
        <w:t>)</w:t>
      </w:r>
      <w:r w:rsidR="008D74BF" w:rsidRPr="00A62BA9">
        <w:t>.</w:t>
      </w:r>
    </w:p>
    <w:p w14:paraId="3D5936FB" w14:textId="2140A95D" w:rsidR="00511DFE" w:rsidRDefault="00511DFE" w:rsidP="00B90F54">
      <w:pPr>
        <w:pStyle w:val="TableTitle"/>
      </w:pPr>
      <w:r w:rsidRPr="00511DFE">
        <w:t xml:space="preserve">Table </w:t>
      </w:r>
      <w:r w:rsidR="00A62BA9">
        <w:t>17</w:t>
      </w:r>
      <w:r w:rsidRPr="00511DFE">
        <w:t>: Subject incidence of AEs of interest during the initial 24 month treatment period (events starting during the initial 24 month treatment period) (safety analysis set for subjects enrolled in the initial treatment period (</w:t>
      </w:r>
      <w:r w:rsidR="00696AC6">
        <w:t>S</w:t>
      </w:r>
      <w:r w:rsidRPr="00511DFE">
        <w:t>tudy 20060326</w:t>
      </w:r>
      <w:r w:rsidR="007E3704">
        <w:t>,</w:t>
      </w:r>
      <w:r w:rsidRPr="00511DFE">
        <w:t xml:space="preserve"> </w:t>
      </w:r>
      <w:r w:rsidR="00696AC6">
        <w:t>M</w:t>
      </w:r>
      <w:r w:rsidRPr="00511DFE">
        <w:t>onth 72 final analysis)</w:t>
      </w:r>
    </w:p>
    <w:p w14:paraId="229F00DE" w14:textId="60E83D24" w:rsidR="00511DFE" w:rsidRDefault="00E477F6" w:rsidP="008719C0">
      <w:r>
        <w:rPr>
          <w:noProof/>
          <w:lang w:eastAsia="en-AU"/>
        </w:rPr>
        <w:drawing>
          <wp:inline distT="0" distB="0" distL="0" distR="0" wp14:anchorId="1660CB46" wp14:editId="2E66E2F6">
            <wp:extent cx="5400040" cy="2809875"/>
            <wp:effectExtent l="0" t="0" r="0" b="9525"/>
            <wp:docPr id="456" name="Picture 456" descr="Table 17: Subject incidence of AEs of interest during the initial 24 month treatment period (events starting during the initial 24 month treatment period) (safety analysis set for subjects enrolled in the initial treatment period (Study 20060326 Month 72 fin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2809875"/>
                    </a:xfrm>
                    <a:prstGeom prst="rect">
                      <a:avLst/>
                    </a:prstGeom>
                  </pic:spPr>
                </pic:pic>
              </a:graphicData>
            </a:graphic>
          </wp:inline>
        </w:drawing>
      </w:r>
    </w:p>
    <w:p w14:paraId="48F11BA4" w14:textId="4AD21772" w:rsidR="008719C0" w:rsidRDefault="008719C0" w:rsidP="008719C0">
      <w:r>
        <w:t>Overall, during the 24 to 36</w:t>
      </w:r>
      <w:r w:rsidR="0096057D">
        <w:t xml:space="preserve"> </w:t>
      </w:r>
      <w:r>
        <w:t xml:space="preserve">month extension phase of the study, the subject incidence of AEs was similar between the denosumab group (99 </w:t>
      </w:r>
      <w:r w:rsidR="00654353">
        <w:t>(</w:t>
      </w:r>
      <w:r>
        <w:t>79%</w:t>
      </w:r>
      <w:r w:rsidR="00654353">
        <w:t>)</w:t>
      </w:r>
      <w:r>
        <w:t xml:space="preserve"> subjects) and the placebo group (95 </w:t>
      </w:r>
      <w:r w:rsidR="00654353">
        <w:t>(</w:t>
      </w:r>
      <w:r>
        <w:t>75%</w:t>
      </w:r>
      <w:r w:rsidR="00654353">
        <w:t>)</w:t>
      </w:r>
      <w:r>
        <w:t xml:space="preserve"> subjects). The incidence of SAEs was 9 (7.2%) subjects in the denosumab group and 7 (5.5%) subjects in the placebo group. No additional fatal AEs occurred </w:t>
      </w:r>
      <w:r w:rsidR="007E3704">
        <w:t>by M</w:t>
      </w:r>
      <w:r>
        <w:t>onth 36.</w:t>
      </w:r>
    </w:p>
    <w:p w14:paraId="64BE37FF" w14:textId="77777777" w:rsidR="008719C0" w:rsidRDefault="008719C0" w:rsidP="008719C0">
      <w:r>
        <w:lastRenderedPageBreak/>
        <w:t>During the romosozumab retreatment phase (</w:t>
      </w:r>
      <w:r w:rsidR="0096057D">
        <w:t>M</w:t>
      </w:r>
      <w:r>
        <w:t>onth 35 to 48), the overall subject incidence of AEs in the re-exposed group compared with the treatment-na</w:t>
      </w:r>
      <w:r w:rsidR="0096057D">
        <w:t>ive group was generally similar</w:t>
      </w:r>
      <w:r>
        <w:t xml:space="preserve"> (84.3% for the romosozumab group and 85.0% in the all treatment group). No additional fatal AEs were reported in the romosozumab retreatment period. Incidence of discontinuations due to AEs was reported for 5 subjects (3%) but 8 subjects (4.8%) had SAEs: 5 subjects with neoplasms, 1 subject with myocardial infarction, 1 subject with inguinal hernia and 1 subject with osteoarthritis (none of these SAEs were considered treatment-related). Reasons for discontinuation of both investigational product and study were malignant lung neoplasm; thyroid cancer; Meniere’s disease; allergic der</w:t>
      </w:r>
      <w:r w:rsidR="0096057D">
        <w:t>matitis and injection site rash</w:t>
      </w:r>
      <w:r>
        <w:t>; and injection site rash in 1 subject each. There were no AEs of hypocalcaemia. One subject had a grade 1 decrease in albumin-adjusted serum calcium that resolved. There were no AEs potentially associated with hyperostosis. The subject incidence of osteoarthritis or arthritis was 3.6% (6 subjects); 3 of these subjects had a history of osteoarthritis. Of the 3 subjects with new onset of osteoarthritis, 2 subjects had received placebo in all previous periods, and one had received romosozumab up to 24 months and placebo in the extension phase.</w:t>
      </w:r>
      <w:r w:rsidR="008D74BF">
        <w:t xml:space="preserve"> </w:t>
      </w:r>
      <w:r>
        <w:t xml:space="preserve">There were no cases of adjudicated positive </w:t>
      </w:r>
      <w:r w:rsidR="0096057D">
        <w:t>osteonecrosis of the jaw</w:t>
      </w:r>
      <w:r>
        <w:t xml:space="preserve"> or </w:t>
      </w:r>
      <w:r w:rsidR="0096057D">
        <w:t xml:space="preserve">atypical </w:t>
      </w:r>
      <w:r w:rsidR="00C85473">
        <w:t>femoral</w:t>
      </w:r>
      <w:r w:rsidR="0096057D">
        <w:t xml:space="preserve"> fracture</w:t>
      </w:r>
      <w:r>
        <w:t>.</w:t>
      </w:r>
    </w:p>
    <w:p w14:paraId="70770E2C" w14:textId="77777777" w:rsidR="008719C0" w:rsidRDefault="008719C0" w:rsidP="008719C0">
      <w:r>
        <w:t>During the 24</w:t>
      </w:r>
      <w:r w:rsidR="0096057D">
        <w:t xml:space="preserve"> </w:t>
      </w:r>
      <w:r>
        <w:t>month follow-on phase (</w:t>
      </w:r>
      <w:r w:rsidR="0096057D">
        <w:t>M</w:t>
      </w:r>
      <w:r>
        <w:t>onths 48 to 72) of Study 20060326, subjects received zoledronic acid or no intervention. AEs and SAEs were reported for 72.5% and 15.7%, respectively of subjects assigned to no intervention; 83.9% and 13.8% of subjects who received zoledronic acid. No subject discontinued investigational product or the study due to AEs. One (2.0%) fatal AE was reported in the group of subjects assigned to no intervention. The event of cardiorespiratory arrest was not considered related to study treatment. For subjects who received zoledronic acid, treatment</w:t>
      </w:r>
      <w:r w:rsidR="0096057D">
        <w:t xml:space="preserve"> </w:t>
      </w:r>
      <w:r>
        <w:t>related AEs and SAEs were reported for 37.9% and 1.1% of subjects, respectively, but none of these were fatal or led to discontinuation from study. AEs reported for ≥ 10% of subjects who received zoledronic acid were influenza-like illness (16.1%), myalgia (13.8%), arthralgia (12.6%), influenza (12.6%) and nasopharyngitis (11.5%). Treatment</w:t>
      </w:r>
      <w:r w:rsidR="0096057D">
        <w:t xml:space="preserve"> </w:t>
      </w:r>
      <w:r>
        <w:t>related AEs (preferred terms) reported for &gt; 3% of all subjects who received zoledronic acid were influenza-like illness (13.8%), myalgia (10.3%), arthralgia (3.4%) and influenza (5.7%).</w:t>
      </w:r>
      <w:r w:rsidR="008D74BF">
        <w:t xml:space="preserve"> </w:t>
      </w:r>
      <w:r>
        <w:t xml:space="preserve">SAEs reported by more than 1 subject were pneumonia (no intervention, 0 subjects; zoledronic acid, 3 subjects) and osteoarthritis (2; 0). AEs potentially associated with hypersensitivity (no intervention, 5.9%; zoledronic acid, 3.4%); hypocalcaemia (both 0%); hyperostosis (both 0%); malignancies (0%; 2.3%); osteoarthritis (9.8%; 8.0%) with no adjudicated </w:t>
      </w:r>
      <w:r w:rsidR="0096057D">
        <w:t>osteonecrosis of the jaw</w:t>
      </w:r>
      <w:r>
        <w:t xml:space="preserve"> or </w:t>
      </w:r>
      <w:r w:rsidR="0096057D">
        <w:t xml:space="preserve">atypical </w:t>
      </w:r>
      <w:r w:rsidR="00C85473">
        <w:t>femoral</w:t>
      </w:r>
      <w:r w:rsidR="0096057D">
        <w:t xml:space="preserve"> fracture.</w:t>
      </w:r>
    </w:p>
    <w:p w14:paraId="22679457" w14:textId="263E0055" w:rsidR="008D74BF" w:rsidRDefault="008719C0" w:rsidP="008719C0">
      <w:r>
        <w:t>In the pivota</w:t>
      </w:r>
      <w:r w:rsidR="0096057D">
        <w:t>l P</w:t>
      </w:r>
      <w:r>
        <w:t xml:space="preserve">hase </w:t>
      </w:r>
      <w:r w:rsidR="0096057D">
        <w:t>III</w:t>
      </w:r>
      <w:r>
        <w:t xml:space="preserve"> </w:t>
      </w:r>
      <w:r w:rsidR="003D7E26">
        <w:t>Study</w:t>
      </w:r>
      <w:r>
        <w:t xml:space="preserve"> 20070337 the proportion of subjects reporting AEs, SAEs, fatal AEs and AEs leading to discontinuation from study or investigational product over the 24-month study period were similar between the treatment </w:t>
      </w:r>
      <w:r w:rsidRPr="00A62BA9">
        <w:t xml:space="preserve">groups (Table </w:t>
      </w:r>
      <w:r w:rsidR="00A62BA9" w:rsidRPr="00A62BA9">
        <w:t>18</w:t>
      </w:r>
      <w:r w:rsidRPr="00A62BA9">
        <w:t>).</w:t>
      </w:r>
      <w:r w:rsidR="008D74BF" w:rsidRPr="00A62BA9">
        <w:t xml:space="preserve"> </w:t>
      </w:r>
      <w:r w:rsidRPr="00A62BA9">
        <w:t>During</w:t>
      </w:r>
      <w:r>
        <w:t xml:space="preserve"> the 36</w:t>
      </w:r>
      <w:r w:rsidR="0096057D">
        <w:t xml:space="preserve"> </w:t>
      </w:r>
      <w:r>
        <w:t>month study period (</w:t>
      </w:r>
      <w:r w:rsidR="00D24492">
        <w:t>that is</w:t>
      </w:r>
      <w:r>
        <w:t>, 24</w:t>
      </w:r>
      <w:r w:rsidR="0096057D">
        <w:t xml:space="preserve"> </w:t>
      </w:r>
      <w:r>
        <w:t xml:space="preserve">month primary analysis study period followed by the </w:t>
      </w:r>
      <w:r w:rsidR="00531AFF">
        <w:t>12 month</w:t>
      </w:r>
      <w:r>
        <w:t xml:space="preserve"> extension period), subjects who received romosozumab/</w:t>
      </w:r>
      <w:r w:rsidR="00511DFE">
        <w:t xml:space="preserve"> </w:t>
      </w:r>
      <w:r>
        <w:t xml:space="preserve">denosumab and subjects who received placebo/denosumab showed similar incidence of AEs (88.1% </w:t>
      </w:r>
      <w:r w:rsidR="00CE639A">
        <w:t xml:space="preserve">versus </w:t>
      </w:r>
      <w:r>
        <w:t xml:space="preserve">89%), SAEs (20.3% </w:t>
      </w:r>
      <w:r w:rsidR="00CE639A">
        <w:t xml:space="preserve">versus </w:t>
      </w:r>
      <w:r>
        <w:t xml:space="preserve">20.5%), deaths (2.0% </w:t>
      </w:r>
      <w:r w:rsidR="00654353">
        <w:t>(</w:t>
      </w:r>
      <w:r>
        <w:t>72</w:t>
      </w:r>
      <w:r w:rsidR="00654353">
        <w:t>)</w:t>
      </w:r>
      <w:r>
        <w:t xml:space="preserve"> </w:t>
      </w:r>
      <w:r w:rsidR="00CE639A">
        <w:t xml:space="preserve">versus </w:t>
      </w:r>
      <w:r>
        <w:t xml:space="preserve">2.4% </w:t>
      </w:r>
      <w:r w:rsidR="00654353">
        <w:t>(</w:t>
      </w:r>
      <w:r>
        <w:t>85</w:t>
      </w:r>
      <w:r w:rsidR="00654353">
        <w:t>)</w:t>
      </w:r>
      <w:r>
        <w:t xml:space="preserve">), AEs leading to discontinuation (1.8% </w:t>
      </w:r>
      <w:r w:rsidR="00CE639A">
        <w:t xml:space="preserve">versus </w:t>
      </w:r>
      <w:r>
        <w:t>1.8%). During the 36</w:t>
      </w:r>
      <w:r w:rsidR="00AD6890">
        <w:t> </w:t>
      </w:r>
      <w:r>
        <w:t>month study period, treatment</w:t>
      </w:r>
      <w:r w:rsidR="0096057D">
        <w:t xml:space="preserve"> </w:t>
      </w:r>
      <w:r>
        <w:t xml:space="preserve">related AEs were reported for 18.8% of subjects in the romosozumab/denosumab group and 16.0% of subjects in the placebo/denosumab group. </w:t>
      </w:r>
      <w:r w:rsidRPr="00322404">
        <w:t>During the 36</w:t>
      </w:r>
      <w:r w:rsidR="0096057D" w:rsidRPr="00322404">
        <w:t xml:space="preserve"> </w:t>
      </w:r>
      <w:r w:rsidRPr="00322404">
        <w:t>month study period, 72 deaths (2.0%); 3 (&lt; 0.1%) and 1 (&lt; 0.1%), respectively, were considered by the investigator to be related to treatment</w:t>
      </w:r>
      <w:r w:rsidR="008D74BF" w:rsidRPr="00322404">
        <w:t>.</w:t>
      </w:r>
    </w:p>
    <w:p w14:paraId="7AB285E0" w14:textId="288FC3F1" w:rsidR="00511DFE" w:rsidRDefault="00511DFE" w:rsidP="00B90F54">
      <w:pPr>
        <w:pStyle w:val="TableTitle"/>
      </w:pPr>
      <w:r w:rsidRPr="00511DFE">
        <w:lastRenderedPageBreak/>
        <w:t xml:space="preserve">Table </w:t>
      </w:r>
      <w:r w:rsidR="00A62BA9">
        <w:t>18</w:t>
      </w:r>
      <w:r w:rsidRPr="00511DFE">
        <w:t>: Subject incidence of AEs (Safety analysis set) (</w:t>
      </w:r>
      <w:r w:rsidR="00696AC6">
        <w:t xml:space="preserve">Study </w:t>
      </w:r>
      <w:r w:rsidRPr="00511DFE">
        <w:t>20070337</w:t>
      </w:r>
      <w:r w:rsidR="007E3704">
        <w:t>,</w:t>
      </w:r>
      <w:r w:rsidRPr="00511DFE">
        <w:t xml:space="preserve"> 24</w:t>
      </w:r>
      <w:r>
        <w:t xml:space="preserve"> </w:t>
      </w:r>
      <w:r w:rsidRPr="00511DFE">
        <w:t>month primary analysis period)</w:t>
      </w:r>
    </w:p>
    <w:p w14:paraId="2DC6CC06" w14:textId="02C12D39" w:rsidR="00511DFE" w:rsidRDefault="00322404" w:rsidP="008719C0">
      <w:r>
        <w:rPr>
          <w:noProof/>
          <w:lang w:eastAsia="en-AU"/>
        </w:rPr>
        <w:drawing>
          <wp:inline distT="0" distB="0" distL="0" distR="0" wp14:anchorId="00040FE5" wp14:editId="15BAA28A">
            <wp:extent cx="5400040" cy="3639185"/>
            <wp:effectExtent l="0" t="0" r="0" b="0"/>
            <wp:docPr id="457" name="Picture 457" descr="Table 18: Subject incidence of AEs (Safety analysis set) (Study 20070337 24 month primary analys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3639185"/>
                    </a:xfrm>
                    <a:prstGeom prst="rect">
                      <a:avLst/>
                    </a:prstGeom>
                  </pic:spPr>
                </pic:pic>
              </a:graphicData>
            </a:graphic>
          </wp:inline>
        </w:drawing>
      </w:r>
    </w:p>
    <w:p w14:paraId="3E8DE084" w14:textId="77777777" w:rsidR="008719C0" w:rsidRDefault="008719C0" w:rsidP="0096057D">
      <w:pPr>
        <w:pStyle w:val="Heading4"/>
      </w:pPr>
      <w:r>
        <w:t>Safety related to drug-drug interactions and other interactions</w:t>
      </w:r>
    </w:p>
    <w:p w14:paraId="63EAF5BA" w14:textId="77777777" w:rsidR="008719C0" w:rsidRPr="008719C0" w:rsidRDefault="008719C0" w:rsidP="008719C0">
      <w:r>
        <w:t xml:space="preserve">No studies on potential drug-drug interactions were conducted with romosozumab. </w:t>
      </w:r>
      <w:r w:rsidR="00696AC6">
        <w:t>Romosozumab</w:t>
      </w:r>
      <w:r>
        <w:t xml:space="preserve"> is a monoclonal antibody that binds specifically to sclerostin, and there are no known mechanisms or previous </w:t>
      </w:r>
      <w:r w:rsidR="00C36ACF">
        <w:t>pharmacokinetics</w:t>
      </w:r>
      <w:r>
        <w:t xml:space="preserve"> or pharmacodynamic experience whereby romosozumab may precipitate </w:t>
      </w:r>
      <w:r w:rsidR="00C36ACF">
        <w:t>pharmacokinetics</w:t>
      </w:r>
      <w:r>
        <w:t xml:space="preserve"> drug-drug interactions.</w:t>
      </w:r>
    </w:p>
    <w:p w14:paraId="47E1CF3D" w14:textId="6C0C58B7" w:rsidR="003F09E4" w:rsidRDefault="00605AD4" w:rsidP="00605AD4">
      <w:pPr>
        <w:pStyle w:val="Heading4"/>
      </w:pPr>
      <w:r w:rsidRPr="00605AD4">
        <w:t>Post</w:t>
      </w:r>
      <w:r w:rsidR="00322404">
        <w:t xml:space="preserve"> </w:t>
      </w:r>
      <w:r w:rsidRPr="00605AD4">
        <w:t>marketing data</w:t>
      </w:r>
    </w:p>
    <w:p w14:paraId="3CD83BDD" w14:textId="77777777" w:rsidR="008719C0" w:rsidRPr="008719C0" w:rsidRDefault="00696AC6" w:rsidP="008719C0">
      <w:r>
        <w:t>Romosozumab</w:t>
      </w:r>
      <w:r w:rsidR="008719C0" w:rsidRPr="008719C0">
        <w:t xml:space="preserve"> has not yet received marketing approval in any country.</w:t>
      </w:r>
    </w:p>
    <w:p w14:paraId="4E7D6BEB" w14:textId="77777777" w:rsidR="003F09E4" w:rsidRDefault="00605AD4" w:rsidP="00605AD4">
      <w:pPr>
        <w:pStyle w:val="Heading4"/>
      </w:pPr>
      <w:r w:rsidRPr="00605AD4">
        <w:t>Evaluator’s conclusions on safety</w:t>
      </w:r>
    </w:p>
    <w:p w14:paraId="3CA20005" w14:textId="57E65DF3" w:rsidR="008D74BF" w:rsidRDefault="008719C0" w:rsidP="008719C0">
      <w:r>
        <w:t xml:space="preserve">The romosozumab clinical program consisted of an extensive database that included </w:t>
      </w:r>
      <w:r w:rsidR="007E3704">
        <w:t xml:space="preserve">around </w:t>
      </w:r>
      <w:r>
        <w:t>14</w:t>
      </w:r>
      <w:r w:rsidR="0096057D">
        <w:t>,</w:t>
      </w:r>
      <w:r>
        <w:t xml:space="preserve">000 subjects who received at least 1 dose of romosozumab (n = 7681), placebo (n = 3872) or active comparator (n = </w:t>
      </w:r>
      <w:r w:rsidR="007E3704">
        <w:t xml:space="preserve">around </w:t>
      </w:r>
      <w:r>
        <w:t xml:space="preserve">2400) in 19 romosozumab clinical studies. This was adequate to evaluate safety of the </w:t>
      </w:r>
      <w:r w:rsidR="00566372">
        <w:t>new chemical entity</w:t>
      </w:r>
      <w:r>
        <w:t xml:space="preserve"> in the target population for proposed usage</w:t>
      </w:r>
      <w:r w:rsidR="008D74BF">
        <w:t>.</w:t>
      </w:r>
    </w:p>
    <w:p w14:paraId="2DE79E01" w14:textId="33445D98" w:rsidR="008D74BF" w:rsidRDefault="008719C0" w:rsidP="008719C0">
      <w:r>
        <w:t>The o</w:t>
      </w:r>
      <w:r w:rsidR="00654353">
        <w:t>verall subject incidence of AEs</w:t>
      </w:r>
      <w:r w:rsidR="00DD4DAE">
        <w:t>, SAEs</w:t>
      </w:r>
      <w:r>
        <w:t xml:space="preserve">, fatal AEs, and AEs leading to withdrawal of investigational product or study were similar between the romosozumab and placebo groups across the phase 2 and 3 </w:t>
      </w:r>
      <w:r w:rsidR="00566372">
        <w:t>placebo controlled</w:t>
      </w:r>
      <w:r>
        <w:t xml:space="preserve"> studies. Of the 7628 subjects in the </w:t>
      </w:r>
      <w:r w:rsidR="00566372">
        <w:t>placebo controlled</w:t>
      </w:r>
      <w:r>
        <w:t xml:space="preserve"> osteoporosis safety analysis set, the proportion of subjects who had at least 1 </w:t>
      </w:r>
      <w:r w:rsidR="00245945">
        <w:t xml:space="preserve">treatment emergent </w:t>
      </w:r>
      <w:r>
        <w:t xml:space="preserve">AE during the study period was similar in the romosozumab and placebo groups (78.4% </w:t>
      </w:r>
      <w:r w:rsidR="00CE639A">
        <w:t xml:space="preserve">versus </w:t>
      </w:r>
      <w:r>
        <w:t xml:space="preserve">80%); nasopharyngitis (13.6% </w:t>
      </w:r>
      <w:r w:rsidR="00CE639A">
        <w:t xml:space="preserve">versus </w:t>
      </w:r>
      <w:r>
        <w:t xml:space="preserve">12.6%), arthralgia (12.4% </w:t>
      </w:r>
      <w:r w:rsidR="00CE639A">
        <w:t xml:space="preserve">versus </w:t>
      </w:r>
      <w:r>
        <w:t xml:space="preserve">11.8%) and back pain (10.2% </w:t>
      </w:r>
      <w:r w:rsidR="00CE639A">
        <w:t xml:space="preserve">versus </w:t>
      </w:r>
      <w:r>
        <w:t xml:space="preserve">10.4%) were most common and no AE was reported at a ≥ 2% difference in the total romosozumab group than in the placebo group. Treatment-related AEs were reported in slightly more subjects in the romosozumab compared with the placebo group (16.1% </w:t>
      </w:r>
      <w:r w:rsidR="00CE639A">
        <w:t xml:space="preserve">versus </w:t>
      </w:r>
      <w:r>
        <w:t xml:space="preserve">13.5%). Adverse reactions </w:t>
      </w:r>
      <w:r>
        <w:lastRenderedPageBreak/>
        <w:t xml:space="preserve">for romosozumab were determined by evaluating AEs that occurred with a ≥ 2% incidence rate in the total romosozumab group and more frequently in the romosozumab group than the placebo group for the </w:t>
      </w:r>
      <w:r w:rsidR="00531AFF">
        <w:t>12 month</w:t>
      </w:r>
      <w:r>
        <w:t xml:space="preserve"> </w:t>
      </w:r>
      <w:r w:rsidR="00566372">
        <w:t>placebo controlled</w:t>
      </w:r>
      <w:r>
        <w:t xml:space="preserve"> population; commo</w:t>
      </w:r>
      <w:r w:rsidR="00AD6890">
        <w:t>n adverse drug reaction</w:t>
      </w:r>
      <w:r>
        <w:t xml:space="preserve">s included nasopharyngitis, arthralgia, headache, muscle spasms, cough, peripheral oedema and neck pain. Based on review of all clinical data, injection site reactions, hypersensitivity and hypocalcaemia were also considered adverse reactions. The incidence of fatal AEs was similar in the romosozumab and placebo groups (0.8% </w:t>
      </w:r>
      <w:r w:rsidR="00CE639A">
        <w:t xml:space="preserve">versus </w:t>
      </w:r>
      <w:r>
        <w:t xml:space="preserve">0.7%); fatal AEs reported for more than 1 subject were death (6 </w:t>
      </w:r>
      <w:r w:rsidR="00654353">
        <w:t>(</w:t>
      </w:r>
      <w:r>
        <w:t>0.2%</w:t>
      </w:r>
      <w:r w:rsidR="00654353">
        <w:t>)</w:t>
      </w:r>
      <w:r>
        <w:t xml:space="preserve"> subjects in each group), lung neoplasm malignant (4 </w:t>
      </w:r>
      <w:r w:rsidR="00654353">
        <w:t>(</w:t>
      </w:r>
      <w:r>
        <w:t>0.1%</w:t>
      </w:r>
      <w:r w:rsidR="00654353">
        <w:t>)</w:t>
      </w:r>
      <w:r>
        <w:t xml:space="preserve"> </w:t>
      </w:r>
      <w:r w:rsidR="00CE639A">
        <w:t xml:space="preserve">versus </w:t>
      </w:r>
      <w:r>
        <w:t xml:space="preserve">0), cardiorespiratory arrest (3 </w:t>
      </w:r>
      <w:r w:rsidR="00654353">
        <w:t>(</w:t>
      </w:r>
      <w:r>
        <w:t>&lt;</w:t>
      </w:r>
      <w:r w:rsidR="00AD6890">
        <w:t> </w:t>
      </w:r>
      <w:r>
        <w:t>0.1%</w:t>
      </w:r>
      <w:r w:rsidR="00654353">
        <w:t>)</w:t>
      </w:r>
      <w:r>
        <w:t xml:space="preserve"> </w:t>
      </w:r>
      <w:r w:rsidR="00CE639A">
        <w:t xml:space="preserve">versus </w:t>
      </w:r>
      <w:r>
        <w:t xml:space="preserve">0), myocardial infarction (2 </w:t>
      </w:r>
      <w:r w:rsidR="00654353">
        <w:t>(</w:t>
      </w:r>
      <w:r>
        <w:t>&lt; 0.1%</w:t>
      </w:r>
      <w:r w:rsidR="00654353">
        <w:t>)</w:t>
      </w:r>
      <w:r>
        <w:t xml:space="preserve"> subjects in each group), angina pectoris (0 </w:t>
      </w:r>
      <w:r w:rsidR="00CE639A">
        <w:t xml:space="preserve">versus </w:t>
      </w:r>
      <w:r>
        <w:t xml:space="preserve">2 </w:t>
      </w:r>
      <w:r w:rsidR="00654353">
        <w:t>(</w:t>
      </w:r>
      <w:r>
        <w:t>&lt;</w:t>
      </w:r>
      <w:r w:rsidR="00AD6890">
        <w:t xml:space="preserve"> </w:t>
      </w:r>
      <w:r>
        <w:t>0.1%</w:t>
      </w:r>
      <w:r w:rsidR="00654353">
        <w:t>)</w:t>
      </w:r>
      <w:r>
        <w:t xml:space="preserve">) and cerebrovascular accident (0 </w:t>
      </w:r>
      <w:r w:rsidR="00CE639A">
        <w:t xml:space="preserve">versus </w:t>
      </w:r>
      <w:r>
        <w:t xml:space="preserve">2 </w:t>
      </w:r>
      <w:r w:rsidR="00654353">
        <w:t>(</w:t>
      </w:r>
      <w:r>
        <w:t>&lt;0.1%</w:t>
      </w:r>
      <w:r w:rsidR="00654353">
        <w:t>)</w:t>
      </w:r>
      <w:r>
        <w:t xml:space="preserve">). Only 1 death in the romosozumab groups was considered treatment related (deep vein thrombosis). Incidence of SAEs (9.7% </w:t>
      </w:r>
      <w:r w:rsidR="00CE639A">
        <w:t xml:space="preserve">versus </w:t>
      </w:r>
      <w:r>
        <w:t xml:space="preserve">8.9%) was similar in both treatment groups. The only SAE occurring in ≥ 0.5% of subjects in the total romosozumab or placebo groups was pneumonia (0.5% romosozumab, 0.3% placebo) and no SAEs (preferred terms) were reported at a ≥ 2% higher incidence in the total romosozumab group compared to the placebo group. The incidence of treatment-related SAE was 0.4% in each treatment group. The incidence of AEs leading to permanent discontinuation was similar in both treatment groups (romosozumab </w:t>
      </w:r>
      <w:r w:rsidR="00CE639A">
        <w:t xml:space="preserve">versus </w:t>
      </w:r>
      <w:r>
        <w:t xml:space="preserve">placebo: 3% </w:t>
      </w:r>
      <w:r w:rsidR="00CE639A">
        <w:t xml:space="preserve">versus </w:t>
      </w:r>
      <w:r>
        <w:t>2.6%) with most common AEs leading to discontinuation being pain in extremity, arthralgia, dizziness, lung neoplasm malignant and nausea</w:t>
      </w:r>
      <w:r w:rsidR="008D74BF">
        <w:t>.</w:t>
      </w:r>
    </w:p>
    <w:p w14:paraId="29A54C34" w14:textId="77777777" w:rsidR="008D74BF" w:rsidRDefault="008719C0" w:rsidP="008719C0">
      <w:r>
        <w:t xml:space="preserve">The subject incidence of AEs of interest was similar between treatment groups in the </w:t>
      </w:r>
      <w:r w:rsidR="00531AFF">
        <w:t>12</w:t>
      </w:r>
      <w:r w:rsidR="00AD6890">
        <w:t> </w:t>
      </w:r>
      <w:r w:rsidR="00531AFF">
        <w:t>month</w:t>
      </w:r>
      <w:r>
        <w:t xml:space="preserve"> </w:t>
      </w:r>
      <w:r w:rsidR="00566372">
        <w:t>placebo controlled</w:t>
      </w:r>
      <w:r>
        <w:t xml:space="preserve"> osteoporosis safety analysis set except for injection site reactions (5.2% for romosozumab and 2.9% for placebo). Similar results were obtained for exposure-adjusted incidence rates in the osteoporosis safety analysis set</w:t>
      </w:r>
      <w:r w:rsidR="008D74BF">
        <w:t>.</w:t>
      </w:r>
    </w:p>
    <w:p w14:paraId="45693770" w14:textId="77777777" w:rsidR="008D74BF" w:rsidRDefault="008719C0" w:rsidP="008719C0">
      <w:r>
        <w:t xml:space="preserve">The overall subject incidences of AEs, SAEs, fatal AEs and AEs leading to withdrawal of investigational product or study were similar between the romosozumab and alendronate groups in Study 20110142. The subject incidence of AEs of interest was similar between treatment groups except for injection site reactions (romosozumab </w:t>
      </w:r>
      <w:r w:rsidR="00CE639A">
        <w:t xml:space="preserve">versus </w:t>
      </w:r>
      <w:r>
        <w:t xml:space="preserve">alendronate: 4.4% </w:t>
      </w:r>
      <w:r w:rsidR="00CE639A">
        <w:t xml:space="preserve">versus </w:t>
      </w:r>
      <w:r>
        <w:t xml:space="preserve">2.6%) and positively adjudicated serious cardiovascular AEs (2.5% </w:t>
      </w:r>
      <w:r w:rsidR="00CE639A">
        <w:t xml:space="preserve">versus </w:t>
      </w:r>
      <w:r>
        <w:t>1.9)</w:t>
      </w:r>
      <w:r w:rsidR="008D74BF">
        <w:t>.</w:t>
      </w:r>
    </w:p>
    <w:p w14:paraId="7080A7A4" w14:textId="77777777" w:rsidR="008D74BF" w:rsidRDefault="008719C0" w:rsidP="008719C0">
      <w:r>
        <w:t>The subject incidences of AEs and SAEs were generally balanced between the romosozumab and teriparatide groups in Study 20080289 that enrolled subjects previously treated with bisphosphonates. The types of events reported were those that would be expected in the population studied. Injection site reactions were observed more frequently with romosozumab compared with teriparatide (7.8% and 2.8%, respectively), which led to study drug discontinuation for 1 subject in the romosozumab group. Most AEs related to injection site reactions were reported as mild in severity and none was considered serious</w:t>
      </w:r>
      <w:r w:rsidR="008D74BF">
        <w:t>.</w:t>
      </w:r>
    </w:p>
    <w:p w14:paraId="12AC2442" w14:textId="1338D5F4" w:rsidR="008D74BF" w:rsidRDefault="008719C0" w:rsidP="008719C0">
      <w:r>
        <w:t xml:space="preserve">The overall safety profile in men with osteoporosis (based on subject incidences of AEs, SAEs, fatal AEs and AEs leading to withdrawal of investigational product or study) was similar to that observed for women in the pivotal </w:t>
      </w:r>
      <w:r w:rsidR="00AD6890">
        <w:t>P</w:t>
      </w:r>
      <w:r>
        <w:t xml:space="preserve">hase </w:t>
      </w:r>
      <w:r w:rsidR="00AD6890">
        <w:t>III</w:t>
      </w:r>
      <w:r>
        <w:t xml:space="preserve"> </w:t>
      </w:r>
      <w:r w:rsidR="00566372">
        <w:t>placebo controlled</w:t>
      </w:r>
      <w:r>
        <w:t xml:space="preserve"> fracture </w:t>
      </w:r>
      <w:r w:rsidR="003D7E26">
        <w:t>Study</w:t>
      </w:r>
      <w:r>
        <w:t xml:space="preserve"> 20070337</w:t>
      </w:r>
      <w:r w:rsidR="008D74BF">
        <w:t>.</w:t>
      </w:r>
    </w:p>
    <w:p w14:paraId="70F7BE2F" w14:textId="42472BA5" w:rsidR="008D74BF" w:rsidRDefault="008719C0" w:rsidP="008719C0">
      <w:r>
        <w:t xml:space="preserve">There were no clinically relevant differences between romosozumab and placebo (or control groups) on </w:t>
      </w:r>
      <w:r w:rsidR="00322404">
        <w:t>liver,</w:t>
      </w:r>
      <w:r>
        <w:t xml:space="preserve"> renal function parameters, clinical chemistry, haematology and vital signs among the individual studies.</w:t>
      </w:r>
      <w:r w:rsidR="008D74BF">
        <w:t xml:space="preserve"> </w:t>
      </w:r>
      <w:r>
        <w:t xml:space="preserve">ECG data were collected in Study 20060326 and some </w:t>
      </w:r>
      <w:r w:rsidR="007E3704">
        <w:t>P</w:t>
      </w:r>
      <w:r>
        <w:t xml:space="preserve">hase </w:t>
      </w:r>
      <w:r w:rsidR="007E3704">
        <w:t>I</w:t>
      </w:r>
      <w:r>
        <w:t xml:space="preserve"> studies are also provided in individual </w:t>
      </w:r>
      <w:r w:rsidR="007E3704">
        <w:t>clinical study reports</w:t>
      </w:r>
      <w:r>
        <w:t xml:space="preserve">. However, ECGs were not performed in pivotal Phase </w:t>
      </w:r>
      <w:r w:rsidR="007E3704">
        <w:t>III</w:t>
      </w:r>
      <w:r>
        <w:t xml:space="preserve"> </w:t>
      </w:r>
      <w:r w:rsidR="007E3704">
        <w:t>S</w:t>
      </w:r>
      <w:r>
        <w:t>tudies 20070337, 20110</w:t>
      </w:r>
      <w:r w:rsidR="003D7E26">
        <w:t xml:space="preserve">142 and 20110174 and the Phase </w:t>
      </w:r>
      <w:proofErr w:type="spellStart"/>
      <w:r w:rsidR="003D7E26">
        <w:t>III</w:t>
      </w:r>
      <w:r>
        <w:t>b</w:t>
      </w:r>
      <w:proofErr w:type="spellEnd"/>
      <w:r>
        <w:t xml:space="preserve"> </w:t>
      </w:r>
      <w:r w:rsidR="003D7E26">
        <w:t>Study</w:t>
      </w:r>
      <w:r>
        <w:t xml:space="preserve"> 20080289. Analysis of ECG results in individual studies in which they were analysed demonstrated no clinically important effect of romosozumab</w:t>
      </w:r>
      <w:r w:rsidR="008D74BF">
        <w:t>.</w:t>
      </w:r>
    </w:p>
    <w:p w14:paraId="6B47F27B" w14:textId="521C90F6" w:rsidR="008719C0" w:rsidRDefault="008719C0" w:rsidP="008719C0">
      <w:r>
        <w:lastRenderedPageBreak/>
        <w:t xml:space="preserve">The romosozumab clinical study program revealed an imbalance in positively-adjudicated cardiovascular SAEs between treatment groups in Study 20110142, which was not observed in the larger, </w:t>
      </w:r>
      <w:r w:rsidR="00566372">
        <w:t>placebo controlled</w:t>
      </w:r>
      <w:r>
        <w:t xml:space="preserve"> Study 20070337. The external, independent adjudication of cardiovascular SAEs in the three p</w:t>
      </w:r>
      <w:r w:rsidR="00322404">
        <w:t xml:space="preserve">ivotal </w:t>
      </w:r>
      <w:r w:rsidR="007E3704">
        <w:t>P</w:t>
      </w:r>
      <w:r w:rsidR="00322404">
        <w:t xml:space="preserve">hase </w:t>
      </w:r>
      <w:r w:rsidR="007E3704">
        <w:t>III S</w:t>
      </w:r>
      <w:r w:rsidR="00322404">
        <w:t>tudies (Studies </w:t>
      </w:r>
      <w:r>
        <w:t>20070337, 20110142 and 20110174) in the romosozumab clinical program was pre</w:t>
      </w:r>
      <w:r w:rsidR="00322404">
        <w:t> </w:t>
      </w:r>
      <w:r>
        <w:t>specified in the respective protocols. Based on the totality of the evidence including nonclinical, clinical, and epidemiologic data, a causal relationship between romosozumab and positively-adjudicated cardiovascular SAEs has not been established. A true relationship to romosozumab has not been excluded; therefore, cardiovascular SAEs remain an important potential risk and will require ongoing monitoring and evaluation in pharmacovigilance activities.</w:t>
      </w:r>
    </w:p>
    <w:p w14:paraId="422E379E" w14:textId="282E5B0A" w:rsidR="008D74BF" w:rsidRDefault="008719C0" w:rsidP="008719C0">
      <w:r>
        <w:t xml:space="preserve">In </w:t>
      </w:r>
      <w:r w:rsidR="00AD6890">
        <w:t>P</w:t>
      </w:r>
      <w:r>
        <w:t xml:space="preserve">hase </w:t>
      </w:r>
      <w:r w:rsidR="00AD6890">
        <w:t>II</w:t>
      </w:r>
      <w:r>
        <w:t xml:space="preserve"> and </w:t>
      </w:r>
      <w:r w:rsidR="00AD6890">
        <w:t>III</w:t>
      </w:r>
      <w:r>
        <w:t xml:space="preserve"> clinical studies of osteoporosis in postmenopausal women, the incidence of developing anti</w:t>
      </w:r>
      <w:r w:rsidR="00322404">
        <w:t xml:space="preserve"> </w:t>
      </w:r>
      <w:r>
        <w:t>romosozumab binding and neutralising antibodies was 18.6% (1162</w:t>
      </w:r>
      <w:r w:rsidR="00AD6890">
        <w:t xml:space="preserve"> of </w:t>
      </w:r>
      <w:r>
        <w:t>6244) and 0.9% (58 of 6244), respectively across all doses studied. The incidence of developing binding and neutralising anti</w:t>
      </w:r>
      <w:r w:rsidR="00322404">
        <w:t xml:space="preserve"> </w:t>
      </w:r>
      <w:r>
        <w:t xml:space="preserve">romosozumab antibodies in women who received 210 mg </w:t>
      </w:r>
      <w:r w:rsidR="00AD6890">
        <w:t>monthly</w:t>
      </w:r>
      <w:r>
        <w:t xml:space="preserve"> was similar to the overall studies at 18.1% (1068</w:t>
      </w:r>
      <w:r w:rsidR="00AD6890">
        <w:t xml:space="preserve"> of</w:t>
      </w:r>
      <w:r>
        <w:t xml:space="preserve"> 5914) and 0.7% (43</w:t>
      </w:r>
      <w:r w:rsidR="00AD6890">
        <w:t xml:space="preserve"> of </w:t>
      </w:r>
      <w:r>
        <w:t xml:space="preserve">5914), respectively. Similar results were observed in men with osteoporosis who received romosozumab 210 mg </w:t>
      </w:r>
      <w:r w:rsidR="00AD6890">
        <w:t>monthly</w:t>
      </w:r>
      <w:r>
        <w:t xml:space="preserve">; the incidence of </w:t>
      </w:r>
      <w:r w:rsidR="00322404">
        <w:t>anti romosozumab</w:t>
      </w:r>
      <w:r>
        <w:t xml:space="preserve"> binding and neutralising antibodies through </w:t>
      </w:r>
      <w:r w:rsidR="00AD6890">
        <w:t>M</w:t>
      </w:r>
      <w:r>
        <w:t>onth 15 was 17.3% (28</w:t>
      </w:r>
      <w:r w:rsidR="00AD6890">
        <w:t xml:space="preserve"> of </w:t>
      </w:r>
      <w:r>
        <w:t>162) and 0.6% (1</w:t>
      </w:r>
      <w:r w:rsidR="00AD6890">
        <w:t xml:space="preserve"> of </w:t>
      </w:r>
      <w:r>
        <w:t>161), respectively which was consistent with that observed for postmenopausal women with osteoporosis. The pharmacokinetic exposure, safety (</w:t>
      </w:r>
      <w:r w:rsidR="00C36ACF">
        <w:t>for example</w:t>
      </w:r>
      <w:r>
        <w:t xml:space="preserve">, hypersensitivity, injection site reactions, or autoimmune disorder) and efficacy (changes in </w:t>
      </w:r>
      <w:r w:rsidR="00881772">
        <w:t>BMD</w:t>
      </w:r>
      <w:r>
        <w:t xml:space="preserve">) profiles of the subjects who tested positive for binding </w:t>
      </w:r>
      <w:r w:rsidR="00322404">
        <w:t>anti romosozumab</w:t>
      </w:r>
      <w:r>
        <w:t xml:space="preserve"> antibodies were found to be consistent with the profiles of </w:t>
      </w:r>
      <w:r w:rsidR="00322404">
        <w:t>anti romosozumab</w:t>
      </w:r>
      <w:r>
        <w:t xml:space="preserve"> antibody-negative subjects</w:t>
      </w:r>
      <w:r w:rsidR="008D74BF">
        <w:t>.</w:t>
      </w:r>
    </w:p>
    <w:p w14:paraId="021887A3" w14:textId="49CBBAF7" w:rsidR="008719C0" w:rsidRDefault="008719C0" w:rsidP="008719C0">
      <w:r>
        <w:t xml:space="preserve">In the </w:t>
      </w:r>
      <w:r w:rsidR="00531AFF">
        <w:t>12 month</w:t>
      </w:r>
      <w:r>
        <w:t xml:space="preserve"> </w:t>
      </w:r>
      <w:r w:rsidR="00566372">
        <w:t>placebo controlled</w:t>
      </w:r>
      <w:r>
        <w:t xml:space="preserve"> osteoporosis population, AEs potentially related to hypersensitivity were reported for 6.7% of subjects in the total romosozumab group and 6.9% of subjects in the placebo group. Fatal or life-threatening AEs potentially related to hypersensitivity were reported for 2 subjects receiving romosozumab (both in Study 20070337: circulatory collapse after 1 year of romosozumab treatment and severe allergic reaction after first dose of romosozumab) and 3 subjects had SAEs potentially related to hypersensitivity that were considered related to romosozumab (all of which occurred in Study 20070337). The incidence of hypersensitivity reactions was also similar in the romosozumab and alendronate groups in pivotal </w:t>
      </w:r>
      <w:r w:rsidR="003D7E26">
        <w:t>Study</w:t>
      </w:r>
      <w:r>
        <w:t xml:space="preserve"> 20110142 (6% </w:t>
      </w:r>
      <w:r w:rsidR="00CE639A">
        <w:t xml:space="preserve">versus </w:t>
      </w:r>
      <w:r>
        <w:t xml:space="preserve">5.9%). The incidence of hypersensitivity reactions in </w:t>
      </w:r>
      <w:r w:rsidR="003D7E26">
        <w:t>Study</w:t>
      </w:r>
      <w:r>
        <w:t xml:space="preserve"> 20110174 in men with osteoporosis was slightly lower (4.9%) than that reported in the </w:t>
      </w:r>
      <w:r w:rsidR="003D7E26">
        <w:t>Study</w:t>
      </w:r>
      <w:r>
        <w:t xml:space="preserve"> 20070337 in PM women with osteoporosis (6.8%).</w:t>
      </w:r>
      <w:r w:rsidR="008D74BF">
        <w:t xml:space="preserve"> </w:t>
      </w:r>
      <w:r>
        <w:t xml:space="preserve">Atypical low-energy or low trauma fractures of the </w:t>
      </w:r>
      <w:r w:rsidR="00C85473">
        <w:t>femoral</w:t>
      </w:r>
      <w:r>
        <w:t xml:space="preserve"> shaft have been reported in patients receiving romosozumab. However, the number of </w:t>
      </w:r>
      <w:r w:rsidR="00245945">
        <w:t>osteonecrosis of the jaw and atypical femoral fracture</w:t>
      </w:r>
      <w:r>
        <w:t xml:space="preserve"> cases observed in the clinical trials was low and causality has not been established.</w:t>
      </w:r>
    </w:p>
    <w:p w14:paraId="02182686" w14:textId="77777777" w:rsidR="008D74BF" w:rsidRDefault="008719C0" w:rsidP="008719C0">
      <w:r>
        <w:t>There was no evidence of withdrawal or rebound effects with romosozumab. Reduction in incidence of vertebral and clinical fractures was sustained after 12 months of treatment although it is very important to stress that follow-on treatment with other medications for osteoporosis such as denosumab and alendronate is essential for maintenance of efficacy. Rebound or withdrawal effects without any other osteoporosis treatment following end of the 12 months of romosozumab treatment was not evaluated</w:t>
      </w:r>
      <w:r w:rsidR="008D74BF">
        <w:t>.</w:t>
      </w:r>
    </w:p>
    <w:p w14:paraId="738A9FE5" w14:textId="77777777" w:rsidR="008719C0" w:rsidRPr="008719C0" w:rsidRDefault="008719C0" w:rsidP="008719C0">
      <w:r>
        <w:t xml:space="preserve">Overall the safety profile of romosozumab was generally comparable to that of placebo and the active comparators (alendronate and </w:t>
      </w:r>
      <w:r w:rsidR="00284EFB">
        <w:t>teriparatide</w:t>
      </w:r>
      <w:r>
        <w:t>) with the exception of higher incidence of injection site reactions and cardiovascular SAEs in the romosozumab treated patients.</w:t>
      </w:r>
    </w:p>
    <w:p w14:paraId="28251464" w14:textId="2D0F0540" w:rsidR="00605AD4" w:rsidRPr="00605AD4" w:rsidRDefault="00605AD4" w:rsidP="00605AD4">
      <w:pPr>
        <w:pStyle w:val="Heading3"/>
        <w:rPr>
          <w:rFonts w:eastAsia="Cambria"/>
        </w:rPr>
      </w:pPr>
      <w:bookmarkStart w:id="105" w:name="_Toc32481916"/>
      <w:r w:rsidRPr="00605AD4">
        <w:rPr>
          <w:rFonts w:eastAsia="Cambria"/>
        </w:rPr>
        <w:lastRenderedPageBreak/>
        <w:t xml:space="preserve">First </w:t>
      </w:r>
      <w:r w:rsidR="00322404" w:rsidRPr="00605AD4">
        <w:rPr>
          <w:rFonts w:eastAsia="Cambria"/>
        </w:rPr>
        <w:t>round benefit-risk assessment</w:t>
      </w:r>
      <w:bookmarkEnd w:id="105"/>
    </w:p>
    <w:p w14:paraId="318C0A6F" w14:textId="77777777" w:rsidR="003F09E4" w:rsidRDefault="00605AD4" w:rsidP="00605AD4">
      <w:pPr>
        <w:pStyle w:val="Heading4"/>
      </w:pPr>
      <w:r w:rsidRPr="00605AD4">
        <w:t>First round assessment of benefits</w:t>
      </w:r>
    </w:p>
    <w:p w14:paraId="64791073" w14:textId="0E12E454" w:rsidR="004B455E" w:rsidRPr="004B455E" w:rsidRDefault="004B455E" w:rsidP="00864D4D">
      <w:pPr>
        <w:pStyle w:val="TableTitle"/>
      </w:pPr>
      <w:r>
        <w:t>Table</w:t>
      </w:r>
      <w:r w:rsidR="00A62BA9">
        <w:t xml:space="preserve"> 19</w:t>
      </w:r>
      <w:r w:rsidR="00864D4D">
        <w:t>:</w:t>
      </w:r>
      <w:r w:rsidR="00245945">
        <w:t xml:space="preserve"> First round assessment of benefits</w:t>
      </w:r>
    </w:p>
    <w:tbl>
      <w:tblPr>
        <w:tblStyle w:val="TableTGAblue"/>
        <w:tblW w:w="0" w:type="auto"/>
        <w:tblLook w:val="04A0" w:firstRow="1" w:lastRow="0" w:firstColumn="1" w:lastColumn="0" w:noHBand="0" w:noVBand="1"/>
      </w:tblPr>
      <w:tblGrid>
        <w:gridCol w:w="4476"/>
        <w:gridCol w:w="4244"/>
      </w:tblGrid>
      <w:tr w:rsidR="008719C0" w:rsidRPr="004C37C8" w14:paraId="23328BDC" w14:textId="77777777" w:rsidTr="004B455E">
        <w:trPr>
          <w:cnfStyle w:val="100000000000" w:firstRow="1" w:lastRow="0" w:firstColumn="0" w:lastColumn="0" w:oddVBand="0" w:evenVBand="0" w:oddHBand="0" w:evenHBand="0" w:firstRowFirstColumn="0" w:firstRowLastColumn="0" w:lastRowFirstColumn="0" w:lastRowLastColumn="0"/>
        </w:trPr>
        <w:tc>
          <w:tcPr>
            <w:tcW w:w="8789" w:type="dxa"/>
            <w:gridSpan w:val="2"/>
          </w:tcPr>
          <w:p w14:paraId="1378FA99" w14:textId="77777777" w:rsidR="008719C0" w:rsidRPr="004C37C8" w:rsidRDefault="008719C0" w:rsidP="004B455E">
            <w:r w:rsidRPr="004C37C8">
              <w:t>Indication</w:t>
            </w:r>
          </w:p>
        </w:tc>
      </w:tr>
      <w:tr w:rsidR="008719C0" w:rsidRPr="004C37C8" w14:paraId="3D15E602" w14:textId="77777777" w:rsidTr="004B455E">
        <w:tc>
          <w:tcPr>
            <w:tcW w:w="4511" w:type="dxa"/>
          </w:tcPr>
          <w:p w14:paraId="652C4D50" w14:textId="77777777" w:rsidR="008719C0" w:rsidRPr="004C37C8" w:rsidRDefault="008719C0" w:rsidP="004B455E">
            <w:pPr>
              <w:rPr>
                <w:b/>
              </w:rPr>
            </w:pPr>
            <w:r w:rsidRPr="004C37C8">
              <w:rPr>
                <w:b/>
              </w:rPr>
              <w:t>Benefits</w:t>
            </w:r>
          </w:p>
        </w:tc>
        <w:tc>
          <w:tcPr>
            <w:tcW w:w="4278" w:type="dxa"/>
          </w:tcPr>
          <w:p w14:paraId="6F9EE075" w14:textId="77777777" w:rsidR="008719C0" w:rsidRPr="004C37C8" w:rsidRDefault="008719C0" w:rsidP="004B455E">
            <w:pPr>
              <w:rPr>
                <w:b/>
              </w:rPr>
            </w:pPr>
            <w:r w:rsidRPr="004C37C8">
              <w:rPr>
                <w:b/>
              </w:rPr>
              <w:t>Strengths and Uncertainties</w:t>
            </w:r>
          </w:p>
        </w:tc>
      </w:tr>
      <w:tr w:rsidR="008719C0" w:rsidRPr="000E7130" w14:paraId="662251B9" w14:textId="77777777" w:rsidTr="004B455E">
        <w:tc>
          <w:tcPr>
            <w:tcW w:w="4511" w:type="dxa"/>
          </w:tcPr>
          <w:p w14:paraId="0C25BE29" w14:textId="77777777" w:rsidR="008719C0" w:rsidRPr="000E7130" w:rsidRDefault="008719C0" w:rsidP="00566372">
            <w:pPr>
              <w:rPr>
                <w:rFonts w:asciiTheme="minorHAnsi" w:hAnsiTheme="minorHAnsi" w:cstheme="minorHAnsi"/>
                <w:i/>
              </w:rPr>
            </w:pPr>
            <w:r w:rsidRPr="000E7130">
              <w:rPr>
                <w:rFonts w:asciiTheme="minorHAnsi" w:hAnsiTheme="minorHAnsi" w:cstheme="minorHAnsi"/>
              </w:rPr>
              <w:t>Rapid onset of action. Following 12</w:t>
            </w:r>
            <w:r w:rsidR="00566372">
              <w:rPr>
                <w:rFonts w:asciiTheme="minorHAnsi" w:hAnsiTheme="minorHAnsi" w:cstheme="minorHAnsi"/>
              </w:rPr>
              <w:t> </w:t>
            </w:r>
            <w:r w:rsidRPr="000E7130">
              <w:rPr>
                <w:rFonts w:asciiTheme="minorHAnsi" w:hAnsiTheme="minorHAnsi" w:cstheme="minorHAnsi"/>
              </w:rPr>
              <w:t>months treatment with romosozumab (210</w:t>
            </w:r>
            <w:r w:rsidR="00566372">
              <w:rPr>
                <w:rFonts w:asciiTheme="minorHAnsi" w:hAnsiTheme="minorHAnsi" w:cstheme="minorHAnsi"/>
              </w:rPr>
              <w:t xml:space="preserve"> mg SC</w:t>
            </w:r>
            <w:r w:rsidRPr="000E7130">
              <w:rPr>
                <w:rFonts w:asciiTheme="minorHAnsi" w:hAnsiTheme="minorHAnsi" w:cstheme="minorHAnsi"/>
              </w:rPr>
              <w:t xml:space="preserve"> month</w:t>
            </w:r>
            <w:r w:rsidR="00566372">
              <w:rPr>
                <w:rFonts w:asciiTheme="minorHAnsi" w:hAnsiTheme="minorHAnsi" w:cstheme="minorHAnsi"/>
              </w:rPr>
              <w:t>ly</w:t>
            </w:r>
            <w:r w:rsidRPr="000E7130">
              <w:rPr>
                <w:rFonts w:asciiTheme="minorHAnsi" w:hAnsiTheme="minorHAnsi" w:cstheme="minorHAnsi"/>
              </w:rPr>
              <w:t>), fracture risk reduction (for vertebral and clinical fracture) observed within 12 months</w:t>
            </w:r>
            <w:r>
              <w:rPr>
                <w:rFonts w:asciiTheme="minorHAnsi" w:hAnsiTheme="minorHAnsi" w:cstheme="minorHAnsi"/>
              </w:rPr>
              <w:t xml:space="preserve"> in women with </w:t>
            </w:r>
            <w:r w:rsidR="00C36ACF">
              <w:rPr>
                <w:rFonts w:asciiTheme="minorHAnsi" w:hAnsiTheme="minorHAnsi" w:cstheme="minorHAnsi"/>
              </w:rPr>
              <w:t>postmenopausal osteoporosis</w:t>
            </w:r>
            <w:r>
              <w:rPr>
                <w:rFonts w:asciiTheme="minorHAnsi" w:hAnsiTheme="minorHAnsi" w:cstheme="minorHAnsi"/>
              </w:rPr>
              <w:t xml:space="preserve"> and increased risk of fractures.</w:t>
            </w:r>
          </w:p>
        </w:tc>
        <w:tc>
          <w:tcPr>
            <w:tcW w:w="4278" w:type="dxa"/>
          </w:tcPr>
          <w:p w14:paraId="1EFCDFCC" w14:textId="701340ED" w:rsidR="008719C0" w:rsidRPr="000E7130" w:rsidRDefault="008719C0" w:rsidP="004B455E">
            <w:pPr>
              <w:rPr>
                <w:rFonts w:asciiTheme="minorHAnsi" w:hAnsiTheme="minorHAnsi" w:cstheme="minorHAnsi"/>
                <w:i/>
              </w:rPr>
            </w:pPr>
            <w:r w:rsidRPr="000E7130">
              <w:rPr>
                <w:rFonts w:asciiTheme="minorHAnsi" w:hAnsiTheme="minorHAnsi" w:cstheme="minorHAnsi"/>
                <w:color w:val="000000"/>
              </w:rPr>
              <w:t>Fracture reduction effects of romosozumab require follow up treatment with an</w:t>
            </w:r>
            <w:r>
              <w:rPr>
                <w:rFonts w:asciiTheme="minorHAnsi" w:hAnsiTheme="minorHAnsi" w:cstheme="minorHAnsi"/>
                <w:color w:val="000000"/>
              </w:rPr>
              <w:t xml:space="preserve">other osteoporosis treatment; </w:t>
            </w:r>
            <w:r w:rsidRPr="000E7130">
              <w:rPr>
                <w:rFonts w:asciiTheme="minorHAnsi" w:hAnsiTheme="minorHAnsi" w:cstheme="minorHAnsi"/>
                <w:color w:val="000000"/>
              </w:rPr>
              <w:t>only follow-on treatment with alendronate and denosumab was evalua</w:t>
            </w:r>
            <w:r w:rsidR="00322404">
              <w:rPr>
                <w:rFonts w:asciiTheme="minorHAnsi" w:hAnsiTheme="minorHAnsi" w:cstheme="minorHAnsi"/>
                <w:color w:val="000000"/>
              </w:rPr>
              <w:t>ted in the submitted studies.</w:t>
            </w:r>
          </w:p>
        </w:tc>
      </w:tr>
      <w:tr w:rsidR="008719C0" w:rsidRPr="000E7130" w14:paraId="63EC8E53" w14:textId="77777777" w:rsidTr="004B455E">
        <w:tc>
          <w:tcPr>
            <w:tcW w:w="4511" w:type="dxa"/>
          </w:tcPr>
          <w:p w14:paraId="4DA62463" w14:textId="77777777" w:rsidR="008719C0" w:rsidRPr="000E7130" w:rsidRDefault="00696AC6" w:rsidP="00566372">
            <w:pPr>
              <w:rPr>
                <w:rFonts w:asciiTheme="minorHAnsi" w:hAnsiTheme="minorHAnsi" w:cstheme="minorHAnsi"/>
              </w:rPr>
            </w:pPr>
            <w:r>
              <w:rPr>
                <w:rFonts w:asciiTheme="minorHAnsi" w:hAnsiTheme="minorHAnsi" w:cstheme="minorHAnsi"/>
              </w:rPr>
              <w:t>Romosozumab</w:t>
            </w:r>
            <w:r w:rsidR="008719C0" w:rsidRPr="000E7130">
              <w:rPr>
                <w:rFonts w:asciiTheme="minorHAnsi" w:hAnsiTheme="minorHAnsi" w:cstheme="minorHAnsi"/>
              </w:rPr>
              <w:t xml:space="preserve"> for 12 months followed by denosumab for 12 months significantly reduced the risk of new vertebral fractures through </w:t>
            </w:r>
            <w:r w:rsidR="00566372">
              <w:rPr>
                <w:rFonts w:asciiTheme="minorHAnsi" w:hAnsiTheme="minorHAnsi" w:cstheme="minorHAnsi"/>
              </w:rPr>
              <w:t>M</w:t>
            </w:r>
            <w:r w:rsidR="008719C0" w:rsidRPr="000E7130">
              <w:rPr>
                <w:rFonts w:asciiTheme="minorHAnsi" w:hAnsiTheme="minorHAnsi" w:cstheme="minorHAnsi"/>
              </w:rPr>
              <w:t xml:space="preserve">onth 24 compared with placebo followed by denosumab </w:t>
            </w:r>
            <w:r w:rsidR="008719C0">
              <w:rPr>
                <w:rFonts w:asciiTheme="minorHAnsi" w:hAnsiTheme="minorHAnsi" w:cstheme="minorHAnsi"/>
              </w:rPr>
              <w:t xml:space="preserve">by 75% </w:t>
            </w:r>
            <w:r w:rsidR="008719C0" w:rsidRPr="000E7130">
              <w:rPr>
                <w:rFonts w:asciiTheme="minorHAnsi" w:hAnsiTheme="minorHAnsi" w:cstheme="minorHAnsi"/>
              </w:rPr>
              <w:t xml:space="preserve">(0.6% </w:t>
            </w:r>
            <w:r w:rsidR="00CE639A">
              <w:rPr>
                <w:rFonts w:asciiTheme="minorHAnsi" w:hAnsiTheme="minorHAnsi" w:cstheme="minorHAnsi"/>
              </w:rPr>
              <w:t xml:space="preserve">versus </w:t>
            </w:r>
            <w:r w:rsidR="008719C0" w:rsidRPr="000E7130">
              <w:rPr>
                <w:rFonts w:asciiTheme="minorHAnsi" w:hAnsiTheme="minorHAnsi" w:cstheme="minorHAnsi"/>
              </w:rPr>
              <w:t>2.5%</w:t>
            </w:r>
            <w:r w:rsidR="008719C0">
              <w:rPr>
                <w:rFonts w:asciiTheme="minorHAnsi" w:hAnsiTheme="minorHAnsi" w:cstheme="minorHAnsi"/>
              </w:rPr>
              <w:t xml:space="preserve">, </w:t>
            </w:r>
            <w:r w:rsidR="00566372">
              <w:rPr>
                <w:rFonts w:asciiTheme="minorHAnsi" w:hAnsiTheme="minorHAnsi" w:cstheme="minorHAnsi"/>
              </w:rPr>
              <w:t xml:space="preserve">odds ratio </w:t>
            </w:r>
            <w:r w:rsidR="008719C0">
              <w:rPr>
                <w:rFonts w:asciiTheme="minorHAnsi" w:hAnsiTheme="minorHAnsi" w:cstheme="minorHAnsi"/>
              </w:rPr>
              <w:t>=</w:t>
            </w:r>
            <w:r w:rsidR="00566372">
              <w:rPr>
                <w:rFonts w:asciiTheme="minorHAnsi" w:hAnsiTheme="minorHAnsi" w:cstheme="minorHAnsi"/>
              </w:rPr>
              <w:t xml:space="preserve"> </w:t>
            </w:r>
            <w:r w:rsidR="008719C0">
              <w:rPr>
                <w:rFonts w:asciiTheme="minorHAnsi" w:hAnsiTheme="minorHAnsi" w:cstheme="minorHAnsi"/>
              </w:rPr>
              <w:t>0.25, p</w:t>
            </w:r>
            <w:r w:rsidR="00566372">
              <w:rPr>
                <w:rFonts w:asciiTheme="minorHAnsi" w:hAnsiTheme="minorHAnsi" w:cstheme="minorHAnsi"/>
              </w:rPr>
              <w:t xml:space="preserve"> </w:t>
            </w:r>
            <w:r w:rsidR="008719C0">
              <w:rPr>
                <w:rFonts w:asciiTheme="minorHAnsi" w:hAnsiTheme="minorHAnsi" w:cstheme="minorHAnsi"/>
              </w:rPr>
              <w:t>&lt;</w:t>
            </w:r>
            <w:r w:rsidR="00566372">
              <w:rPr>
                <w:rFonts w:asciiTheme="minorHAnsi" w:hAnsiTheme="minorHAnsi" w:cstheme="minorHAnsi"/>
              </w:rPr>
              <w:t xml:space="preserve"> </w:t>
            </w:r>
            <w:r w:rsidR="008719C0">
              <w:rPr>
                <w:rFonts w:asciiTheme="minorHAnsi" w:hAnsiTheme="minorHAnsi" w:cstheme="minorHAnsi"/>
              </w:rPr>
              <w:t xml:space="preserve">0.001) and clinical fracture by 33% (2.8% </w:t>
            </w:r>
            <w:r w:rsidR="00CE639A">
              <w:rPr>
                <w:rFonts w:asciiTheme="minorHAnsi" w:hAnsiTheme="minorHAnsi" w:cstheme="minorHAnsi"/>
              </w:rPr>
              <w:t xml:space="preserve">versus </w:t>
            </w:r>
            <w:r w:rsidR="008719C0">
              <w:rPr>
                <w:rFonts w:asciiTheme="minorHAnsi" w:hAnsiTheme="minorHAnsi" w:cstheme="minorHAnsi"/>
              </w:rPr>
              <w:t xml:space="preserve">4.1%, </w:t>
            </w:r>
            <w:r w:rsidR="00566372">
              <w:rPr>
                <w:rFonts w:asciiTheme="minorHAnsi" w:hAnsiTheme="minorHAnsi" w:cstheme="minorHAnsi"/>
              </w:rPr>
              <w:t xml:space="preserve">odds ratio = </w:t>
            </w:r>
            <w:r w:rsidR="008719C0">
              <w:rPr>
                <w:rFonts w:asciiTheme="minorHAnsi" w:hAnsiTheme="minorHAnsi" w:cstheme="minorHAnsi"/>
              </w:rPr>
              <w:t>0.67, p</w:t>
            </w:r>
            <w:r w:rsidR="00566372">
              <w:rPr>
                <w:rFonts w:asciiTheme="minorHAnsi" w:hAnsiTheme="minorHAnsi" w:cstheme="minorHAnsi"/>
              </w:rPr>
              <w:t xml:space="preserve"> </w:t>
            </w:r>
            <w:r w:rsidR="008719C0">
              <w:rPr>
                <w:rFonts w:asciiTheme="minorHAnsi" w:hAnsiTheme="minorHAnsi" w:cstheme="minorHAnsi"/>
              </w:rPr>
              <w:t>=</w:t>
            </w:r>
            <w:r w:rsidR="00566372">
              <w:rPr>
                <w:rFonts w:asciiTheme="minorHAnsi" w:hAnsiTheme="minorHAnsi" w:cstheme="minorHAnsi"/>
              </w:rPr>
              <w:t xml:space="preserve"> </w:t>
            </w:r>
            <w:r w:rsidR="008719C0">
              <w:rPr>
                <w:rFonts w:asciiTheme="minorHAnsi" w:hAnsiTheme="minorHAnsi" w:cstheme="minorHAnsi"/>
              </w:rPr>
              <w:t>0.096).</w:t>
            </w:r>
          </w:p>
        </w:tc>
        <w:tc>
          <w:tcPr>
            <w:tcW w:w="4278" w:type="dxa"/>
          </w:tcPr>
          <w:p w14:paraId="79CEBF4E" w14:textId="6CB8FAF9" w:rsidR="008D74BF" w:rsidRDefault="008719C0" w:rsidP="004B455E">
            <w:pPr>
              <w:rPr>
                <w:rFonts w:asciiTheme="minorHAnsi" w:hAnsiTheme="minorHAnsi" w:cstheme="minorHAnsi"/>
              </w:rPr>
            </w:pPr>
            <w:r>
              <w:rPr>
                <w:rFonts w:asciiTheme="minorHAnsi" w:hAnsiTheme="minorHAnsi" w:cstheme="minorHAnsi"/>
              </w:rPr>
              <w:t>Reduction in clinical fracture was not statistically significant due to non</w:t>
            </w:r>
            <w:r w:rsidR="00322404">
              <w:rPr>
                <w:rFonts w:asciiTheme="minorHAnsi" w:hAnsiTheme="minorHAnsi" w:cstheme="minorHAnsi"/>
              </w:rPr>
              <w:noBreakHyphen/>
            </w:r>
            <w:r>
              <w:rPr>
                <w:rFonts w:asciiTheme="minorHAnsi" w:hAnsiTheme="minorHAnsi" w:cstheme="minorHAnsi"/>
              </w:rPr>
              <w:t xml:space="preserve">significant result for </w:t>
            </w:r>
            <w:r w:rsidR="00864D4D">
              <w:rPr>
                <w:rFonts w:asciiTheme="minorHAnsi" w:hAnsiTheme="minorHAnsi" w:cstheme="minorHAnsi"/>
              </w:rPr>
              <w:t>non-vertebral</w:t>
            </w:r>
            <w:r>
              <w:rPr>
                <w:rFonts w:asciiTheme="minorHAnsi" w:hAnsiTheme="minorHAnsi" w:cstheme="minorHAnsi"/>
              </w:rPr>
              <w:t xml:space="preserve"> fracture</w:t>
            </w:r>
            <w:r w:rsidR="008D74BF">
              <w:rPr>
                <w:rFonts w:asciiTheme="minorHAnsi" w:hAnsiTheme="minorHAnsi" w:cstheme="minorHAnsi"/>
              </w:rPr>
              <w:t>.</w:t>
            </w:r>
          </w:p>
          <w:p w14:paraId="0B8E0F45" w14:textId="65F1DAB7" w:rsidR="008719C0" w:rsidRPr="000E7130" w:rsidRDefault="008719C0" w:rsidP="00566372">
            <w:pPr>
              <w:rPr>
                <w:rFonts w:asciiTheme="minorHAnsi" w:hAnsiTheme="minorHAnsi" w:cstheme="minorHAnsi"/>
              </w:rPr>
            </w:pPr>
            <w:r>
              <w:rPr>
                <w:rFonts w:asciiTheme="minorHAnsi" w:hAnsiTheme="minorHAnsi" w:cstheme="minorHAnsi"/>
              </w:rPr>
              <w:t xml:space="preserve">Exploratory analysis up to </w:t>
            </w:r>
            <w:r w:rsidR="00566372">
              <w:rPr>
                <w:rFonts w:asciiTheme="minorHAnsi" w:hAnsiTheme="minorHAnsi" w:cstheme="minorHAnsi"/>
              </w:rPr>
              <w:t>M</w:t>
            </w:r>
            <w:r>
              <w:rPr>
                <w:rFonts w:asciiTheme="minorHAnsi" w:hAnsiTheme="minorHAnsi" w:cstheme="minorHAnsi"/>
              </w:rPr>
              <w:t>onth 36 showed p</w:t>
            </w:r>
            <w:r w:rsidRPr="000E7130">
              <w:rPr>
                <w:rFonts w:asciiTheme="minorHAnsi" w:hAnsiTheme="minorHAnsi" w:cstheme="minorHAnsi"/>
              </w:rPr>
              <w:t>ersistent risk reduction across fracture types through 36</w:t>
            </w:r>
            <w:r w:rsidR="00566372">
              <w:rPr>
                <w:rFonts w:asciiTheme="minorHAnsi" w:hAnsiTheme="minorHAnsi" w:cstheme="minorHAnsi"/>
              </w:rPr>
              <w:t> </w:t>
            </w:r>
            <w:r w:rsidRPr="000E7130">
              <w:rPr>
                <w:rFonts w:asciiTheme="minorHAnsi" w:hAnsiTheme="minorHAnsi" w:cstheme="minorHAnsi"/>
              </w:rPr>
              <w:t>months after subjects in both treatment groups transitioned to denosumab</w:t>
            </w:r>
            <w:r>
              <w:rPr>
                <w:rFonts w:asciiTheme="minorHAnsi" w:hAnsiTheme="minorHAnsi" w:cstheme="minorHAnsi"/>
              </w:rPr>
              <w:t xml:space="preserve"> (new vertebral fracture: 1% </w:t>
            </w:r>
            <w:r w:rsidR="00CE639A">
              <w:rPr>
                <w:rFonts w:asciiTheme="minorHAnsi" w:hAnsiTheme="minorHAnsi" w:cstheme="minorHAnsi"/>
              </w:rPr>
              <w:t xml:space="preserve">versus </w:t>
            </w:r>
            <w:r w:rsidR="00566372">
              <w:rPr>
                <w:rFonts w:asciiTheme="minorHAnsi" w:hAnsiTheme="minorHAnsi" w:cstheme="minorHAnsi"/>
              </w:rPr>
              <w:t xml:space="preserve">2.8%; hazard ratio </w:t>
            </w:r>
            <w:r>
              <w:rPr>
                <w:rFonts w:asciiTheme="minorHAnsi" w:hAnsiTheme="minorHAnsi" w:cstheme="minorHAnsi"/>
              </w:rPr>
              <w:t>=</w:t>
            </w:r>
            <w:r w:rsidR="00566372">
              <w:rPr>
                <w:rFonts w:asciiTheme="minorHAnsi" w:hAnsiTheme="minorHAnsi" w:cstheme="minorHAnsi"/>
              </w:rPr>
              <w:t xml:space="preserve"> </w:t>
            </w:r>
            <w:r w:rsidR="00322404">
              <w:rPr>
                <w:rFonts w:asciiTheme="minorHAnsi" w:hAnsiTheme="minorHAnsi" w:cstheme="minorHAnsi"/>
              </w:rPr>
              <w:t>0.34).</w:t>
            </w:r>
          </w:p>
        </w:tc>
      </w:tr>
      <w:tr w:rsidR="008719C0" w:rsidRPr="000E7130" w14:paraId="6C3774BB" w14:textId="77777777" w:rsidTr="004B455E">
        <w:tc>
          <w:tcPr>
            <w:tcW w:w="4511" w:type="dxa"/>
          </w:tcPr>
          <w:p w14:paraId="051CF234" w14:textId="77777777" w:rsidR="008719C0" w:rsidRPr="000E7130" w:rsidRDefault="008719C0" w:rsidP="004B455E">
            <w:pPr>
              <w:rPr>
                <w:rFonts w:asciiTheme="minorHAnsi" w:hAnsiTheme="minorHAnsi" w:cstheme="minorHAnsi"/>
                <w:i/>
              </w:rPr>
            </w:pPr>
            <w:r w:rsidRPr="000E7130">
              <w:rPr>
                <w:rFonts w:asciiTheme="minorHAnsi" w:hAnsiTheme="minorHAnsi" w:cstheme="minorHAnsi"/>
              </w:rPr>
              <w:t xml:space="preserve">In Study 20110142, 12 months of romosozumab followed by </w:t>
            </w:r>
            <w:r>
              <w:rPr>
                <w:rFonts w:asciiTheme="minorHAnsi" w:hAnsiTheme="minorHAnsi" w:cstheme="minorHAnsi"/>
              </w:rPr>
              <w:t xml:space="preserve">12 months of </w:t>
            </w:r>
            <w:r w:rsidRPr="000E7130">
              <w:rPr>
                <w:rFonts w:asciiTheme="minorHAnsi" w:hAnsiTheme="minorHAnsi" w:cstheme="minorHAnsi"/>
              </w:rPr>
              <w:t xml:space="preserve">alendronate </w:t>
            </w:r>
            <w:r>
              <w:rPr>
                <w:rFonts w:asciiTheme="minorHAnsi" w:hAnsiTheme="minorHAnsi" w:cstheme="minorHAnsi"/>
              </w:rPr>
              <w:t xml:space="preserve">significantly </w:t>
            </w:r>
            <w:r w:rsidRPr="000E7130">
              <w:rPr>
                <w:rFonts w:asciiTheme="minorHAnsi" w:hAnsiTheme="minorHAnsi" w:cstheme="minorHAnsi"/>
              </w:rPr>
              <w:t xml:space="preserve">reduced the risk of new vertebral </w:t>
            </w:r>
            <w:r>
              <w:rPr>
                <w:rFonts w:asciiTheme="minorHAnsi" w:hAnsiTheme="minorHAnsi" w:cstheme="minorHAnsi"/>
              </w:rPr>
              <w:t xml:space="preserve">fracture by 50% </w:t>
            </w:r>
            <w:r w:rsidRPr="000E7130">
              <w:rPr>
                <w:rFonts w:asciiTheme="minorHAnsi" w:hAnsiTheme="minorHAnsi" w:cstheme="minorHAnsi"/>
              </w:rPr>
              <w:t xml:space="preserve">(4.1% </w:t>
            </w:r>
            <w:r w:rsidR="00CE639A">
              <w:rPr>
                <w:rFonts w:asciiTheme="minorHAnsi" w:hAnsiTheme="minorHAnsi" w:cstheme="minorHAnsi"/>
              </w:rPr>
              <w:t xml:space="preserve">versus </w:t>
            </w:r>
            <w:r w:rsidRPr="000E7130">
              <w:rPr>
                <w:rFonts w:asciiTheme="minorHAnsi" w:hAnsiTheme="minorHAnsi" w:cstheme="minorHAnsi"/>
              </w:rPr>
              <w:t>8.0%</w:t>
            </w:r>
            <w:r>
              <w:rPr>
                <w:rFonts w:asciiTheme="minorHAnsi" w:hAnsiTheme="minorHAnsi" w:cstheme="minorHAnsi"/>
              </w:rPr>
              <w:t xml:space="preserve">) </w:t>
            </w:r>
            <w:r w:rsidRPr="000E7130">
              <w:rPr>
                <w:rFonts w:asciiTheme="minorHAnsi" w:hAnsiTheme="minorHAnsi" w:cstheme="minorHAnsi"/>
              </w:rPr>
              <w:t xml:space="preserve">and clinical fracture </w:t>
            </w:r>
            <w:r>
              <w:rPr>
                <w:rFonts w:asciiTheme="minorHAnsi" w:hAnsiTheme="minorHAnsi" w:cstheme="minorHAnsi"/>
              </w:rPr>
              <w:t xml:space="preserve">by 27% (9.7% </w:t>
            </w:r>
            <w:r w:rsidR="00CE639A">
              <w:rPr>
                <w:rFonts w:asciiTheme="minorHAnsi" w:hAnsiTheme="minorHAnsi" w:cstheme="minorHAnsi"/>
              </w:rPr>
              <w:t xml:space="preserve">versus </w:t>
            </w:r>
            <w:r>
              <w:rPr>
                <w:rFonts w:asciiTheme="minorHAnsi" w:hAnsiTheme="minorHAnsi" w:cstheme="minorHAnsi"/>
              </w:rPr>
              <w:t xml:space="preserve">13%) </w:t>
            </w:r>
            <w:r w:rsidRPr="000E7130">
              <w:rPr>
                <w:rFonts w:asciiTheme="minorHAnsi" w:hAnsiTheme="minorHAnsi" w:cstheme="minorHAnsi"/>
              </w:rPr>
              <w:t>compared with alendronate alone.</w:t>
            </w:r>
          </w:p>
        </w:tc>
        <w:tc>
          <w:tcPr>
            <w:tcW w:w="4278" w:type="dxa"/>
          </w:tcPr>
          <w:p w14:paraId="42846585" w14:textId="77777777" w:rsidR="008719C0" w:rsidRPr="000E7130" w:rsidRDefault="008719C0" w:rsidP="004B455E">
            <w:pPr>
              <w:rPr>
                <w:rFonts w:asciiTheme="minorHAnsi" w:hAnsiTheme="minorHAnsi" w:cstheme="minorHAnsi"/>
                <w:i/>
              </w:rPr>
            </w:pPr>
            <w:r>
              <w:rPr>
                <w:rFonts w:asciiTheme="minorHAnsi" w:hAnsiTheme="minorHAnsi" w:cstheme="minorHAnsi"/>
              </w:rPr>
              <w:t xml:space="preserve">Reduction in vertebral and clinical fractures demonstrated against alendronate </w:t>
            </w:r>
            <w:r w:rsidRPr="000E7130">
              <w:rPr>
                <w:rFonts w:asciiTheme="minorHAnsi" w:hAnsiTheme="minorHAnsi" w:cstheme="minorHAnsi"/>
              </w:rPr>
              <w:t>which is considered a standard-of-care treatment for osteoporosis</w:t>
            </w:r>
            <w:r>
              <w:rPr>
                <w:rFonts w:asciiTheme="minorHAnsi" w:hAnsiTheme="minorHAnsi" w:cstheme="minorHAnsi"/>
              </w:rPr>
              <w:t>.</w:t>
            </w:r>
          </w:p>
        </w:tc>
      </w:tr>
      <w:tr w:rsidR="008719C0" w14:paraId="434E3D4A" w14:textId="77777777" w:rsidTr="004B455E">
        <w:tc>
          <w:tcPr>
            <w:tcW w:w="4511" w:type="dxa"/>
          </w:tcPr>
          <w:p w14:paraId="26862CD6" w14:textId="7B23611D" w:rsidR="008719C0" w:rsidRPr="00C970EC" w:rsidRDefault="008719C0" w:rsidP="004B455E">
            <w:pPr>
              <w:rPr>
                <w:rFonts w:asciiTheme="minorHAnsi" w:hAnsiTheme="minorHAnsi"/>
              </w:rPr>
            </w:pPr>
            <w:r w:rsidRPr="009C213E">
              <w:rPr>
                <w:rFonts w:cs="Arial"/>
                <w:color w:val="000000"/>
              </w:rPr>
              <w:t xml:space="preserve">A consistent treatment effect for romosozumab over placebo and alendronate was observed in all subgroups of baseline characteristics examined (age, prevalent vertebral fracture status, race, geographic region, baseline lumbar spine </w:t>
            </w:r>
            <w:r w:rsidR="00881772">
              <w:rPr>
                <w:rFonts w:cs="Arial"/>
                <w:color w:val="000000"/>
              </w:rPr>
              <w:t>BMD</w:t>
            </w:r>
            <w:r w:rsidRPr="009C213E">
              <w:rPr>
                <w:rFonts w:cs="Arial"/>
                <w:color w:val="000000"/>
              </w:rPr>
              <w:t xml:space="preserve"> T-score, baseline total hip/</w:t>
            </w:r>
            <w:r w:rsidR="00C85473">
              <w:rPr>
                <w:rFonts w:cs="Arial"/>
                <w:color w:val="000000"/>
              </w:rPr>
              <w:t>femoral</w:t>
            </w:r>
            <w:r w:rsidRPr="009C213E">
              <w:rPr>
                <w:rFonts w:cs="Arial"/>
                <w:color w:val="000000"/>
              </w:rPr>
              <w:t xml:space="preserve"> neck </w:t>
            </w:r>
            <w:r w:rsidR="00881772">
              <w:rPr>
                <w:rFonts w:cs="Arial"/>
                <w:color w:val="000000"/>
              </w:rPr>
              <w:t>BMD</w:t>
            </w:r>
            <w:r w:rsidRPr="009C213E">
              <w:rPr>
                <w:rFonts w:cs="Arial"/>
                <w:color w:val="000000"/>
              </w:rPr>
              <w:t xml:space="preserve"> T</w:t>
            </w:r>
            <w:r w:rsidR="007E3704">
              <w:rPr>
                <w:rFonts w:cs="Arial"/>
                <w:color w:val="000000"/>
              </w:rPr>
              <w:noBreakHyphen/>
            </w:r>
            <w:r w:rsidRPr="009C213E">
              <w:rPr>
                <w:rFonts w:cs="Arial"/>
                <w:color w:val="000000"/>
              </w:rPr>
              <w:t xml:space="preserve">score, baseline </w:t>
            </w:r>
            <w:r w:rsidR="00C36ACF">
              <w:rPr>
                <w:rFonts w:cs="Arial"/>
                <w:color w:val="000000"/>
              </w:rPr>
              <w:t>body mass index</w:t>
            </w:r>
            <w:r w:rsidRPr="009C213E">
              <w:rPr>
                <w:rFonts w:cs="Arial"/>
                <w:color w:val="000000"/>
              </w:rPr>
              <w:t xml:space="preserve">, FRAX score, history of </w:t>
            </w:r>
            <w:r w:rsidR="00864D4D">
              <w:rPr>
                <w:rFonts w:cs="Arial"/>
                <w:color w:val="000000"/>
              </w:rPr>
              <w:t>non-vertebral</w:t>
            </w:r>
            <w:r w:rsidRPr="009C213E">
              <w:rPr>
                <w:rFonts w:cs="Arial"/>
                <w:color w:val="000000"/>
              </w:rPr>
              <w:t xml:space="preserve"> fracture at or after age 55 and history of fragility fracture).</w:t>
            </w:r>
          </w:p>
        </w:tc>
        <w:tc>
          <w:tcPr>
            <w:tcW w:w="4278" w:type="dxa"/>
          </w:tcPr>
          <w:p w14:paraId="0472CDCF" w14:textId="77777777" w:rsidR="008719C0" w:rsidRDefault="008719C0" w:rsidP="004B455E">
            <w:pPr>
              <w:rPr>
                <w:rFonts w:asciiTheme="minorHAnsi" w:hAnsiTheme="minorHAnsi"/>
              </w:rPr>
            </w:pPr>
          </w:p>
        </w:tc>
      </w:tr>
      <w:tr w:rsidR="008719C0" w:rsidRPr="00C970EC" w14:paraId="4A4EEB68" w14:textId="77777777" w:rsidTr="004B455E">
        <w:tc>
          <w:tcPr>
            <w:tcW w:w="4511" w:type="dxa"/>
          </w:tcPr>
          <w:p w14:paraId="2B92177A" w14:textId="77777777" w:rsidR="008719C0" w:rsidRPr="00C970EC" w:rsidRDefault="008719C0" w:rsidP="00566372">
            <w:pPr>
              <w:rPr>
                <w:rFonts w:asciiTheme="minorHAnsi" w:hAnsiTheme="minorHAnsi"/>
              </w:rPr>
            </w:pPr>
            <w:r w:rsidRPr="00C970EC">
              <w:rPr>
                <w:rFonts w:asciiTheme="minorHAnsi" w:hAnsiTheme="minorHAnsi"/>
              </w:rPr>
              <w:t xml:space="preserve">Patients evaluated in the Phase </w:t>
            </w:r>
            <w:r w:rsidR="00566372">
              <w:rPr>
                <w:rFonts w:asciiTheme="minorHAnsi" w:hAnsiTheme="minorHAnsi"/>
              </w:rPr>
              <w:t>II</w:t>
            </w:r>
            <w:r w:rsidRPr="00C970EC">
              <w:rPr>
                <w:rFonts w:asciiTheme="minorHAnsi" w:hAnsiTheme="minorHAnsi"/>
              </w:rPr>
              <w:t xml:space="preserve"> and </w:t>
            </w:r>
            <w:r w:rsidR="00566372">
              <w:rPr>
                <w:rFonts w:asciiTheme="minorHAnsi" w:hAnsiTheme="minorHAnsi"/>
              </w:rPr>
              <w:t>III</w:t>
            </w:r>
            <w:r w:rsidRPr="00C970EC">
              <w:rPr>
                <w:rFonts w:asciiTheme="minorHAnsi" w:hAnsiTheme="minorHAnsi"/>
              </w:rPr>
              <w:t xml:space="preserve"> studies were representative of the target </w:t>
            </w:r>
            <w:r w:rsidRPr="00C970EC">
              <w:rPr>
                <w:rFonts w:asciiTheme="minorHAnsi" w:hAnsiTheme="minorHAnsi"/>
              </w:rPr>
              <w:lastRenderedPageBreak/>
              <w:t xml:space="preserve">patient population of Australian women with </w:t>
            </w:r>
            <w:r w:rsidR="00C36ACF">
              <w:rPr>
                <w:rFonts w:asciiTheme="minorHAnsi" w:hAnsiTheme="minorHAnsi"/>
              </w:rPr>
              <w:t>postmenopausal osteoporosis</w:t>
            </w:r>
            <w:r w:rsidRPr="00C970EC">
              <w:rPr>
                <w:rFonts w:asciiTheme="minorHAnsi" w:hAnsiTheme="minorHAnsi"/>
              </w:rPr>
              <w:t xml:space="preserve"> at increased risk of fractures. </w:t>
            </w:r>
          </w:p>
        </w:tc>
        <w:tc>
          <w:tcPr>
            <w:tcW w:w="4278" w:type="dxa"/>
          </w:tcPr>
          <w:p w14:paraId="4D3690B3" w14:textId="3C3486BF" w:rsidR="00322404" w:rsidRDefault="008719C0" w:rsidP="00566372">
            <w:pPr>
              <w:rPr>
                <w:rFonts w:asciiTheme="minorHAnsi" w:hAnsiTheme="minorHAnsi"/>
              </w:rPr>
            </w:pPr>
            <w:r>
              <w:rPr>
                <w:rFonts w:asciiTheme="minorHAnsi" w:hAnsiTheme="minorHAnsi"/>
              </w:rPr>
              <w:lastRenderedPageBreak/>
              <w:t>Only 6</w:t>
            </w:r>
            <w:r w:rsidR="00566372">
              <w:rPr>
                <w:rFonts w:asciiTheme="minorHAnsi" w:hAnsiTheme="minorHAnsi"/>
              </w:rPr>
              <w:t xml:space="preserve"> to </w:t>
            </w:r>
            <w:r>
              <w:rPr>
                <w:rFonts w:asciiTheme="minorHAnsi" w:hAnsiTheme="minorHAnsi"/>
              </w:rPr>
              <w:t xml:space="preserve">9% of patients had prior history of treatment with other </w:t>
            </w:r>
            <w:r>
              <w:rPr>
                <w:rFonts w:asciiTheme="minorHAnsi" w:hAnsiTheme="minorHAnsi"/>
              </w:rPr>
              <w:lastRenderedPageBreak/>
              <w:t>treatments for osteoporosis. This is despite fact that almost all (99%) of subjects in the alendronate-controlled study had his</w:t>
            </w:r>
            <w:r w:rsidR="00322404">
              <w:rPr>
                <w:rFonts w:asciiTheme="minorHAnsi" w:hAnsiTheme="minorHAnsi"/>
              </w:rPr>
              <w:t>tory of osteoporotic fracture.</w:t>
            </w:r>
          </w:p>
          <w:p w14:paraId="1E9B63C3" w14:textId="24D652E3" w:rsidR="008719C0" w:rsidRPr="00C970EC" w:rsidRDefault="008719C0" w:rsidP="00566372">
            <w:pPr>
              <w:rPr>
                <w:rFonts w:asciiTheme="minorHAnsi" w:hAnsiTheme="minorHAnsi"/>
              </w:rPr>
            </w:pPr>
            <w:r>
              <w:rPr>
                <w:rFonts w:asciiTheme="minorHAnsi" w:hAnsiTheme="minorHAnsi"/>
              </w:rPr>
              <w:t>Only subjects with primary osteoporosis were evaluated.</w:t>
            </w:r>
          </w:p>
        </w:tc>
      </w:tr>
      <w:tr w:rsidR="008719C0" w:rsidRPr="00C970EC" w14:paraId="7EAC56AD" w14:textId="77777777" w:rsidTr="004B455E">
        <w:tc>
          <w:tcPr>
            <w:tcW w:w="4511" w:type="dxa"/>
          </w:tcPr>
          <w:p w14:paraId="50A9DE21" w14:textId="09163482" w:rsidR="008719C0" w:rsidRDefault="008719C0" w:rsidP="004B455E">
            <w:pPr>
              <w:rPr>
                <w:rFonts w:asciiTheme="minorHAnsi" w:hAnsiTheme="minorHAnsi"/>
              </w:rPr>
            </w:pPr>
            <w:r w:rsidRPr="00C970EC">
              <w:rPr>
                <w:rFonts w:asciiTheme="minorHAnsi" w:hAnsiTheme="minorHAnsi"/>
              </w:rPr>
              <w:lastRenderedPageBreak/>
              <w:t xml:space="preserve">Robust improvement in </w:t>
            </w:r>
            <w:r w:rsidR="00881772">
              <w:rPr>
                <w:rFonts w:asciiTheme="minorHAnsi" w:hAnsiTheme="minorHAnsi"/>
              </w:rPr>
              <w:t>BMD</w:t>
            </w:r>
            <w:r w:rsidRPr="00C970EC">
              <w:rPr>
                <w:rFonts w:asciiTheme="minorHAnsi" w:hAnsiTheme="minorHAnsi"/>
              </w:rPr>
              <w:t xml:space="preserve"> at the spine and the hip (including in subjects previously treated with anti</w:t>
            </w:r>
            <w:r w:rsidR="003458DF">
              <w:rPr>
                <w:rFonts w:asciiTheme="minorHAnsi" w:hAnsiTheme="minorHAnsi"/>
              </w:rPr>
              <w:t>-</w:t>
            </w:r>
            <w:proofErr w:type="spellStart"/>
            <w:r w:rsidRPr="00C970EC">
              <w:rPr>
                <w:rFonts w:asciiTheme="minorHAnsi" w:hAnsiTheme="minorHAnsi"/>
              </w:rPr>
              <w:t>resorptive</w:t>
            </w:r>
            <w:proofErr w:type="spellEnd"/>
            <w:r w:rsidRPr="00C970EC">
              <w:rPr>
                <w:rFonts w:asciiTheme="minorHAnsi" w:hAnsiTheme="minorHAnsi"/>
              </w:rPr>
              <w:t xml:space="preserve"> therapy)</w:t>
            </w:r>
            <w:r>
              <w:rPr>
                <w:rFonts w:asciiTheme="minorHAnsi" w:hAnsiTheme="minorHAnsi"/>
              </w:rPr>
              <w:t>.</w:t>
            </w:r>
          </w:p>
          <w:p w14:paraId="1FBB80AA" w14:textId="3C76331F" w:rsidR="008719C0" w:rsidRPr="00C970EC" w:rsidRDefault="008719C0" w:rsidP="004B455E">
            <w:pPr>
              <w:rPr>
                <w:rFonts w:asciiTheme="minorHAnsi" w:hAnsiTheme="minorHAnsi"/>
                <w:i/>
              </w:rPr>
            </w:pPr>
            <w:r>
              <w:rPr>
                <w:rFonts w:asciiTheme="minorHAnsi" w:hAnsiTheme="minorHAnsi"/>
              </w:rPr>
              <w:t xml:space="preserve">Consistent effects on </w:t>
            </w:r>
            <w:r w:rsidR="00881772">
              <w:rPr>
                <w:rFonts w:asciiTheme="minorHAnsi" w:hAnsiTheme="minorHAnsi"/>
              </w:rPr>
              <w:t>BMD</w:t>
            </w:r>
            <w:r>
              <w:rPr>
                <w:rFonts w:asciiTheme="minorHAnsi" w:hAnsiTheme="minorHAnsi"/>
              </w:rPr>
              <w:t xml:space="preserve"> observed regardless of baseline age, baseline </w:t>
            </w:r>
            <w:r w:rsidR="00881772">
              <w:rPr>
                <w:rFonts w:asciiTheme="minorHAnsi" w:hAnsiTheme="minorHAnsi"/>
              </w:rPr>
              <w:t>BMD</w:t>
            </w:r>
            <w:r>
              <w:rPr>
                <w:rFonts w:asciiTheme="minorHAnsi" w:hAnsiTheme="minorHAnsi"/>
              </w:rPr>
              <w:t xml:space="preserve"> and geograph</w:t>
            </w:r>
            <w:r w:rsidR="00322404">
              <w:rPr>
                <w:rFonts w:asciiTheme="minorHAnsi" w:hAnsiTheme="minorHAnsi"/>
              </w:rPr>
              <w:t>ic region.</w:t>
            </w:r>
          </w:p>
        </w:tc>
        <w:tc>
          <w:tcPr>
            <w:tcW w:w="4278" w:type="dxa"/>
          </w:tcPr>
          <w:p w14:paraId="7743CA14" w14:textId="45D75A16" w:rsidR="008719C0" w:rsidRPr="00C970EC" w:rsidRDefault="008719C0" w:rsidP="004B455E">
            <w:pPr>
              <w:rPr>
                <w:rFonts w:asciiTheme="minorHAnsi" w:hAnsiTheme="minorHAnsi"/>
                <w:i/>
              </w:rPr>
            </w:pPr>
            <w:r w:rsidRPr="00C970EC">
              <w:rPr>
                <w:rFonts w:asciiTheme="minorHAnsi" w:hAnsiTheme="minorHAnsi"/>
              </w:rPr>
              <w:t xml:space="preserve">The effect of romosozumab on </w:t>
            </w:r>
            <w:r w:rsidR="00881772">
              <w:rPr>
                <w:rFonts w:asciiTheme="minorHAnsi" w:hAnsiTheme="minorHAnsi"/>
              </w:rPr>
              <w:t>BMD</w:t>
            </w:r>
            <w:r w:rsidRPr="00C970EC">
              <w:rPr>
                <w:rFonts w:asciiTheme="minorHAnsi" w:hAnsiTheme="minorHAnsi"/>
              </w:rPr>
              <w:t xml:space="preserve"> </w:t>
            </w:r>
            <w:r>
              <w:rPr>
                <w:rFonts w:asciiTheme="minorHAnsi" w:hAnsiTheme="minorHAnsi"/>
              </w:rPr>
              <w:t>wa</w:t>
            </w:r>
            <w:r w:rsidRPr="00C970EC">
              <w:rPr>
                <w:rFonts w:asciiTheme="minorHAnsi" w:hAnsiTheme="minorHAnsi"/>
              </w:rPr>
              <w:t>s</w:t>
            </w:r>
            <w:r>
              <w:rPr>
                <w:rFonts w:asciiTheme="minorHAnsi" w:hAnsiTheme="minorHAnsi"/>
              </w:rPr>
              <w:t xml:space="preserve"> consistent with significant</w:t>
            </w:r>
            <w:r w:rsidRPr="00C970EC">
              <w:rPr>
                <w:rFonts w:asciiTheme="minorHAnsi" w:hAnsiTheme="minorHAnsi"/>
              </w:rPr>
              <w:t xml:space="preserve"> </w:t>
            </w:r>
            <w:r w:rsidR="00881772">
              <w:rPr>
                <w:rFonts w:asciiTheme="minorHAnsi" w:hAnsiTheme="minorHAnsi"/>
              </w:rPr>
              <w:t>BMD</w:t>
            </w:r>
            <w:r w:rsidRPr="00C970EC">
              <w:rPr>
                <w:rFonts w:asciiTheme="minorHAnsi" w:hAnsiTheme="minorHAnsi"/>
              </w:rPr>
              <w:t xml:space="preserve"> gains </w:t>
            </w:r>
            <w:r>
              <w:rPr>
                <w:rFonts w:asciiTheme="minorHAnsi" w:hAnsiTheme="minorHAnsi"/>
              </w:rPr>
              <w:t xml:space="preserve">in a </w:t>
            </w:r>
            <w:r w:rsidRPr="00C970EC">
              <w:rPr>
                <w:rFonts w:asciiTheme="minorHAnsi" w:hAnsiTheme="minorHAnsi"/>
              </w:rPr>
              <w:t>direct comparison with alendronate (</w:t>
            </w:r>
            <w:r w:rsidR="007E3704">
              <w:rPr>
                <w:rFonts w:asciiTheme="minorHAnsi" w:hAnsiTheme="minorHAnsi"/>
              </w:rPr>
              <w:t xml:space="preserve">Study </w:t>
            </w:r>
            <w:r w:rsidRPr="00C970EC">
              <w:rPr>
                <w:rFonts w:asciiTheme="minorHAnsi" w:hAnsiTheme="minorHAnsi"/>
              </w:rPr>
              <w:t>20110142)</w:t>
            </w:r>
            <w:r>
              <w:rPr>
                <w:rFonts w:asciiTheme="minorHAnsi" w:hAnsiTheme="minorHAnsi"/>
              </w:rPr>
              <w:t xml:space="preserve"> and </w:t>
            </w:r>
            <w:r w:rsidRPr="00C970EC">
              <w:rPr>
                <w:rFonts w:asciiTheme="minorHAnsi" w:hAnsiTheme="minorHAnsi"/>
              </w:rPr>
              <w:t>teriparatide (</w:t>
            </w:r>
            <w:r w:rsidR="007E3704">
              <w:rPr>
                <w:rFonts w:asciiTheme="minorHAnsi" w:hAnsiTheme="minorHAnsi"/>
              </w:rPr>
              <w:t xml:space="preserve">Study </w:t>
            </w:r>
            <w:r w:rsidRPr="00C970EC">
              <w:rPr>
                <w:rFonts w:asciiTheme="minorHAnsi" w:hAnsiTheme="minorHAnsi"/>
              </w:rPr>
              <w:t>20080289)</w:t>
            </w:r>
            <w:r>
              <w:rPr>
                <w:rFonts w:asciiTheme="minorHAnsi" w:hAnsiTheme="minorHAnsi"/>
              </w:rPr>
              <w:t>.</w:t>
            </w:r>
          </w:p>
        </w:tc>
      </w:tr>
      <w:tr w:rsidR="008719C0" w:rsidRPr="00C970EC" w14:paraId="04F50F83" w14:textId="77777777" w:rsidTr="004B455E">
        <w:tc>
          <w:tcPr>
            <w:tcW w:w="4511" w:type="dxa"/>
          </w:tcPr>
          <w:p w14:paraId="34861CF7" w14:textId="7C18F64C" w:rsidR="008719C0" w:rsidRPr="00C970EC" w:rsidRDefault="008719C0" w:rsidP="00864D4D">
            <w:pPr>
              <w:rPr>
                <w:rFonts w:asciiTheme="minorHAnsi" w:hAnsiTheme="minorHAnsi"/>
              </w:rPr>
            </w:pPr>
            <w:r w:rsidRPr="00C970EC">
              <w:rPr>
                <w:rFonts w:asciiTheme="minorHAnsi" w:hAnsiTheme="minorHAnsi"/>
              </w:rPr>
              <w:t xml:space="preserve">The </w:t>
            </w:r>
            <w:r w:rsidR="004A189B">
              <w:rPr>
                <w:rFonts w:asciiTheme="minorHAnsi" w:hAnsiTheme="minorHAnsi"/>
              </w:rPr>
              <w:t>monthly</w:t>
            </w:r>
            <w:r w:rsidRPr="00C970EC">
              <w:rPr>
                <w:rFonts w:asciiTheme="minorHAnsi" w:hAnsiTheme="minorHAnsi"/>
              </w:rPr>
              <w:t xml:space="preserve"> dose of romosozumab 210</w:t>
            </w:r>
            <w:r w:rsidR="00864D4D">
              <w:rPr>
                <w:rFonts w:asciiTheme="minorHAnsi" w:hAnsiTheme="minorHAnsi"/>
              </w:rPr>
              <w:t> </w:t>
            </w:r>
            <w:r w:rsidRPr="00C970EC">
              <w:rPr>
                <w:rFonts w:asciiTheme="minorHAnsi" w:hAnsiTheme="minorHAnsi"/>
              </w:rPr>
              <w:t>mg (consisting of 2 injections per dose in a prefilled syringe or prefill</w:t>
            </w:r>
            <w:r>
              <w:rPr>
                <w:rFonts w:asciiTheme="minorHAnsi" w:hAnsiTheme="minorHAnsi"/>
              </w:rPr>
              <w:t>ed AI/pen) provides convenience</w:t>
            </w:r>
            <w:r w:rsidR="00322404">
              <w:rPr>
                <w:rFonts w:asciiTheme="minorHAnsi" w:hAnsiTheme="minorHAnsi"/>
              </w:rPr>
              <w:t>.</w:t>
            </w:r>
          </w:p>
        </w:tc>
        <w:tc>
          <w:tcPr>
            <w:tcW w:w="4278" w:type="dxa"/>
          </w:tcPr>
          <w:p w14:paraId="1811FBC9" w14:textId="48E7FF6A" w:rsidR="008719C0" w:rsidRPr="00C970EC" w:rsidRDefault="00696AC6" w:rsidP="00566372">
            <w:pPr>
              <w:rPr>
                <w:rFonts w:asciiTheme="minorHAnsi" w:hAnsiTheme="minorHAnsi"/>
              </w:rPr>
            </w:pPr>
            <w:r>
              <w:rPr>
                <w:rFonts w:asciiTheme="minorHAnsi" w:hAnsiTheme="minorHAnsi"/>
              </w:rPr>
              <w:t>Romosozumab</w:t>
            </w:r>
            <w:r w:rsidR="008719C0" w:rsidRPr="00C970EC">
              <w:rPr>
                <w:rFonts w:asciiTheme="minorHAnsi" w:hAnsiTheme="minorHAnsi"/>
              </w:rPr>
              <w:t xml:space="preserve"> treatment for 12</w:t>
            </w:r>
            <w:r w:rsidR="00566372">
              <w:rPr>
                <w:rFonts w:asciiTheme="minorHAnsi" w:hAnsiTheme="minorHAnsi"/>
              </w:rPr>
              <w:t> </w:t>
            </w:r>
            <w:r w:rsidR="008719C0" w:rsidRPr="00C970EC">
              <w:rPr>
                <w:rFonts w:asciiTheme="minorHAnsi" w:hAnsiTheme="minorHAnsi"/>
              </w:rPr>
              <w:t xml:space="preserve">months has to be followed up with </w:t>
            </w:r>
            <w:r w:rsidR="008719C0">
              <w:rPr>
                <w:rFonts w:asciiTheme="minorHAnsi" w:hAnsiTheme="minorHAnsi"/>
              </w:rPr>
              <w:t xml:space="preserve">another </w:t>
            </w:r>
            <w:r w:rsidR="008719C0" w:rsidRPr="00C970EC">
              <w:rPr>
                <w:rFonts w:asciiTheme="minorHAnsi" w:hAnsiTheme="minorHAnsi"/>
              </w:rPr>
              <w:t>treatment for osteoporosis su</w:t>
            </w:r>
            <w:r w:rsidR="00322404">
              <w:rPr>
                <w:rFonts w:asciiTheme="minorHAnsi" w:hAnsiTheme="minorHAnsi"/>
              </w:rPr>
              <w:t>ch as alendronate or denosumab.</w:t>
            </w:r>
          </w:p>
        </w:tc>
      </w:tr>
      <w:tr w:rsidR="008719C0" w:rsidRPr="00C970EC" w14:paraId="708D10FF" w14:textId="77777777" w:rsidTr="004B455E">
        <w:tc>
          <w:tcPr>
            <w:tcW w:w="4511" w:type="dxa"/>
          </w:tcPr>
          <w:p w14:paraId="4860BEA0" w14:textId="54A5B79E" w:rsidR="008719C0" w:rsidRPr="00C970EC" w:rsidRDefault="008719C0" w:rsidP="004B455E">
            <w:pPr>
              <w:rPr>
                <w:rFonts w:asciiTheme="minorHAnsi" w:hAnsiTheme="minorHAnsi"/>
              </w:rPr>
            </w:pPr>
            <w:r>
              <w:rPr>
                <w:rFonts w:asciiTheme="minorHAnsi" w:hAnsiTheme="minorHAnsi"/>
              </w:rPr>
              <w:t xml:space="preserve">Safety of romosozumab was generally comparable to that of placebo and active comparators (alendronate and </w:t>
            </w:r>
            <w:r w:rsidR="00284EFB" w:rsidRPr="00511DFE">
              <w:rPr>
                <w:rFonts w:asciiTheme="minorHAnsi" w:hAnsiTheme="minorHAnsi"/>
              </w:rPr>
              <w:t>teriparatide</w:t>
            </w:r>
            <w:r>
              <w:rPr>
                <w:rFonts w:asciiTheme="minorHAnsi" w:hAnsiTheme="minorHAnsi"/>
              </w:rPr>
              <w:t>)</w:t>
            </w:r>
            <w:r w:rsidR="00322404">
              <w:rPr>
                <w:rFonts w:asciiTheme="minorHAnsi" w:hAnsiTheme="minorHAnsi"/>
              </w:rPr>
              <w:t>.</w:t>
            </w:r>
          </w:p>
        </w:tc>
        <w:tc>
          <w:tcPr>
            <w:tcW w:w="4278" w:type="dxa"/>
          </w:tcPr>
          <w:p w14:paraId="427DD625" w14:textId="77777777" w:rsidR="008719C0" w:rsidRPr="00C970EC" w:rsidRDefault="008719C0" w:rsidP="004B455E">
            <w:pPr>
              <w:rPr>
                <w:rFonts w:asciiTheme="minorHAnsi" w:hAnsiTheme="minorHAnsi"/>
              </w:rPr>
            </w:pPr>
            <w:r>
              <w:rPr>
                <w:rFonts w:asciiTheme="minorHAnsi" w:hAnsiTheme="minorHAnsi"/>
              </w:rPr>
              <w:t>However romosozumab was associated with a higher incidence of injection site reactions and cardiovascular SAEs.</w:t>
            </w:r>
          </w:p>
        </w:tc>
      </w:tr>
    </w:tbl>
    <w:p w14:paraId="6ED1F262" w14:textId="77777777" w:rsidR="003F09E4" w:rsidRDefault="00605AD4" w:rsidP="00605AD4">
      <w:pPr>
        <w:pStyle w:val="Heading4"/>
      </w:pPr>
      <w:r w:rsidRPr="00605AD4">
        <w:t>First round assessment of risks</w:t>
      </w:r>
    </w:p>
    <w:p w14:paraId="074C7B3D" w14:textId="0E93B6BB" w:rsidR="004B455E" w:rsidRPr="004B455E" w:rsidRDefault="004B455E" w:rsidP="00864D4D">
      <w:pPr>
        <w:pStyle w:val="TableTitle"/>
      </w:pPr>
      <w:r>
        <w:t>Table</w:t>
      </w:r>
      <w:r w:rsidR="00A62BA9">
        <w:t xml:space="preserve"> 20</w:t>
      </w:r>
      <w:r w:rsidR="00864D4D">
        <w:t>: First round assessment of risks</w:t>
      </w:r>
    </w:p>
    <w:tbl>
      <w:tblPr>
        <w:tblStyle w:val="TableTGAblue"/>
        <w:tblW w:w="0" w:type="auto"/>
        <w:tblLook w:val="04A0" w:firstRow="1" w:lastRow="0" w:firstColumn="1" w:lastColumn="0" w:noHBand="0" w:noVBand="1"/>
      </w:tblPr>
      <w:tblGrid>
        <w:gridCol w:w="4354"/>
        <w:gridCol w:w="4366"/>
      </w:tblGrid>
      <w:tr w:rsidR="004B455E" w:rsidRPr="00CE38DA" w14:paraId="6C45C3C8" w14:textId="77777777" w:rsidTr="004B455E">
        <w:trPr>
          <w:cnfStyle w:val="100000000000" w:firstRow="1" w:lastRow="0" w:firstColumn="0" w:lastColumn="0" w:oddVBand="0" w:evenVBand="0" w:oddHBand="0" w:evenHBand="0" w:firstRowFirstColumn="0" w:firstRowLastColumn="0" w:lastRowFirstColumn="0" w:lastRowLastColumn="0"/>
        </w:trPr>
        <w:tc>
          <w:tcPr>
            <w:tcW w:w="4395" w:type="dxa"/>
          </w:tcPr>
          <w:p w14:paraId="1C207A5A" w14:textId="77777777" w:rsidR="004B455E" w:rsidRPr="00CE38DA" w:rsidRDefault="004B455E" w:rsidP="004B455E">
            <w:r w:rsidRPr="00CE38DA">
              <w:t>Risks</w:t>
            </w:r>
          </w:p>
        </w:tc>
        <w:tc>
          <w:tcPr>
            <w:tcW w:w="4394" w:type="dxa"/>
          </w:tcPr>
          <w:p w14:paraId="25028219" w14:textId="77777777" w:rsidR="004B455E" w:rsidRPr="00CE38DA" w:rsidRDefault="004B455E" w:rsidP="004B455E">
            <w:r w:rsidRPr="00CE38DA">
              <w:t>Strengths and Uncertainties</w:t>
            </w:r>
          </w:p>
        </w:tc>
      </w:tr>
      <w:tr w:rsidR="004B455E" w:rsidRPr="00534D9C" w14:paraId="55C884D5" w14:textId="77777777" w:rsidTr="004B455E">
        <w:tc>
          <w:tcPr>
            <w:tcW w:w="4395" w:type="dxa"/>
          </w:tcPr>
          <w:p w14:paraId="4B74D388" w14:textId="77777777" w:rsidR="008D74BF" w:rsidRDefault="004B455E" w:rsidP="004B455E">
            <w:pPr>
              <w:rPr>
                <w:rFonts w:cstheme="minorHAnsi"/>
                <w:szCs w:val="22"/>
              </w:rPr>
            </w:pPr>
            <w:r w:rsidRPr="00534D9C">
              <w:rPr>
                <w:rFonts w:cstheme="minorHAnsi"/>
                <w:szCs w:val="22"/>
              </w:rPr>
              <w:t xml:space="preserve">Evidence for reduction in risk of </w:t>
            </w:r>
            <w:r w:rsidR="00864D4D">
              <w:rPr>
                <w:rFonts w:cstheme="minorHAnsi"/>
                <w:szCs w:val="22"/>
              </w:rPr>
              <w:t>non-vertebral</w:t>
            </w:r>
            <w:r w:rsidRPr="00534D9C">
              <w:rPr>
                <w:rFonts w:cstheme="minorHAnsi"/>
                <w:szCs w:val="22"/>
              </w:rPr>
              <w:t xml:space="preserve"> fractures was not consistent in both pivotal Phase </w:t>
            </w:r>
            <w:r w:rsidR="00566372">
              <w:rPr>
                <w:rFonts w:cstheme="minorHAnsi"/>
                <w:szCs w:val="22"/>
              </w:rPr>
              <w:t>III</w:t>
            </w:r>
            <w:r w:rsidRPr="00534D9C">
              <w:rPr>
                <w:rFonts w:cstheme="minorHAnsi"/>
                <w:szCs w:val="22"/>
              </w:rPr>
              <w:t xml:space="preserve"> studies in women with </w:t>
            </w:r>
            <w:r w:rsidR="00C36ACF">
              <w:rPr>
                <w:rFonts w:cstheme="minorHAnsi"/>
                <w:szCs w:val="22"/>
              </w:rPr>
              <w:t>postmenopausal osteoporosis</w:t>
            </w:r>
            <w:r w:rsidR="008D74BF">
              <w:rPr>
                <w:rFonts w:cstheme="minorHAnsi"/>
                <w:szCs w:val="22"/>
              </w:rPr>
              <w:t>.</w:t>
            </w:r>
          </w:p>
          <w:p w14:paraId="5BE3D641" w14:textId="53CBB092" w:rsidR="004B455E" w:rsidRPr="00534D9C" w:rsidRDefault="004B455E" w:rsidP="00566372">
            <w:pPr>
              <w:rPr>
                <w:rFonts w:cstheme="minorHAnsi"/>
                <w:szCs w:val="22"/>
              </w:rPr>
            </w:pPr>
            <w:r w:rsidRPr="00534D9C">
              <w:rPr>
                <w:rFonts w:cstheme="minorHAnsi"/>
                <w:color w:val="000000"/>
                <w:szCs w:val="22"/>
              </w:rPr>
              <w:t xml:space="preserve">In the </w:t>
            </w:r>
            <w:r w:rsidR="00566372">
              <w:rPr>
                <w:rFonts w:cstheme="minorHAnsi"/>
                <w:color w:val="000000"/>
                <w:szCs w:val="22"/>
              </w:rPr>
              <w:t>placebo controlled</w:t>
            </w:r>
            <w:r w:rsidRPr="00534D9C">
              <w:rPr>
                <w:rFonts w:cstheme="minorHAnsi"/>
                <w:color w:val="000000"/>
                <w:szCs w:val="22"/>
              </w:rPr>
              <w:t xml:space="preserve"> </w:t>
            </w:r>
            <w:r w:rsidR="003D7E26">
              <w:rPr>
                <w:rFonts w:cstheme="minorHAnsi"/>
                <w:color w:val="000000"/>
                <w:szCs w:val="22"/>
              </w:rPr>
              <w:t>Study</w:t>
            </w:r>
            <w:r w:rsidR="007E3704">
              <w:rPr>
                <w:rFonts w:cstheme="minorHAnsi"/>
                <w:color w:val="000000"/>
                <w:szCs w:val="22"/>
              </w:rPr>
              <w:t> </w:t>
            </w:r>
            <w:r w:rsidRPr="00534D9C">
              <w:rPr>
                <w:rFonts w:cstheme="minorHAnsi"/>
                <w:color w:val="000000"/>
                <w:szCs w:val="22"/>
              </w:rPr>
              <w:t xml:space="preserve">20070337, romosozumab treatment for 12 months failed to show statistically significant reduction in the incidence of </w:t>
            </w:r>
            <w:r w:rsidR="00864D4D">
              <w:rPr>
                <w:rFonts w:cstheme="minorHAnsi"/>
                <w:color w:val="000000"/>
                <w:szCs w:val="22"/>
              </w:rPr>
              <w:t>non-vertebral</w:t>
            </w:r>
            <w:r w:rsidRPr="00534D9C">
              <w:rPr>
                <w:rFonts w:cstheme="minorHAnsi"/>
                <w:color w:val="000000"/>
                <w:szCs w:val="22"/>
              </w:rPr>
              <w:t xml:space="preserve"> fracture at </w:t>
            </w:r>
            <w:r w:rsidR="00566372">
              <w:rPr>
                <w:rFonts w:cstheme="minorHAnsi"/>
                <w:color w:val="000000"/>
                <w:szCs w:val="22"/>
              </w:rPr>
              <w:t>M</w:t>
            </w:r>
            <w:r w:rsidRPr="00534D9C">
              <w:rPr>
                <w:rFonts w:cstheme="minorHAnsi"/>
                <w:color w:val="000000"/>
                <w:szCs w:val="22"/>
              </w:rPr>
              <w:t xml:space="preserve">onth 12 (1.6% </w:t>
            </w:r>
            <w:r w:rsidR="00CE639A">
              <w:rPr>
                <w:rFonts w:cstheme="minorHAnsi"/>
                <w:color w:val="000000"/>
                <w:szCs w:val="22"/>
              </w:rPr>
              <w:t xml:space="preserve">versus </w:t>
            </w:r>
            <w:r w:rsidRPr="00534D9C">
              <w:rPr>
                <w:rFonts w:cstheme="minorHAnsi"/>
                <w:color w:val="000000"/>
                <w:szCs w:val="22"/>
              </w:rPr>
              <w:t xml:space="preserve">2.1%, </w:t>
            </w:r>
            <w:r w:rsidR="00566372">
              <w:rPr>
                <w:rFonts w:cstheme="minorHAnsi"/>
                <w:color w:val="000000"/>
                <w:szCs w:val="22"/>
              </w:rPr>
              <w:t xml:space="preserve">odds ratio = </w:t>
            </w:r>
            <w:r w:rsidRPr="00534D9C">
              <w:rPr>
                <w:rFonts w:cstheme="minorHAnsi"/>
                <w:color w:val="000000"/>
                <w:szCs w:val="22"/>
              </w:rPr>
              <w:t xml:space="preserve">0.75, adjusted </w:t>
            </w:r>
            <w:r w:rsidR="00566372">
              <w:rPr>
                <w:rFonts w:cstheme="minorHAnsi"/>
                <w:color w:val="000000"/>
                <w:szCs w:val="22"/>
              </w:rPr>
              <w:t xml:space="preserve">p = </w:t>
            </w:r>
            <w:r w:rsidRPr="00534D9C">
              <w:rPr>
                <w:rFonts w:cstheme="minorHAnsi"/>
                <w:color w:val="000000"/>
                <w:szCs w:val="22"/>
              </w:rPr>
              <w:t xml:space="preserve">0.096) or 24 (romosozumab/ denosumab </w:t>
            </w:r>
            <w:r w:rsidR="00CE639A">
              <w:rPr>
                <w:rFonts w:cstheme="minorHAnsi"/>
                <w:color w:val="000000"/>
                <w:szCs w:val="22"/>
              </w:rPr>
              <w:t xml:space="preserve">versus </w:t>
            </w:r>
            <w:r w:rsidRPr="00534D9C">
              <w:rPr>
                <w:rFonts w:cstheme="minorHAnsi"/>
                <w:color w:val="000000"/>
                <w:szCs w:val="22"/>
              </w:rPr>
              <w:t xml:space="preserve">romosozumab/placebo: 2.7% </w:t>
            </w:r>
            <w:r w:rsidR="00CE639A">
              <w:rPr>
                <w:rFonts w:cstheme="minorHAnsi"/>
                <w:color w:val="000000"/>
                <w:szCs w:val="22"/>
              </w:rPr>
              <w:t xml:space="preserve">versus </w:t>
            </w:r>
            <w:r w:rsidRPr="00534D9C">
              <w:rPr>
                <w:rFonts w:cstheme="minorHAnsi"/>
                <w:color w:val="000000"/>
                <w:szCs w:val="22"/>
              </w:rPr>
              <w:t xml:space="preserve">3.6%, </w:t>
            </w:r>
            <w:r w:rsidR="00566372">
              <w:rPr>
                <w:rFonts w:cstheme="minorHAnsi"/>
                <w:color w:val="000000"/>
                <w:szCs w:val="22"/>
              </w:rPr>
              <w:t xml:space="preserve">odds ratio = </w:t>
            </w:r>
            <w:r w:rsidRPr="00534D9C">
              <w:rPr>
                <w:rFonts w:cstheme="minorHAnsi"/>
                <w:color w:val="000000"/>
                <w:szCs w:val="22"/>
              </w:rPr>
              <w:t xml:space="preserve">0.75, adjusted </w:t>
            </w:r>
            <w:r w:rsidR="00566372">
              <w:rPr>
                <w:rFonts w:cstheme="minorHAnsi"/>
                <w:color w:val="000000"/>
                <w:szCs w:val="22"/>
              </w:rPr>
              <w:t xml:space="preserve">p = </w:t>
            </w:r>
            <w:r w:rsidR="00322404">
              <w:rPr>
                <w:rFonts w:cstheme="minorHAnsi"/>
                <w:color w:val="000000"/>
                <w:szCs w:val="22"/>
              </w:rPr>
              <w:t>0.057).</w:t>
            </w:r>
          </w:p>
        </w:tc>
        <w:tc>
          <w:tcPr>
            <w:tcW w:w="4394" w:type="dxa"/>
          </w:tcPr>
          <w:p w14:paraId="4E9F7140" w14:textId="6E0B4F88" w:rsidR="004B455E" w:rsidRPr="00534D9C" w:rsidRDefault="004B455E" w:rsidP="00864D4D">
            <w:pPr>
              <w:rPr>
                <w:rFonts w:cstheme="minorHAnsi"/>
                <w:i/>
                <w:szCs w:val="22"/>
                <w:u w:val="single"/>
              </w:rPr>
            </w:pPr>
            <w:r w:rsidRPr="00534D9C">
              <w:rPr>
                <w:rFonts w:cstheme="minorHAnsi"/>
                <w:color w:val="000000"/>
                <w:szCs w:val="22"/>
              </w:rPr>
              <w:t>In the alendronate</w:t>
            </w:r>
            <w:r w:rsidR="00864D4D">
              <w:rPr>
                <w:rFonts w:cstheme="minorHAnsi"/>
                <w:color w:val="000000"/>
                <w:szCs w:val="22"/>
              </w:rPr>
              <w:t xml:space="preserve"> </w:t>
            </w:r>
            <w:r w:rsidRPr="00534D9C">
              <w:rPr>
                <w:rFonts w:cstheme="minorHAnsi"/>
                <w:color w:val="000000"/>
                <w:szCs w:val="22"/>
              </w:rPr>
              <w:t xml:space="preserve">controlled </w:t>
            </w:r>
            <w:r w:rsidR="00864D4D">
              <w:rPr>
                <w:rFonts w:cstheme="minorHAnsi"/>
                <w:color w:val="000000"/>
                <w:szCs w:val="22"/>
              </w:rPr>
              <w:t>S</w:t>
            </w:r>
            <w:r w:rsidRPr="00534D9C">
              <w:rPr>
                <w:rFonts w:cstheme="minorHAnsi"/>
                <w:color w:val="000000"/>
                <w:szCs w:val="22"/>
              </w:rPr>
              <w:t>tudy</w:t>
            </w:r>
            <w:r w:rsidR="007E3704">
              <w:rPr>
                <w:rFonts w:cstheme="minorHAnsi"/>
                <w:color w:val="000000"/>
                <w:szCs w:val="22"/>
              </w:rPr>
              <w:t> </w:t>
            </w:r>
            <w:r w:rsidRPr="00534D9C">
              <w:rPr>
                <w:rFonts w:cstheme="minorHAnsi"/>
                <w:color w:val="000000"/>
                <w:szCs w:val="22"/>
              </w:rPr>
              <w:t xml:space="preserve">20110142, </w:t>
            </w:r>
            <w:r w:rsidRPr="00534D9C">
              <w:rPr>
                <w:rFonts w:cstheme="minorHAnsi"/>
                <w:szCs w:val="22"/>
              </w:rPr>
              <w:t xml:space="preserve">romosozumab 210 mg </w:t>
            </w:r>
            <w:r w:rsidR="00864D4D">
              <w:rPr>
                <w:rFonts w:cstheme="minorHAnsi"/>
                <w:szCs w:val="22"/>
              </w:rPr>
              <w:t>monthly</w:t>
            </w:r>
            <w:r w:rsidRPr="00534D9C">
              <w:rPr>
                <w:rFonts w:cstheme="minorHAnsi"/>
                <w:szCs w:val="22"/>
              </w:rPr>
              <w:t xml:space="preserve"> for 12 months followed by alendronate 70 mg </w:t>
            </w:r>
            <w:r w:rsidR="00864D4D">
              <w:rPr>
                <w:rFonts w:cstheme="minorHAnsi"/>
                <w:szCs w:val="22"/>
              </w:rPr>
              <w:t>weekly</w:t>
            </w:r>
            <w:r w:rsidRPr="00534D9C">
              <w:rPr>
                <w:rFonts w:cstheme="minorHAnsi"/>
                <w:szCs w:val="22"/>
              </w:rPr>
              <w:t xml:space="preserve"> through the primary analysis significantly reduced the risk of </w:t>
            </w:r>
            <w:r w:rsidR="00864D4D">
              <w:rPr>
                <w:rFonts w:cstheme="minorHAnsi"/>
                <w:szCs w:val="22"/>
              </w:rPr>
              <w:t>non-vertebral</w:t>
            </w:r>
            <w:r w:rsidRPr="00534D9C">
              <w:rPr>
                <w:rFonts w:cstheme="minorHAnsi"/>
                <w:szCs w:val="22"/>
              </w:rPr>
              <w:t xml:space="preserve"> fractures by 19% (</w:t>
            </w:r>
            <w:r w:rsidRPr="00534D9C">
              <w:rPr>
                <w:rFonts w:cstheme="minorHAnsi"/>
                <w:color w:val="000000"/>
                <w:szCs w:val="22"/>
              </w:rPr>
              <w:t>romosozumab/alendronate: 178</w:t>
            </w:r>
            <w:r w:rsidR="00864D4D">
              <w:rPr>
                <w:rFonts w:cstheme="minorHAnsi"/>
                <w:color w:val="000000"/>
                <w:szCs w:val="22"/>
              </w:rPr>
              <w:t xml:space="preserve"> of </w:t>
            </w:r>
            <w:r w:rsidRPr="00534D9C">
              <w:rPr>
                <w:rFonts w:cstheme="minorHAnsi"/>
                <w:color w:val="000000"/>
                <w:szCs w:val="22"/>
              </w:rPr>
              <w:t xml:space="preserve">2046, 8.7% </w:t>
            </w:r>
            <w:r w:rsidR="00CE639A">
              <w:rPr>
                <w:rFonts w:cstheme="minorHAnsi"/>
                <w:color w:val="000000"/>
                <w:szCs w:val="22"/>
              </w:rPr>
              <w:t xml:space="preserve">versus </w:t>
            </w:r>
            <w:r w:rsidRPr="00534D9C">
              <w:rPr>
                <w:rFonts w:cstheme="minorHAnsi"/>
                <w:color w:val="000000"/>
                <w:szCs w:val="22"/>
              </w:rPr>
              <w:t>alendronate/ alendronate: 217</w:t>
            </w:r>
            <w:r w:rsidR="00864D4D">
              <w:rPr>
                <w:rFonts w:cstheme="minorHAnsi"/>
                <w:color w:val="000000"/>
                <w:szCs w:val="22"/>
              </w:rPr>
              <w:t xml:space="preserve"> of </w:t>
            </w:r>
            <w:r w:rsidRPr="00534D9C">
              <w:rPr>
                <w:rFonts w:cstheme="minorHAnsi"/>
                <w:color w:val="000000"/>
                <w:szCs w:val="22"/>
              </w:rPr>
              <w:t xml:space="preserve">2047, 10.6%; </w:t>
            </w:r>
            <w:r w:rsidR="00566372">
              <w:rPr>
                <w:rFonts w:cstheme="minorHAnsi"/>
                <w:color w:val="000000"/>
                <w:szCs w:val="22"/>
              </w:rPr>
              <w:t xml:space="preserve">hazard ratio = </w:t>
            </w:r>
            <w:r w:rsidRPr="00534D9C">
              <w:rPr>
                <w:rFonts w:cstheme="minorHAnsi"/>
                <w:color w:val="000000"/>
                <w:szCs w:val="22"/>
              </w:rPr>
              <w:t>0.81, 95% CI: 0.66</w:t>
            </w:r>
            <w:r w:rsidR="00864D4D">
              <w:rPr>
                <w:rFonts w:cstheme="minorHAnsi"/>
                <w:color w:val="000000"/>
                <w:szCs w:val="22"/>
              </w:rPr>
              <w:t xml:space="preserve"> to</w:t>
            </w:r>
            <w:r w:rsidRPr="00534D9C">
              <w:rPr>
                <w:rFonts w:cstheme="minorHAnsi"/>
                <w:color w:val="000000"/>
                <w:szCs w:val="22"/>
              </w:rPr>
              <w:t xml:space="preserve"> 0.99; 2-sided adjusted p value</w:t>
            </w:r>
            <w:r w:rsidR="00245945">
              <w:rPr>
                <w:rFonts w:cstheme="minorHAnsi"/>
                <w:color w:val="000000"/>
                <w:szCs w:val="22"/>
              </w:rPr>
              <w:t xml:space="preserve"> </w:t>
            </w:r>
            <w:r w:rsidRPr="00534D9C">
              <w:rPr>
                <w:rFonts w:cstheme="minorHAnsi"/>
                <w:color w:val="000000"/>
                <w:szCs w:val="22"/>
              </w:rPr>
              <w:t>=</w:t>
            </w:r>
            <w:r w:rsidR="00245945">
              <w:rPr>
                <w:rFonts w:cstheme="minorHAnsi"/>
                <w:color w:val="000000"/>
                <w:szCs w:val="22"/>
              </w:rPr>
              <w:t xml:space="preserve"> </w:t>
            </w:r>
            <w:r w:rsidRPr="00534D9C">
              <w:rPr>
                <w:rFonts w:cstheme="minorHAnsi"/>
                <w:color w:val="000000"/>
                <w:szCs w:val="22"/>
              </w:rPr>
              <w:t>0.040)</w:t>
            </w:r>
            <w:r w:rsidRPr="00534D9C">
              <w:rPr>
                <w:rFonts w:cstheme="minorHAnsi"/>
                <w:b/>
                <w:color w:val="000000"/>
                <w:szCs w:val="22"/>
              </w:rPr>
              <w:t>.</w:t>
            </w:r>
            <w:r w:rsidRPr="00534D9C">
              <w:rPr>
                <w:rFonts w:cstheme="minorHAnsi"/>
                <w:color w:val="000000"/>
                <w:szCs w:val="22"/>
              </w:rPr>
              <w:t xml:space="preserve"> However, upper limit 95% CI was 0.99 and </w:t>
            </w:r>
            <w:r w:rsidR="00322404" w:rsidRPr="00534D9C">
              <w:rPr>
                <w:rFonts w:cstheme="minorHAnsi"/>
                <w:color w:val="000000"/>
                <w:szCs w:val="22"/>
              </w:rPr>
              <w:t>romosozumab</w:t>
            </w:r>
            <w:r w:rsidRPr="00534D9C">
              <w:rPr>
                <w:rFonts w:cstheme="minorHAnsi"/>
                <w:color w:val="000000"/>
                <w:szCs w:val="22"/>
              </w:rPr>
              <w:t xml:space="preserve">/ alendronate failed to show statistically significant reduction in </w:t>
            </w:r>
            <w:r w:rsidR="00864D4D">
              <w:rPr>
                <w:rFonts w:cstheme="minorHAnsi"/>
                <w:color w:val="000000"/>
                <w:szCs w:val="22"/>
              </w:rPr>
              <w:t>non-vertebral</w:t>
            </w:r>
            <w:r w:rsidRPr="00534D9C">
              <w:rPr>
                <w:rFonts w:cstheme="minorHAnsi"/>
                <w:color w:val="000000"/>
                <w:szCs w:val="22"/>
              </w:rPr>
              <w:t xml:space="preserve"> fractures at the end of the </w:t>
            </w:r>
            <w:r w:rsidR="00566372">
              <w:rPr>
                <w:rFonts w:cstheme="minorHAnsi"/>
                <w:color w:val="000000"/>
                <w:szCs w:val="22"/>
              </w:rPr>
              <w:t>double blind</w:t>
            </w:r>
            <w:r w:rsidRPr="00534D9C">
              <w:rPr>
                <w:rFonts w:cstheme="minorHAnsi"/>
                <w:color w:val="000000"/>
                <w:szCs w:val="22"/>
              </w:rPr>
              <w:t xml:space="preserve"> treatment period at </w:t>
            </w:r>
            <w:r w:rsidR="00566372">
              <w:rPr>
                <w:rFonts w:cstheme="minorHAnsi"/>
                <w:color w:val="000000"/>
                <w:szCs w:val="22"/>
              </w:rPr>
              <w:t>M</w:t>
            </w:r>
            <w:r w:rsidRPr="00534D9C">
              <w:rPr>
                <w:rFonts w:cstheme="minorHAnsi"/>
                <w:color w:val="000000"/>
                <w:szCs w:val="22"/>
              </w:rPr>
              <w:t>onth 12 (p</w:t>
            </w:r>
            <w:r w:rsidR="00566372">
              <w:rPr>
                <w:rFonts w:cstheme="minorHAnsi"/>
                <w:color w:val="000000"/>
                <w:szCs w:val="22"/>
              </w:rPr>
              <w:t> </w:t>
            </w:r>
            <w:r w:rsidRPr="00534D9C">
              <w:rPr>
                <w:rFonts w:cstheme="minorHAnsi"/>
                <w:color w:val="000000"/>
                <w:szCs w:val="22"/>
              </w:rPr>
              <w:t>=</w:t>
            </w:r>
            <w:r w:rsidR="00566372">
              <w:rPr>
                <w:rFonts w:cstheme="minorHAnsi"/>
                <w:color w:val="000000"/>
                <w:szCs w:val="22"/>
              </w:rPr>
              <w:t> </w:t>
            </w:r>
            <w:r w:rsidRPr="00534D9C">
              <w:rPr>
                <w:rFonts w:cstheme="minorHAnsi"/>
                <w:color w:val="000000"/>
                <w:szCs w:val="22"/>
              </w:rPr>
              <w:t xml:space="preserve">0.057) or at </w:t>
            </w:r>
            <w:r w:rsidR="00566372">
              <w:rPr>
                <w:rFonts w:cstheme="minorHAnsi"/>
                <w:color w:val="000000"/>
                <w:szCs w:val="22"/>
              </w:rPr>
              <w:t>M</w:t>
            </w:r>
            <w:r w:rsidRPr="00534D9C">
              <w:rPr>
                <w:rFonts w:cstheme="minorHAnsi"/>
                <w:color w:val="000000"/>
                <w:szCs w:val="22"/>
              </w:rPr>
              <w:t>onth 24 (p = 0.074).</w:t>
            </w:r>
          </w:p>
        </w:tc>
      </w:tr>
      <w:tr w:rsidR="004B455E" w:rsidRPr="00534D9C" w14:paraId="4F62DC4C" w14:textId="77777777" w:rsidTr="004B455E">
        <w:tc>
          <w:tcPr>
            <w:tcW w:w="4395" w:type="dxa"/>
          </w:tcPr>
          <w:p w14:paraId="089CBE64" w14:textId="3AA3EBAC" w:rsidR="004B455E" w:rsidRPr="00534D9C" w:rsidRDefault="004B455E" w:rsidP="004B455E">
            <w:pPr>
              <w:rPr>
                <w:rFonts w:cstheme="minorHAnsi"/>
                <w:szCs w:val="22"/>
              </w:rPr>
            </w:pPr>
            <w:r w:rsidRPr="00534D9C">
              <w:rPr>
                <w:rFonts w:cstheme="minorHAnsi"/>
                <w:szCs w:val="22"/>
              </w:rPr>
              <w:lastRenderedPageBreak/>
              <w:t>Increased risk of hypersensitivity reactions</w:t>
            </w:r>
            <w:r w:rsidR="00322404">
              <w:rPr>
                <w:rFonts w:cstheme="minorHAnsi"/>
                <w:szCs w:val="22"/>
              </w:rPr>
              <w:t>.</w:t>
            </w:r>
          </w:p>
        </w:tc>
        <w:tc>
          <w:tcPr>
            <w:tcW w:w="4394" w:type="dxa"/>
          </w:tcPr>
          <w:p w14:paraId="0040C219" w14:textId="77777777" w:rsidR="004B455E" w:rsidRPr="00534D9C" w:rsidRDefault="004B455E" w:rsidP="004B455E">
            <w:pPr>
              <w:rPr>
                <w:rFonts w:cstheme="minorHAnsi"/>
                <w:i/>
                <w:szCs w:val="22"/>
                <w:u w:val="single"/>
              </w:rPr>
            </w:pPr>
            <w:r w:rsidRPr="00534D9C">
              <w:rPr>
                <w:rFonts w:cstheme="minorHAnsi"/>
                <w:szCs w:val="22"/>
              </w:rPr>
              <w:t xml:space="preserve">Clinically significant hypersensitivity reactions, including dermatitis, rash, angioedema, erythema </w:t>
            </w:r>
            <w:proofErr w:type="spellStart"/>
            <w:r w:rsidRPr="00534D9C">
              <w:rPr>
                <w:rFonts w:cstheme="minorHAnsi"/>
                <w:szCs w:val="22"/>
              </w:rPr>
              <w:t>multiforme</w:t>
            </w:r>
            <w:proofErr w:type="spellEnd"/>
            <w:r w:rsidRPr="00534D9C">
              <w:rPr>
                <w:rFonts w:cstheme="minorHAnsi"/>
                <w:szCs w:val="22"/>
              </w:rPr>
              <w:t xml:space="preserve"> and </w:t>
            </w:r>
            <w:proofErr w:type="spellStart"/>
            <w:r w:rsidRPr="00534D9C">
              <w:rPr>
                <w:rFonts w:cstheme="minorHAnsi"/>
                <w:szCs w:val="22"/>
              </w:rPr>
              <w:t>urticaria</w:t>
            </w:r>
            <w:proofErr w:type="spellEnd"/>
            <w:r w:rsidRPr="00534D9C">
              <w:rPr>
                <w:rFonts w:cstheme="minorHAnsi"/>
                <w:szCs w:val="22"/>
              </w:rPr>
              <w:t>, occurred in the romosozumab group.</w:t>
            </w:r>
          </w:p>
        </w:tc>
      </w:tr>
      <w:tr w:rsidR="004B455E" w:rsidRPr="00534D9C" w14:paraId="10407D91" w14:textId="77777777" w:rsidTr="004B455E">
        <w:tc>
          <w:tcPr>
            <w:tcW w:w="4395" w:type="dxa"/>
          </w:tcPr>
          <w:p w14:paraId="1EAA37B0" w14:textId="77777777" w:rsidR="004B455E" w:rsidRPr="00534D9C" w:rsidRDefault="004B455E" w:rsidP="004B455E">
            <w:pPr>
              <w:rPr>
                <w:rFonts w:cstheme="minorHAnsi"/>
                <w:szCs w:val="22"/>
              </w:rPr>
            </w:pPr>
            <w:r w:rsidRPr="00534D9C">
              <w:rPr>
                <w:rFonts w:cstheme="minorHAnsi"/>
                <w:szCs w:val="22"/>
              </w:rPr>
              <w:t>Increased risk of hypocalcaemia. Inhibition of sclerostin by romosozumab leads to rapid bone mass accrual at initiation of treatment and an increased demand for bone-building substrates such as calcium.</w:t>
            </w:r>
          </w:p>
        </w:tc>
        <w:tc>
          <w:tcPr>
            <w:tcW w:w="4394" w:type="dxa"/>
          </w:tcPr>
          <w:p w14:paraId="03272844" w14:textId="77777777" w:rsidR="004B455E" w:rsidRPr="00534D9C" w:rsidRDefault="004B455E" w:rsidP="004B455E">
            <w:pPr>
              <w:rPr>
                <w:rFonts w:cstheme="minorHAnsi"/>
                <w:i/>
                <w:szCs w:val="22"/>
                <w:u w:val="single"/>
              </w:rPr>
            </w:pPr>
            <w:r w:rsidRPr="00534D9C">
              <w:rPr>
                <w:rFonts w:cstheme="minorHAnsi"/>
                <w:szCs w:val="22"/>
              </w:rPr>
              <w:t xml:space="preserve">Mild and transitory decreases in albumin-corrected calcium and a compensatory increase in </w:t>
            </w:r>
            <w:r w:rsidR="002B04AF">
              <w:rPr>
                <w:rFonts w:cstheme="minorHAnsi"/>
                <w:szCs w:val="22"/>
              </w:rPr>
              <w:t>intact parathyroid hormone</w:t>
            </w:r>
            <w:r w:rsidRPr="00534D9C">
              <w:rPr>
                <w:rFonts w:cstheme="minorHAnsi"/>
                <w:szCs w:val="22"/>
              </w:rPr>
              <w:t xml:space="preserve"> were observed after initiation of romosozumab.</w:t>
            </w:r>
          </w:p>
        </w:tc>
      </w:tr>
      <w:tr w:rsidR="004B455E" w:rsidRPr="00534D9C" w14:paraId="7D674C4A" w14:textId="77777777" w:rsidTr="004B455E">
        <w:tc>
          <w:tcPr>
            <w:tcW w:w="4395" w:type="dxa"/>
          </w:tcPr>
          <w:p w14:paraId="151DD462" w14:textId="2CF9AFFD" w:rsidR="004B455E" w:rsidRPr="00534D9C" w:rsidRDefault="004B455E" w:rsidP="00566372">
            <w:pPr>
              <w:rPr>
                <w:rFonts w:cstheme="minorHAnsi"/>
                <w:i/>
                <w:szCs w:val="22"/>
              </w:rPr>
            </w:pPr>
            <w:r w:rsidRPr="00534D9C">
              <w:rPr>
                <w:rFonts w:cstheme="minorHAnsi"/>
                <w:szCs w:val="22"/>
              </w:rPr>
              <w:t xml:space="preserve">During the </w:t>
            </w:r>
            <w:r w:rsidR="00531AFF">
              <w:rPr>
                <w:rFonts w:cstheme="minorHAnsi"/>
                <w:szCs w:val="22"/>
              </w:rPr>
              <w:t>12 month</w:t>
            </w:r>
            <w:r w:rsidRPr="00534D9C">
              <w:rPr>
                <w:rFonts w:cstheme="minorHAnsi"/>
                <w:szCs w:val="22"/>
              </w:rPr>
              <w:t xml:space="preserve">, </w:t>
            </w:r>
            <w:r w:rsidR="00566372">
              <w:rPr>
                <w:rFonts w:cstheme="minorHAnsi"/>
                <w:szCs w:val="22"/>
              </w:rPr>
              <w:t>double blind</w:t>
            </w:r>
            <w:r w:rsidRPr="00534D9C">
              <w:rPr>
                <w:rFonts w:cstheme="minorHAnsi"/>
                <w:szCs w:val="22"/>
              </w:rPr>
              <w:t>, alendronate</w:t>
            </w:r>
            <w:r w:rsidR="00566372">
              <w:rPr>
                <w:rFonts w:cstheme="minorHAnsi"/>
                <w:szCs w:val="22"/>
              </w:rPr>
              <w:t xml:space="preserve"> </w:t>
            </w:r>
            <w:r w:rsidRPr="00534D9C">
              <w:rPr>
                <w:rFonts w:cstheme="minorHAnsi"/>
                <w:szCs w:val="22"/>
              </w:rPr>
              <w:t>controlled portion of Study</w:t>
            </w:r>
            <w:r w:rsidR="007E3704">
              <w:rPr>
                <w:rFonts w:cstheme="minorHAnsi"/>
                <w:szCs w:val="22"/>
              </w:rPr>
              <w:t> </w:t>
            </w:r>
            <w:r w:rsidRPr="00534D9C">
              <w:rPr>
                <w:rFonts w:cstheme="minorHAnsi"/>
                <w:szCs w:val="22"/>
              </w:rPr>
              <w:t xml:space="preserve">20110142 (n = 4054), there was a numerical imbalance observed between the romosozumab and alendronate groups in the incidence of positively adjudicated cardiovascular SAEs (2.5% and 1.9%, respectively), mainly cardiac ischemic events (0.8% </w:t>
            </w:r>
            <w:r w:rsidR="00CE639A">
              <w:rPr>
                <w:rFonts w:cstheme="minorHAnsi"/>
                <w:szCs w:val="22"/>
              </w:rPr>
              <w:t xml:space="preserve">versus </w:t>
            </w:r>
            <w:r w:rsidRPr="00534D9C">
              <w:rPr>
                <w:rFonts w:cstheme="minorHAnsi"/>
                <w:szCs w:val="22"/>
              </w:rPr>
              <w:t xml:space="preserve">0.3%) and cerebrovascular events (0.8% </w:t>
            </w:r>
            <w:r w:rsidR="00CE639A">
              <w:rPr>
                <w:rFonts w:cstheme="minorHAnsi"/>
                <w:szCs w:val="22"/>
              </w:rPr>
              <w:t xml:space="preserve">versus </w:t>
            </w:r>
            <w:r w:rsidR="00322404">
              <w:rPr>
                <w:rFonts w:cstheme="minorHAnsi"/>
                <w:szCs w:val="22"/>
              </w:rPr>
              <w:t>0.3%).</w:t>
            </w:r>
          </w:p>
        </w:tc>
        <w:tc>
          <w:tcPr>
            <w:tcW w:w="4394" w:type="dxa"/>
          </w:tcPr>
          <w:p w14:paraId="346980A1" w14:textId="68C989DB" w:rsidR="008D74BF" w:rsidRDefault="004B455E" w:rsidP="004B455E">
            <w:pPr>
              <w:rPr>
                <w:rFonts w:cstheme="minorHAnsi"/>
                <w:szCs w:val="22"/>
              </w:rPr>
            </w:pPr>
            <w:r w:rsidRPr="00534D9C">
              <w:rPr>
                <w:rFonts w:cstheme="minorHAnsi"/>
                <w:szCs w:val="22"/>
              </w:rPr>
              <w:t xml:space="preserve">This imbalance was not observed in the </w:t>
            </w:r>
            <w:r w:rsidR="00566372">
              <w:rPr>
                <w:rFonts w:cstheme="minorHAnsi"/>
                <w:szCs w:val="22"/>
              </w:rPr>
              <w:t>placebo controlled</w:t>
            </w:r>
            <w:r w:rsidRPr="00534D9C">
              <w:rPr>
                <w:rFonts w:cstheme="minorHAnsi"/>
                <w:szCs w:val="22"/>
              </w:rPr>
              <w:t xml:space="preserve"> fracture </w:t>
            </w:r>
            <w:r w:rsidR="003D7E26">
              <w:rPr>
                <w:rFonts w:cstheme="minorHAnsi"/>
                <w:szCs w:val="22"/>
              </w:rPr>
              <w:t>Study</w:t>
            </w:r>
            <w:r w:rsidR="007E3704">
              <w:rPr>
                <w:rFonts w:cstheme="minorHAnsi"/>
                <w:szCs w:val="22"/>
              </w:rPr>
              <w:t> </w:t>
            </w:r>
            <w:r w:rsidRPr="00534D9C">
              <w:rPr>
                <w:rFonts w:cstheme="minorHAnsi"/>
                <w:szCs w:val="22"/>
              </w:rPr>
              <w:t>20070337</w:t>
            </w:r>
            <w:r w:rsidR="007E3704">
              <w:rPr>
                <w:rFonts w:cstheme="minorHAnsi"/>
                <w:szCs w:val="22"/>
              </w:rPr>
              <w:t xml:space="preserve"> (</w:t>
            </w:r>
            <w:r w:rsidRPr="00534D9C">
              <w:rPr>
                <w:rFonts w:cstheme="minorHAnsi"/>
                <w:szCs w:val="22"/>
              </w:rPr>
              <w:t>n = 7157), where the subject incidence of positively adjudicated serious cardiovascular adverse events was 1.3% in the romosozumab and placebo groups. In both trials, most participants had common risk factors for cardiovascular disease, and within each trial, cardiovascular risk factors were balanced between treatment arms</w:t>
            </w:r>
            <w:r w:rsidR="008D74BF">
              <w:rPr>
                <w:rFonts w:cstheme="minorHAnsi"/>
                <w:szCs w:val="22"/>
              </w:rPr>
              <w:t>.</w:t>
            </w:r>
          </w:p>
          <w:p w14:paraId="4E786FD6" w14:textId="255C8A06" w:rsidR="004B455E" w:rsidRPr="00534D9C" w:rsidRDefault="004B455E" w:rsidP="004B455E">
            <w:pPr>
              <w:rPr>
                <w:rFonts w:cstheme="minorHAnsi"/>
                <w:i/>
                <w:szCs w:val="22"/>
                <w:u w:val="single"/>
              </w:rPr>
            </w:pPr>
            <w:r w:rsidRPr="00534D9C">
              <w:rPr>
                <w:rFonts w:cstheme="minorHAnsi"/>
                <w:szCs w:val="22"/>
              </w:rPr>
              <w:t>A comprehensive pharmacovigilance program and additional pharmacovigilance activities will be used to monitor this potential risk in the post</w:t>
            </w:r>
            <w:r w:rsidR="00322404">
              <w:rPr>
                <w:rFonts w:cstheme="minorHAnsi"/>
                <w:szCs w:val="22"/>
              </w:rPr>
              <w:t xml:space="preserve"> </w:t>
            </w:r>
            <w:r w:rsidRPr="00534D9C">
              <w:rPr>
                <w:rFonts w:cstheme="minorHAnsi"/>
                <w:szCs w:val="22"/>
              </w:rPr>
              <w:t>marketing setting.</w:t>
            </w:r>
          </w:p>
        </w:tc>
      </w:tr>
      <w:tr w:rsidR="004B455E" w:rsidRPr="00534D9C" w14:paraId="5E751190" w14:textId="77777777" w:rsidTr="004B455E">
        <w:tc>
          <w:tcPr>
            <w:tcW w:w="4395" w:type="dxa"/>
          </w:tcPr>
          <w:p w14:paraId="7EE6B421" w14:textId="522C2D41" w:rsidR="004B455E" w:rsidRPr="00534D9C" w:rsidRDefault="00201AC4" w:rsidP="004B455E">
            <w:pPr>
              <w:rPr>
                <w:rFonts w:cstheme="minorHAnsi"/>
                <w:i/>
                <w:szCs w:val="22"/>
              </w:rPr>
            </w:pPr>
            <w:r>
              <w:rPr>
                <w:rFonts w:cstheme="minorHAnsi"/>
                <w:szCs w:val="22"/>
              </w:rPr>
              <w:t xml:space="preserve">Osteonecrosis of the jaw and atypical </w:t>
            </w:r>
            <w:r w:rsidR="00C85473">
              <w:rPr>
                <w:rFonts w:cstheme="minorHAnsi"/>
                <w:szCs w:val="22"/>
              </w:rPr>
              <w:t>femoral</w:t>
            </w:r>
            <w:r>
              <w:rPr>
                <w:rFonts w:cstheme="minorHAnsi"/>
                <w:szCs w:val="22"/>
              </w:rPr>
              <w:t xml:space="preserve"> fracture</w:t>
            </w:r>
            <w:r w:rsidR="004B455E" w:rsidRPr="00534D9C">
              <w:rPr>
                <w:rFonts w:cstheme="minorHAnsi"/>
                <w:szCs w:val="22"/>
              </w:rPr>
              <w:t xml:space="preserve"> are considered important potential risks for romosozumab and </w:t>
            </w:r>
            <w:r w:rsidR="004B455E" w:rsidRPr="00534D9C">
              <w:rPr>
                <w:rFonts w:cstheme="minorHAnsi"/>
                <w:color w:val="000000"/>
                <w:szCs w:val="22"/>
              </w:rPr>
              <w:t xml:space="preserve">have been reported in </w:t>
            </w:r>
            <w:r w:rsidR="00322404">
              <w:rPr>
                <w:rFonts w:cstheme="minorHAnsi"/>
                <w:color w:val="000000"/>
                <w:szCs w:val="22"/>
              </w:rPr>
              <w:t>patients receiving romosozumab.</w:t>
            </w:r>
          </w:p>
        </w:tc>
        <w:tc>
          <w:tcPr>
            <w:tcW w:w="4394" w:type="dxa"/>
          </w:tcPr>
          <w:p w14:paraId="739962ED" w14:textId="77777777" w:rsidR="004B455E" w:rsidRPr="00534D9C" w:rsidRDefault="004B455E" w:rsidP="004B455E">
            <w:pPr>
              <w:rPr>
                <w:rFonts w:cstheme="minorHAnsi"/>
                <w:i/>
                <w:szCs w:val="22"/>
                <w:u w:val="single"/>
              </w:rPr>
            </w:pPr>
            <w:r w:rsidRPr="00534D9C">
              <w:rPr>
                <w:rFonts w:cstheme="minorHAnsi"/>
                <w:color w:val="000000"/>
                <w:szCs w:val="22"/>
                <w:lang w:eastAsia="en-US"/>
              </w:rPr>
              <w:t xml:space="preserve">The number of </w:t>
            </w:r>
            <w:r w:rsidR="00201AC4">
              <w:rPr>
                <w:rFonts w:cstheme="minorHAnsi"/>
                <w:szCs w:val="22"/>
              </w:rPr>
              <w:t xml:space="preserve">osteonecrosis of the jaw and atypical </w:t>
            </w:r>
            <w:r w:rsidR="00C85473">
              <w:rPr>
                <w:rFonts w:cstheme="minorHAnsi"/>
                <w:szCs w:val="22"/>
              </w:rPr>
              <w:t>femoral</w:t>
            </w:r>
            <w:r w:rsidR="00201AC4">
              <w:rPr>
                <w:rFonts w:cstheme="minorHAnsi"/>
                <w:szCs w:val="22"/>
              </w:rPr>
              <w:t xml:space="preserve"> fracture</w:t>
            </w:r>
            <w:r w:rsidR="00201AC4" w:rsidRPr="00534D9C">
              <w:rPr>
                <w:rFonts w:cstheme="minorHAnsi"/>
                <w:szCs w:val="22"/>
              </w:rPr>
              <w:t xml:space="preserve"> </w:t>
            </w:r>
            <w:r w:rsidRPr="00534D9C">
              <w:rPr>
                <w:rFonts w:cstheme="minorHAnsi"/>
                <w:color w:val="000000"/>
                <w:szCs w:val="22"/>
                <w:lang w:eastAsia="en-US"/>
              </w:rPr>
              <w:t>cases observed in the clinical trials was low and causality has not been established</w:t>
            </w:r>
          </w:p>
        </w:tc>
      </w:tr>
      <w:tr w:rsidR="004B455E" w:rsidRPr="00534D9C" w14:paraId="01332287" w14:textId="77777777" w:rsidTr="004B455E">
        <w:tc>
          <w:tcPr>
            <w:tcW w:w="4395" w:type="dxa"/>
          </w:tcPr>
          <w:p w14:paraId="4C2F97B4" w14:textId="77777777" w:rsidR="004B455E" w:rsidRPr="00534D9C" w:rsidRDefault="004B455E" w:rsidP="004B455E">
            <w:pPr>
              <w:rPr>
                <w:rFonts w:cstheme="minorHAnsi"/>
                <w:szCs w:val="22"/>
              </w:rPr>
            </w:pPr>
            <w:r w:rsidRPr="00534D9C">
              <w:rPr>
                <w:rFonts w:cstheme="minorHAnsi"/>
                <w:szCs w:val="22"/>
              </w:rPr>
              <w:t>Efficacy of romosozumab was only evaluated in postmenopausal women and men (aged over 50 years) with primary osteoporosis.</w:t>
            </w:r>
          </w:p>
        </w:tc>
        <w:tc>
          <w:tcPr>
            <w:tcW w:w="4394" w:type="dxa"/>
          </w:tcPr>
          <w:p w14:paraId="58DBBECA" w14:textId="77777777" w:rsidR="004B455E" w:rsidRPr="00534D9C" w:rsidRDefault="004B455E" w:rsidP="004B455E">
            <w:pPr>
              <w:rPr>
                <w:rFonts w:cstheme="minorHAnsi"/>
                <w:color w:val="000000"/>
                <w:szCs w:val="22"/>
              </w:rPr>
            </w:pPr>
            <w:r w:rsidRPr="00534D9C">
              <w:rPr>
                <w:rFonts w:cstheme="minorHAnsi"/>
                <w:szCs w:val="22"/>
              </w:rPr>
              <w:t>It was not evaluated in patients with glucocorticoid-induced</w:t>
            </w:r>
            <w:r w:rsidR="00201AC4">
              <w:rPr>
                <w:rFonts w:cstheme="minorHAnsi"/>
                <w:szCs w:val="22"/>
              </w:rPr>
              <w:t xml:space="preserve"> osteoporosis (as patients on &gt;</w:t>
            </w:r>
            <w:r w:rsidRPr="00534D9C">
              <w:rPr>
                <w:rFonts w:cstheme="minorHAnsi"/>
                <w:szCs w:val="22"/>
              </w:rPr>
              <w:t>7.5</w:t>
            </w:r>
            <w:r w:rsidR="00201AC4">
              <w:rPr>
                <w:rFonts w:cstheme="minorHAnsi"/>
                <w:szCs w:val="22"/>
              </w:rPr>
              <w:t xml:space="preserve"> </w:t>
            </w:r>
            <w:r w:rsidRPr="00534D9C">
              <w:rPr>
                <w:rFonts w:cstheme="minorHAnsi"/>
                <w:szCs w:val="22"/>
              </w:rPr>
              <w:t>mg equivalent of prednisone were excluded from the studies) or other secondary osteoporosis conditions.</w:t>
            </w:r>
          </w:p>
        </w:tc>
      </w:tr>
      <w:tr w:rsidR="004B455E" w:rsidRPr="00534D9C" w14:paraId="348141EB" w14:textId="77777777" w:rsidTr="004B455E">
        <w:tc>
          <w:tcPr>
            <w:tcW w:w="4395" w:type="dxa"/>
          </w:tcPr>
          <w:p w14:paraId="21C05209" w14:textId="3316E8DE" w:rsidR="004B455E" w:rsidRPr="00534D9C" w:rsidRDefault="004B455E" w:rsidP="004B455E">
            <w:pPr>
              <w:rPr>
                <w:rFonts w:cstheme="minorHAnsi"/>
              </w:rPr>
            </w:pPr>
            <w:r>
              <w:rPr>
                <w:rFonts w:asciiTheme="minorHAnsi" w:eastAsiaTheme="minorHAnsi" w:hAnsiTheme="minorHAnsi" w:cs="Arial"/>
                <w:color w:val="000000"/>
              </w:rPr>
              <w:t>Rebound or withdrawal effects without any other osteoporosis treatment following end of the 12 months of romosozum</w:t>
            </w:r>
            <w:r w:rsidR="00322404">
              <w:rPr>
                <w:rFonts w:asciiTheme="minorHAnsi" w:eastAsiaTheme="minorHAnsi" w:hAnsiTheme="minorHAnsi" w:cs="Arial"/>
                <w:color w:val="000000"/>
              </w:rPr>
              <w:t>ab treatment was not evaluated.</w:t>
            </w:r>
          </w:p>
        </w:tc>
        <w:tc>
          <w:tcPr>
            <w:tcW w:w="4394" w:type="dxa"/>
          </w:tcPr>
          <w:p w14:paraId="6A17F790" w14:textId="77777777" w:rsidR="004B455E" w:rsidRPr="00534D9C" w:rsidRDefault="004B455E" w:rsidP="004B455E">
            <w:pPr>
              <w:rPr>
                <w:rFonts w:cstheme="minorHAnsi"/>
              </w:rPr>
            </w:pPr>
          </w:p>
        </w:tc>
      </w:tr>
    </w:tbl>
    <w:p w14:paraId="5DCA940F" w14:textId="77777777" w:rsidR="003F09E4" w:rsidRDefault="00605AD4" w:rsidP="00605AD4">
      <w:pPr>
        <w:pStyle w:val="Heading4"/>
      </w:pPr>
      <w:r w:rsidRPr="00605AD4">
        <w:lastRenderedPageBreak/>
        <w:t>First round assessment of benefit-risk balance</w:t>
      </w:r>
    </w:p>
    <w:p w14:paraId="3F9EEC6D" w14:textId="15C23469" w:rsidR="004B455E" w:rsidRDefault="00696AC6" w:rsidP="004B455E">
      <w:r>
        <w:t>Romosozumab</w:t>
      </w:r>
      <w:r w:rsidR="004B455E">
        <w:t xml:space="preserve"> is a high-affinity humanised immunoglobulin G2 (IgG2) monoclonal antibody directed against sclerostin that in</w:t>
      </w:r>
      <w:r w:rsidR="00864D4D">
        <w:t>hibits its interaction with LRP5/LRP</w:t>
      </w:r>
      <w:r w:rsidR="004B455E">
        <w:t xml:space="preserve">6 and activates </w:t>
      </w:r>
      <w:proofErr w:type="spellStart"/>
      <w:r w:rsidR="004B455E" w:rsidRPr="00864D4D">
        <w:t>Wnt</w:t>
      </w:r>
      <w:proofErr w:type="spellEnd"/>
      <w:r w:rsidR="004B455E" w:rsidRPr="00864D4D">
        <w:t xml:space="preserve"> </w:t>
      </w:r>
      <w:r w:rsidR="00DD4DAE" w:rsidRPr="00864D4D">
        <w:t>s</w:t>
      </w:r>
      <w:r w:rsidR="00DD4DAE">
        <w:t>ignalling</w:t>
      </w:r>
      <w:r w:rsidR="004B455E">
        <w:t xml:space="preserve"> in the osteoblast lineage. </w:t>
      </w:r>
      <w:proofErr w:type="spellStart"/>
      <w:r w:rsidR="004B455E">
        <w:t>Sclerostin</w:t>
      </w:r>
      <w:proofErr w:type="spellEnd"/>
      <w:r w:rsidR="004B455E">
        <w:t xml:space="preserve">-mediated decreases in </w:t>
      </w:r>
      <w:proofErr w:type="spellStart"/>
      <w:r w:rsidR="004B455E">
        <w:t>Wnt</w:t>
      </w:r>
      <w:proofErr w:type="spellEnd"/>
      <w:r w:rsidR="007E3704">
        <w:t> </w:t>
      </w:r>
      <w:r w:rsidR="004B455E">
        <w:t xml:space="preserve">signalling in osteoblast-lineage cells result in inhibition of osteoblast-mediated bone formation and stimulation of osteoclast-mediated bone resorption. By blocking sclerostin, romosozumab increases bone formation due to the activation of bone lining cells, increased bone matrix production by osteoblasts, and recruitment of </w:t>
      </w:r>
      <w:proofErr w:type="spellStart"/>
      <w:r w:rsidR="004B455E">
        <w:t>osteoprogenitor</w:t>
      </w:r>
      <w:proofErr w:type="spellEnd"/>
      <w:r w:rsidR="004B455E">
        <w:t xml:space="preserve"> cells. Additionally, romosozumab results in changes in expression of osteoclast mediators, thereby decreasing bone resorption. Together, the dual effect of increasing bone formation and decreasing bone resorption results in improvements in bone mass, structure and strength.</w:t>
      </w:r>
    </w:p>
    <w:p w14:paraId="4EE0D76E" w14:textId="1652A9AF" w:rsidR="008D74BF" w:rsidRDefault="00696AC6" w:rsidP="004B455E">
      <w:r>
        <w:t>Romosozumab</w:t>
      </w:r>
      <w:r w:rsidR="004B455E">
        <w:t xml:space="preserve"> was investigated in a comprehensive development program comprised of 19 clinical studies conducted between 2006 and 2017 that enrolled approximately 14</w:t>
      </w:r>
      <w:r w:rsidR="00201AC4">
        <w:t>,</w:t>
      </w:r>
      <w:r w:rsidR="004B455E">
        <w:t>000</w:t>
      </w:r>
      <w:r w:rsidR="007E3704">
        <w:t> </w:t>
      </w:r>
      <w:r w:rsidR="004B455E">
        <w:t xml:space="preserve">subjects to support the proposed indications for the treatment of osteoporosis in postmenopausal women and in men at increased risk of fractures. Studies included healthy volunteers, postmenopausal women with osteoporosis or low </w:t>
      </w:r>
      <w:r w:rsidR="00881772">
        <w:t>BMD</w:t>
      </w:r>
      <w:r w:rsidR="004B455E">
        <w:t xml:space="preserve">, and men with osteoporosis. Endpoints (primary/secondary/exploratory) to assess the effect of romosozumab include the subject incidence of various fracture categories for romosozumab and comparator groups, percent change from baseline in </w:t>
      </w:r>
      <w:r w:rsidR="00881772">
        <w:t>BMD</w:t>
      </w:r>
      <w:r w:rsidR="004B455E">
        <w:t>, and percent change from baseline in bone turnover markers (</w:t>
      </w:r>
      <w:r w:rsidR="00635CE9">
        <w:t>bone turnover marker</w:t>
      </w:r>
      <w:r w:rsidR="004B455E">
        <w:t>s). The efficacy and safety of romosozumab was compared against placebo as well against active comparators. Study 20070337 (FRAME</w:t>
      </w:r>
      <w:r w:rsidR="007E3704">
        <w:t xml:space="preserve"> trial</w:t>
      </w:r>
      <w:r w:rsidR="004B455E">
        <w:t xml:space="preserve">) assessed whether the </w:t>
      </w:r>
      <w:r w:rsidR="00881772">
        <w:t>BMD</w:t>
      </w:r>
      <w:r w:rsidR="004B455E">
        <w:t xml:space="preserve"> gains observed in </w:t>
      </w:r>
      <w:r w:rsidR="00201AC4">
        <w:t>P</w:t>
      </w:r>
      <w:r w:rsidR="004B455E">
        <w:t xml:space="preserve">hase </w:t>
      </w:r>
      <w:r w:rsidR="00201AC4">
        <w:t>I</w:t>
      </w:r>
      <w:r w:rsidR="004B455E">
        <w:t xml:space="preserve"> and </w:t>
      </w:r>
      <w:r w:rsidR="00201AC4">
        <w:t>II</w:t>
      </w:r>
      <w:r w:rsidR="004B455E">
        <w:t xml:space="preserve"> studies translated into fracture risk reduction after 1 year of romosozumab treatment, and whether there was continued benefit with follow-on treatment with denosumab. Study</w:t>
      </w:r>
      <w:r w:rsidR="007E3704">
        <w:t> </w:t>
      </w:r>
      <w:r w:rsidR="004B455E">
        <w:t>20110142 (ARCH</w:t>
      </w:r>
      <w:r w:rsidR="007E3704">
        <w:t xml:space="preserve"> trial</w:t>
      </w:r>
      <w:r w:rsidR="004B455E">
        <w:t>) assessed the efficacy of 1 year of romosozumab treatment in relation to alendronate alone, both during romosozumab treatment and afterwards when all subjects received alendronate. Alendronate (70</w:t>
      </w:r>
      <w:r w:rsidR="00201AC4">
        <w:t xml:space="preserve"> </w:t>
      </w:r>
      <w:r w:rsidR="004B455E">
        <w:t xml:space="preserve">mg orally every week) is considered </w:t>
      </w:r>
      <w:r w:rsidR="00201AC4">
        <w:t>standard of care</w:t>
      </w:r>
      <w:r w:rsidR="004B455E">
        <w:t xml:space="preserve"> and was the appropriate choice for the pivotal active</w:t>
      </w:r>
      <w:r w:rsidR="00201AC4">
        <w:t xml:space="preserve"> </w:t>
      </w:r>
      <w:r w:rsidR="004B455E">
        <w:t xml:space="preserve">controlled Phase </w:t>
      </w:r>
      <w:r w:rsidR="00201AC4">
        <w:t>III</w:t>
      </w:r>
      <w:r w:rsidR="004B455E">
        <w:t xml:space="preserve"> study. Denosumab (60</w:t>
      </w:r>
      <w:r w:rsidR="00201AC4">
        <w:t xml:space="preserve"> </w:t>
      </w:r>
      <w:r w:rsidR="004B455E">
        <w:t>mg SC every 6 months) is approved in Australia for treatment of osteoporosis in postmenopausal women (it significantly reduces risk of vertebral, non-vertebral and hip fractures). Overall, study design, efficacy endpoints, study population complied with the CHMP guidelines for evaluation of medicinal treatments for treatment of postmenopausal women with osteoporosis at increased risk of fracture</w:t>
      </w:r>
      <w:r w:rsidR="008D74BF">
        <w:t>.</w:t>
      </w:r>
    </w:p>
    <w:p w14:paraId="22B57BE4" w14:textId="7AB27165" w:rsidR="004B455E" w:rsidRDefault="004B455E" w:rsidP="004B455E">
      <w:r>
        <w:t xml:space="preserve">The key efficacy results support the benefits of fracture risk reduction and improvement in </w:t>
      </w:r>
      <w:r w:rsidR="00881772">
        <w:t>BMD</w:t>
      </w:r>
      <w:r>
        <w:t>. Compared with placebo, romosozumab for 12 months followed by denosumab for 12 months significantly reduced the risk of new vertebral fractures by 75% and clinical fracture by 33%; 12 months of romosozumab followed by 12 months of alendronate significantly reduced the risk of new vertebral fracture by 50% and clinical fracture by 27% compared with alendronate alone, which is considered a standard</w:t>
      </w:r>
      <w:r w:rsidR="00201AC4">
        <w:t xml:space="preserve"> </w:t>
      </w:r>
      <w:r>
        <w:t>of</w:t>
      </w:r>
      <w:r w:rsidR="00201AC4">
        <w:t xml:space="preserve"> </w:t>
      </w:r>
      <w:r>
        <w:t>care treatment for osteoporosis.</w:t>
      </w:r>
      <w:r w:rsidR="008D74BF">
        <w:t xml:space="preserve"> </w:t>
      </w:r>
      <w:r>
        <w:t xml:space="preserve">A consistent treatment effect for romosozumab over placebo and alendronate was observed in all subgroups of baseline characteristics examined (age, prevalent vertebral fracture status, race, geographic region, baseline lumbar spine </w:t>
      </w:r>
      <w:r w:rsidR="00881772">
        <w:t>BMD</w:t>
      </w:r>
      <w:r>
        <w:t xml:space="preserve"> T-score, baseline total hip/</w:t>
      </w:r>
      <w:r w:rsidR="00C85473">
        <w:t>femoral</w:t>
      </w:r>
      <w:r>
        <w:t xml:space="preserve"> neck </w:t>
      </w:r>
      <w:r w:rsidR="00881772">
        <w:t>BMD</w:t>
      </w:r>
      <w:r>
        <w:t xml:space="preserve"> T-score, baseline </w:t>
      </w:r>
      <w:r w:rsidR="00C36ACF">
        <w:t>body mass index</w:t>
      </w:r>
      <w:r>
        <w:t>, FRAX</w:t>
      </w:r>
      <w:r w:rsidR="007E3704">
        <w:t> </w:t>
      </w:r>
      <w:r>
        <w:t xml:space="preserve">score, history of </w:t>
      </w:r>
      <w:r w:rsidR="00864D4D">
        <w:t>non-vertebral</w:t>
      </w:r>
      <w:r>
        <w:t xml:space="preserve"> fracture at or after age 55 and history of fragility fracture).</w:t>
      </w:r>
    </w:p>
    <w:p w14:paraId="275EA702" w14:textId="77777777" w:rsidR="004B455E" w:rsidRDefault="004B455E" w:rsidP="004B455E">
      <w:r>
        <w:t xml:space="preserve">However, evidence for reduction of </w:t>
      </w:r>
      <w:r w:rsidR="00864D4D">
        <w:t>non-vertebral</w:t>
      </w:r>
      <w:r>
        <w:t xml:space="preserve"> fractures was not consistent and robust across pivotal Phase </w:t>
      </w:r>
      <w:r w:rsidR="00201AC4">
        <w:t>III</w:t>
      </w:r>
      <w:r>
        <w:t xml:space="preserve"> studies. According to the recommended guidelines, evidence of fracture reduction should be provided for both spinal and non-spinal fractures.</w:t>
      </w:r>
      <w:r w:rsidR="008D74BF">
        <w:t xml:space="preserve"> </w:t>
      </w:r>
      <w:r>
        <w:t>Although romosozumab treatment led to reduction in ‘clinical fractures’, it is difficult to determine relative contribution of ‘</w:t>
      </w:r>
      <w:r w:rsidR="00864D4D">
        <w:t>non-vertebral</w:t>
      </w:r>
      <w:r>
        <w:t xml:space="preserve"> fractures’ and ‘clinical vertebral fractures’ in the ‘clinical fracture’ endpoint.</w:t>
      </w:r>
    </w:p>
    <w:p w14:paraId="7539AEA5" w14:textId="77777777" w:rsidR="008D74BF" w:rsidRDefault="004B455E" w:rsidP="004B455E">
      <w:r>
        <w:lastRenderedPageBreak/>
        <w:t xml:space="preserve">Other fracture endpoints such as hip, major </w:t>
      </w:r>
      <w:r w:rsidR="00864D4D">
        <w:t>non-vertebral</w:t>
      </w:r>
      <w:r>
        <w:t>, major osteoporotic, all osteoporotic and new or worsening vertebral fractures showed numerically lower incidence in the romosozumab group compared to both placebo and alendronate</w:t>
      </w:r>
      <w:r w:rsidR="008D74BF">
        <w:t>.</w:t>
      </w:r>
    </w:p>
    <w:p w14:paraId="40EDF59D" w14:textId="5EECB4DA" w:rsidR="008D74BF" w:rsidRDefault="004B455E" w:rsidP="004B455E">
      <w:r>
        <w:t xml:space="preserve">In both Phase </w:t>
      </w:r>
      <w:r w:rsidR="00201AC4">
        <w:t>III</w:t>
      </w:r>
      <w:r>
        <w:t xml:space="preserve"> pivotal studies, the statistically and clinically relevant improvements in </w:t>
      </w:r>
      <w:r w:rsidR="00881772">
        <w:t>BMD</w:t>
      </w:r>
      <w:r>
        <w:t xml:space="preserve"> (at lumbar spine and total hip) with romosozumab compared with placebo/denosumab or alendronate were observed in all subgroups by baseline T-score, age and geographic region. In the open</w:t>
      </w:r>
      <w:r w:rsidR="00201AC4">
        <w:t xml:space="preserve"> </w:t>
      </w:r>
      <w:r>
        <w:t xml:space="preserve">label Phase </w:t>
      </w:r>
      <w:proofErr w:type="spellStart"/>
      <w:r w:rsidR="00201AC4">
        <w:t>III</w:t>
      </w:r>
      <w:r>
        <w:t>b</w:t>
      </w:r>
      <w:proofErr w:type="spellEnd"/>
      <w:r>
        <w:t xml:space="preserve"> </w:t>
      </w:r>
      <w:r w:rsidR="003D7E26">
        <w:t>Study</w:t>
      </w:r>
      <w:r>
        <w:t xml:space="preserve"> 20080289, which enrolled subjects transitioning from bisphosphonate therapy, romosozumab led to robust gains in </w:t>
      </w:r>
      <w:r w:rsidR="00881772">
        <w:t>BMD</w:t>
      </w:r>
      <w:r>
        <w:t xml:space="preserve"> over 12 months of treatment. However, these gains were modestly lower than in the bisphosphonate-naïve subjects enrolled in the </w:t>
      </w:r>
      <w:r w:rsidR="00566372">
        <w:t>placebo controlled</w:t>
      </w:r>
      <w:r>
        <w:t xml:space="preserve"> studies</w:t>
      </w:r>
      <w:r w:rsidR="008D74BF">
        <w:t>.</w:t>
      </w:r>
    </w:p>
    <w:p w14:paraId="03F463AD" w14:textId="18D5A636" w:rsidR="004B455E" w:rsidRDefault="004B455E" w:rsidP="004B455E">
      <w:r>
        <w:t xml:space="preserve">The efficacy and safety results of the pivotal </w:t>
      </w:r>
      <w:r w:rsidR="00201AC4">
        <w:t>P</w:t>
      </w:r>
      <w:r>
        <w:t xml:space="preserve">hase </w:t>
      </w:r>
      <w:r w:rsidR="00201AC4">
        <w:t>III</w:t>
      </w:r>
      <w:r>
        <w:t xml:space="preserve"> fracture studies (</w:t>
      </w:r>
      <w:r w:rsidR="007E3704">
        <w:t xml:space="preserve">Studies </w:t>
      </w:r>
      <w:r>
        <w:t xml:space="preserve">20070337 and 20110142), in combination with the clinical pharmacology program, supported the dosing regimen of 210 mg SC </w:t>
      </w:r>
      <w:r w:rsidR="00201AC4">
        <w:t>monthly</w:t>
      </w:r>
      <w:r>
        <w:t xml:space="preserve"> for a duration of 12 months for the treatment of osteoporosis in postmenopausal women at increased risk of fracture. The </w:t>
      </w:r>
      <w:r w:rsidR="004A189B">
        <w:t>monthly</w:t>
      </w:r>
      <w:r>
        <w:t xml:space="preserve"> dose of romosozumab 210 mg (consisting of 2 injections per dose in a prefilled syringe or prefilled </w:t>
      </w:r>
      <w:proofErr w:type="spellStart"/>
      <w:r w:rsidR="007E3704">
        <w:t>autoinjector</w:t>
      </w:r>
      <w:proofErr w:type="spellEnd"/>
      <w:r>
        <w:t>/pen) provides convenience over current products and is supported by dose and exposure-response models, placebo</w:t>
      </w:r>
      <w:r w:rsidR="00201AC4">
        <w:t xml:space="preserve"> </w:t>
      </w:r>
      <w:r>
        <w:t xml:space="preserve">controlled studies that explored combinations of dose and dose interval, a comprehensive biopharmaceutics program, including a bioequivalence study comparing the </w:t>
      </w:r>
      <w:r w:rsidR="00C36ACF">
        <w:t>prefilled syringe</w:t>
      </w:r>
      <w:r>
        <w:t xml:space="preserve"> and a prefilled </w:t>
      </w:r>
      <w:proofErr w:type="spellStart"/>
      <w:r w:rsidR="007E3704">
        <w:t>autoinjector</w:t>
      </w:r>
      <w:proofErr w:type="spellEnd"/>
      <w:r>
        <w:t xml:space="preserve">/pen presentation, and a </w:t>
      </w:r>
      <w:proofErr w:type="spellStart"/>
      <w:r>
        <w:t>noninferiority</w:t>
      </w:r>
      <w:proofErr w:type="spellEnd"/>
      <w:r>
        <w:t xml:space="preserve"> study of </w:t>
      </w:r>
      <w:proofErr w:type="spellStart"/>
      <w:r>
        <w:t>romosozumab</w:t>
      </w:r>
      <w:proofErr w:type="spellEnd"/>
      <w:r>
        <w:t xml:space="preserve"> administered at </w:t>
      </w:r>
      <w:r w:rsidR="00201AC4">
        <w:t>two</w:t>
      </w:r>
      <w:r>
        <w:t xml:space="preserve"> different concentrations.</w:t>
      </w:r>
    </w:p>
    <w:p w14:paraId="51A09CF1" w14:textId="6A01E22E" w:rsidR="008D74BF" w:rsidRDefault="004B455E" w:rsidP="004B455E">
      <w:r>
        <w:t>The maintenance of effect after the second year (</w:t>
      </w:r>
      <w:r w:rsidR="00C36ACF">
        <w:t>for example</w:t>
      </w:r>
      <w:r>
        <w:t xml:space="preserve"> 3</w:t>
      </w:r>
      <w:r w:rsidR="00201AC4">
        <w:t xml:space="preserve"> to </w:t>
      </w:r>
      <w:r>
        <w:t xml:space="preserve">5 years) was only evaluated in the </w:t>
      </w:r>
      <w:r w:rsidR="00566372">
        <w:t>placebo controlled</w:t>
      </w:r>
      <w:r>
        <w:t xml:space="preserve"> pivotal </w:t>
      </w:r>
      <w:r w:rsidR="00201AC4">
        <w:t>S</w:t>
      </w:r>
      <w:r>
        <w:t>tudy 20070337. The treatment benefit on new vertebral fractures established with romosozumab for 12 months compared with placebo continued to be present when treatment was followed by denosumab for 24 months.</w:t>
      </w:r>
      <w:r w:rsidR="008D74BF">
        <w:t xml:space="preserve"> </w:t>
      </w:r>
      <w:r>
        <w:t xml:space="preserve">The risk of new vertebral fractures through </w:t>
      </w:r>
      <w:r w:rsidR="00201AC4">
        <w:t>M</w:t>
      </w:r>
      <w:r>
        <w:t>onth 36 was reduced by 66% for romosozumab/denosumab compared with placebo/denosumab (nominal p &lt; 0.001) with similar results for other secondary fracture endpoints.</w:t>
      </w:r>
      <w:r w:rsidR="008D74BF">
        <w:t xml:space="preserve"> </w:t>
      </w:r>
      <w:r>
        <w:t xml:space="preserve">At </w:t>
      </w:r>
      <w:r w:rsidR="00201AC4">
        <w:t>M</w:t>
      </w:r>
      <w:r>
        <w:t xml:space="preserve">onth 36, romosozumab followed by denosumab resulted in continued increases in </w:t>
      </w:r>
      <w:r w:rsidR="00881772">
        <w:t>BMD</w:t>
      </w:r>
      <w:r>
        <w:t xml:space="preserve"> at the lumbar spine, total hip and </w:t>
      </w:r>
      <w:r w:rsidR="00C85473">
        <w:t>femoral</w:t>
      </w:r>
      <w:r>
        <w:t xml:space="preserve"> neck compared with placebo followed by denosumab. However, results of the extension study (from </w:t>
      </w:r>
      <w:r w:rsidR="00201AC4">
        <w:t>M</w:t>
      </w:r>
      <w:r>
        <w:t>onth 24 to 36) were only exploratory</w:t>
      </w:r>
      <w:r w:rsidR="008D74BF">
        <w:t>.</w:t>
      </w:r>
    </w:p>
    <w:p w14:paraId="19B1B321" w14:textId="0B087894" w:rsidR="008D74BF" w:rsidRDefault="004B455E" w:rsidP="004B455E">
      <w:r>
        <w:t xml:space="preserve">Studies 20070337, 20060326 and 20080289 included bone biopsy </w:t>
      </w:r>
      <w:proofErr w:type="spellStart"/>
      <w:r>
        <w:t>substudies</w:t>
      </w:r>
      <w:proofErr w:type="spellEnd"/>
      <w:r>
        <w:t xml:space="preserve"> to assess the formation of new bone and the bone quality these histologic and </w:t>
      </w:r>
      <w:proofErr w:type="spellStart"/>
      <w:r>
        <w:t>histomorphometric</w:t>
      </w:r>
      <w:proofErr w:type="spellEnd"/>
      <w:r>
        <w:t xml:space="preserve"> results are indicative of increased osteoblastic and decreased </w:t>
      </w:r>
      <w:proofErr w:type="spellStart"/>
      <w:r>
        <w:t>osteoclastic</w:t>
      </w:r>
      <w:proofErr w:type="spellEnd"/>
      <w:r>
        <w:t xml:space="preserve"> activity both leading to increased trabecular and cortical bone mass. Robust bone formation occurred early in the course of treatment with romosozumab, with inhibition of resorption present early in the course of treatment continued through </w:t>
      </w:r>
      <w:r w:rsidR="00201AC4">
        <w:t>M</w:t>
      </w:r>
      <w:r>
        <w:t xml:space="preserve">onth 12. Quantitative bone </w:t>
      </w:r>
      <w:proofErr w:type="spellStart"/>
      <w:r>
        <w:t>histomorphomertry</w:t>
      </w:r>
      <w:proofErr w:type="spellEnd"/>
      <w:r>
        <w:t xml:space="preserve"> on </w:t>
      </w:r>
      <w:proofErr w:type="spellStart"/>
      <w:r>
        <w:t>undecalcified</w:t>
      </w:r>
      <w:proofErr w:type="spellEnd"/>
      <w:r>
        <w:t xml:space="preserve"> sections were performed in a subset of patients in Phase </w:t>
      </w:r>
      <w:r w:rsidR="007E3704">
        <w:t>III</w:t>
      </w:r>
      <w:r>
        <w:t xml:space="preserve"> studies. The subset of patients evaluated in the </w:t>
      </w:r>
      <w:proofErr w:type="spellStart"/>
      <w:r>
        <w:t>substudies</w:t>
      </w:r>
      <w:proofErr w:type="spellEnd"/>
      <w:r>
        <w:t xml:space="preserve"> was representative of the overall patient population in the main study and also representative of target patient population. Biopsies of patients treated with romosozumab demonstrated that bone formed during treatment is of normal lamellar structure and there was no evidence of </w:t>
      </w:r>
      <w:proofErr w:type="spellStart"/>
      <w:r>
        <w:t>osteomalacia</w:t>
      </w:r>
      <w:proofErr w:type="spellEnd"/>
      <w:r>
        <w:t xml:space="preserve"> or other defects</w:t>
      </w:r>
      <w:r w:rsidR="008D74BF">
        <w:t>.</w:t>
      </w:r>
    </w:p>
    <w:p w14:paraId="5131A9D7" w14:textId="7DA1DDFD" w:rsidR="008D74BF" w:rsidRDefault="004B455E" w:rsidP="004B455E">
      <w:r>
        <w:t>The o</w:t>
      </w:r>
      <w:r w:rsidR="003458DF">
        <w:t>verall subject incidence of AEs</w:t>
      </w:r>
      <w:r w:rsidR="00DD4DAE">
        <w:t>, SAEs</w:t>
      </w:r>
      <w:r>
        <w:t xml:space="preserve">, fatal AEs, and AEs leading to withdrawal of investigational product or study were similar between the romosozumab and placebo groups across the </w:t>
      </w:r>
      <w:r w:rsidR="00201AC4">
        <w:t>P</w:t>
      </w:r>
      <w:r>
        <w:t xml:space="preserve">hase </w:t>
      </w:r>
      <w:r w:rsidR="00201AC4">
        <w:t>II</w:t>
      </w:r>
      <w:r>
        <w:t xml:space="preserve"> and </w:t>
      </w:r>
      <w:r w:rsidR="00201AC4">
        <w:t>III</w:t>
      </w:r>
      <w:r>
        <w:t xml:space="preserve"> </w:t>
      </w:r>
      <w:r w:rsidR="00566372">
        <w:t>placebo controlled</w:t>
      </w:r>
      <w:r>
        <w:t xml:space="preserve"> studies. Common </w:t>
      </w:r>
      <w:r w:rsidR="00201AC4">
        <w:t>adverse drug reaction</w:t>
      </w:r>
      <w:r>
        <w:t xml:space="preserve">s included nasopharyngitis, arthralgia, headache, muscle spasms, cough, peripheral oedema and neck pain. Based on review of all clinical data, injection site reactions, hypersensitivity and hypocalcaemia were also considered adverse reactions. The incidence of fatal AEs was low and similar in the romosozumab and placebo groups (0.8% </w:t>
      </w:r>
      <w:r w:rsidR="00CE639A">
        <w:t xml:space="preserve">versus </w:t>
      </w:r>
      <w:r>
        <w:t xml:space="preserve">0.7%). </w:t>
      </w:r>
      <w:r w:rsidR="00696AC6">
        <w:t>R</w:t>
      </w:r>
      <w:r w:rsidR="00086452">
        <w:t>omosozumab</w:t>
      </w:r>
      <w:r>
        <w:t xml:space="preserve"> did not show a dose-related increase in incidence of AEs. The overall subject incidences of AEs, SAEs, fatal AEs and AEs leading to withdrawal </w:t>
      </w:r>
      <w:r>
        <w:lastRenderedPageBreak/>
        <w:t xml:space="preserve">of investigational product or study were similar between the romosozumab and alendronate groups in the pivotal Phase </w:t>
      </w:r>
      <w:r w:rsidR="00AB2788">
        <w:t>III</w:t>
      </w:r>
      <w:r>
        <w:t xml:space="preserve"> active</w:t>
      </w:r>
      <w:r w:rsidR="00AB2788">
        <w:t xml:space="preserve"> </w:t>
      </w:r>
      <w:r>
        <w:t xml:space="preserve">controlled study. The subject incidences of AEs and SAEs were generally balanced between the romosozumab and teriparatide groups in the Phase </w:t>
      </w:r>
      <w:proofErr w:type="spellStart"/>
      <w:r w:rsidR="00AB2788">
        <w:t>III</w:t>
      </w:r>
      <w:r>
        <w:t>b</w:t>
      </w:r>
      <w:proofErr w:type="spellEnd"/>
      <w:r>
        <w:t xml:space="preserve"> Study 20080289 that enrolled subjects previously treated with bisphosphonates. Injection site reactions were observed more frequently with romosozumab compared with teriparatide (7.8% and 2.8%, respectively), which led to study drug discontinuation for 1 subject in the romosozumab group</w:t>
      </w:r>
      <w:r w:rsidR="008D74BF">
        <w:t>.</w:t>
      </w:r>
    </w:p>
    <w:p w14:paraId="794D876D" w14:textId="77777777" w:rsidR="008D74BF" w:rsidRDefault="004B455E" w:rsidP="004B455E">
      <w:r>
        <w:t xml:space="preserve">Most AEs related to injection site reactions were reported as mild in severity and none was considered serious. The overall safety profile in men with osteoporosis (based on subject incidences of AEs, SAEs, fatal AEs and AEs leading to withdrawal of investigational product or study) was similar to that observed for women in the pivotal </w:t>
      </w:r>
      <w:r w:rsidR="00AB2788">
        <w:t>P</w:t>
      </w:r>
      <w:r>
        <w:t xml:space="preserve">hase </w:t>
      </w:r>
      <w:r w:rsidR="00AB2788">
        <w:t>III</w:t>
      </w:r>
      <w:r>
        <w:t xml:space="preserve"> </w:t>
      </w:r>
      <w:r w:rsidR="00566372">
        <w:t>placebo controlled</w:t>
      </w:r>
      <w:r>
        <w:t xml:space="preserve"> fracture </w:t>
      </w:r>
      <w:r w:rsidR="00696AC6">
        <w:t>S</w:t>
      </w:r>
      <w:r>
        <w:t xml:space="preserve">tudy 20070337. The number of cases </w:t>
      </w:r>
      <w:r w:rsidR="00AB2788">
        <w:t xml:space="preserve">of osteonecrosis of the jaw and atypical </w:t>
      </w:r>
      <w:r w:rsidR="00C85473">
        <w:t>femoral</w:t>
      </w:r>
      <w:r w:rsidR="00AB2788">
        <w:t xml:space="preserve"> fracture </w:t>
      </w:r>
      <w:r>
        <w:t>observed in the clinical trials was low and causality was not established</w:t>
      </w:r>
      <w:r w:rsidR="008D74BF">
        <w:t>.</w:t>
      </w:r>
    </w:p>
    <w:p w14:paraId="2E515723" w14:textId="77777777" w:rsidR="008D74BF" w:rsidRDefault="00696AC6" w:rsidP="004B455E">
      <w:r>
        <w:t>R</w:t>
      </w:r>
      <w:r w:rsidR="00086452">
        <w:t>omosozumab</w:t>
      </w:r>
      <w:r w:rsidR="004B455E">
        <w:t xml:space="preserve"> was associated with an increased risk of </w:t>
      </w:r>
      <w:r w:rsidR="003535FE">
        <w:t>cardiovascular</w:t>
      </w:r>
      <w:r w:rsidR="004B455E">
        <w:t xml:space="preserve"> SAEs although the sponsor did try to address this in an integrated </w:t>
      </w:r>
      <w:r w:rsidR="003535FE">
        <w:t>cardiovascular</w:t>
      </w:r>
      <w:r w:rsidR="004B455E">
        <w:t xml:space="preserve"> safety report. Based on nonclinical, clinical and epidemiologic data, a causal relationship between romosozumab and positively-adjudicated cardiovascular SAEs was not established, although a causal relationship between romosozumab and increased risk of </w:t>
      </w:r>
      <w:r w:rsidR="003535FE">
        <w:t>cardiovascular</w:t>
      </w:r>
      <w:r w:rsidR="004B455E">
        <w:t xml:space="preserve"> SAEs could not be excluded. The sponsor plans to address this important potential risk by ongoing monitoring and pharmacovigilance activities</w:t>
      </w:r>
      <w:r w:rsidR="008D74BF">
        <w:t>.</w:t>
      </w:r>
    </w:p>
    <w:p w14:paraId="01889AFB" w14:textId="768C0789" w:rsidR="004B455E" w:rsidRDefault="004B455E" w:rsidP="004B455E">
      <w:r>
        <w:t xml:space="preserve">In </w:t>
      </w:r>
      <w:r w:rsidR="00AB2788">
        <w:t>P</w:t>
      </w:r>
      <w:r>
        <w:t xml:space="preserve">hase </w:t>
      </w:r>
      <w:r w:rsidR="00AB2788">
        <w:t>II</w:t>
      </w:r>
      <w:r>
        <w:t xml:space="preserve"> and </w:t>
      </w:r>
      <w:r w:rsidR="00AB2788">
        <w:t>III</w:t>
      </w:r>
      <w:r>
        <w:t xml:space="preserve"> clinical studies of osteoporosis in postmenopausal women, the incidence of developing </w:t>
      </w:r>
      <w:r w:rsidR="00322404">
        <w:t>anti romosozumab</w:t>
      </w:r>
      <w:r>
        <w:t xml:space="preserve"> binding and neutralising antibodies was 18.6% (1162</w:t>
      </w:r>
      <w:r w:rsidR="00AB2788">
        <w:t xml:space="preserve"> of</w:t>
      </w:r>
      <w:r>
        <w:t xml:space="preserve"> 6244) and 0.9% (58 of 6244), respectively across all doses studied. Similar results were observed in the study in men with osteoporosis. The pharmacokinetic exposure, safety (</w:t>
      </w:r>
      <w:r w:rsidR="00C36ACF">
        <w:t>for example</w:t>
      </w:r>
      <w:r>
        <w:t xml:space="preserve">, hypersensitivity, injection site reactions, or autoimmune disorder) and efficacy (changes in </w:t>
      </w:r>
      <w:r w:rsidR="00881772">
        <w:t>BMD</w:t>
      </w:r>
      <w:r>
        <w:t xml:space="preserve">) profiles of the subjects who tested positive for binding </w:t>
      </w:r>
      <w:r w:rsidR="00322404">
        <w:t>anti romosozumab</w:t>
      </w:r>
      <w:r>
        <w:t xml:space="preserve"> antibodies were found to be consistent with the profiles of </w:t>
      </w:r>
      <w:r w:rsidR="00322404">
        <w:t>anti romosozumab</w:t>
      </w:r>
      <w:r>
        <w:t xml:space="preserve"> antibody-negative subjects.</w:t>
      </w:r>
    </w:p>
    <w:p w14:paraId="70AE4AAD" w14:textId="625E7059" w:rsidR="008D74BF" w:rsidRDefault="004B455E" w:rsidP="004B455E">
      <w:r>
        <w:t xml:space="preserve">Efficacy is based on </w:t>
      </w:r>
      <w:r w:rsidR="00A6002B">
        <w:t>seven</w:t>
      </w:r>
      <w:r>
        <w:t xml:space="preserve"> adequately powered, </w:t>
      </w:r>
      <w:r w:rsidR="00566372">
        <w:t>placebo controlled</w:t>
      </w:r>
      <w:r>
        <w:t>, and active</w:t>
      </w:r>
      <w:r w:rsidR="00A6002B">
        <w:t xml:space="preserve"> </w:t>
      </w:r>
      <w:r>
        <w:t>comparator</w:t>
      </w:r>
      <w:r w:rsidR="00A6002B">
        <w:t xml:space="preserve"> </w:t>
      </w:r>
      <w:r>
        <w:t xml:space="preserve">controlled studies (including standard of care treatment) in a representative population. The data across the </w:t>
      </w:r>
      <w:r w:rsidR="00A6002B">
        <w:t>P</w:t>
      </w:r>
      <w:r>
        <w:t xml:space="preserve">hase </w:t>
      </w:r>
      <w:r w:rsidR="00A6002B">
        <w:t>II</w:t>
      </w:r>
      <w:r>
        <w:t xml:space="preserve"> and </w:t>
      </w:r>
      <w:r w:rsidR="00A6002B">
        <w:t>III</w:t>
      </w:r>
      <w:r>
        <w:t xml:space="preserve"> studies in the clinical development program were consistent and can be generalised to the target patient population of postmenopausal women with osteoporosis and men at increased risk of fracture despite variations across studies in specific inclusion and exclusion criteria (</w:t>
      </w:r>
      <w:r w:rsidR="00C36ACF">
        <w:t>for example</w:t>
      </w:r>
      <w:r>
        <w:t xml:space="preserve">, age, fracture history, </w:t>
      </w:r>
      <w:r w:rsidR="00881772">
        <w:t>BMD</w:t>
      </w:r>
      <w:r>
        <w:t xml:space="preserve"> T-scores). However, romosozumab was only evaluated in subjects with primary osteoporosis which has not been specified in the proposed indication</w:t>
      </w:r>
      <w:r w:rsidR="008D74BF">
        <w:t>.</w:t>
      </w:r>
    </w:p>
    <w:p w14:paraId="6973B13A" w14:textId="3EE2DB54" w:rsidR="004B455E" w:rsidRDefault="004B455E" w:rsidP="004B455E">
      <w:r>
        <w:t>Only 6</w:t>
      </w:r>
      <w:r w:rsidR="00103452">
        <w:t xml:space="preserve"> to </w:t>
      </w:r>
      <w:r>
        <w:t>9% of patients had prior history of treatment with other treatments for osteoporosis. This is despite fact that almost all (99%) of subjects in the alendronate</w:t>
      </w:r>
      <w:r w:rsidR="00103452">
        <w:t xml:space="preserve"> </w:t>
      </w:r>
      <w:r>
        <w:t xml:space="preserve">controlled study had history of osteoporotic fracture. In Phase </w:t>
      </w:r>
      <w:proofErr w:type="spellStart"/>
      <w:r w:rsidR="00103452">
        <w:t>IIIb</w:t>
      </w:r>
      <w:proofErr w:type="spellEnd"/>
      <w:r w:rsidR="00103452">
        <w:t xml:space="preserve"> S</w:t>
      </w:r>
      <w:r>
        <w:t xml:space="preserve">tudy 20080289 involving 498 postmenopausal women transitioning from bisphosphonate therapy, treatment with romosozumab resulted in larger gains of 3.2% than treatment with </w:t>
      </w:r>
      <w:r w:rsidR="00284EFB" w:rsidRPr="003F3B8A">
        <w:t>teriparatide</w:t>
      </w:r>
      <w:r w:rsidRPr="003F3B8A">
        <w:t xml:space="preserve"> in</w:t>
      </w:r>
      <w:r>
        <w:t xml:space="preserve"> total hip </w:t>
      </w:r>
      <w:r w:rsidR="00881772">
        <w:t>BMD</w:t>
      </w:r>
      <w:r>
        <w:t xml:space="preserve"> by DXA through </w:t>
      </w:r>
      <w:r w:rsidR="00103452">
        <w:t>M</w:t>
      </w:r>
      <w:r>
        <w:t xml:space="preserve">onth 12 and statistically significant gains in the other secondary endpoints of </w:t>
      </w:r>
      <w:r w:rsidR="00C85473">
        <w:t>femoral</w:t>
      </w:r>
      <w:r>
        <w:t xml:space="preserve"> neck and lumbar spine </w:t>
      </w:r>
      <w:r w:rsidR="00881772">
        <w:t>BMD</w:t>
      </w:r>
      <w:r>
        <w:t xml:space="preserve"> by DXA and total hip </w:t>
      </w:r>
      <w:r w:rsidR="00881772">
        <w:t>BMD</w:t>
      </w:r>
      <w:r>
        <w:t xml:space="preserve"> by </w:t>
      </w:r>
      <w:r w:rsidR="00103452">
        <w:t>quantitative computed tomography</w:t>
      </w:r>
      <w:r>
        <w:t xml:space="preserve">, compared to </w:t>
      </w:r>
      <w:r w:rsidR="00284EFB" w:rsidRPr="003F3B8A">
        <w:t>teriparatide</w:t>
      </w:r>
      <w:r>
        <w:t xml:space="preserve"> at </w:t>
      </w:r>
      <w:r w:rsidR="00103452">
        <w:t>M</w:t>
      </w:r>
      <w:r>
        <w:t xml:space="preserve">onths 6 and 12. However, effect of romosozumab on risk of fractures was not evaluated in patients transitioning from bisphosphonate therapy. Overall, evidence for efficacy/ safety in patients who have received prior treatments for osteoporosis was not adequate. Based on data provided, romosozumab could be used as first line of treatment with follow-up treatment required with denosumab or alendronate in order to sustain the fracture reduction benefits observed following 12 months of romosozumab treatment. </w:t>
      </w:r>
      <w:r>
        <w:lastRenderedPageBreak/>
        <w:t>Furthermore, efficacy/safety of romosozumab was not evaluated in combination with other osteoporosis treatments.</w:t>
      </w:r>
    </w:p>
    <w:p w14:paraId="1662F67C" w14:textId="251CE4D3" w:rsidR="008D74BF" w:rsidRDefault="004B455E" w:rsidP="004B455E">
      <w:r>
        <w:t xml:space="preserve">Efficacy was only demonstrated for 12 months of romosozumab treatment and effect of retreatment with romosozumab was not adequately evaluated (except in dose ranging Phase </w:t>
      </w:r>
      <w:r w:rsidR="00103452">
        <w:t>II</w:t>
      </w:r>
      <w:r>
        <w:t xml:space="preserve"> </w:t>
      </w:r>
      <w:r w:rsidR="003D7E26">
        <w:t>Study</w:t>
      </w:r>
      <w:r>
        <w:t xml:space="preserve"> 220060236). Follow-on treatment with denosumab (60</w:t>
      </w:r>
      <w:r w:rsidR="00103452">
        <w:t xml:space="preserve"> </w:t>
      </w:r>
      <w:r>
        <w:t>mg SC every 6</w:t>
      </w:r>
      <w:r w:rsidR="00103452">
        <w:t> </w:t>
      </w:r>
      <w:r>
        <w:t>months) or alendronate (70</w:t>
      </w:r>
      <w:r w:rsidR="00103452">
        <w:t xml:space="preserve"> </w:t>
      </w:r>
      <w:r>
        <w:t xml:space="preserve">mg </w:t>
      </w:r>
      <w:r w:rsidR="00103452">
        <w:t>weekly</w:t>
      </w:r>
      <w:r>
        <w:t>) was required to demonstrate efficacy of romosozumab. There is no evidence for efficacy of romosozumab without other follow-on treatment. Rebound or withdrawal effects without any other osteoporosis treatment following end of the 12 months of romosozumab treatment was not evaluated</w:t>
      </w:r>
      <w:r w:rsidR="008D74BF">
        <w:t>.</w:t>
      </w:r>
    </w:p>
    <w:p w14:paraId="6D96A28D" w14:textId="4A948C8B" w:rsidR="004B455E" w:rsidRPr="004B455E" w:rsidRDefault="004B455E" w:rsidP="004B455E">
      <w:r>
        <w:t xml:space="preserve">Overall, the benefit risk profile for romosozumab in treatment of women with </w:t>
      </w:r>
      <w:r w:rsidR="00C36ACF">
        <w:t>postmenopausal osteoporosis</w:t>
      </w:r>
      <w:r>
        <w:t xml:space="preserve"> at increased risk of fractures was not favourable. As approval of romosozumab for proposed indication in women with </w:t>
      </w:r>
      <w:r w:rsidR="00C36ACF">
        <w:t>postmenopausal osteoporosis</w:t>
      </w:r>
      <w:r>
        <w:t xml:space="preserve"> has not yet been approved, the fracture benefits observed in women cannot be extended to men based on the comparable </w:t>
      </w:r>
      <w:r w:rsidR="00881772">
        <w:t>BMD</w:t>
      </w:r>
      <w:r>
        <w:t xml:space="preserve"> efficacy that was observed in the bridging study in only 292 men with osteoporosis at increased risk of fracture. Hence, the benefit risk profile for romosozumab in treatment of men with osteoporosis at increased risk of fractures was also not favourable.</w:t>
      </w:r>
    </w:p>
    <w:p w14:paraId="46E6DB35" w14:textId="04A01D4D" w:rsidR="003F09E4" w:rsidRDefault="00605AD4" w:rsidP="00605AD4">
      <w:pPr>
        <w:pStyle w:val="Heading3"/>
        <w:rPr>
          <w:rFonts w:eastAsia="Cambria"/>
        </w:rPr>
      </w:pPr>
      <w:bookmarkStart w:id="106" w:name="_Toc32481917"/>
      <w:r w:rsidRPr="00605AD4">
        <w:rPr>
          <w:rFonts w:eastAsia="Cambria"/>
        </w:rPr>
        <w:t xml:space="preserve">First </w:t>
      </w:r>
      <w:r w:rsidR="00322404" w:rsidRPr="00605AD4">
        <w:rPr>
          <w:rFonts w:eastAsia="Cambria"/>
        </w:rPr>
        <w:t>round recommendation regarding authorisation</w:t>
      </w:r>
      <w:bookmarkEnd w:id="106"/>
    </w:p>
    <w:p w14:paraId="21744DF5" w14:textId="77777777" w:rsidR="00C44BAA" w:rsidRDefault="004B455E" w:rsidP="004B455E">
      <w:r>
        <w:t>It is recommended that the application for marketing authorisation of romosozumab be rejected for the following proposed indications:</w:t>
      </w:r>
    </w:p>
    <w:p w14:paraId="05DF7158" w14:textId="2A687738" w:rsidR="00C44BAA" w:rsidRDefault="00C36ACF" w:rsidP="00103452">
      <w:pPr>
        <w:ind w:left="720"/>
        <w:rPr>
          <w:i/>
        </w:rPr>
      </w:pPr>
      <w:r w:rsidRPr="00103452">
        <w:rPr>
          <w:i/>
        </w:rPr>
        <w:t>Evenity</w:t>
      </w:r>
      <w:r w:rsidR="004B455E" w:rsidRPr="00103452">
        <w:rPr>
          <w:i/>
        </w:rPr>
        <w:t xml:space="preserve"> is indicated for the treatment of osteoporosis in postmenopausal women at increased risk of fracture. </w:t>
      </w:r>
      <w:r w:rsidRPr="00103452">
        <w:rPr>
          <w:i/>
        </w:rPr>
        <w:t>Evenity</w:t>
      </w:r>
      <w:r w:rsidR="004B455E" w:rsidRPr="00103452">
        <w:rPr>
          <w:i/>
        </w:rPr>
        <w:t xml:space="preserve"> reduces the risk of vertebral, clinical and </w:t>
      </w:r>
      <w:r w:rsidR="00864D4D">
        <w:rPr>
          <w:i/>
        </w:rPr>
        <w:t>non-vertebral</w:t>
      </w:r>
      <w:r w:rsidR="004B455E" w:rsidRPr="00103452">
        <w:rPr>
          <w:i/>
        </w:rPr>
        <w:t xml:space="preserve"> fractures.</w:t>
      </w:r>
    </w:p>
    <w:p w14:paraId="680BFF6E" w14:textId="05CEAA21" w:rsidR="004B455E" w:rsidRDefault="00C36ACF" w:rsidP="00103452">
      <w:pPr>
        <w:ind w:left="720"/>
      </w:pPr>
      <w:r w:rsidRPr="00103452">
        <w:rPr>
          <w:i/>
        </w:rPr>
        <w:t>Evenity</w:t>
      </w:r>
      <w:r w:rsidR="004B455E" w:rsidRPr="00103452">
        <w:rPr>
          <w:i/>
        </w:rPr>
        <w:t xml:space="preserve"> is indicated for the treatment of osteoporosis in men at increased risk of fracture. </w:t>
      </w:r>
      <w:r w:rsidRPr="00103452">
        <w:rPr>
          <w:i/>
        </w:rPr>
        <w:t>Evenity</w:t>
      </w:r>
      <w:r w:rsidR="004B455E" w:rsidRPr="00103452">
        <w:rPr>
          <w:i/>
        </w:rPr>
        <w:t xml:space="preserve"> increases bone mass</w:t>
      </w:r>
      <w:r w:rsidR="004B455E">
        <w:t>.</w:t>
      </w:r>
    </w:p>
    <w:p w14:paraId="2F52FD39" w14:textId="77777777" w:rsidR="004B455E" w:rsidRDefault="004B455E" w:rsidP="004B455E">
      <w:r>
        <w:t>The main reasons for rejection at this stage are:</w:t>
      </w:r>
    </w:p>
    <w:p w14:paraId="1DC93A84" w14:textId="77777777" w:rsidR="004B455E" w:rsidRDefault="004B455E" w:rsidP="00103452">
      <w:pPr>
        <w:pStyle w:val="ListBullet"/>
      </w:pPr>
      <w:r>
        <w:t>lack of adequate evidence for reduction of ‘non</w:t>
      </w:r>
      <w:r w:rsidR="00103452">
        <w:t>-</w:t>
      </w:r>
      <w:r>
        <w:t>vertebral fractures’ which is included in the proposed wording of the indications.</w:t>
      </w:r>
    </w:p>
    <w:p w14:paraId="4BD6A661" w14:textId="77777777" w:rsidR="004B455E" w:rsidRDefault="004B455E" w:rsidP="00103452">
      <w:pPr>
        <w:pStyle w:val="ListBullet"/>
      </w:pPr>
      <w:r>
        <w:t>efficacy/safety was only evaluated in subjects with primary osteoporosis although this is not clearly stated in the wording of the proposed indication.</w:t>
      </w:r>
    </w:p>
    <w:p w14:paraId="04B9BB92" w14:textId="4A210F06" w:rsidR="004B455E" w:rsidRDefault="004B455E" w:rsidP="00103452">
      <w:pPr>
        <w:pStyle w:val="ListBullet"/>
      </w:pPr>
      <w:r>
        <w:t xml:space="preserve">place of romosozumab in treatment for the proposed indication not clearly stated- evidence was only provided for use as initial treatment in patients with not much prior exposure to other treatments for </w:t>
      </w:r>
      <w:r w:rsidR="00322404">
        <w:t>osteoporosis.</w:t>
      </w:r>
      <w:r>
        <w:t xml:space="preserve"> Efficacy/safety of romosozumab was not evaluated in combination with other osteoporosis treatments.</w:t>
      </w:r>
    </w:p>
    <w:p w14:paraId="645D8BD4" w14:textId="1139CB4A" w:rsidR="004B455E" w:rsidRPr="004B455E" w:rsidRDefault="004B455E" w:rsidP="00103452">
      <w:pPr>
        <w:pStyle w:val="ListBullet"/>
      </w:pPr>
      <w:r>
        <w:t xml:space="preserve">approval for the indication in women with </w:t>
      </w:r>
      <w:r w:rsidR="00C36ACF">
        <w:t>postmenopausal osteoporosis</w:t>
      </w:r>
      <w:r>
        <w:t xml:space="preserve"> at increased risk of fractures has not yet been granted. Hence, evidence from the bridging study in 292 men based on comparable effects on </w:t>
      </w:r>
      <w:r w:rsidR="00881772">
        <w:t>BMD</w:t>
      </w:r>
      <w:r>
        <w:t xml:space="preserve"> is not adequate for the proposed indication in men with osteoporosis in men at increased risk of fracture.</w:t>
      </w:r>
    </w:p>
    <w:p w14:paraId="73CA4244" w14:textId="7C0F2D0C" w:rsidR="003F09E4" w:rsidRDefault="002F5122" w:rsidP="00605AD4">
      <w:pPr>
        <w:pStyle w:val="Heading3"/>
        <w:rPr>
          <w:rFonts w:eastAsia="Cambria"/>
        </w:rPr>
      </w:pPr>
      <w:bookmarkStart w:id="107" w:name="_Toc32481918"/>
      <w:r w:rsidRPr="002F5122">
        <w:t xml:space="preserve">Clinical </w:t>
      </w:r>
      <w:r w:rsidR="00322404" w:rsidRPr="002F5122">
        <w:t>questions</w:t>
      </w:r>
      <w:r w:rsidR="00322404">
        <w:t xml:space="preserve"> and </w:t>
      </w:r>
      <w:r w:rsidR="00322404" w:rsidRPr="00605AD4">
        <w:rPr>
          <w:rFonts w:eastAsia="Cambria"/>
        </w:rPr>
        <w:t>second round evaluation</w:t>
      </w:r>
      <w:bookmarkEnd w:id="107"/>
    </w:p>
    <w:p w14:paraId="315D2D61" w14:textId="77777777" w:rsidR="004B455E" w:rsidRDefault="004B455E" w:rsidP="00103452">
      <w:pPr>
        <w:pStyle w:val="Heading4"/>
      </w:pPr>
      <w:r>
        <w:t>Efficacy</w:t>
      </w:r>
    </w:p>
    <w:p w14:paraId="5EA2B3AF" w14:textId="1CE89740" w:rsidR="00C44BAA" w:rsidRDefault="00322404" w:rsidP="00103452">
      <w:pPr>
        <w:pStyle w:val="Heading5"/>
      </w:pPr>
      <w:r>
        <w:t>Question 1</w:t>
      </w:r>
    </w:p>
    <w:p w14:paraId="22D42B6D" w14:textId="77777777" w:rsidR="00C44BAA" w:rsidRPr="00322404" w:rsidRDefault="004B455E" w:rsidP="00322404">
      <w:pPr>
        <w:rPr>
          <w:b/>
          <w:i/>
        </w:rPr>
      </w:pPr>
      <w:r w:rsidRPr="00322404">
        <w:rPr>
          <w:b/>
          <w:i/>
        </w:rPr>
        <w:t xml:space="preserve">Supplementation with calcium and/or vitamin D was consistent in all patient groups and clearly documented in all pivotal Phase </w:t>
      </w:r>
      <w:r w:rsidR="00103452" w:rsidRPr="00322404">
        <w:rPr>
          <w:b/>
          <w:i/>
        </w:rPr>
        <w:t>III</w:t>
      </w:r>
      <w:r w:rsidRPr="00322404">
        <w:rPr>
          <w:b/>
          <w:i/>
        </w:rPr>
        <w:t xml:space="preserve"> studies. However, dietary and relevant </w:t>
      </w:r>
      <w:r w:rsidRPr="00322404">
        <w:rPr>
          <w:b/>
          <w:i/>
        </w:rPr>
        <w:lastRenderedPageBreak/>
        <w:t>life style factors were not summarised. Could the sponsors clarify if this information was collected and evaluated as recommended in the CHMP recommended guidelines for evaluation of medicinal products in the treatment of primary osteoporosis?</w:t>
      </w:r>
    </w:p>
    <w:p w14:paraId="004CFFB2" w14:textId="10DC2D54" w:rsidR="00322404" w:rsidRDefault="00322404" w:rsidP="00322404">
      <w:pPr>
        <w:pStyle w:val="Heading6"/>
      </w:pPr>
      <w:r>
        <w:t>Sponsor’s response</w:t>
      </w:r>
    </w:p>
    <w:p w14:paraId="4092A8D3" w14:textId="21882DAD" w:rsidR="008D74BF" w:rsidRDefault="004B455E" w:rsidP="004B455E">
      <w:r>
        <w:t>Data regarding dietary and relevant lifestyle factors were not systematically collected or evaluated as part of the study protocol. However, to determine the level of calcium and vitamin D supplementation as part of standard of care for an individual subject, principal investigators at each site were required to take relevant dietary and lifestyle factors into account</w:t>
      </w:r>
      <w:r w:rsidR="008D74BF">
        <w:t>.</w:t>
      </w:r>
    </w:p>
    <w:p w14:paraId="55637148" w14:textId="0C1DF80A" w:rsidR="004B455E" w:rsidRDefault="004B455E" w:rsidP="004B455E">
      <w:r>
        <w:t>Notably, calcium and vitamin D supplementation has been a precedent for clinical trials conducted in the osteoporosis field</w:t>
      </w:r>
      <w:r w:rsidR="007E3704">
        <w:t>;</w:t>
      </w:r>
      <w:r w:rsidR="00511DFE">
        <w:rPr>
          <w:rStyle w:val="FootnoteReference"/>
        </w:rPr>
        <w:footnoteReference w:id="52"/>
      </w:r>
      <w:r>
        <w:t xml:space="preserve"> as part of the standard of care for these patients. Trial specific requirements varied based on contemporary recommendations at the time for calcium and vitamin D supplementation. As part of protocol required therapy in the romosozumab clinical trial program, calcium 500 to 1000</w:t>
      </w:r>
      <w:r w:rsidR="00511DFE">
        <w:t> </w:t>
      </w:r>
      <w:r>
        <w:t>mg daily and vitamin D 600 to 800 IU daily at a minimum were required as well as a vitamin D loading dose if a subject were deemed vitamin D deficient as part of the standard of care in the management of patients with osteoporosis. To account for individual differences in dietary intake and lifestyle factors, these dose requirements for calcium and vitamin D were aligned with the daily recommended requirements by several clinical osteoporosis organizations including Osteoporosis Australia, which recommend a daily calcium intake in the range of 1000 to 1300 mg per day (requiring supplementation upwards of 500 mg daily, aligned with the protocol specified requirements) and vitamin D intake of 600 to 800 IU per day.</w:t>
      </w:r>
    </w:p>
    <w:p w14:paraId="2A22B72B" w14:textId="5E0F938A" w:rsidR="00322404" w:rsidRDefault="00322404" w:rsidP="00322404">
      <w:pPr>
        <w:pStyle w:val="Heading6"/>
      </w:pPr>
      <w:r>
        <w:t>Evaluation of response</w:t>
      </w:r>
    </w:p>
    <w:p w14:paraId="62FDADB2" w14:textId="2F4CA355" w:rsidR="008D74BF" w:rsidRDefault="004B455E" w:rsidP="004B455E">
      <w:r>
        <w:t>The sponsor’s response is satisfactory. Data regarding dietary and relevant lifestyle factors were not systematically collected or evaluated as part of the study protocols. However, the dose requirements for calcium and vitamin D were aligned with the daily recommended requirements accounting for individual differences in dietary and lifestyle factors</w:t>
      </w:r>
      <w:r w:rsidR="008D74BF">
        <w:t>.</w:t>
      </w:r>
    </w:p>
    <w:p w14:paraId="38FD7E00" w14:textId="21126AAA" w:rsidR="00C44BAA" w:rsidRDefault="00322404" w:rsidP="00103452">
      <w:pPr>
        <w:pStyle w:val="Heading5"/>
      </w:pPr>
      <w:r>
        <w:t>Question 2</w:t>
      </w:r>
    </w:p>
    <w:p w14:paraId="6FD794E6" w14:textId="5EA7D30B" w:rsidR="004B455E" w:rsidRPr="00322404" w:rsidRDefault="004B455E" w:rsidP="00322404">
      <w:pPr>
        <w:rPr>
          <w:b/>
          <w:i/>
        </w:rPr>
      </w:pPr>
      <w:r w:rsidRPr="00322404">
        <w:rPr>
          <w:b/>
          <w:i/>
        </w:rPr>
        <w:t xml:space="preserve">In pivotal </w:t>
      </w:r>
      <w:r w:rsidR="00864D4D" w:rsidRPr="00322404">
        <w:rPr>
          <w:b/>
          <w:i/>
        </w:rPr>
        <w:t>P</w:t>
      </w:r>
      <w:r w:rsidRPr="00322404">
        <w:rPr>
          <w:b/>
          <w:i/>
        </w:rPr>
        <w:t xml:space="preserve">hase </w:t>
      </w:r>
      <w:r w:rsidR="00864D4D" w:rsidRPr="00322404">
        <w:rPr>
          <w:b/>
          <w:i/>
        </w:rPr>
        <w:t>III S</w:t>
      </w:r>
      <w:r w:rsidRPr="00322404">
        <w:rPr>
          <w:b/>
          <w:i/>
        </w:rPr>
        <w:t xml:space="preserve">tudy 20110142, it is important to note that the difference for </w:t>
      </w:r>
      <w:r w:rsidR="00864D4D" w:rsidRPr="00322404">
        <w:rPr>
          <w:b/>
          <w:i/>
        </w:rPr>
        <w:t>non-vertebral</w:t>
      </w:r>
      <w:r w:rsidRPr="00322404">
        <w:rPr>
          <w:b/>
          <w:i/>
        </w:rPr>
        <w:t xml:space="preserve"> fractures was just statistically significant (as upper limit 95% CI was 0.99). Furthermore, </w:t>
      </w:r>
      <w:r w:rsidR="00322404" w:rsidRPr="00322404">
        <w:rPr>
          <w:b/>
          <w:i/>
        </w:rPr>
        <w:t>romosozumab</w:t>
      </w:r>
      <w:r w:rsidRPr="00322404">
        <w:rPr>
          <w:b/>
          <w:i/>
        </w:rPr>
        <w:t>/ alendronate failed to show statistically significant reduction in non</w:t>
      </w:r>
      <w:r w:rsidR="003458DF">
        <w:rPr>
          <w:b/>
          <w:i/>
        </w:rPr>
        <w:t>-</w:t>
      </w:r>
      <w:r w:rsidR="00DD4DAE" w:rsidRPr="00322404">
        <w:rPr>
          <w:b/>
          <w:i/>
        </w:rPr>
        <w:t>vertebral</w:t>
      </w:r>
      <w:r w:rsidRPr="00322404">
        <w:rPr>
          <w:b/>
          <w:i/>
        </w:rPr>
        <w:t xml:space="preserve"> fractures at the end of the </w:t>
      </w:r>
      <w:r w:rsidR="00566372" w:rsidRPr="00322404">
        <w:rPr>
          <w:b/>
          <w:i/>
        </w:rPr>
        <w:t>double blind</w:t>
      </w:r>
      <w:r w:rsidRPr="00322404">
        <w:rPr>
          <w:b/>
          <w:i/>
        </w:rPr>
        <w:t xml:space="preserve"> treatment period at month 12 (p = 0.057) or at month 24 (</w:t>
      </w:r>
      <w:r w:rsidR="00566372" w:rsidRPr="00322404">
        <w:rPr>
          <w:b/>
          <w:i/>
        </w:rPr>
        <w:t xml:space="preserve">p = </w:t>
      </w:r>
      <w:r w:rsidRPr="00322404">
        <w:rPr>
          <w:b/>
          <w:i/>
        </w:rPr>
        <w:t xml:space="preserve">0.074). Hence, results for reduction in </w:t>
      </w:r>
      <w:r w:rsidR="00864D4D" w:rsidRPr="00322404">
        <w:rPr>
          <w:b/>
          <w:i/>
        </w:rPr>
        <w:t>non-vertebral</w:t>
      </w:r>
      <w:r w:rsidRPr="00322404">
        <w:rPr>
          <w:b/>
          <w:i/>
        </w:rPr>
        <w:t xml:space="preserve"> fracture were not robust, could the sponsors comment on this?</w:t>
      </w:r>
    </w:p>
    <w:p w14:paraId="79AF9CAD" w14:textId="77777777" w:rsidR="00322404" w:rsidRDefault="00322404" w:rsidP="00322404">
      <w:pPr>
        <w:pStyle w:val="Heading6"/>
      </w:pPr>
      <w:r>
        <w:t>Sponsor’s response</w:t>
      </w:r>
    </w:p>
    <w:p w14:paraId="3C781FA9" w14:textId="0AB0394C" w:rsidR="008D74BF" w:rsidRDefault="004B455E" w:rsidP="004B455E">
      <w:r>
        <w:t>Study 20110142, the active</w:t>
      </w:r>
      <w:r w:rsidR="00103452">
        <w:t xml:space="preserve"> </w:t>
      </w:r>
      <w:r>
        <w:t>comparator fracture trial, was designed and powered to demonstrate a reduction in new vertebral, clinical, and non</w:t>
      </w:r>
      <w:r w:rsidR="00103452">
        <w:t>-</w:t>
      </w:r>
      <w:r>
        <w:t xml:space="preserve">vertebral fractures at the time of the primary analysis, consistent with international regulatory advice, after all subjects had the opportunity to complete the </w:t>
      </w:r>
      <w:r w:rsidR="00103452">
        <w:t>M</w:t>
      </w:r>
      <w:r>
        <w:t>onth 24 visit and at least 330 clinical fractures had been confirmed. While the study was not designed with adequate statistical power to detect differences in non</w:t>
      </w:r>
      <w:r w:rsidR="00103452">
        <w:t>-</w:t>
      </w:r>
      <w:r>
        <w:t>vertebral fracture between treatment groups at earlier time</w:t>
      </w:r>
      <w:r w:rsidR="00322404">
        <w:t xml:space="preserve"> </w:t>
      </w:r>
      <w:r>
        <w:t>points, anti</w:t>
      </w:r>
      <w:r w:rsidR="003458DF">
        <w:t>-</w:t>
      </w:r>
      <w:r>
        <w:t>fracture efficacy was pre</w:t>
      </w:r>
      <w:r w:rsidR="00103452">
        <w:t>-</w:t>
      </w:r>
      <w:r>
        <w:t xml:space="preserve">specified as a secondary endpoint at </w:t>
      </w:r>
      <w:r w:rsidR="00103452">
        <w:t>M</w:t>
      </w:r>
      <w:r>
        <w:t>onths 12 and 24</w:t>
      </w:r>
      <w:r w:rsidR="008D74BF">
        <w:t>.</w:t>
      </w:r>
    </w:p>
    <w:p w14:paraId="676363A5" w14:textId="0A4117BD" w:rsidR="008D74BF" w:rsidRDefault="004B455E" w:rsidP="004B455E">
      <w:r>
        <w:t xml:space="preserve">Separation in the Kaplan-Meier curves between the two treatment groups for </w:t>
      </w:r>
      <w:r w:rsidR="00864D4D">
        <w:t>non-vertebral</w:t>
      </w:r>
      <w:r>
        <w:t xml:space="preserve"> fracture occurred as early as </w:t>
      </w:r>
      <w:r w:rsidR="00103452">
        <w:t>M</w:t>
      </w:r>
      <w:r>
        <w:t xml:space="preserve">onth 6 with continued divergence (with near constant slopes) over the follow-up period, suggesting the effect of 12 months of </w:t>
      </w:r>
      <w:r>
        <w:lastRenderedPageBreak/>
        <w:t>romosozumab treatment in reducing the incidence of non</w:t>
      </w:r>
      <w:r w:rsidR="00103452">
        <w:t>-</w:t>
      </w:r>
      <w:r>
        <w:t>vertebral fractures is maintained after subjects transitioned to alendronate. Importantly, a trend in risk reduction in the subject incidence of non</w:t>
      </w:r>
      <w:r w:rsidR="00103452">
        <w:t>-</w:t>
      </w:r>
      <w:r>
        <w:t xml:space="preserve">vertebral fractures favouring romosozumab was observed through </w:t>
      </w:r>
      <w:r w:rsidR="00103452">
        <w:t>M</w:t>
      </w:r>
      <w:r>
        <w:t xml:space="preserve">onth 12 (romosozumab: 3.4%, alendronate: 4.6%; relative risk reduction 26%; p = 0.057) and continued through </w:t>
      </w:r>
      <w:r w:rsidR="00103452">
        <w:t>M</w:t>
      </w:r>
      <w:r>
        <w:t xml:space="preserve">onth 24 (romosozumab/alendronate: 6.3%, alendronate/alendronate: 7.8%; </w:t>
      </w:r>
      <w:r w:rsidR="00103452">
        <w:t>relative risk reduction</w:t>
      </w:r>
      <w:r>
        <w:t xml:space="preserve"> 19%; p = 0.074). This risk reduction in favour of romosozumab reached statistical significance at the time of the primary analysis (conducted after a median follow-up of 33 months), the time at which the study was powered to demonstrate statistically significant efficacy for this endpoint. Specifically, based on 395 subjects with </w:t>
      </w:r>
      <w:r w:rsidR="00864D4D">
        <w:t>non-vertebral</w:t>
      </w:r>
      <w:r>
        <w:t xml:space="preserve"> fractures, the incidence of </w:t>
      </w:r>
      <w:r w:rsidR="00864D4D">
        <w:t>non-vertebral</w:t>
      </w:r>
      <w:r>
        <w:t xml:space="preserve"> </w:t>
      </w:r>
      <w:r w:rsidR="00322404">
        <w:t>fractures</w:t>
      </w:r>
      <w:r>
        <w:t xml:space="preserve"> was significantly lower in the romosozumab/alendronate group compared with alendronate alone (romosozumab/alendronate: 8.7%, alendronate/alendronate: 10.6%; </w:t>
      </w:r>
      <w:r w:rsidR="00103452">
        <w:t>relative risk reduction</w:t>
      </w:r>
      <w:r>
        <w:t xml:space="preserve"> 19%; p = 0.040, 2-sided adjusted p-value)</w:t>
      </w:r>
      <w:r w:rsidR="008D74BF">
        <w:t>.</w:t>
      </w:r>
    </w:p>
    <w:p w14:paraId="6AF29531" w14:textId="79800E51" w:rsidR="004B455E" w:rsidRDefault="004B455E" w:rsidP="004B455E">
      <w:r>
        <w:t xml:space="preserve">In historical clinical trials for other agents used for the treatment of osteoporosis including alendronate, extended therapy versus placebo was required to demonstrate clinically relevant and statistically significant reductions in the risk of </w:t>
      </w:r>
      <w:r w:rsidR="00864D4D">
        <w:t>non-vertebral</w:t>
      </w:r>
      <w:r>
        <w:t xml:space="preserve"> fracture. Study 20110142 demonstrated not only a statistically significant reduction in the risk of </w:t>
      </w:r>
      <w:r w:rsidR="00864D4D">
        <w:t>non-vertebral</w:t>
      </w:r>
      <w:r>
        <w:t xml:space="preserve"> fractures at the time of the primary analysis (median follow-up of 33</w:t>
      </w:r>
      <w:r w:rsidR="00103452">
        <w:t> </w:t>
      </w:r>
      <w:r>
        <w:t xml:space="preserve">months) for romosozumab versus alendronate, an active comparator, but also a trend in romosozumab reducing the risk of </w:t>
      </w:r>
      <w:r w:rsidR="00864D4D">
        <w:t>non-vertebral</w:t>
      </w:r>
      <w:r>
        <w:t xml:space="preserve"> fractures compared with alendronate at pre</w:t>
      </w:r>
      <w:r w:rsidR="003458DF">
        <w:t xml:space="preserve"> </w:t>
      </w:r>
      <w:r>
        <w:t xml:space="preserve">specified earlier </w:t>
      </w:r>
      <w:r w:rsidR="00322404">
        <w:t>time points</w:t>
      </w:r>
      <w:r>
        <w:t xml:space="preserve"> of </w:t>
      </w:r>
      <w:r w:rsidR="00103452">
        <w:t>M</w:t>
      </w:r>
      <w:r>
        <w:t>onths 12 and 24. Thus, these findings are robust and of clinical importance to prescribing physicians, as they consider romosozumab within the current treatment armamentarium to make individualized treatment decisions for patients.</w:t>
      </w:r>
    </w:p>
    <w:p w14:paraId="1FA323C7" w14:textId="77777777" w:rsidR="00322404" w:rsidRDefault="00322404" w:rsidP="00322404">
      <w:pPr>
        <w:pStyle w:val="Heading6"/>
      </w:pPr>
      <w:r>
        <w:t>Evaluation of response</w:t>
      </w:r>
    </w:p>
    <w:p w14:paraId="77527A59" w14:textId="6EA6E014" w:rsidR="008D74BF" w:rsidRDefault="00322404" w:rsidP="004B455E">
      <w:r>
        <w:t>Romosozumab</w:t>
      </w:r>
      <w:r w:rsidR="004B455E">
        <w:t xml:space="preserve"> failed to show statistically significant reduction in incidence of secondary endpoint of </w:t>
      </w:r>
      <w:r w:rsidR="00864D4D">
        <w:t>non-vertebral</w:t>
      </w:r>
      <w:r w:rsidR="004B455E">
        <w:t xml:space="preserve"> fracture in the pivotal </w:t>
      </w:r>
      <w:r w:rsidR="00566372">
        <w:t>placebo controlled</w:t>
      </w:r>
      <w:r w:rsidR="004B455E">
        <w:t xml:space="preserve"> </w:t>
      </w:r>
      <w:r w:rsidR="003D7E26">
        <w:t>Study</w:t>
      </w:r>
      <w:r w:rsidR="004B455E">
        <w:t xml:space="preserve"> 20070337. As mentioned by the sponsors, extended therapy versus placebo was required to demonstrate clinically relevant and statistically significant reductions in the risk of non</w:t>
      </w:r>
      <w:r w:rsidR="00103452">
        <w:t>-</w:t>
      </w:r>
      <w:r w:rsidR="004B455E">
        <w:t xml:space="preserve">vertebral fracture in clinical trials for other agents used for the treatment of osteoporosis including alendronate. However, the proposed romosozumab treatment is for 12 months only and requires follow-up treatment with other treatments for osteoporosis (alendronate and denosumab) to demonstrate its anti-fracture efficacy. This limits interpretation of efficacy of romosozumab for reducing risk of </w:t>
      </w:r>
      <w:r w:rsidR="00864D4D">
        <w:t>non-vertebral</w:t>
      </w:r>
      <w:r w:rsidR="004B455E">
        <w:t xml:space="preserve"> fractures</w:t>
      </w:r>
      <w:r w:rsidR="008D74BF">
        <w:t>.</w:t>
      </w:r>
    </w:p>
    <w:p w14:paraId="322CAAC9" w14:textId="77777777" w:rsidR="008D74BF" w:rsidRDefault="004B455E" w:rsidP="004B455E">
      <w:r>
        <w:t>A significant reduction in the risk of non</w:t>
      </w:r>
      <w:r w:rsidR="00284EFB">
        <w:t>-</w:t>
      </w:r>
      <w:r>
        <w:t xml:space="preserve">vertebral fractures at the time of the primary analysis (median follow-up of 33 months) was observed for romosozumab versus alendronate (romosozumab/alendronate: 8.7%, alendronate/alendronate: 10.6%; </w:t>
      </w:r>
      <w:r w:rsidR="003D64C5">
        <w:t xml:space="preserve">relative risk reduction </w:t>
      </w:r>
      <w:r>
        <w:t>19%; p = 0.040, 2-sided adjusted p-value) in the other pivotal alendronate</w:t>
      </w:r>
      <w:r w:rsidR="00284EFB">
        <w:t xml:space="preserve"> </w:t>
      </w:r>
      <w:r>
        <w:t xml:space="preserve">controlled </w:t>
      </w:r>
      <w:r w:rsidR="003F3B8A">
        <w:t>S</w:t>
      </w:r>
      <w:r>
        <w:t>tudy 20110142</w:t>
      </w:r>
      <w:r w:rsidR="008D74BF">
        <w:t>.</w:t>
      </w:r>
    </w:p>
    <w:p w14:paraId="76A09DA2" w14:textId="77777777" w:rsidR="008D74BF" w:rsidRDefault="004B455E" w:rsidP="004B455E">
      <w:r>
        <w:t xml:space="preserve">However, as results were not consistent across the two pivotal </w:t>
      </w:r>
      <w:r w:rsidR="00284EFB">
        <w:t>P</w:t>
      </w:r>
      <w:r>
        <w:t xml:space="preserve">hase </w:t>
      </w:r>
      <w:r w:rsidR="00284EFB">
        <w:t>III</w:t>
      </w:r>
      <w:r>
        <w:t xml:space="preserve"> studies, the evaluators recommend that the reduction in non</w:t>
      </w:r>
      <w:r w:rsidR="00284EFB">
        <w:t>-</w:t>
      </w:r>
      <w:r>
        <w:t>vertebral fractures in the alendronate</w:t>
      </w:r>
      <w:r w:rsidR="00284EFB">
        <w:t xml:space="preserve"> </w:t>
      </w:r>
      <w:r>
        <w:t>controlled study should only be included in the ‘Clinical trials’ section of the proposed PI and not in the wording of the proposed indication</w:t>
      </w:r>
      <w:r w:rsidR="008D74BF">
        <w:t>.</w:t>
      </w:r>
    </w:p>
    <w:p w14:paraId="0ACC4E09" w14:textId="264D842E" w:rsidR="004B455E" w:rsidRDefault="00322404" w:rsidP="00284EFB">
      <w:pPr>
        <w:pStyle w:val="Heading5"/>
      </w:pPr>
      <w:r>
        <w:t>Question 3</w:t>
      </w:r>
    </w:p>
    <w:p w14:paraId="5ADA5E40" w14:textId="77777777" w:rsidR="004B455E" w:rsidRPr="00322404" w:rsidRDefault="004B455E" w:rsidP="00322404">
      <w:pPr>
        <w:rPr>
          <w:b/>
          <w:i/>
        </w:rPr>
      </w:pPr>
      <w:r w:rsidRPr="00322404">
        <w:rPr>
          <w:b/>
          <w:i/>
        </w:rPr>
        <w:t xml:space="preserve">In the Phase </w:t>
      </w:r>
      <w:proofErr w:type="spellStart"/>
      <w:r w:rsidR="00284EFB" w:rsidRPr="00322404">
        <w:rPr>
          <w:b/>
          <w:i/>
        </w:rPr>
        <w:t>III</w:t>
      </w:r>
      <w:r w:rsidRPr="00322404">
        <w:rPr>
          <w:b/>
          <w:i/>
        </w:rPr>
        <w:t>b</w:t>
      </w:r>
      <w:proofErr w:type="spellEnd"/>
      <w:r w:rsidRPr="00322404">
        <w:rPr>
          <w:b/>
          <w:i/>
        </w:rPr>
        <w:t xml:space="preserve"> </w:t>
      </w:r>
      <w:r w:rsidR="00864D4D" w:rsidRPr="00322404">
        <w:rPr>
          <w:b/>
          <w:i/>
        </w:rPr>
        <w:t>S</w:t>
      </w:r>
      <w:r w:rsidRPr="00322404">
        <w:rPr>
          <w:b/>
          <w:i/>
        </w:rPr>
        <w:t xml:space="preserve">tudy 20080289, the incidence of important protocol deviations was higher in the </w:t>
      </w:r>
      <w:r w:rsidR="00284EFB" w:rsidRPr="00322404">
        <w:rPr>
          <w:b/>
          <w:i/>
        </w:rPr>
        <w:t>teriparatide</w:t>
      </w:r>
      <w:r w:rsidRPr="00322404">
        <w:rPr>
          <w:b/>
          <w:i/>
        </w:rPr>
        <w:t xml:space="preserve"> group (17.4%) compared with romosozumab (5.0%). Majority of deviations in the </w:t>
      </w:r>
      <w:r w:rsidR="00284EFB" w:rsidRPr="00322404">
        <w:rPr>
          <w:b/>
          <w:i/>
        </w:rPr>
        <w:t>teriparatide</w:t>
      </w:r>
      <w:r w:rsidRPr="00322404">
        <w:rPr>
          <w:b/>
          <w:i/>
        </w:rPr>
        <w:t xml:space="preserve"> group included wrong treatment or incorrect dose. Could the sponsors provide details regarding these deviations and its impact on interpretation of results?</w:t>
      </w:r>
    </w:p>
    <w:p w14:paraId="4FF3E3B2" w14:textId="77777777" w:rsidR="00322404" w:rsidRDefault="00322404" w:rsidP="00322404">
      <w:pPr>
        <w:pStyle w:val="Heading6"/>
      </w:pPr>
      <w:r>
        <w:lastRenderedPageBreak/>
        <w:t>Sponsor’s response</w:t>
      </w:r>
    </w:p>
    <w:p w14:paraId="065E92D2" w14:textId="568C4D22" w:rsidR="00511DFE" w:rsidRDefault="004B455E" w:rsidP="004B455E">
      <w:r>
        <w:t xml:space="preserve">The incidence of important protocol deviations was higher in the teriparatide group compared to the romosozumab group with the majority due to dosing deviations; there were 26 (11.9%) important dosing deviations in the </w:t>
      </w:r>
      <w:r w:rsidR="00284EFB">
        <w:t>teriparatide</w:t>
      </w:r>
      <w:r w:rsidR="00511DFE">
        <w:t xml:space="preserve"> arm (defined as</w:t>
      </w:r>
      <w:r>
        <w:t xml:space="preserve"> </w:t>
      </w:r>
      <w:r w:rsidR="00511DFE">
        <w:t xml:space="preserve">&lt; </w:t>
      </w:r>
      <w:r>
        <w:t xml:space="preserve">75% </w:t>
      </w:r>
      <w:r w:rsidR="00511DFE">
        <w:t>or</w:t>
      </w:r>
      <w:r>
        <w:t xml:space="preserve"> &gt; 125% adherence) compared to 19 (8.7%) dosing deviations in the romosozumab arm (defined as subjects having missed more than 3 doses of romosozumab over the life of the study). No subjects received mo</w:t>
      </w:r>
      <w:r w:rsidR="00511DFE">
        <w:t>re than 12 doses of romosozumab.</w:t>
      </w:r>
    </w:p>
    <w:p w14:paraId="75334665" w14:textId="3C5368F3" w:rsidR="00511DFE" w:rsidRDefault="00511DFE" w:rsidP="007E3704">
      <w:pPr>
        <w:pStyle w:val="TableTitle"/>
      </w:pPr>
      <w:r w:rsidRPr="007E3704">
        <w:t>Table</w:t>
      </w:r>
      <w:r w:rsidRPr="00511DFE">
        <w:t xml:space="preserve"> </w:t>
      </w:r>
      <w:r w:rsidR="00A62BA9">
        <w:t>21</w:t>
      </w:r>
      <w:r w:rsidRPr="00511DFE">
        <w:t xml:space="preserve">: Important </w:t>
      </w:r>
      <w:r w:rsidR="00A62BA9" w:rsidRPr="00511DFE">
        <w:t>protocol deviations other than eligibility criteria deviations (all randomi</w:t>
      </w:r>
      <w:r w:rsidR="007E3704">
        <w:t>s</w:t>
      </w:r>
      <w:r w:rsidRPr="00511DFE">
        <w:t>ed subjects) (</w:t>
      </w:r>
      <w:r w:rsidR="007E3704">
        <w:t xml:space="preserve">Study </w:t>
      </w:r>
      <w:r w:rsidRPr="00511DFE">
        <w:t xml:space="preserve">20080289 Month 12 </w:t>
      </w:r>
      <w:r w:rsidR="007E3704">
        <w:t>f</w:t>
      </w:r>
      <w:r w:rsidRPr="00511DFE">
        <w:t xml:space="preserve">inal </w:t>
      </w:r>
      <w:r w:rsidR="007E3704">
        <w:t>a</w:t>
      </w:r>
      <w:r w:rsidRPr="00511DFE">
        <w:t>nalysis</w:t>
      </w:r>
      <w:r w:rsidR="009970DB">
        <w:t>)</w:t>
      </w:r>
    </w:p>
    <w:p w14:paraId="4D76085D" w14:textId="181ED9A6" w:rsidR="00534C3E" w:rsidRDefault="00534C3E" w:rsidP="00534C3E">
      <w:r>
        <w:rPr>
          <w:noProof/>
          <w:lang w:eastAsia="en-AU"/>
        </w:rPr>
        <w:drawing>
          <wp:inline distT="0" distB="0" distL="0" distR="0" wp14:anchorId="72907FDB" wp14:editId="74FB16E2">
            <wp:extent cx="3920947" cy="3576066"/>
            <wp:effectExtent l="0" t="0" r="3810" b="5715"/>
            <wp:docPr id="458" name="Picture 458" descr="Table 21: Important protocol deviations other than eligibility criteria deviations (all randomized subjects) (20080289 Month 12 Fin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28230" cy="3582708"/>
                    </a:xfrm>
                    <a:prstGeom prst="rect">
                      <a:avLst/>
                    </a:prstGeom>
                  </pic:spPr>
                </pic:pic>
              </a:graphicData>
            </a:graphic>
          </wp:inline>
        </w:drawing>
      </w:r>
    </w:p>
    <w:p w14:paraId="7EE7F570" w14:textId="46848AEF" w:rsidR="004B455E" w:rsidRDefault="004B455E" w:rsidP="004B455E">
      <w:r>
        <w:t>The primary analysis of efficacy followed the intent</w:t>
      </w:r>
      <w:r w:rsidR="00284EFB">
        <w:t xml:space="preserve"> </w:t>
      </w:r>
      <w:r>
        <w:t>to</w:t>
      </w:r>
      <w:r w:rsidR="00284EFB">
        <w:t xml:space="preserve"> </w:t>
      </w:r>
      <w:r>
        <w:t xml:space="preserve">treat principle and included all randomised patients regardless of protocol adherence or dosing deviations in either the romosozumab or </w:t>
      </w:r>
      <w:r w:rsidR="00284EFB">
        <w:t>teriparatide</w:t>
      </w:r>
      <w:r>
        <w:t xml:space="preserve"> arm. The impact of the protocol deviations, including dosing deviations, on the interpretation of the results was explored in a sensitivity analysis of the primary efficacy endpoint was conducted using the per protocol</w:t>
      </w:r>
      <w:r w:rsidR="008D74BF">
        <w:t xml:space="preserve"> </w:t>
      </w:r>
      <w:r>
        <w:t xml:space="preserve">analysis set, excluding subjects with dosing deviations or other important protocol deviations. The results for the primary efficacy endpoint of percent change from baseline in </w:t>
      </w:r>
      <w:r w:rsidR="00881772">
        <w:t>BMD</w:t>
      </w:r>
      <w:r>
        <w:t xml:space="preserve"> at the total hip based on both the primary efficacy analysis set and </w:t>
      </w:r>
      <w:r w:rsidR="00284EFB">
        <w:t>per protocol</w:t>
      </w:r>
      <w:r>
        <w:t xml:space="preserve"> analysis set were similar </w:t>
      </w:r>
      <w:r w:rsidR="00A62BA9" w:rsidRPr="00A62BA9">
        <w:t>(Table 22</w:t>
      </w:r>
      <w:r w:rsidRPr="00A62BA9">
        <w:t>), thus the</w:t>
      </w:r>
      <w:r>
        <w:t xml:space="preserve"> </w:t>
      </w:r>
      <w:r w:rsidR="00284EFB">
        <w:t>per protocol</w:t>
      </w:r>
      <w:r>
        <w:t xml:space="preserve"> sensitivity analysis demonstrates no impact on the interpretation of the efficacy results from dosing and other </w:t>
      </w:r>
      <w:r w:rsidR="00284EFB">
        <w:t>important protocol deviations</w:t>
      </w:r>
      <w:r>
        <w:t>.</w:t>
      </w:r>
    </w:p>
    <w:p w14:paraId="23BFD3A2" w14:textId="1E8F9ECE" w:rsidR="009970DB" w:rsidRDefault="00A62BA9" w:rsidP="009970DB">
      <w:pPr>
        <w:pStyle w:val="TableTitle"/>
      </w:pPr>
      <w:r>
        <w:t>Table 22</w:t>
      </w:r>
      <w:r w:rsidR="009970DB">
        <w:t xml:space="preserve">: </w:t>
      </w:r>
      <w:r w:rsidR="009970DB" w:rsidRPr="009970DB">
        <w:t xml:space="preserve">Total </w:t>
      </w:r>
      <w:r>
        <w:t>h</w:t>
      </w:r>
      <w:r w:rsidR="009970DB" w:rsidRPr="009970DB">
        <w:t xml:space="preserve">ip </w:t>
      </w:r>
      <w:r>
        <w:t>BMD</w:t>
      </w:r>
      <w:r w:rsidR="009970DB" w:rsidRPr="009970DB">
        <w:t xml:space="preserve"> by DXA </w:t>
      </w:r>
      <w:r w:rsidRPr="009970DB">
        <w:t xml:space="preserve">percent change from </w:t>
      </w:r>
      <w:r w:rsidR="009970DB" w:rsidRPr="009970DB">
        <w:t xml:space="preserve">Baseline </w:t>
      </w:r>
      <w:r>
        <w:t>t</w:t>
      </w:r>
      <w:r w:rsidR="009970DB" w:rsidRPr="009970DB">
        <w:t>hrough Month 12 (Repeated Measures Model) (</w:t>
      </w:r>
      <w:r>
        <w:t xml:space="preserve">Study </w:t>
      </w:r>
      <w:r w:rsidR="009970DB" w:rsidRPr="009970DB">
        <w:t>20080289 Month 12 Final Analysis)</w:t>
      </w:r>
    </w:p>
    <w:p w14:paraId="1126B0C4" w14:textId="77777777" w:rsidR="00C55589" w:rsidRDefault="009970DB" w:rsidP="004B455E">
      <w:r>
        <w:rPr>
          <w:noProof/>
          <w:lang w:eastAsia="en-AU"/>
        </w:rPr>
        <w:drawing>
          <wp:inline distT="0" distB="0" distL="0" distR="0" wp14:anchorId="7B672BB5" wp14:editId="2387AE04">
            <wp:extent cx="5400040" cy="730440"/>
            <wp:effectExtent l="0" t="0" r="0" b="0"/>
            <wp:docPr id="19" name="Picture 19" descr="Total hip BMD by DXA percent change from Baseline through Month 12 (Repeated Measures Model) (Study 20080289 Month 12 Fin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040" cy="730440"/>
                    </a:xfrm>
                    <a:prstGeom prst="rect">
                      <a:avLst/>
                    </a:prstGeom>
                  </pic:spPr>
                </pic:pic>
              </a:graphicData>
            </a:graphic>
          </wp:inline>
        </w:drawing>
      </w:r>
    </w:p>
    <w:p w14:paraId="72F2BCD4" w14:textId="77777777" w:rsidR="00534C3E" w:rsidRDefault="00534C3E" w:rsidP="00534C3E">
      <w:pPr>
        <w:pStyle w:val="Heading6"/>
      </w:pPr>
      <w:r>
        <w:t>Evaluation of response</w:t>
      </w:r>
    </w:p>
    <w:p w14:paraId="14580A8D" w14:textId="412C3048" w:rsidR="008D74BF" w:rsidRDefault="004B455E" w:rsidP="004B455E">
      <w:r>
        <w:t>The sponsor’s response is satisfactory</w:t>
      </w:r>
      <w:r w:rsidR="008D74BF">
        <w:t>.</w:t>
      </w:r>
    </w:p>
    <w:p w14:paraId="1099714F" w14:textId="23D6EAED" w:rsidR="004B455E" w:rsidRDefault="00534C3E" w:rsidP="00284EFB">
      <w:pPr>
        <w:pStyle w:val="Heading5"/>
      </w:pPr>
      <w:r>
        <w:lastRenderedPageBreak/>
        <w:t>Question 4</w:t>
      </w:r>
    </w:p>
    <w:p w14:paraId="699C8C02" w14:textId="77777777" w:rsidR="00C44BAA" w:rsidRPr="00534C3E" w:rsidRDefault="004B455E" w:rsidP="00534C3E">
      <w:pPr>
        <w:rPr>
          <w:b/>
          <w:i/>
        </w:rPr>
      </w:pPr>
      <w:r w:rsidRPr="00534C3E">
        <w:rPr>
          <w:b/>
          <w:i/>
        </w:rPr>
        <w:t xml:space="preserve">In the Phase </w:t>
      </w:r>
      <w:r w:rsidR="00284EFB" w:rsidRPr="00534C3E">
        <w:rPr>
          <w:b/>
          <w:i/>
        </w:rPr>
        <w:t>III</w:t>
      </w:r>
      <w:r w:rsidRPr="00534C3E">
        <w:rPr>
          <w:b/>
          <w:i/>
        </w:rPr>
        <w:t xml:space="preserve"> male osteoporosis </w:t>
      </w:r>
      <w:r w:rsidR="00284EFB" w:rsidRPr="00534C3E">
        <w:rPr>
          <w:b/>
          <w:i/>
        </w:rPr>
        <w:t>S</w:t>
      </w:r>
      <w:r w:rsidRPr="00534C3E">
        <w:rPr>
          <w:b/>
          <w:i/>
        </w:rPr>
        <w:t>tudy 20110174,</w:t>
      </w:r>
      <w:r w:rsidR="008D74BF" w:rsidRPr="00534C3E">
        <w:rPr>
          <w:b/>
          <w:i/>
        </w:rPr>
        <w:t xml:space="preserve"> </w:t>
      </w:r>
      <w:r w:rsidRPr="00534C3E">
        <w:rPr>
          <w:b/>
          <w:i/>
        </w:rPr>
        <w:t xml:space="preserve">the number of subjects excluded from PP analysis was greater in the romosozumab compared with the placebo group (11.7% </w:t>
      </w:r>
      <w:r w:rsidR="00CE639A" w:rsidRPr="00534C3E">
        <w:rPr>
          <w:b/>
          <w:i/>
        </w:rPr>
        <w:t xml:space="preserve">versus </w:t>
      </w:r>
      <w:r w:rsidRPr="00534C3E">
        <w:rPr>
          <w:b/>
          <w:i/>
        </w:rPr>
        <w:t>3.7%).</w:t>
      </w:r>
      <w:r w:rsidR="008D74BF" w:rsidRPr="00534C3E">
        <w:rPr>
          <w:b/>
          <w:i/>
        </w:rPr>
        <w:t xml:space="preserve"> </w:t>
      </w:r>
      <w:r w:rsidRPr="00534C3E">
        <w:rPr>
          <w:b/>
          <w:i/>
        </w:rPr>
        <w:t>Could the sponsors clarify if this had any effect on interpretation of the efficacy results?</w:t>
      </w:r>
    </w:p>
    <w:p w14:paraId="3FBC7A78" w14:textId="77777777" w:rsidR="00534C3E" w:rsidRDefault="00534C3E" w:rsidP="00534C3E">
      <w:pPr>
        <w:pStyle w:val="Heading6"/>
      </w:pPr>
      <w:r>
        <w:t>Sponsor’s response</w:t>
      </w:r>
    </w:p>
    <w:p w14:paraId="35B41E4A" w14:textId="350C53A7" w:rsidR="00C55589" w:rsidRDefault="004B455E" w:rsidP="004B455E">
      <w:r>
        <w:t>The number of subjects who were excluded from the per</w:t>
      </w:r>
      <w:r w:rsidR="00284EFB">
        <w:t xml:space="preserve"> </w:t>
      </w:r>
      <w:r>
        <w:t>protocol</w:t>
      </w:r>
      <w:r w:rsidR="008D74BF">
        <w:t xml:space="preserve"> </w:t>
      </w:r>
      <w:r>
        <w:t xml:space="preserve">analysis set was greater in the romosozumab group compared to the placebo group (11.7% </w:t>
      </w:r>
      <w:r w:rsidR="00CE639A">
        <w:t xml:space="preserve">versus </w:t>
      </w:r>
      <w:r>
        <w:t>3.7%).</w:t>
      </w:r>
      <w:r w:rsidR="008D74BF">
        <w:t xml:space="preserve"> </w:t>
      </w:r>
      <w:r>
        <w:t xml:space="preserve">The majority of subjects who were excluded from the </w:t>
      </w:r>
      <w:r w:rsidR="00284EFB" w:rsidRPr="00DD1BA4">
        <w:rPr>
          <w:i/>
        </w:rPr>
        <w:t>per protocol</w:t>
      </w:r>
      <w:r>
        <w:t xml:space="preserve"> analysis was due to not having received ≥ 9 doses of investigational product (10.4% romosozumab </w:t>
      </w:r>
      <w:r w:rsidR="00CE639A">
        <w:t xml:space="preserve">versus </w:t>
      </w:r>
      <w:r>
        <w:t>3.7% placebo</w:t>
      </w:r>
      <w:r w:rsidRPr="00A62BA9">
        <w:t xml:space="preserve">) (Table </w:t>
      </w:r>
      <w:r w:rsidR="00A62BA9" w:rsidRPr="00A62BA9">
        <w:t>23</w:t>
      </w:r>
      <w:r w:rsidRPr="00A62BA9">
        <w:t>).</w:t>
      </w:r>
    </w:p>
    <w:p w14:paraId="59FAD67F" w14:textId="041DE156" w:rsidR="00C55589" w:rsidRDefault="00C55589" w:rsidP="00C61641">
      <w:pPr>
        <w:pStyle w:val="TableTitle"/>
      </w:pPr>
      <w:r w:rsidRPr="00314D1D">
        <w:rPr>
          <w:rFonts w:cstheme="minorHAnsi"/>
        </w:rPr>
        <w:t xml:space="preserve">Table </w:t>
      </w:r>
      <w:r w:rsidR="00A62BA9">
        <w:rPr>
          <w:rFonts w:cstheme="minorHAnsi"/>
        </w:rPr>
        <w:t>23</w:t>
      </w:r>
      <w:r w:rsidRPr="00314D1D">
        <w:rPr>
          <w:rFonts w:cstheme="minorHAnsi"/>
        </w:rPr>
        <w:t>:</w:t>
      </w:r>
      <w:r w:rsidRPr="00314D1D">
        <w:t xml:space="preserve"> Reasons for </w:t>
      </w:r>
      <w:r w:rsidR="00A62BA9" w:rsidRPr="00314D1D">
        <w:t xml:space="preserve">exclusion from the per protocol analysis set </w:t>
      </w:r>
      <w:r w:rsidRPr="00314D1D">
        <w:t xml:space="preserve">(All </w:t>
      </w:r>
      <w:r w:rsidR="007E3704">
        <w:t>r</w:t>
      </w:r>
      <w:r w:rsidRPr="00314D1D">
        <w:t>andomi</w:t>
      </w:r>
      <w:r w:rsidR="007E3704">
        <w:t>s</w:t>
      </w:r>
      <w:r w:rsidRPr="00314D1D">
        <w:t xml:space="preserve">ed </w:t>
      </w:r>
      <w:r w:rsidR="007E3704">
        <w:t>s</w:t>
      </w:r>
      <w:r w:rsidRPr="00314D1D">
        <w:t>ubjects) (</w:t>
      </w:r>
      <w:r w:rsidR="00D06543">
        <w:t xml:space="preserve">Study </w:t>
      </w:r>
      <w:r w:rsidRPr="00314D1D">
        <w:t xml:space="preserve">20110174 Month 12 </w:t>
      </w:r>
      <w:r w:rsidR="007E3704" w:rsidRPr="00314D1D">
        <w:t>primary analysis</w:t>
      </w:r>
      <w:r w:rsidR="00D06543">
        <w:t>)</w:t>
      </w:r>
    </w:p>
    <w:p w14:paraId="0703A945" w14:textId="49B14314" w:rsidR="005B3510" w:rsidRDefault="00534C3E" w:rsidP="004B455E">
      <w:r>
        <w:rPr>
          <w:noProof/>
          <w:lang w:eastAsia="en-AU"/>
        </w:rPr>
        <w:drawing>
          <wp:inline distT="0" distB="0" distL="0" distR="0" wp14:anchorId="4E56815C" wp14:editId="060BAAE7">
            <wp:extent cx="5400040" cy="3787140"/>
            <wp:effectExtent l="0" t="0" r="0" b="3810"/>
            <wp:docPr id="459" name="Picture 459" descr="Table 23: Reasons for exclusion from the per protocol analysis set (All Randomized Subjects) (Study 20110174 Month 12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3787140"/>
                    </a:xfrm>
                    <a:prstGeom prst="rect">
                      <a:avLst/>
                    </a:prstGeom>
                  </pic:spPr>
                </pic:pic>
              </a:graphicData>
            </a:graphic>
          </wp:inline>
        </w:drawing>
      </w:r>
    </w:p>
    <w:p w14:paraId="2C6A049B" w14:textId="3485873E" w:rsidR="00C44BAA" w:rsidRDefault="004B455E" w:rsidP="004B455E">
      <w:r>
        <w:t>The results from the intent</w:t>
      </w:r>
      <w:r w:rsidR="00284EFB">
        <w:t xml:space="preserve"> </w:t>
      </w:r>
      <w:r>
        <w:t>to</w:t>
      </w:r>
      <w:r w:rsidR="00284EFB">
        <w:t xml:space="preserve"> </w:t>
      </w:r>
      <w:r>
        <w:t xml:space="preserve">treat and </w:t>
      </w:r>
      <w:r w:rsidR="00284EFB">
        <w:t>per protocol</w:t>
      </w:r>
      <w:r>
        <w:t xml:space="preserve"> analysis sets demonstrated a consistent treatment effect of romosozumab over placebo for the primary </w:t>
      </w:r>
      <w:r w:rsidR="00881772">
        <w:t>BMD</w:t>
      </w:r>
      <w:r>
        <w:t xml:space="preserve"> endpoint (lumbar spine </w:t>
      </w:r>
      <w:r w:rsidR="00881772">
        <w:t>BMD</w:t>
      </w:r>
      <w:r>
        <w:t xml:space="preserve"> by DXA percent change from baseline at </w:t>
      </w:r>
      <w:r w:rsidR="00284EFB">
        <w:t>M</w:t>
      </w:r>
      <w:r>
        <w:t>onth 12</w:t>
      </w:r>
      <w:r w:rsidR="00C55589">
        <w:t xml:space="preserve"> (Table </w:t>
      </w:r>
      <w:r w:rsidR="00A62BA9">
        <w:t>24</w:t>
      </w:r>
      <w:r w:rsidR="00C55589">
        <w:t>)</w:t>
      </w:r>
      <w:r>
        <w:t>.</w:t>
      </w:r>
    </w:p>
    <w:p w14:paraId="7A3F849F" w14:textId="1E17BF08" w:rsidR="00C55589" w:rsidRDefault="00C55589" w:rsidP="00C61641">
      <w:pPr>
        <w:pStyle w:val="TableTitle"/>
      </w:pPr>
      <w:r w:rsidRPr="00C55589">
        <w:t xml:space="preserve">Table </w:t>
      </w:r>
      <w:r w:rsidR="00A62BA9">
        <w:t>24: Lumbar s</w:t>
      </w:r>
      <w:r w:rsidRPr="00C55589">
        <w:t xml:space="preserve">pine BMD by DXA </w:t>
      </w:r>
      <w:r w:rsidR="00A62BA9" w:rsidRPr="00C55589">
        <w:t xml:space="preserve">percent change from </w:t>
      </w:r>
      <w:r w:rsidRPr="00C55589">
        <w:t>Baseline at Month 12 (ANCOVA): LOCF (</w:t>
      </w:r>
      <w:r w:rsidR="00C61641">
        <w:t xml:space="preserve">Study </w:t>
      </w:r>
      <w:r w:rsidRPr="00C55589">
        <w:t>20110174 Month</w:t>
      </w:r>
      <w:r>
        <w:t xml:space="preserve"> </w:t>
      </w:r>
      <w:r w:rsidRPr="00C55589">
        <w:t xml:space="preserve">12 </w:t>
      </w:r>
      <w:r w:rsidR="007E3704" w:rsidRPr="00C55589">
        <w:t>primary analysis</w:t>
      </w:r>
      <w:r w:rsidRPr="00C55589">
        <w:t>)</w:t>
      </w:r>
    </w:p>
    <w:p w14:paraId="71CFD18D" w14:textId="77777777" w:rsidR="00C55589" w:rsidRDefault="00C55589" w:rsidP="004B455E">
      <w:r>
        <w:rPr>
          <w:rFonts w:cstheme="minorHAnsi"/>
          <w:noProof/>
          <w:sz w:val="20"/>
          <w:szCs w:val="20"/>
          <w:lang w:eastAsia="en-AU"/>
        </w:rPr>
        <w:drawing>
          <wp:inline distT="0" distB="0" distL="0" distR="0" wp14:anchorId="3577F261" wp14:editId="559A3C11">
            <wp:extent cx="5234940" cy="1571178"/>
            <wp:effectExtent l="0" t="0" r="3810" b="0"/>
            <wp:docPr id="479" name="Picture 479" descr="Lumbar Spine BMD by DXA Percent Change From Baseline at Month 12 (ANCOVA): LOCF (Study 20110174 Month 12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lum bright="-20000" contrast="40000"/>
                      <a:extLst>
                        <a:ext uri="{28A0092B-C50C-407E-A947-70E740481C1C}">
                          <a14:useLocalDpi xmlns:a14="http://schemas.microsoft.com/office/drawing/2010/main" val="0"/>
                        </a:ext>
                      </a:extLst>
                    </a:blip>
                    <a:srcRect/>
                    <a:stretch>
                      <a:fillRect/>
                    </a:stretch>
                  </pic:blipFill>
                  <pic:spPr bwMode="auto">
                    <a:xfrm>
                      <a:off x="0" y="0"/>
                      <a:ext cx="5229149" cy="1569440"/>
                    </a:xfrm>
                    <a:prstGeom prst="rect">
                      <a:avLst/>
                    </a:prstGeom>
                    <a:noFill/>
                    <a:ln>
                      <a:noFill/>
                    </a:ln>
                  </pic:spPr>
                </pic:pic>
              </a:graphicData>
            </a:graphic>
          </wp:inline>
        </w:drawing>
      </w:r>
    </w:p>
    <w:p w14:paraId="4CA70FEC" w14:textId="6534DEBA" w:rsidR="004B455E" w:rsidRDefault="004B455E" w:rsidP="004B455E">
      <w:r>
        <w:lastRenderedPageBreak/>
        <w:t xml:space="preserve">Therefore, the exclusion of more subjects from the romosozumab group compared to the placebo group did not change the interpretation of the efficacy results, which was that romosozumab significantly increased </w:t>
      </w:r>
      <w:r w:rsidR="00881772">
        <w:t>BMD</w:t>
      </w:r>
      <w:r>
        <w:t xml:space="preserve"> compared to placebo.</w:t>
      </w:r>
    </w:p>
    <w:p w14:paraId="1D8CCE7E" w14:textId="77777777" w:rsidR="00534C3E" w:rsidRDefault="00534C3E" w:rsidP="00534C3E">
      <w:pPr>
        <w:pStyle w:val="Heading6"/>
      </w:pPr>
      <w:r>
        <w:t>Evaluation of response</w:t>
      </w:r>
    </w:p>
    <w:p w14:paraId="401ABAC2" w14:textId="42BF0C1A" w:rsidR="008D74BF" w:rsidRDefault="004B455E" w:rsidP="004B455E">
      <w:r>
        <w:t>The sponsor’s response is satisfactory</w:t>
      </w:r>
      <w:r w:rsidR="008D74BF">
        <w:t>.</w:t>
      </w:r>
    </w:p>
    <w:p w14:paraId="5C7B7F23" w14:textId="77777777" w:rsidR="004B455E" w:rsidRDefault="004B455E" w:rsidP="00AD6890">
      <w:pPr>
        <w:pStyle w:val="Heading4"/>
      </w:pPr>
      <w:r>
        <w:t>Safety</w:t>
      </w:r>
    </w:p>
    <w:p w14:paraId="08C959AE" w14:textId="1D6F83AE" w:rsidR="004B455E" w:rsidRDefault="004B455E" w:rsidP="00284EFB">
      <w:pPr>
        <w:pStyle w:val="Heading5"/>
      </w:pPr>
      <w:r>
        <w:t>Q</w:t>
      </w:r>
      <w:r w:rsidR="00534C3E">
        <w:t>uestion 5</w:t>
      </w:r>
    </w:p>
    <w:p w14:paraId="2F821445" w14:textId="77777777" w:rsidR="004B455E" w:rsidRPr="00534C3E" w:rsidRDefault="004B455E" w:rsidP="00534C3E">
      <w:pPr>
        <w:rPr>
          <w:b/>
          <w:i/>
        </w:rPr>
      </w:pPr>
      <w:r w:rsidRPr="00534C3E">
        <w:rPr>
          <w:b/>
          <w:i/>
        </w:rPr>
        <w:t>Definition of AEs to detect ‘hyperostosis’ were not clearly specified in the submission. Could the sponsors provide this information?</w:t>
      </w:r>
    </w:p>
    <w:p w14:paraId="41EC80DA" w14:textId="77777777" w:rsidR="00534C3E" w:rsidRDefault="00534C3E" w:rsidP="00534C3E">
      <w:pPr>
        <w:pStyle w:val="Heading6"/>
      </w:pPr>
      <w:r>
        <w:t>Sponsor’s response</w:t>
      </w:r>
    </w:p>
    <w:p w14:paraId="248246E3" w14:textId="6D98B6C0" w:rsidR="004B455E" w:rsidRDefault="00534C3E" w:rsidP="004B455E">
      <w:r>
        <w:t xml:space="preserve">The </w:t>
      </w:r>
      <w:r w:rsidR="003458DF">
        <w:t>sponsor</w:t>
      </w:r>
      <w:r w:rsidR="004B455E">
        <w:t xml:space="preserve"> agrees that the definition of adverse events to detect hyperostosis was not clearly defined in the submission. Since the medical concept of hyperostosis is not part of the Standard </w:t>
      </w:r>
      <w:proofErr w:type="spellStart"/>
      <w:r w:rsidR="004B455E">
        <w:t>MedDRA</w:t>
      </w:r>
      <w:proofErr w:type="spellEnd"/>
      <w:r w:rsidR="004B455E">
        <w:t xml:space="preserve"> (SMQ) in </w:t>
      </w:r>
      <w:proofErr w:type="spellStart"/>
      <w:r w:rsidR="004B455E">
        <w:t>MedDRA</w:t>
      </w:r>
      <w:proofErr w:type="spellEnd"/>
      <w:r w:rsidR="004B455E">
        <w:t xml:space="preserve">, Amgen used the Amgen </w:t>
      </w:r>
      <w:proofErr w:type="spellStart"/>
      <w:r w:rsidR="004B455E">
        <w:t>MedDRA</w:t>
      </w:r>
      <w:proofErr w:type="spellEnd"/>
      <w:r w:rsidR="004B455E">
        <w:t xml:space="preserve"> (AMQ) of hyperostosis as defined by the following </w:t>
      </w:r>
      <w:proofErr w:type="spellStart"/>
      <w:r w:rsidR="004B455E">
        <w:t>MedDRA</w:t>
      </w:r>
      <w:proofErr w:type="spellEnd"/>
      <w:r w:rsidR="004B455E">
        <w:t xml:space="preserve"> (Version 19.1) preferred terms:</w:t>
      </w:r>
      <w:r w:rsidR="003458DF">
        <w:t xml:space="preserve"> </w:t>
      </w:r>
      <w:r w:rsidR="007E3704">
        <w:t xml:space="preserve">acquired foramen magnum stenosis; </w:t>
      </w:r>
      <w:proofErr w:type="spellStart"/>
      <w:r w:rsidR="007E3704">
        <w:t>acral</w:t>
      </w:r>
      <w:proofErr w:type="spellEnd"/>
      <w:r w:rsidR="007E3704">
        <w:t xml:space="preserve"> overgrowth; bone formation increased; cervical spinal stenosis; </w:t>
      </w:r>
      <w:proofErr w:type="spellStart"/>
      <w:r w:rsidR="007E3704">
        <w:t>enostosis</w:t>
      </w:r>
      <w:proofErr w:type="spellEnd"/>
      <w:r w:rsidR="007E3704">
        <w:t xml:space="preserve">; exostosis; exostosis of external ear canal; exostosis of jaw; extra-skeletal ossification; foramen magnum stenosis; high turnover osteopathy; intracranial pressure increased; lumbar spinal stenosis; </w:t>
      </w:r>
      <w:proofErr w:type="spellStart"/>
      <w:r w:rsidR="007E3704">
        <w:t>macrogenia</w:t>
      </w:r>
      <w:proofErr w:type="spellEnd"/>
      <w:r w:rsidR="007E3704">
        <w:t xml:space="preserve">; </w:t>
      </w:r>
      <w:proofErr w:type="spellStart"/>
      <w:r w:rsidR="007E3704">
        <w:t>melorheostosis</w:t>
      </w:r>
      <w:proofErr w:type="spellEnd"/>
      <w:r w:rsidR="007E3704">
        <w:t xml:space="preserve">; </w:t>
      </w:r>
      <w:proofErr w:type="spellStart"/>
      <w:r w:rsidR="007E3704">
        <w:t>periostosis</w:t>
      </w:r>
      <w:proofErr w:type="spellEnd"/>
      <w:r w:rsidR="007E3704">
        <w:t xml:space="preserve">; senile ankylosing vertebral hyperostosis; spinal column stenosis; vertebral </w:t>
      </w:r>
      <w:proofErr w:type="spellStart"/>
      <w:r w:rsidR="007E3704">
        <w:t>foraminal</w:t>
      </w:r>
      <w:proofErr w:type="spellEnd"/>
      <w:r w:rsidR="007E3704">
        <w:t xml:space="preserve"> stenosis; vertebral osteophyte.</w:t>
      </w:r>
    </w:p>
    <w:p w14:paraId="6E83672B" w14:textId="77777777" w:rsidR="00534C3E" w:rsidRDefault="00534C3E" w:rsidP="00534C3E">
      <w:pPr>
        <w:pStyle w:val="Heading6"/>
      </w:pPr>
      <w:r>
        <w:t>Evaluation of response</w:t>
      </w:r>
    </w:p>
    <w:p w14:paraId="34E641F7" w14:textId="03BDD5C6" w:rsidR="008D74BF" w:rsidRDefault="004B455E" w:rsidP="004B455E">
      <w:r>
        <w:t>The sponsor’s response is satisfactory</w:t>
      </w:r>
      <w:r w:rsidR="008D74BF">
        <w:t>.</w:t>
      </w:r>
    </w:p>
    <w:p w14:paraId="007D6FDC" w14:textId="451ADB43" w:rsidR="004B455E" w:rsidRDefault="00534C3E" w:rsidP="00284EFB">
      <w:pPr>
        <w:pStyle w:val="Heading5"/>
      </w:pPr>
      <w:r>
        <w:t>Question 6</w:t>
      </w:r>
    </w:p>
    <w:p w14:paraId="6738F734" w14:textId="50223D45" w:rsidR="00C44BAA" w:rsidRPr="00534C3E" w:rsidRDefault="004B455E" w:rsidP="00534C3E">
      <w:pPr>
        <w:rPr>
          <w:b/>
          <w:i/>
        </w:rPr>
      </w:pPr>
      <w:r w:rsidRPr="00534C3E">
        <w:rPr>
          <w:b/>
          <w:i/>
        </w:rPr>
        <w:t xml:space="preserve">Was the incidence of all fractures including fragility fractures monitored as a safety endpoint in the following studies (where it was not the primary efficacy endpoint): Phase </w:t>
      </w:r>
      <w:r w:rsidR="00251F2F" w:rsidRPr="00534C3E">
        <w:rPr>
          <w:b/>
          <w:i/>
        </w:rPr>
        <w:t>III</w:t>
      </w:r>
      <w:r w:rsidRPr="00534C3E">
        <w:rPr>
          <w:b/>
          <w:i/>
        </w:rPr>
        <w:t xml:space="preserve"> b </w:t>
      </w:r>
      <w:r w:rsidR="003D7E26" w:rsidRPr="00534C3E">
        <w:rPr>
          <w:b/>
          <w:i/>
        </w:rPr>
        <w:t>Study</w:t>
      </w:r>
      <w:r w:rsidRPr="00534C3E">
        <w:rPr>
          <w:b/>
          <w:i/>
        </w:rPr>
        <w:t xml:space="preserve"> 20080289: Phase </w:t>
      </w:r>
      <w:r w:rsidR="00284EFB" w:rsidRPr="00534C3E">
        <w:rPr>
          <w:b/>
          <w:i/>
        </w:rPr>
        <w:t>III S</w:t>
      </w:r>
      <w:r w:rsidRPr="00534C3E">
        <w:rPr>
          <w:b/>
          <w:i/>
        </w:rPr>
        <w:t xml:space="preserve">tudy 20110174: Phase </w:t>
      </w:r>
      <w:proofErr w:type="spellStart"/>
      <w:r w:rsidR="00284EFB" w:rsidRPr="00534C3E">
        <w:rPr>
          <w:b/>
          <w:i/>
        </w:rPr>
        <w:t>II</w:t>
      </w:r>
      <w:r w:rsidRPr="00534C3E">
        <w:rPr>
          <w:b/>
          <w:i/>
        </w:rPr>
        <w:t>b</w:t>
      </w:r>
      <w:proofErr w:type="spellEnd"/>
      <w:r w:rsidRPr="00534C3E">
        <w:rPr>
          <w:b/>
          <w:i/>
        </w:rPr>
        <w:t xml:space="preserve"> </w:t>
      </w:r>
      <w:r w:rsidR="00284EFB" w:rsidRPr="00534C3E">
        <w:rPr>
          <w:b/>
          <w:i/>
        </w:rPr>
        <w:t>S</w:t>
      </w:r>
      <w:r w:rsidRPr="00534C3E">
        <w:rPr>
          <w:b/>
          <w:i/>
        </w:rPr>
        <w:t>tudies 20060326 and 20101291. Could the sponsors please provide this data if available?</w:t>
      </w:r>
    </w:p>
    <w:p w14:paraId="54738D9A" w14:textId="77777777" w:rsidR="00534C3E" w:rsidRDefault="00534C3E" w:rsidP="00534C3E">
      <w:pPr>
        <w:pStyle w:val="Heading6"/>
      </w:pPr>
      <w:r>
        <w:t>Sponsor’s response</w:t>
      </w:r>
    </w:p>
    <w:p w14:paraId="0F706D25" w14:textId="6E42F691" w:rsidR="008D74BF" w:rsidRDefault="004B455E" w:rsidP="004B455E">
      <w:r>
        <w:t>The treatment</w:t>
      </w:r>
      <w:r w:rsidR="00284EFB">
        <w:t xml:space="preserve"> </w:t>
      </w:r>
      <w:r>
        <w:t>emergent fracture adverse events were collected as part of adverse event reporting as these studies were not fracture endpoint studies. The subject incidences of adverse events of all fracture types for Studies 20080289, 20110174, 20101291 and 20060326 were provided</w:t>
      </w:r>
      <w:r w:rsidR="008D74BF">
        <w:t>.</w:t>
      </w:r>
    </w:p>
    <w:p w14:paraId="10FABD25" w14:textId="77777777" w:rsidR="00534C3E" w:rsidRDefault="00534C3E" w:rsidP="00534C3E">
      <w:pPr>
        <w:pStyle w:val="Heading6"/>
      </w:pPr>
      <w:r>
        <w:t>Evaluation of response</w:t>
      </w:r>
    </w:p>
    <w:p w14:paraId="6717EEEB" w14:textId="0B930E77" w:rsidR="004B455E" w:rsidRPr="004B455E" w:rsidRDefault="004B455E" w:rsidP="004B455E">
      <w:r>
        <w:t xml:space="preserve">In the Phase </w:t>
      </w:r>
      <w:proofErr w:type="spellStart"/>
      <w:r w:rsidR="00284EFB">
        <w:t>III</w:t>
      </w:r>
      <w:r>
        <w:t>b</w:t>
      </w:r>
      <w:proofErr w:type="spellEnd"/>
      <w:r>
        <w:t xml:space="preserve"> </w:t>
      </w:r>
      <w:proofErr w:type="spellStart"/>
      <w:r>
        <w:t>teriparatide</w:t>
      </w:r>
      <w:proofErr w:type="spellEnd"/>
      <w:r w:rsidR="00251F2F">
        <w:t xml:space="preserve"> </w:t>
      </w:r>
      <w:r>
        <w:t>controlled study, the incidence of treatment emergent fracture AEs was similar in the teriparatide (8</w:t>
      </w:r>
      <w:r w:rsidR="00284EFB">
        <w:t xml:space="preserve"> of </w:t>
      </w:r>
      <w:r>
        <w:t>214, 3.7%) and the romosozumab (8</w:t>
      </w:r>
      <w:r w:rsidR="00284EFB">
        <w:t xml:space="preserve"> of </w:t>
      </w:r>
      <w:r>
        <w:t xml:space="preserve">218, 3.7%) groups. In the </w:t>
      </w:r>
      <w:r w:rsidR="00284EFB">
        <w:t>P</w:t>
      </w:r>
      <w:r>
        <w:t xml:space="preserve">hase </w:t>
      </w:r>
      <w:r w:rsidR="00284EFB">
        <w:t>III S</w:t>
      </w:r>
      <w:r>
        <w:t>tudy 20110174, the incidence of treatment emergent fracture AEs was numerically lower in the romosozumab (3</w:t>
      </w:r>
      <w:r w:rsidR="00284EFB">
        <w:t xml:space="preserve"> of </w:t>
      </w:r>
      <w:r>
        <w:t>163, 1</w:t>
      </w:r>
      <w:r w:rsidR="00284EFB">
        <w:t xml:space="preserve">.8%) compared to the placebo (3 of </w:t>
      </w:r>
      <w:r>
        <w:t xml:space="preserve">81, 3.7%) group at the </w:t>
      </w:r>
      <w:r w:rsidR="00284EFB">
        <w:t>M</w:t>
      </w:r>
      <w:r>
        <w:t xml:space="preserve">onth 15 final analysis. The Phase </w:t>
      </w:r>
      <w:r w:rsidR="00284EFB">
        <w:t>II S</w:t>
      </w:r>
      <w:r>
        <w:t>tudy 20101291 showed similar incidence of treatment emergent fracture AEs across the placebo, romosozumab 140</w:t>
      </w:r>
      <w:r w:rsidR="00284EFB">
        <w:t xml:space="preserve"> </w:t>
      </w:r>
      <w:r>
        <w:t xml:space="preserve">mg SC </w:t>
      </w:r>
      <w:r w:rsidR="00284EFB">
        <w:t>monthly</w:t>
      </w:r>
      <w:r>
        <w:t xml:space="preserve"> and 210</w:t>
      </w:r>
      <w:r w:rsidR="00284EFB">
        <w:t xml:space="preserve"> </w:t>
      </w:r>
      <w:r>
        <w:t xml:space="preserve">mg SC </w:t>
      </w:r>
      <w:r w:rsidR="00284EFB">
        <w:t>monthly</w:t>
      </w:r>
      <w:r>
        <w:t xml:space="preserve"> and 70</w:t>
      </w:r>
      <w:r w:rsidR="00284EFB">
        <w:t xml:space="preserve"> </w:t>
      </w:r>
      <w:r>
        <w:t xml:space="preserve">mg SC </w:t>
      </w:r>
      <w:r w:rsidR="00F4166D">
        <w:t>monthly</w:t>
      </w:r>
      <w:r>
        <w:t xml:space="preserve"> groups (3.2%, 3.</w:t>
      </w:r>
      <w:r w:rsidR="00C55589">
        <w:t>2%, 3.2% and 1.6%, respectively</w:t>
      </w:r>
      <w:r>
        <w:t xml:space="preserve">). In Phase </w:t>
      </w:r>
      <w:r w:rsidR="00F4166D">
        <w:t>II</w:t>
      </w:r>
      <w:r>
        <w:t xml:space="preserve"> </w:t>
      </w:r>
      <w:r w:rsidR="00F4166D">
        <w:t>S</w:t>
      </w:r>
      <w:r>
        <w:t>tudy 20060326, slight numerical imbalances were observed in the subject incidence of treatment emergent fracture AEs between the placebo (0%), alendronate (5.9%), teriparatide (3.7%) and various romosozumab dose regimen groups (6%, 3.8%, 2%, 3.8% and 3.9% in the 70</w:t>
      </w:r>
      <w:r w:rsidR="00F4166D">
        <w:t xml:space="preserve"> </w:t>
      </w:r>
      <w:r>
        <w:t xml:space="preserve">mg </w:t>
      </w:r>
      <w:r w:rsidR="00F4166D">
        <w:t>monthly</w:t>
      </w:r>
      <w:r>
        <w:t>, 140</w:t>
      </w:r>
      <w:r w:rsidR="00F4166D">
        <w:t xml:space="preserve"> </w:t>
      </w:r>
      <w:r>
        <w:t xml:space="preserve">mg </w:t>
      </w:r>
      <w:r w:rsidR="00F4166D">
        <w:t>three monthly</w:t>
      </w:r>
      <w:r>
        <w:t>, 140</w:t>
      </w:r>
      <w:r w:rsidR="00F4166D">
        <w:t xml:space="preserve"> </w:t>
      </w:r>
      <w:r>
        <w:t xml:space="preserve">mg </w:t>
      </w:r>
      <w:r w:rsidR="00F4166D">
        <w:t>monthly</w:t>
      </w:r>
      <w:r>
        <w:t>, 210</w:t>
      </w:r>
      <w:r w:rsidR="00F4166D">
        <w:t xml:space="preserve"> </w:t>
      </w:r>
      <w:r>
        <w:t xml:space="preserve">mg </w:t>
      </w:r>
      <w:r w:rsidR="00F4166D">
        <w:t>three monthly</w:t>
      </w:r>
      <w:r>
        <w:t xml:space="preserve"> and 210</w:t>
      </w:r>
      <w:r w:rsidR="00F4166D">
        <w:t xml:space="preserve"> </w:t>
      </w:r>
      <w:r>
        <w:t xml:space="preserve">mg </w:t>
      </w:r>
      <w:r w:rsidR="00F4166D">
        <w:t>monthly</w:t>
      </w:r>
      <w:r>
        <w:t xml:space="preserve"> </w:t>
      </w:r>
      <w:r>
        <w:lastRenderedPageBreak/>
        <w:t>groups, respectively). No trends were observed with respect to types of fractures with upper limb fractures being most common across all treatment groups in all above studies.</w:t>
      </w:r>
    </w:p>
    <w:p w14:paraId="1C359C58" w14:textId="0F89CCFD" w:rsidR="003F09E4" w:rsidRDefault="00605AD4" w:rsidP="00546154">
      <w:pPr>
        <w:pStyle w:val="Heading3"/>
        <w:rPr>
          <w:rFonts w:eastAsia="Cambria"/>
        </w:rPr>
      </w:pPr>
      <w:bookmarkStart w:id="108" w:name="_Toc32481919"/>
      <w:r w:rsidRPr="00605AD4">
        <w:rPr>
          <w:rFonts w:eastAsia="Cambria"/>
        </w:rPr>
        <w:t xml:space="preserve">Second </w:t>
      </w:r>
      <w:r w:rsidR="00534C3E" w:rsidRPr="00605AD4">
        <w:rPr>
          <w:rFonts w:eastAsia="Cambria"/>
        </w:rPr>
        <w:t>round benefit-risk assessment</w:t>
      </w:r>
      <w:bookmarkEnd w:id="108"/>
    </w:p>
    <w:p w14:paraId="4FBB8FD2" w14:textId="77777777" w:rsidR="004B455E" w:rsidRDefault="004B455E" w:rsidP="004B455E">
      <w:r w:rsidRPr="004B455E">
        <w:t xml:space="preserve">After consideration of the responses to clinical questions, the benefits of </w:t>
      </w:r>
      <w:r w:rsidR="00C36ACF">
        <w:t>Evenity</w:t>
      </w:r>
      <w:r w:rsidRPr="004B455E">
        <w:t xml:space="preserve"> in the proposed usage are unchanged from those identified </w:t>
      </w:r>
      <w:r w:rsidR="00F4166D">
        <w:t>above.</w:t>
      </w:r>
    </w:p>
    <w:p w14:paraId="69893970" w14:textId="474F3972" w:rsidR="004B455E" w:rsidRDefault="004B455E" w:rsidP="004B455E">
      <w:r>
        <w:t xml:space="preserve">After consideration of the responses to clinical questions, the risks of </w:t>
      </w:r>
      <w:r w:rsidR="00C36ACF">
        <w:t>Evenity</w:t>
      </w:r>
      <w:r>
        <w:t xml:space="preserve"> in the proposed usage </w:t>
      </w:r>
      <w:r w:rsidR="006E3C62">
        <w:t>are as shown in Table 25, below.</w:t>
      </w:r>
    </w:p>
    <w:p w14:paraId="506D68D6" w14:textId="0FF44610" w:rsidR="004B455E" w:rsidRDefault="004B455E" w:rsidP="00C61641">
      <w:pPr>
        <w:pStyle w:val="TableTitle"/>
      </w:pPr>
      <w:r>
        <w:t>Table</w:t>
      </w:r>
      <w:r w:rsidR="00A62BA9">
        <w:t xml:space="preserve"> 25</w:t>
      </w:r>
      <w:r w:rsidR="00C61641">
        <w:t>: Second round</w:t>
      </w:r>
      <w:r w:rsidR="006E3C62">
        <w:t xml:space="preserve"> assessment of</w:t>
      </w:r>
      <w:r w:rsidR="00C61641">
        <w:t xml:space="preserve"> </w:t>
      </w:r>
      <w:r w:rsidR="006E3C62">
        <w:t>risks</w:t>
      </w:r>
    </w:p>
    <w:tbl>
      <w:tblPr>
        <w:tblStyle w:val="TableTGAblue"/>
        <w:tblW w:w="0" w:type="auto"/>
        <w:tblLook w:val="04A0" w:firstRow="1" w:lastRow="0" w:firstColumn="1" w:lastColumn="0" w:noHBand="0" w:noVBand="1"/>
      </w:tblPr>
      <w:tblGrid>
        <w:gridCol w:w="4352"/>
        <w:gridCol w:w="4368"/>
      </w:tblGrid>
      <w:tr w:rsidR="004B455E" w:rsidRPr="00CB2E4E" w14:paraId="46D2C813" w14:textId="77777777" w:rsidTr="004B455E">
        <w:trPr>
          <w:cnfStyle w:val="100000000000" w:firstRow="1" w:lastRow="0" w:firstColumn="0" w:lastColumn="0" w:oddVBand="0" w:evenVBand="0" w:oddHBand="0" w:evenHBand="0" w:firstRowFirstColumn="0" w:firstRowLastColumn="0" w:lastRowFirstColumn="0" w:lastRowLastColumn="0"/>
        </w:trPr>
        <w:tc>
          <w:tcPr>
            <w:tcW w:w="4352" w:type="dxa"/>
          </w:tcPr>
          <w:p w14:paraId="105BA9D8" w14:textId="77777777" w:rsidR="004B455E" w:rsidRPr="00CB2E4E" w:rsidRDefault="004B455E" w:rsidP="004B455E">
            <w:r w:rsidRPr="00CB2E4E">
              <w:t>Risks</w:t>
            </w:r>
          </w:p>
        </w:tc>
        <w:tc>
          <w:tcPr>
            <w:tcW w:w="4368" w:type="dxa"/>
          </w:tcPr>
          <w:p w14:paraId="278F7D9D" w14:textId="77777777" w:rsidR="004B455E" w:rsidRPr="00CB2E4E" w:rsidRDefault="004B455E" w:rsidP="004B455E">
            <w:r w:rsidRPr="00CB2E4E">
              <w:t>Strengths and Uncertainties</w:t>
            </w:r>
          </w:p>
        </w:tc>
      </w:tr>
      <w:tr w:rsidR="004B455E" w:rsidRPr="00CB2E4E" w14:paraId="4E900DB7" w14:textId="77777777" w:rsidTr="004B455E">
        <w:tc>
          <w:tcPr>
            <w:tcW w:w="4352" w:type="dxa"/>
          </w:tcPr>
          <w:p w14:paraId="1F526B27" w14:textId="77777777" w:rsidR="008D74BF" w:rsidRDefault="004B455E" w:rsidP="004B455E">
            <w:pPr>
              <w:rPr>
                <w:rFonts w:cstheme="minorHAnsi"/>
              </w:rPr>
            </w:pPr>
            <w:r w:rsidRPr="00CB2E4E">
              <w:rPr>
                <w:rFonts w:cstheme="minorHAnsi"/>
              </w:rPr>
              <w:t xml:space="preserve">Evidence for reduction in risk of </w:t>
            </w:r>
            <w:r w:rsidR="00864D4D">
              <w:rPr>
                <w:rFonts w:cstheme="minorHAnsi"/>
              </w:rPr>
              <w:t>non-vertebral</w:t>
            </w:r>
            <w:r w:rsidRPr="00CB2E4E">
              <w:rPr>
                <w:rFonts w:cstheme="minorHAnsi"/>
              </w:rPr>
              <w:t xml:space="preserve"> fractures was not consistent in both pivotal Phase </w:t>
            </w:r>
            <w:r w:rsidR="00F4166D">
              <w:rPr>
                <w:rFonts w:cstheme="minorHAnsi"/>
              </w:rPr>
              <w:t xml:space="preserve">III </w:t>
            </w:r>
            <w:r w:rsidRPr="00CB2E4E">
              <w:rPr>
                <w:rFonts w:cstheme="minorHAnsi"/>
              </w:rPr>
              <w:t xml:space="preserve">studies in women with </w:t>
            </w:r>
            <w:r w:rsidR="00C36ACF">
              <w:rPr>
                <w:rFonts w:cstheme="minorHAnsi"/>
              </w:rPr>
              <w:t>postmenopausal osteoporosis</w:t>
            </w:r>
            <w:r w:rsidR="008D74BF">
              <w:rPr>
                <w:rFonts w:cstheme="minorHAnsi"/>
              </w:rPr>
              <w:t>.</w:t>
            </w:r>
          </w:p>
          <w:p w14:paraId="37E58060" w14:textId="2D2A6357" w:rsidR="004B455E" w:rsidRPr="00CB2E4E" w:rsidRDefault="004B455E" w:rsidP="00245945">
            <w:pPr>
              <w:rPr>
                <w:rFonts w:cstheme="minorHAnsi"/>
              </w:rPr>
            </w:pPr>
            <w:r w:rsidRPr="00CB2E4E">
              <w:rPr>
                <w:rFonts w:cstheme="minorHAnsi"/>
                <w:color w:val="000000"/>
              </w:rPr>
              <w:t xml:space="preserve">In the </w:t>
            </w:r>
            <w:r w:rsidR="00566372">
              <w:rPr>
                <w:rFonts w:cstheme="minorHAnsi"/>
                <w:color w:val="000000"/>
              </w:rPr>
              <w:t>placebo controlled</w:t>
            </w:r>
            <w:r w:rsidRPr="00CB2E4E">
              <w:rPr>
                <w:rFonts w:cstheme="minorHAnsi"/>
                <w:color w:val="000000"/>
              </w:rPr>
              <w:t xml:space="preserve"> </w:t>
            </w:r>
            <w:r w:rsidR="00245945">
              <w:rPr>
                <w:rFonts w:cstheme="minorHAnsi"/>
                <w:color w:val="000000"/>
              </w:rPr>
              <w:t>S</w:t>
            </w:r>
            <w:r w:rsidRPr="00CB2E4E">
              <w:rPr>
                <w:rFonts w:cstheme="minorHAnsi"/>
                <w:color w:val="000000"/>
              </w:rPr>
              <w:t>tudy</w:t>
            </w:r>
            <w:r w:rsidR="006E3C62">
              <w:rPr>
                <w:rFonts w:cstheme="minorHAnsi"/>
                <w:color w:val="000000"/>
              </w:rPr>
              <w:t> </w:t>
            </w:r>
            <w:r w:rsidRPr="00CB2E4E">
              <w:rPr>
                <w:rFonts w:cstheme="minorHAnsi"/>
                <w:color w:val="000000"/>
              </w:rPr>
              <w:t xml:space="preserve">20070337, romosozumab treatment for 12 months failed to show statistically significant reduction in the incidence of </w:t>
            </w:r>
            <w:r w:rsidR="00864D4D">
              <w:rPr>
                <w:rFonts w:cstheme="minorHAnsi"/>
                <w:color w:val="000000"/>
              </w:rPr>
              <w:t>non-vertebral</w:t>
            </w:r>
            <w:r w:rsidRPr="00CB2E4E">
              <w:rPr>
                <w:rFonts w:cstheme="minorHAnsi"/>
                <w:color w:val="000000"/>
              </w:rPr>
              <w:t xml:space="preserve"> fracture at </w:t>
            </w:r>
            <w:r w:rsidR="00F4166D">
              <w:rPr>
                <w:rFonts w:cstheme="minorHAnsi"/>
                <w:color w:val="000000"/>
              </w:rPr>
              <w:t>M</w:t>
            </w:r>
            <w:r w:rsidRPr="00CB2E4E">
              <w:rPr>
                <w:rFonts w:cstheme="minorHAnsi"/>
                <w:color w:val="000000"/>
              </w:rPr>
              <w:t xml:space="preserve">onth 12 (romosozumab </w:t>
            </w:r>
            <w:r w:rsidR="00CE639A">
              <w:rPr>
                <w:rFonts w:cstheme="minorHAnsi"/>
                <w:color w:val="000000"/>
              </w:rPr>
              <w:t xml:space="preserve">versus </w:t>
            </w:r>
            <w:r w:rsidRPr="00CB2E4E">
              <w:rPr>
                <w:rFonts w:cstheme="minorHAnsi"/>
                <w:color w:val="000000"/>
              </w:rPr>
              <w:t xml:space="preserve">placebo: 1.6% </w:t>
            </w:r>
            <w:r w:rsidR="00CE639A">
              <w:rPr>
                <w:rFonts w:cstheme="minorHAnsi"/>
                <w:color w:val="000000"/>
              </w:rPr>
              <w:t xml:space="preserve">versus </w:t>
            </w:r>
            <w:r w:rsidRPr="00CB2E4E">
              <w:rPr>
                <w:rFonts w:cstheme="minorHAnsi"/>
                <w:color w:val="000000"/>
              </w:rPr>
              <w:t xml:space="preserve">2.1%, </w:t>
            </w:r>
            <w:r w:rsidR="00566372">
              <w:rPr>
                <w:rFonts w:cstheme="minorHAnsi"/>
                <w:color w:val="000000"/>
              </w:rPr>
              <w:t>odds ratio</w:t>
            </w:r>
            <w:r w:rsidR="006E3C62">
              <w:rPr>
                <w:rFonts w:cstheme="minorHAnsi"/>
                <w:color w:val="000000"/>
              </w:rPr>
              <w:t> </w:t>
            </w:r>
            <w:r w:rsidR="00566372">
              <w:rPr>
                <w:rFonts w:cstheme="minorHAnsi"/>
                <w:color w:val="000000"/>
              </w:rPr>
              <w:t>=</w:t>
            </w:r>
            <w:r w:rsidR="006E3C62">
              <w:rPr>
                <w:rFonts w:cstheme="minorHAnsi"/>
                <w:color w:val="000000"/>
              </w:rPr>
              <w:t> </w:t>
            </w:r>
            <w:r w:rsidRPr="00CB2E4E">
              <w:rPr>
                <w:rFonts w:cstheme="minorHAnsi"/>
                <w:color w:val="000000"/>
              </w:rPr>
              <w:t xml:space="preserve">0.75, adjusted </w:t>
            </w:r>
            <w:r w:rsidR="00566372">
              <w:rPr>
                <w:rFonts w:cstheme="minorHAnsi"/>
                <w:color w:val="000000"/>
              </w:rPr>
              <w:t xml:space="preserve">p = </w:t>
            </w:r>
            <w:r w:rsidRPr="00CB2E4E">
              <w:rPr>
                <w:rFonts w:cstheme="minorHAnsi"/>
                <w:color w:val="000000"/>
              </w:rPr>
              <w:t xml:space="preserve">0.096) or 24 (romosozumab/ denosumab </w:t>
            </w:r>
            <w:r w:rsidR="00CE639A">
              <w:rPr>
                <w:rFonts w:cstheme="minorHAnsi"/>
                <w:color w:val="000000"/>
              </w:rPr>
              <w:t xml:space="preserve">versus </w:t>
            </w:r>
            <w:r w:rsidRPr="00CB2E4E">
              <w:rPr>
                <w:rFonts w:cstheme="minorHAnsi"/>
                <w:color w:val="000000"/>
              </w:rPr>
              <w:t>placebo/</w:t>
            </w:r>
            <w:r w:rsidR="00F4166D">
              <w:rPr>
                <w:rFonts w:cstheme="minorHAnsi"/>
                <w:color w:val="000000"/>
              </w:rPr>
              <w:t xml:space="preserve"> </w:t>
            </w:r>
            <w:r w:rsidRPr="00CB2E4E">
              <w:rPr>
                <w:rFonts w:cstheme="minorHAnsi"/>
                <w:color w:val="000000"/>
              </w:rPr>
              <w:t xml:space="preserve">denosumab: 2.7% </w:t>
            </w:r>
            <w:r w:rsidR="00CE639A">
              <w:rPr>
                <w:rFonts w:cstheme="minorHAnsi"/>
                <w:color w:val="000000"/>
              </w:rPr>
              <w:t xml:space="preserve">versus </w:t>
            </w:r>
            <w:r w:rsidRPr="00CB2E4E">
              <w:rPr>
                <w:rFonts w:cstheme="minorHAnsi"/>
                <w:color w:val="000000"/>
              </w:rPr>
              <w:t xml:space="preserve">3.6%, </w:t>
            </w:r>
            <w:r w:rsidR="00566372">
              <w:rPr>
                <w:rFonts w:cstheme="minorHAnsi"/>
                <w:color w:val="000000"/>
              </w:rPr>
              <w:t xml:space="preserve">odds ratio = </w:t>
            </w:r>
            <w:r w:rsidRPr="00CB2E4E">
              <w:rPr>
                <w:rFonts w:cstheme="minorHAnsi"/>
                <w:color w:val="000000"/>
              </w:rPr>
              <w:t xml:space="preserve">0.75, adjusted </w:t>
            </w:r>
            <w:r w:rsidR="00566372">
              <w:rPr>
                <w:rFonts w:cstheme="minorHAnsi"/>
                <w:color w:val="000000"/>
              </w:rPr>
              <w:t>p</w:t>
            </w:r>
            <w:r w:rsidR="006E3C62">
              <w:rPr>
                <w:rFonts w:cstheme="minorHAnsi"/>
                <w:color w:val="000000"/>
              </w:rPr>
              <w:t> </w:t>
            </w:r>
            <w:r w:rsidR="00566372">
              <w:rPr>
                <w:rFonts w:cstheme="minorHAnsi"/>
                <w:color w:val="000000"/>
              </w:rPr>
              <w:t>=</w:t>
            </w:r>
            <w:r w:rsidR="006E3C62">
              <w:rPr>
                <w:rFonts w:cstheme="minorHAnsi"/>
                <w:color w:val="000000"/>
              </w:rPr>
              <w:t> </w:t>
            </w:r>
            <w:r w:rsidR="00534C3E">
              <w:rPr>
                <w:rFonts w:cstheme="minorHAnsi"/>
                <w:color w:val="000000"/>
              </w:rPr>
              <w:t>0.057).</w:t>
            </w:r>
          </w:p>
        </w:tc>
        <w:tc>
          <w:tcPr>
            <w:tcW w:w="4368" w:type="dxa"/>
          </w:tcPr>
          <w:p w14:paraId="7A7AA81B" w14:textId="19EF3E14" w:rsidR="004B455E" w:rsidRPr="00CB2E4E" w:rsidRDefault="004B455E" w:rsidP="00F4166D">
            <w:pPr>
              <w:rPr>
                <w:rFonts w:cstheme="minorHAnsi"/>
                <w:i/>
                <w:u w:val="single"/>
              </w:rPr>
            </w:pPr>
            <w:r w:rsidRPr="00CB2E4E">
              <w:rPr>
                <w:rFonts w:cstheme="minorHAnsi"/>
                <w:color w:val="000000"/>
              </w:rPr>
              <w:t>In the alendronate</w:t>
            </w:r>
            <w:r w:rsidR="00F4166D">
              <w:rPr>
                <w:rFonts w:cstheme="minorHAnsi"/>
                <w:color w:val="000000"/>
              </w:rPr>
              <w:t xml:space="preserve"> controlled S</w:t>
            </w:r>
            <w:r w:rsidRPr="00CB2E4E">
              <w:rPr>
                <w:rFonts w:cstheme="minorHAnsi"/>
                <w:color w:val="000000"/>
              </w:rPr>
              <w:t>tudy</w:t>
            </w:r>
            <w:r w:rsidR="006E3C62">
              <w:rPr>
                <w:rFonts w:cstheme="minorHAnsi"/>
                <w:color w:val="000000"/>
              </w:rPr>
              <w:t> </w:t>
            </w:r>
            <w:r w:rsidRPr="00CB2E4E">
              <w:rPr>
                <w:rFonts w:cstheme="minorHAnsi"/>
                <w:color w:val="000000"/>
              </w:rPr>
              <w:t xml:space="preserve">20110142, </w:t>
            </w:r>
            <w:r w:rsidRPr="00CB2E4E">
              <w:rPr>
                <w:rFonts w:cstheme="minorHAnsi"/>
              </w:rPr>
              <w:t xml:space="preserve">romosozumab 210 mg </w:t>
            </w:r>
            <w:r w:rsidR="00F4166D">
              <w:rPr>
                <w:rFonts w:cstheme="minorHAnsi"/>
              </w:rPr>
              <w:t>monthly</w:t>
            </w:r>
            <w:r w:rsidRPr="00CB2E4E">
              <w:rPr>
                <w:rFonts w:cstheme="minorHAnsi"/>
              </w:rPr>
              <w:t xml:space="preserve"> for 12 months followed by alendronate 70 mg </w:t>
            </w:r>
            <w:r w:rsidR="00F4166D">
              <w:rPr>
                <w:rFonts w:cstheme="minorHAnsi"/>
              </w:rPr>
              <w:t>weekly</w:t>
            </w:r>
            <w:r w:rsidRPr="00CB2E4E">
              <w:rPr>
                <w:rFonts w:cstheme="minorHAnsi"/>
              </w:rPr>
              <w:t xml:space="preserve"> through the primary analysis significantly reduced the risk of </w:t>
            </w:r>
            <w:r w:rsidR="00864D4D">
              <w:rPr>
                <w:rFonts w:cstheme="minorHAnsi"/>
              </w:rPr>
              <w:t>non-vertebral</w:t>
            </w:r>
            <w:r w:rsidRPr="00CB2E4E">
              <w:rPr>
                <w:rFonts w:cstheme="minorHAnsi"/>
              </w:rPr>
              <w:t xml:space="preserve"> fractures by 19% (</w:t>
            </w:r>
            <w:r w:rsidRPr="00CB2E4E">
              <w:rPr>
                <w:rFonts w:cstheme="minorHAnsi"/>
                <w:color w:val="000000"/>
              </w:rPr>
              <w:t>romosozumab/alendronate: 178</w:t>
            </w:r>
            <w:r w:rsidR="00F4166D">
              <w:rPr>
                <w:rFonts w:cstheme="minorHAnsi"/>
                <w:color w:val="000000"/>
              </w:rPr>
              <w:t xml:space="preserve"> of </w:t>
            </w:r>
            <w:r w:rsidRPr="00CB2E4E">
              <w:rPr>
                <w:rFonts w:cstheme="minorHAnsi"/>
                <w:color w:val="000000"/>
              </w:rPr>
              <w:t xml:space="preserve">2046, 8.7% </w:t>
            </w:r>
            <w:r w:rsidR="00CE639A">
              <w:rPr>
                <w:rFonts w:cstheme="minorHAnsi"/>
                <w:color w:val="000000"/>
              </w:rPr>
              <w:t xml:space="preserve">versus </w:t>
            </w:r>
            <w:r w:rsidRPr="00CB2E4E">
              <w:rPr>
                <w:rFonts w:cstheme="minorHAnsi"/>
                <w:color w:val="000000"/>
              </w:rPr>
              <w:t>alendronate/ alendronate: 217</w:t>
            </w:r>
            <w:r w:rsidR="00F4166D">
              <w:rPr>
                <w:rFonts w:cstheme="minorHAnsi"/>
                <w:color w:val="000000"/>
              </w:rPr>
              <w:t xml:space="preserve"> of </w:t>
            </w:r>
            <w:r w:rsidRPr="00CB2E4E">
              <w:rPr>
                <w:rFonts w:cstheme="minorHAnsi"/>
                <w:color w:val="000000"/>
              </w:rPr>
              <w:t xml:space="preserve">2047, 10.6%; </w:t>
            </w:r>
            <w:r w:rsidR="00566372">
              <w:rPr>
                <w:rFonts w:cstheme="minorHAnsi"/>
                <w:color w:val="000000"/>
              </w:rPr>
              <w:t xml:space="preserve">hazard ratio = </w:t>
            </w:r>
            <w:r w:rsidRPr="00CB2E4E">
              <w:rPr>
                <w:rFonts w:cstheme="minorHAnsi"/>
                <w:color w:val="000000"/>
              </w:rPr>
              <w:t>0.81, 95% CI: 0.66</w:t>
            </w:r>
            <w:r w:rsidR="00F4166D">
              <w:rPr>
                <w:rFonts w:cstheme="minorHAnsi"/>
                <w:color w:val="000000"/>
              </w:rPr>
              <w:t xml:space="preserve"> to</w:t>
            </w:r>
            <w:r w:rsidRPr="00CB2E4E">
              <w:rPr>
                <w:rFonts w:cstheme="minorHAnsi"/>
                <w:color w:val="000000"/>
              </w:rPr>
              <w:t xml:space="preserve"> 0.99; 2-sided adjusted p =</w:t>
            </w:r>
            <w:r w:rsidR="00F4166D">
              <w:rPr>
                <w:rFonts w:cstheme="minorHAnsi"/>
                <w:color w:val="000000"/>
              </w:rPr>
              <w:t xml:space="preserve"> </w:t>
            </w:r>
            <w:r w:rsidRPr="00CB2E4E">
              <w:rPr>
                <w:rFonts w:cstheme="minorHAnsi"/>
                <w:color w:val="000000"/>
              </w:rPr>
              <w:t>0.040)</w:t>
            </w:r>
            <w:r w:rsidRPr="00CB2E4E">
              <w:rPr>
                <w:rFonts w:cstheme="minorHAnsi"/>
                <w:b/>
                <w:color w:val="000000"/>
              </w:rPr>
              <w:t>.</w:t>
            </w:r>
            <w:r w:rsidRPr="00CB2E4E">
              <w:rPr>
                <w:rFonts w:cstheme="minorHAnsi"/>
                <w:color w:val="000000"/>
              </w:rPr>
              <w:t xml:space="preserve"> </w:t>
            </w:r>
          </w:p>
        </w:tc>
      </w:tr>
      <w:tr w:rsidR="004B455E" w:rsidRPr="00CB2E4E" w14:paraId="6A551084" w14:textId="77777777" w:rsidTr="004B455E">
        <w:tc>
          <w:tcPr>
            <w:tcW w:w="4352" w:type="dxa"/>
          </w:tcPr>
          <w:p w14:paraId="076B13B4" w14:textId="77777777" w:rsidR="004B455E" w:rsidRPr="00CB2E4E" w:rsidRDefault="004B455E" w:rsidP="004B455E">
            <w:pPr>
              <w:rPr>
                <w:rFonts w:cstheme="minorHAnsi"/>
              </w:rPr>
            </w:pPr>
            <w:r w:rsidRPr="00CB2E4E">
              <w:rPr>
                <w:rFonts w:cstheme="minorHAnsi"/>
              </w:rPr>
              <w:t>Increased risk of hypersensitivity reactions</w:t>
            </w:r>
          </w:p>
        </w:tc>
        <w:tc>
          <w:tcPr>
            <w:tcW w:w="4368" w:type="dxa"/>
          </w:tcPr>
          <w:p w14:paraId="31DF9B49" w14:textId="77777777" w:rsidR="004B455E" w:rsidRPr="00CB2E4E" w:rsidRDefault="004B455E" w:rsidP="004B455E">
            <w:pPr>
              <w:rPr>
                <w:rFonts w:cstheme="minorHAnsi"/>
                <w:i/>
                <w:u w:val="single"/>
              </w:rPr>
            </w:pPr>
            <w:r w:rsidRPr="00CB2E4E">
              <w:rPr>
                <w:rFonts w:cstheme="minorHAnsi"/>
              </w:rPr>
              <w:t xml:space="preserve">Clinically significant hypersensitivity reactions, including dermatitis, rash, angioedema, erythema </w:t>
            </w:r>
            <w:proofErr w:type="spellStart"/>
            <w:r w:rsidRPr="00CB2E4E">
              <w:rPr>
                <w:rFonts w:cstheme="minorHAnsi"/>
              </w:rPr>
              <w:t>multiforme</w:t>
            </w:r>
            <w:proofErr w:type="spellEnd"/>
            <w:r w:rsidRPr="00CB2E4E">
              <w:rPr>
                <w:rFonts w:cstheme="minorHAnsi"/>
              </w:rPr>
              <w:t xml:space="preserve"> and </w:t>
            </w:r>
            <w:proofErr w:type="spellStart"/>
            <w:r w:rsidRPr="00CB2E4E">
              <w:rPr>
                <w:rFonts w:cstheme="minorHAnsi"/>
              </w:rPr>
              <w:t>urticaria</w:t>
            </w:r>
            <w:proofErr w:type="spellEnd"/>
            <w:r w:rsidRPr="00CB2E4E">
              <w:rPr>
                <w:rFonts w:cstheme="minorHAnsi"/>
              </w:rPr>
              <w:t>, occurred in the romosozumab group.</w:t>
            </w:r>
          </w:p>
        </w:tc>
      </w:tr>
      <w:tr w:rsidR="004B455E" w:rsidRPr="00CB2E4E" w14:paraId="174DA279" w14:textId="77777777" w:rsidTr="004B455E">
        <w:tc>
          <w:tcPr>
            <w:tcW w:w="4352" w:type="dxa"/>
          </w:tcPr>
          <w:p w14:paraId="5C677F5A" w14:textId="77777777" w:rsidR="004B455E" w:rsidRPr="00CB2E4E" w:rsidRDefault="004B455E" w:rsidP="004B455E">
            <w:pPr>
              <w:rPr>
                <w:rFonts w:cstheme="minorHAnsi"/>
              </w:rPr>
            </w:pPr>
            <w:r w:rsidRPr="00CB2E4E">
              <w:rPr>
                <w:rFonts w:cstheme="minorHAnsi"/>
              </w:rPr>
              <w:t>Increased risk of hypocalcaemia. Inhibition of sclerostin by romosozumab leads to rapid bone mass accrual at initiation of treatment and an increased demand for bone-building substrates such as calcium.</w:t>
            </w:r>
          </w:p>
        </w:tc>
        <w:tc>
          <w:tcPr>
            <w:tcW w:w="4368" w:type="dxa"/>
          </w:tcPr>
          <w:p w14:paraId="098D9303" w14:textId="77777777" w:rsidR="004B455E" w:rsidRPr="00CB2E4E" w:rsidRDefault="004B455E" w:rsidP="004B455E">
            <w:pPr>
              <w:rPr>
                <w:rFonts w:cstheme="minorHAnsi"/>
                <w:i/>
                <w:u w:val="single"/>
              </w:rPr>
            </w:pPr>
            <w:r w:rsidRPr="00CB2E4E">
              <w:rPr>
                <w:rFonts w:cstheme="minorHAnsi"/>
              </w:rPr>
              <w:t xml:space="preserve">Mild and transitory decreases in albumin-corrected calcium and a compensatory increase in </w:t>
            </w:r>
            <w:r w:rsidR="002B04AF">
              <w:rPr>
                <w:rFonts w:cstheme="minorHAnsi"/>
              </w:rPr>
              <w:t>intact parathyroid hormone</w:t>
            </w:r>
            <w:r w:rsidRPr="00CB2E4E">
              <w:rPr>
                <w:rFonts w:cstheme="minorHAnsi"/>
              </w:rPr>
              <w:t xml:space="preserve"> were observed after initiation of romosozumab.</w:t>
            </w:r>
          </w:p>
        </w:tc>
      </w:tr>
      <w:tr w:rsidR="004B455E" w:rsidRPr="00CB2E4E" w14:paraId="2684F107" w14:textId="77777777" w:rsidTr="004B455E">
        <w:tc>
          <w:tcPr>
            <w:tcW w:w="4352" w:type="dxa"/>
          </w:tcPr>
          <w:p w14:paraId="185EC145" w14:textId="77777777" w:rsidR="004B455E" w:rsidRPr="00CB2E4E" w:rsidRDefault="004B455E" w:rsidP="00F4166D">
            <w:pPr>
              <w:rPr>
                <w:rFonts w:cstheme="minorHAnsi"/>
                <w:i/>
              </w:rPr>
            </w:pPr>
            <w:r w:rsidRPr="00CB2E4E">
              <w:rPr>
                <w:rFonts w:cstheme="minorHAnsi"/>
              </w:rPr>
              <w:t xml:space="preserve">During the </w:t>
            </w:r>
            <w:r w:rsidR="00531AFF">
              <w:rPr>
                <w:rFonts w:cstheme="minorHAnsi"/>
              </w:rPr>
              <w:t>12 month</w:t>
            </w:r>
            <w:r w:rsidRPr="00CB2E4E">
              <w:rPr>
                <w:rFonts w:cstheme="minorHAnsi"/>
              </w:rPr>
              <w:t xml:space="preserve">, </w:t>
            </w:r>
            <w:r w:rsidR="00566372">
              <w:rPr>
                <w:rFonts w:cstheme="minorHAnsi"/>
              </w:rPr>
              <w:t>double blind</w:t>
            </w:r>
            <w:r w:rsidRPr="00CB2E4E">
              <w:rPr>
                <w:rFonts w:cstheme="minorHAnsi"/>
              </w:rPr>
              <w:t>, alendronate</w:t>
            </w:r>
            <w:r w:rsidR="00F4166D">
              <w:rPr>
                <w:rFonts w:cstheme="minorHAnsi"/>
              </w:rPr>
              <w:t xml:space="preserve"> </w:t>
            </w:r>
            <w:r w:rsidRPr="00CB2E4E">
              <w:rPr>
                <w:rFonts w:cstheme="minorHAnsi"/>
              </w:rPr>
              <w:t xml:space="preserve">controlled portion of Study 20110142 (n = 4054), there was a numerical imbalance observed between the romosozumab and alendronate groups in the incidence of positively adjudicated cardiovascular SAEs (2.5% and 1.9%, respectively), mainly cardiac </w:t>
            </w:r>
            <w:r w:rsidRPr="00CB2E4E">
              <w:rPr>
                <w:rFonts w:cstheme="minorHAnsi"/>
              </w:rPr>
              <w:lastRenderedPageBreak/>
              <w:t xml:space="preserve">ischemic events (0.8% </w:t>
            </w:r>
            <w:r w:rsidR="00CE639A">
              <w:rPr>
                <w:rFonts w:cstheme="minorHAnsi"/>
              </w:rPr>
              <w:t xml:space="preserve">versus </w:t>
            </w:r>
            <w:r w:rsidRPr="00CB2E4E">
              <w:rPr>
                <w:rFonts w:cstheme="minorHAnsi"/>
              </w:rPr>
              <w:t xml:space="preserve">0.3%) and cerebrovascular events (0.8% </w:t>
            </w:r>
            <w:r w:rsidR="00CE639A">
              <w:rPr>
                <w:rFonts w:cstheme="minorHAnsi"/>
              </w:rPr>
              <w:t xml:space="preserve">versus </w:t>
            </w:r>
            <w:r w:rsidRPr="00CB2E4E">
              <w:rPr>
                <w:rFonts w:cstheme="minorHAnsi"/>
              </w:rPr>
              <w:t xml:space="preserve">0.3%). </w:t>
            </w:r>
          </w:p>
        </w:tc>
        <w:tc>
          <w:tcPr>
            <w:tcW w:w="4368" w:type="dxa"/>
          </w:tcPr>
          <w:p w14:paraId="06292838" w14:textId="77777777" w:rsidR="008D74BF" w:rsidRDefault="004B455E" w:rsidP="004B455E">
            <w:pPr>
              <w:rPr>
                <w:rFonts w:cstheme="minorHAnsi"/>
              </w:rPr>
            </w:pPr>
            <w:r w:rsidRPr="00CB2E4E">
              <w:rPr>
                <w:rFonts w:cstheme="minorHAnsi"/>
              </w:rPr>
              <w:lastRenderedPageBreak/>
              <w:t xml:space="preserve">This imbalance was not observed in the </w:t>
            </w:r>
            <w:r w:rsidR="00566372">
              <w:rPr>
                <w:rFonts w:cstheme="minorHAnsi"/>
              </w:rPr>
              <w:t>placebo controlled</w:t>
            </w:r>
            <w:r w:rsidRPr="00CB2E4E">
              <w:rPr>
                <w:rFonts w:cstheme="minorHAnsi"/>
              </w:rPr>
              <w:t xml:space="preserve"> fracture </w:t>
            </w:r>
            <w:r w:rsidR="00F4166D">
              <w:rPr>
                <w:rFonts w:cstheme="minorHAnsi"/>
              </w:rPr>
              <w:t>S</w:t>
            </w:r>
            <w:r w:rsidRPr="00CB2E4E">
              <w:rPr>
                <w:rFonts w:cstheme="minorHAnsi"/>
              </w:rPr>
              <w:t xml:space="preserve">tudy (20070337, n = 7157), where the subject incidence of positively adjudicated serious cardiovascular adverse events was 1.3% in the romosozumab and placebo groups. In both trials, most participants had </w:t>
            </w:r>
            <w:r w:rsidRPr="00CB2E4E">
              <w:rPr>
                <w:rFonts w:cstheme="minorHAnsi"/>
              </w:rPr>
              <w:lastRenderedPageBreak/>
              <w:t>common risk factors for cardiovascular disease, and within each trial, cardiovascular risk factors were balanced between treatment arms</w:t>
            </w:r>
            <w:r w:rsidR="008D74BF">
              <w:rPr>
                <w:rFonts w:cstheme="minorHAnsi"/>
              </w:rPr>
              <w:t>.</w:t>
            </w:r>
          </w:p>
          <w:p w14:paraId="73F8B000" w14:textId="521FD6A9" w:rsidR="004B455E" w:rsidRPr="00CB2E4E" w:rsidRDefault="004B455E" w:rsidP="004B455E">
            <w:pPr>
              <w:rPr>
                <w:rFonts w:cstheme="minorHAnsi"/>
                <w:i/>
                <w:u w:val="single"/>
              </w:rPr>
            </w:pPr>
            <w:r w:rsidRPr="00CB2E4E">
              <w:rPr>
                <w:rFonts w:cstheme="minorHAnsi"/>
              </w:rPr>
              <w:t>A comprehensive pharmacovigilance program and additional pharmacovigilance activities will be used to monitor this potential risk in the post</w:t>
            </w:r>
            <w:r w:rsidR="003458DF">
              <w:rPr>
                <w:rFonts w:cstheme="minorHAnsi"/>
              </w:rPr>
              <w:t xml:space="preserve"> </w:t>
            </w:r>
            <w:r w:rsidRPr="00CB2E4E">
              <w:rPr>
                <w:rFonts w:cstheme="minorHAnsi"/>
              </w:rPr>
              <w:t>marketing setting.</w:t>
            </w:r>
          </w:p>
        </w:tc>
      </w:tr>
      <w:tr w:rsidR="004B455E" w:rsidRPr="00CB2E4E" w14:paraId="5F83369D" w14:textId="77777777" w:rsidTr="004B455E">
        <w:tc>
          <w:tcPr>
            <w:tcW w:w="4352" w:type="dxa"/>
          </w:tcPr>
          <w:p w14:paraId="551F6B4A" w14:textId="6122B463" w:rsidR="004B455E" w:rsidRPr="00CB2E4E" w:rsidRDefault="00F4166D" w:rsidP="004B455E">
            <w:pPr>
              <w:rPr>
                <w:rFonts w:cstheme="minorHAnsi"/>
                <w:i/>
              </w:rPr>
            </w:pPr>
            <w:r>
              <w:rPr>
                <w:rFonts w:cstheme="minorHAnsi"/>
              </w:rPr>
              <w:lastRenderedPageBreak/>
              <w:t xml:space="preserve">Osteonecrosis of the jaw and atypical </w:t>
            </w:r>
            <w:r w:rsidR="00C85473">
              <w:rPr>
                <w:rFonts w:cstheme="minorHAnsi"/>
              </w:rPr>
              <w:t>femoral</w:t>
            </w:r>
            <w:r>
              <w:rPr>
                <w:rFonts w:cstheme="minorHAnsi"/>
              </w:rPr>
              <w:t xml:space="preserve"> fracture</w:t>
            </w:r>
            <w:r w:rsidR="004B455E" w:rsidRPr="00CB2E4E">
              <w:rPr>
                <w:rFonts w:cstheme="minorHAnsi"/>
              </w:rPr>
              <w:t xml:space="preserve"> are considered important potential risks for romosozumab and </w:t>
            </w:r>
            <w:r w:rsidR="004B455E" w:rsidRPr="00CB2E4E">
              <w:rPr>
                <w:rFonts w:cstheme="minorHAnsi"/>
                <w:color w:val="000000"/>
              </w:rPr>
              <w:t xml:space="preserve">have been reported in </w:t>
            </w:r>
            <w:r w:rsidR="00534C3E">
              <w:rPr>
                <w:rFonts w:cstheme="minorHAnsi"/>
                <w:color w:val="000000"/>
              </w:rPr>
              <w:t>patients receiving romosozumab.</w:t>
            </w:r>
          </w:p>
        </w:tc>
        <w:tc>
          <w:tcPr>
            <w:tcW w:w="4368" w:type="dxa"/>
          </w:tcPr>
          <w:p w14:paraId="3163D63E" w14:textId="77777777" w:rsidR="004B455E" w:rsidRPr="00CB2E4E" w:rsidRDefault="004B455E" w:rsidP="004B455E">
            <w:pPr>
              <w:rPr>
                <w:rFonts w:cstheme="minorHAnsi"/>
                <w:color w:val="000000"/>
                <w:lang w:eastAsia="en-US"/>
              </w:rPr>
            </w:pPr>
            <w:r w:rsidRPr="00CB2E4E">
              <w:rPr>
                <w:rFonts w:cstheme="minorHAnsi"/>
                <w:color w:val="000000"/>
                <w:lang w:eastAsia="en-US"/>
              </w:rPr>
              <w:t xml:space="preserve">The number of </w:t>
            </w:r>
            <w:r w:rsidR="00F4166D">
              <w:rPr>
                <w:rFonts w:cstheme="minorHAnsi"/>
              </w:rPr>
              <w:t xml:space="preserve">osteonecrosis of the jaw and atypical </w:t>
            </w:r>
            <w:r w:rsidR="00C85473">
              <w:rPr>
                <w:rFonts w:cstheme="minorHAnsi"/>
              </w:rPr>
              <w:t>femoral</w:t>
            </w:r>
            <w:r w:rsidR="00F4166D">
              <w:rPr>
                <w:rFonts w:cstheme="minorHAnsi"/>
              </w:rPr>
              <w:t xml:space="preserve"> fracture</w:t>
            </w:r>
            <w:r w:rsidR="00F4166D" w:rsidRPr="00CB2E4E">
              <w:rPr>
                <w:rFonts w:cstheme="minorHAnsi"/>
              </w:rPr>
              <w:t xml:space="preserve"> </w:t>
            </w:r>
            <w:r w:rsidRPr="00CB2E4E">
              <w:rPr>
                <w:rFonts w:cstheme="minorHAnsi"/>
                <w:color w:val="000000"/>
                <w:lang w:eastAsia="en-US"/>
              </w:rPr>
              <w:t>cases observed in the clinical trials was low and causality has not been established.</w:t>
            </w:r>
          </w:p>
          <w:p w14:paraId="5E1ED2A0" w14:textId="514FF788" w:rsidR="004B455E" w:rsidRPr="00CB2E4E" w:rsidRDefault="004B455E" w:rsidP="004B455E">
            <w:pPr>
              <w:rPr>
                <w:rFonts w:cstheme="minorHAnsi"/>
                <w:i/>
                <w:u w:val="single"/>
              </w:rPr>
            </w:pPr>
            <w:r w:rsidRPr="00CB2E4E">
              <w:rPr>
                <w:rFonts w:cstheme="minorHAnsi"/>
                <w:color w:val="000000"/>
                <w:lang w:eastAsia="en-US"/>
              </w:rPr>
              <w:t>Appropriate warnings/ precautio</w:t>
            </w:r>
            <w:r w:rsidR="00534C3E">
              <w:rPr>
                <w:rFonts w:cstheme="minorHAnsi"/>
                <w:color w:val="000000"/>
                <w:lang w:eastAsia="en-US"/>
              </w:rPr>
              <w:t>ns included in the proposed PI.</w:t>
            </w:r>
          </w:p>
        </w:tc>
      </w:tr>
      <w:tr w:rsidR="004B455E" w:rsidRPr="00CB2E4E" w14:paraId="4282EEC0" w14:textId="77777777" w:rsidTr="004B455E">
        <w:tc>
          <w:tcPr>
            <w:tcW w:w="4352" w:type="dxa"/>
          </w:tcPr>
          <w:p w14:paraId="47D313DB" w14:textId="77777777" w:rsidR="004B455E" w:rsidRPr="00CB2E4E" w:rsidRDefault="004B455E" w:rsidP="004B455E">
            <w:pPr>
              <w:rPr>
                <w:rFonts w:cstheme="minorHAnsi"/>
              </w:rPr>
            </w:pPr>
            <w:r w:rsidRPr="00CB2E4E">
              <w:rPr>
                <w:rFonts w:cstheme="minorHAnsi"/>
              </w:rPr>
              <w:t>Efficacy of romosozumab was only evaluated in postmenopausal women and men (aged over 50 years) with primary osteoporosis.</w:t>
            </w:r>
          </w:p>
        </w:tc>
        <w:tc>
          <w:tcPr>
            <w:tcW w:w="4368" w:type="dxa"/>
          </w:tcPr>
          <w:p w14:paraId="07AD84D7" w14:textId="4D708AA7" w:rsidR="004B455E" w:rsidRPr="00CB2E4E" w:rsidRDefault="004B455E" w:rsidP="004B455E">
            <w:pPr>
              <w:rPr>
                <w:rFonts w:cstheme="minorHAnsi"/>
              </w:rPr>
            </w:pPr>
            <w:r w:rsidRPr="00CB2E4E">
              <w:rPr>
                <w:rFonts w:cstheme="minorHAnsi"/>
              </w:rPr>
              <w:t>It was not evaluated in patients with glucocorticoid-induced</w:t>
            </w:r>
            <w:r w:rsidR="00F4166D">
              <w:rPr>
                <w:rFonts w:cstheme="minorHAnsi"/>
              </w:rPr>
              <w:t xml:space="preserve"> osteoporosis (as patients on &gt;</w:t>
            </w:r>
            <w:r w:rsidR="003458DF">
              <w:rPr>
                <w:rFonts w:cstheme="minorHAnsi"/>
              </w:rPr>
              <w:t xml:space="preserve"> </w:t>
            </w:r>
            <w:r w:rsidRPr="00CB2E4E">
              <w:rPr>
                <w:rFonts w:cstheme="minorHAnsi"/>
              </w:rPr>
              <w:t>7.5</w:t>
            </w:r>
            <w:r w:rsidR="003458DF">
              <w:rPr>
                <w:rFonts w:cstheme="minorHAnsi"/>
              </w:rPr>
              <w:t xml:space="preserve"> </w:t>
            </w:r>
            <w:r w:rsidRPr="00CB2E4E">
              <w:rPr>
                <w:rFonts w:cstheme="minorHAnsi"/>
              </w:rPr>
              <w:t>mg equivalent of prednisone were excluded from the studies) or other secondary osteoporosis conditions.</w:t>
            </w:r>
          </w:p>
          <w:p w14:paraId="26CDDC23" w14:textId="0D07539D" w:rsidR="004B455E" w:rsidRPr="00CB2E4E" w:rsidRDefault="004B455E" w:rsidP="004B455E">
            <w:pPr>
              <w:rPr>
                <w:rFonts w:cstheme="minorHAnsi"/>
                <w:color w:val="000000"/>
              </w:rPr>
            </w:pPr>
            <w:r w:rsidRPr="00CB2E4E">
              <w:rPr>
                <w:rFonts w:cstheme="minorHAnsi"/>
              </w:rPr>
              <w:t>This has been addressed by specifying ‘primary osteoporosis’ in w</w:t>
            </w:r>
            <w:r w:rsidR="00534C3E">
              <w:rPr>
                <w:rFonts w:cstheme="minorHAnsi"/>
              </w:rPr>
              <w:t>ording of proposed indications.</w:t>
            </w:r>
          </w:p>
        </w:tc>
      </w:tr>
      <w:tr w:rsidR="004B455E" w:rsidRPr="00CB2E4E" w14:paraId="2796175F" w14:textId="77777777" w:rsidTr="004B455E">
        <w:tc>
          <w:tcPr>
            <w:tcW w:w="4352" w:type="dxa"/>
          </w:tcPr>
          <w:p w14:paraId="340E12E5" w14:textId="3AC6AC5C" w:rsidR="004B455E" w:rsidRPr="00CB2E4E" w:rsidRDefault="004B455E" w:rsidP="004B455E">
            <w:pPr>
              <w:rPr>
                <w:rFonts w:cstheme="minorHAnsi"/>
              </w:rPr>
            </w:pPr>
            <w:r w:rsidRPr="00CB2E4E">
              <w:rPr>
                <w:rFonts w:cs="Arial"/>
                <w:color w:val="000000"/>
              </w:rPr>
              <w:t>Rebound or withdrawal effects without any other osteoporosis treatment following end of the 12 months of romosozum</w:t>
            </w:r>
            <w:r w:rsidR="00534C3E">
              <w:rPr>
                <w:rFonts w:cs="Arial"/>
                <w:color w:val="000000"/>
              </w:rPr>
              <w:t>ab treatment was not evaluated.</w:t>
            </w:r>
          </w:p>
        </w:tc>
        <w:tc>
          <w:tcPr>
            <w:tcW w:w="4368" w:type="dxa"/>
          </w:tcPr>
          <w:p w14:paraId="1AF79830" w14:textId="77777777" w:rsidR="004B455E" w:rsidRPr="00CB2E4E" w:rsidRDefault="004B455E" w:rsidP="004B455E">
            <w:pPr>
              <w:rPr>
                <w:rFonts w:cstheme="minorHAnsi"/>
              </w:rPr>
            </w:pPr>
          </w:p>
        </w:tc>
      </w:tr>
    </w:tbl>
    <w:p w14:paraId="440B5840" w14:textId="77777777" w:rsidR="004B455E" w:rsidRDefault="004B455E" w:rsidP="004B455E">
      <w:r>
        <w:t xml:space="preserve">It is recommended that marketing approval for </w:t>
      </w:r>
      <w:r w:rsidR="00C36ACF">
        <w:t>Evenity</w:t>
      </w:r>
      <w:r>
        <w:t xml:space="preserve"> be granted subject to incorporation of the following modified wording for the proposed indication and other minor changes suggested below:</w:t>
      </w:r>
    </w:p>
    <w:p w14:paraId="024566B2" w14:textId="0FA40986" w:rsidR="004B455E" w:rsidRPr="00F4166D" w:rsidRDefault="00C36ACF" w:rsidP="00F4166D">
      <w:pPr>
        <w:ind w:left="720"/>
        <w:rPr>
          <w:i/>
        </w:rPr>
      </w:pPr>
      <w:r w:rsidRPr="00F4166D">
        <w:rPr>
          <w:i/>
        </w:rPr>
        <w:t>Evenity</w:t>
      </w:r>
      <w:r w:rsidR="004B455E" w:rsidRPr="00F4166D">
        <w:rPr>
          <w:i/>
        </w:rPr>
        <w:t xml:space="preserve"> is indicated for the treatment of primary osteoporosis in postmenopausal women and in men at increased risk of fracture.</w:t>
      </w:r>
    </w:p>
    <w:p w14:paraId="3B816D2B" w14:textId="77777777" w:rsidR="008D74BF" w:rsidRDefault="004B455E" w:rsidP="004B455E">
      <w:r>
        <w:t xml:space="preserve">The approval for the proposed indication in men with primary osteoporosis at increased risk of fracture is subject to final TGA approval of </w:t>
      </w:r>
      <w:r w:rsidR="00C36ACF">
        <w:t>Evenity</w:t>
      </w:r>
      <w:r>
        <w:t xml:space="preserve"> for proposed indication in postmenopausal women with primary osteoporosis </w:t>
      </w:r>
      <w:r w:rsidR="004D16D9">
        <w:t>at increased risk of fracture</w:t>
      </w:r>
      <w:r w:rsidR="008D74BF">
        <w:t>.</w:t>
      </w:r>
    </w:p>
    <w:p w14:paraId="6F45CE6E" w14:textId="77777777" w:rsidR="008E7846" w:rsidRPr="00E41208" w:rsidRDefault="008E7846" w:rsidP="00546154">
      <w:pPr>
        <w:pStyle w:val="Heading2"/>
      </w:pPr>
      <w:bookmarkStart w:id="109" w:name="_Toc32481920"/>
      <w:r w:rsidRPr="00E41208">
        <w:lastRenderedPageBreak/>
        <w:t>V</w:t>
      </w:r>
      <w:r w:rsidR="00500337">
        <w:t>I</w:t>
      </w:r>
      <w:r w:rsidRPr="00E41208">
        <w:t xml:space="preserve">. Pharmacovigilance </w:t>
      </w:r>
      <w:r>
        <w:t>f</w:t>
      </w:r>
      <w:r w:rsidRPr="00E41208">
        <w:t>indings</w:t>
      </w:r>
      <w:bookmarkEnd w:id="101"/>
      <w:bookmarkEnd w:id="102"/>
      <w:bookmarkEnd w:id="109"/>
    </w:p>
    <w:p w14:paraId="574DE531" w14:textId="4FBFB2A5" w:rsidR="00456765" w:rsidRDefault="00386150" w:rsidP="003D4AC0">
      <w:pPr>
        <w:pStyle w:val="Heading3"/>
        <w:rPr>
          <w:lang w:eastAsia="en-AU"/>
        </w:rPr>
      </w:pPr>
      <w:bookmarkStart w:id="110" w:name="_Toc247691526"/>
      <w:bookmarkStart w:id="111" w:name="_Toc314842509"/>
      <w:bookmarkStart w:id="112" w:name="_Toc32481921"/>
      <w:r>
        <w:rPr>
          <w:lang w:eastAsia="en-AU"/>
        </w:rPr>
        <w:t>Risk m</w:t>
      </w:r>
      <w:r w:rsidR="008E7846">
        <w:rPr>
          <w:lang w:eastAsia="en-AU"/>
        </w:rPr>
        <w:t xml:space="preserve">anagement </w:t>
      </w:r>
      <w:r>
        <w:rPr>
          <w:lang w:eastAsia="en-AU"/>
        </w:rPr>
        <w:t>p</w:t>
      </w:r>
      <w:r w:rsidR="008E7846">
        <w:rPr>
          <w:lang w:eastAsia="en-AU"/>
        </w:rPr>
        <w:t>lan</w:t>
      </w:r>
      <w:bookmarkStart w:id="113" w:name="_Toc247691527"/>
      <w:bookmarkStart w:id="114" w:name="_Toc314842510"/>
      <w:bookmarkEnd w:id="110"/>
      <w:bookmarkEnd w:id="111"/>
      <w:r w:rsidR="00456765">
        <w:rPr>
          <w:rStyle w:val="FootnoteReference"/>
          <w:lang w:eastAsia="en-AU"/>
        </w:rPr>
        <w:footnoteReference w:id="53"/>
      </w:r>
      <w:bookmarkEnd w:id="112"/>
    </w:p>
    <w:p w14:paraId="625E657C" w14:textId="756C7559" w:rsidR="008D74BF" w:rsidRDefault="00CF0630" w:rsidP="00534C3E">
      <w:pPr>
        <w:rPr>
          <w:lang w:eastAsia="en-AU"/>
        </w:rPr>
      </w:pPr>
      <w:r>
        <w:rPr>
          <w:lang w:eastAsia="en-AU"/>
        </w:rPr>
        <w:t>The sponsor</w:t>
      </w:r>
      <w:r w:rsidR="00F604EE">
        <w:rPr>
          <w:lang w:eastAsia="en-AU"/>
        </w:rPr>
        <w:t xml:space="preserve"> has submitted EU-RMP version 0.1 (dated 10</w:t>
      </w:r>
      <w:r>
        <w:rPr>
          <w:lang w:eastAsia="en-AU"/>
        </w:rPr>
        <w:t> </w:t>
      </w:r>
      <w:r w:rsidR="00F604EE">
        <w:rPr>
          <w:lang w:eastAsia="en-AU"/>
        </w:rPr>
        <w:t xml:space="preserve">November 2017; </w:t>
      </w:r>
      <w:r>
        <w:rPr>
          <w:lang w:eastAsia="en-AU"/>
        </w:rPr>
        <w:t>data lock point (</w:t>
      </w:r>
      <w:r w:rsidR="00F604EE">
        <w:rPr>
          <w:lang w:eastAsia="en-AU"/>
        </w:rPr>
        <w:t>DLP</w:t>
      </w:r>
      <w:r>
        <w:rPr>
          <w:lang w:eastAsia="en-AU"/>
        </w:rPr>
        <w:t>)</w:t>
      </w:r>
      <w:r w:rsidR="00F604EE">
        <w:rPr>
          <w:lang w:eastAsia="en-AU"/>
        </w:rPr>
        <w:t xml:space="preserve"> 30 June 2017) and </w:t>
      </w:r>
      <w:r>
        <w:rPr>
          <w:lang w:eastAsia="en-AU"/>
        </w:rPr>
        <w:t xml:space="preserve">Australian </w:t>
      </w:r>
      <w:r w:rsidR="00DD1BA4">
        <w:rPr>
          <w:lang w:eastAsia="en-AU"/>
        </w:rPr>
        <w:t>S</w:t>
      </w:r>
      <w:r>
        <w:rPr>
          <w:lang w:eastAsia="en-AU"/>
        </w:rPr>
        <w:t>pecific Annex (</w:t>
      </w:r>
      <w:r w:rsidR="00F604EE">
        <w:rPr>
          <w:lang w:eastAsia="en-AU"/>
        </w:rPr>
        <w:t>ASA</w:t>
      </w:r>
      <w:r>
        <w:rPr>
          <w:lang w:eastAsia="en-AU"/>
        </w:rPr>
        <w:t>)</w:t>
      </w:r>
      <w:r w:rsidR="00F604EE">
        <w:rPr>
          <w:lang w:eastAsia="en-AU"/>
        </w:rPr>
        <w:t xml:space="preserve"> version 1.0 (dated 22 November 2017) in support of this application. An updated ASA version 2.0 (dated 26 June 2018) has been submitted with the sponsor’s response</w:t>
      </w:r>
      <w:r w:rsidR="00534C3E">
        <w:rPr>
          <w:lang w:eastAsia="en-AU"/>
        </w:rPr>
        <w:t xml:space="preserve"> to questions</w:t>
      </w:r>
      <w:r w:rsidR="008D74BF">
        <w:rPr>
          <w:lang w:eastAsia="en-AU"/>
        </w:rPr>
        <w:t>.</w:t>
      </w:r>
    </w:p>
    <w:p w14:paraId="5A683A56" w14:textId="7D2D0927" w:rsidR="00F604EE" w:rsidRDefault="00F604EE" w:rsidP="00534C3E">
      <w:pPr>
        <w:rPr>
          <w:lang w:eastAsia="en-AU"/>
        </w:rPr>
      </w:pPr>
      <w:r>
        <w:rPr>
          <w:lang w:eastAsia="en-AU"/>
        </w:rPr>
        <w:t xml:space="preserve">The </w:t>
      </w:r>
      <w:r w:rsidR="00534C3E">
        <w:rPr>
          <w:lang w:eastAsia="en-AU"/>
        </w:rPr>
        <w:t xml:space="preserve">proposed summary of safety concerns and their </w:t>
      </w:r>
      <w:r>
        <w:rPr>
          <w:lang w:eastAsia="en-AU"/>
        </w:rPr>
        <w:t>associated risk monitoring and mitigation strategies are summarised below</w:t>
      </w:r>
      <w:r w:rsidR="00CF0630">
        <w:rPr>
          <w:lang w:eastAsia="en-AU"/>
        </w:rPr>
        <w:t xml:space="preserve"> in Table 26.</w:t>
      </w:r>
    </w:p>
    <w:p w14:paraId="6B92CB7B" w14:textId="2CD35C44" w:rsidR="00C61641" w:rsidRDefault="00A62BA9" w:rsidP="00C61641">
      <w:pPr>
        <w:pStyle w:val="TableTitle"/>
        <w:rPr>
          <w:lang w:eastAsia="en-AU"/>
        </w:rPr>
      </w:pPr>
      <w:r>
        <w:rPr>
          <w:lang w:eastAsia="en-AU"/>
        </w:rPr>
        <w:t>Table 26</w:t>
      </w:r>
      <w:r w:rsidR="00C61641">
        <w:rPr>
          <w:lang w:eastAsia="en-AU"/>
        </w:rPr>
        <w:t>:</w:t>
      </w:r>
      <w:r w:rsidR="005579F3">
        <w:rPr>
          <w:lang w:eastAsia="en-AU"/>
        </w:rPr>
        <w:t xml:space="preserve"> </w:t>
      </w:r>
      <w:r w:rsidR="00534C3E">
        <w:rPr>
          <w:lang w:eastAsia="en-AU"/>
        </w:rPr>
        <w:t>Summary of safety concerns</w:t>
      </w:r>
    </w:p>
    <w:tbl>
      <w:tblPr>
        <w:tblStyle w:val="TableTGAblue"/>
        <w:tblW w:w="8613" w:type="dxa"/>
        <w:tblLayout w:type="fixed"/>
        <w:tblLook w:val="04A0" w:firstRow="1" w:lastRow="0" w:firstColumn="1" w:lastColumn="0" w:noHBand="0" w:noVBand="1"/>
      </w:tblPr>
      <w:tblGrid>
        <w:gridCol w:w="1668"/>
        <w:gridCol w:w="2835"/>
        <w:gridCol w:w="1134"/>
        <w:gridCol w:w="992"/>
        <w:gridCol w:w="992"/>
        <w:gridCol w:w="992"/>
      </w:tblGrid>
      <w:tr w:rsidR="00686B55" w:rsidRPr="00686B55" w14:paraId="080823DC" w14:textId="77777777" w:rsidTr="00506068">
        <w:trPr>
          <w:cnfStyle w:val="100000000000" w:firstRow="1" w:lastRow="0" w:firstColumn="0" w:lastColumn="0" w:oddVBand="0" w:evenVBand="0" w:oddHBand="0" w:evenHBand="0" w:firstRowFirstColumn="0" w:firstRowLastColumn="0" w:lastRowFirstColumn="0" w:lastRowLastColumn="0"/>
          <w:cantSplit/>
          <w:trHeight w:val="131"/>
        </w:trPr>
        <w:tc>
          <w:tcPr>
            <w:tcW w:w="4503" w:type="dxa"/>
            <w:gridSpan w:val="2"/>
            <w:vMerge w:val="restart"/>
          </w:tcPr>
          <w:p w14:paraId="79953081" w14:textId="77777777" w:rsidR="00F604EE" w:rsidRPr="00686B55" w:rsidRDefault="00F604EE" w:rsidP="00F604EE">
            <w:pPr>
              <w:ind w:left="0" w:right="33"/>
              <w:rPr>
                <w:b w:val="0"/>
                <w:sz w:val="20"/>
              </w:rPr>
            </w:pPr>
            <w:r w:rsidRPr="00686B55">
              <w:rPr>
                <w:sz w:val="20"/>
              </w:rPr>
              <w:t>Summary of safety concerns</w:t>
            </w:r>
          </w:p>
        </w:tc>
        <w:tc>
          <w:tcPr>
            <w:tcW w:w="2126" w:type="dxa"/>
            <w:gridSpan w:val="2"/>
          </w:tcPr>
          <w:p w14:paraId="6B72CAC2" w14:textId="77777777" w:rsidR="00F604EE" w:rsidRPr="00686B55" w:rsidRDefault="00F604EE" w:rsidP="00F604EE">
            <w:pPr>
              <w:ind w:left="0" w:right="33"/>
              <w:rPr>
                <w:b w:val="0"/>
                <w:sz w:val="20"/>
              </w:rPr>
            </w:pPr>
            <w:r w:rsidRPr="00686B55">
              <w:rPr>
                <w:sz w:val="20"/>
              </w:rPr>
              <w:t>Pharmacovigilance</w:t>
            </w:r>
          </w:p>
        </w:tc>
        <w:tc>
          <w:tcPr>
            <w:tcW w:w="1984" w:type="dxa"/>
            <w:gridSpan w:val="2"/>
          </w:tcPr>
          <w:p w14:paraId="2DD96518" w14:textId="77777777" w:rsidR="00F604EE" w:rsidRPr="00686B55" w:rsidRDefault="00F604EE" w:rsidP="00F604EE">
            <w:pPr>
              <w:ind w:left="0" w:right="33"/>
              <w:rPr>
                <w:b w:val="0"/>
                <w:sz w:val="20"/>
              </w:rPr>
            </w:pPr>
            <w:r w:rsidRPr="00686B55">
              <w:rPr>
                <w:sz w:val="20"/>
              </w:rPr>
              <w:t>Risk Minimisation</w:t>
            </w:r>
          </w:p>
        </w:tc>
      </w:tr>
      <w:tr w:rsidR="00686B55" w:rsidRPr="00686B55" w14:paraId="6B20B1D3" w14:textId="77777777" w:rsidTr="00506068">
        <w:trPr>
          <w:cnfStyle w:val="100000000000" w:firstRow="1" w:lastRow="0" w:firstColumn="0" w:lastColumn="0" w:oddVBand="0" w:evenVBand="0" w:oddHBand="0" w:evenHBand="0" w:firstRowFirstColumn="0" w:firstRowLastColumn="0" w:lastRowFirstColumn="0" w:lastRowLastColumn="0"/>
          <w:cantSplit/>
          <w:trHeight w:val="150"/>
        </w:trPr>
        <w:tc>
          <w:tcPr>
            <w:tcW w:w="4503" w:type="dxa"/>
            <w:gridSpan w:val="2"/>
            <w:vMerge/>
          </w:tcPr>
          <w:p w14:paraId="3B54761B" w14:textId="77777777" w:rsidR="00F604EE" w:rsidRPr="00686B55" w:rsidRDefault="00F604EE" w:rsidP="00F604EE">
            <w:pPr>
              <w:ind w:left="0" w:right="33"/>
              <w:rPr>
                <w:sz w:val="20"/>
              </w:rPr>
            </w:pPr>
          </w:p>
        </w:tc>
        <w:tc>
          <w:tcPr>
            <w:tcW w:w="1134" w:type="dxa"/>
          </w:tcPr>
          <w:p w14:paraId="3243B2B7" w14:textId="77777777" w:rsidR="00F604EE" w:rsidRPr="00686B55" w:rsidRDefault="00F604EE" w:rsidP="00F604EE">
            <w:pPr>
              <w:ind w:left="34" w:right="33"/>
              <w:jc w:val="center"/>
              <w:rPr>
                <w:sz w:val="20"/>
              </w:rPr>
            </w:pPr>
            <w:r w:rsidRPr="00686B55">
              <w:rPr>
                <w:sz w:val="20"/>
              </w:rPr>
              <w:t>Routine</w:t>
            </w:r>
          </w:p>
        </w:tc>
        <w:tc>
          <w:tcPr>
            <w:tcW w:w="992" w:type="dxa"/>
          </w:tcPr>
          <w:p w14:paraId="6A2BE634" w14:textId="77777777" w:rsidR="00F604EE" w:rsidRPr="00686B55" w:rsidRDefault="00F604EE" w:rsidP="00F604EE">
            <w:pPr>
              <w:ind w:left="34" w:right="33"/>
              <w:jc w:val="center"/>
              <w:rPr>
                <w:sz w:val="20"/>
              </w:rPr>
            </w:pPr>
            <w:r w:rsidRPr="00686B55">
              <w:rPr>
                <w:sz w:val="20"/>
              </w:rPr>
              <w:t>Additional</w:t>
            </w:r>
          </w:p>
        </w:tc>
        <w:tc>
          <w:tcPr>
            <w:tcW w:w="992" w:type="dxa"/>
          </w:tcPr>
          <w:p w14:paraId="312B3CEC" w14:textId="77777777" w:rsidR="00F604EE" w:rsidRPr="00686B55" w:rsidRDefault="00F604EE" w:rsidP="00F604EE">
            <w:pPr>
              <w:ind w:left="34" w:right="33"/>
              <w:jc w:val="center"/>
              <w:rPr>
                <w:sz w:val="20"/>
              </w:rPr>
            </w:pPr>
            <w:r w:rsidRPr="00686B55">
              <w:rPr>
                <w:sz w:val="20"/>
              </w:rPr>
              <w:t>Routine</w:t>
            </w:r>
          </w:p>
        </w:tc>
        <w:tc>
          <w:tcPr>
            <w:tcW w:w="992" w:type="dxa"/>
          </w:tcPr>
          <w:p w14:paraId="62CCF004" w14:textId="77777777" w:rsidR="00F604EE" w:rsidRPr="00686B55" w:rsidRDefault="00F604EE" w:rsidP="00F604EE">
            <w:pPr>
              <w:ind w:left="34" w:right="33"/>
              <w:jc w:val="center"/>
              <w:rPr>
                <w:sz w:val="20"/>
              </w:rPr>
            </w:pPr>
            <w:r w:rsidRPr="00686B55">
              <w:rPr>
                <w:sz w:val="20"/>
              </w:rPr>
              <w:t>Additional</w:t>
            </w:r>
          </w:p>
        </w:tc>
      </w:tr>
      <w:tr w:rsidR="00686B55" w:rsidRPr="00686B55" w14:paraId="4062C2A4" w14:textId="77777777" w:rsidTr="00686B55">
        <w:trPr>
          <w:trHeight w:val="137"/>
        </w:trPr>
        <w:tc>
          <w:tcPr>
            <w:tcW w:w="1668" w:type="dxa"/>
            <w:vMerge w:val="restart"/>
          </w:tcPr>
          <w:p w14:paraId="6052ECD4" w14:textId="77777777" w:rsidR="00F604EE" w:rsidRPr="00686B55" w:rsidRDefault="00F604EE" w:rsidP="00F604EE">
            <w:pPr>
              <w:ind w:left="0" w:right="33"/>
              <w:rPr>
                <w:sz w:val="20"/>
              </w:rPr>
            </w:pPr>
            <w:r w:rsidRPr="00686B55">
              <w:rPr>
                <w:sz w:val="20"/>
              </w:rPr>
              <w:t>Important identified risks</w:t>
            </w:r>
          </w:p>
        </w:tc>
        <w:tc>
          <w:tcPr>
            <w:tcW w:w="2835" w:type="dxa"/>
          </w:tcPr>
          <w:p w14:paraId="6854608C" w14:textId="77777777" w:rsidR="00F604EE" w:rsidRPr="00686B55" w:rsidRDefault="00F604EE" w:rsidP="00F604EE">
            <w:pPr>
              <w:rPr>
                <w:sz w:val="20"/>
              </w:rPr>
            </w:pPr>
            <w:r w:rsidRPr="00686B55">
              <w:rPr>
                <w:sz w:val="20"/>
              </w:rPr>
              <w:t>Hypersensitivity</w:t>
            </w:r>
          </w:p>
        </w:tc>
        <w:tc>
          <w:tcPr>
            <w:tcW w:w="1134" w:type="dxa"/>
          </w:tcPr>
          <w:p w14:paraId="0808CB68" w14:textId="77777777" w:rsidR="00F604EE" w:rsidRPr="00686B55" w:rsidRDefault="00F604EE" w:rsidP="00F604EE">
            <w:pPr>
              <w:ind w:left="34" w:right="33"/>
              <w:jc w:val="center"/>
              <w:rPr>
                <w:sz w:val="20"/>
              </w:rPr>
            </w:pPr>
            <w:r w:rsidRPr="00686B55">
              <w:rPr>
                <w:sz w:val="20"/>
              </w:rPr>
              <w:sym w:font="Wingdings" w:char="F0FC"/>
            </w:r>
          </w:p>
        </w:tc>
        <w:tc>
          <w:tcPr>
            <w:tcW w:w="992" w:type="dxa"/>
          </w:tcPr>
          <w:p w14:paraId="54700183" w14:textId="77777777" w:rsidR="00F604EE" w:rsidRPr="00686B55" w:rsidRDefault="00F604EE" w:rsidP="00F604EE">
            <w:pPr>
              <w:ind w:left="34" w:right="33"/>
              <w:jc w:val="center"/>
              <w:rPr>
                <w:sz w:val="20"/>
              </w:rPr>
            </w:pPr>
            <w:r w:rsidRPr="00686B55">
              <w:rPr>
                <w:sz w:val="20"/>
              </w:rPr>
              <w:t>–</w:t>
            </w:r>
          </w:p>
        </w:tc>
        <w:tc>
          <w:tcPr>
            <w:tcW w:w="992" w:type="dxa"/>
          </w:tcPr>
          <w:p w14:paraId="67F6E949" w14:textId="77777777" w:rsidR="00F604EE" w:rsidRPr="00686B55" w:rsidRDefault="00F604EE" w:rsidP="00F604EE">
            <w:pPr>
              <w:ind w:left="34" w:right="33"/>
              <w:jc w:val="center"/>
              <w:rPr>
                <w:sz w:val="20"/>
              </w:rPr>
            </w:pPr>
            <w:r w:rsidRPr="00686B55">
              <w:rPr>
                <w:sz w:val="20"/>
              </w:rPr>
              <w:sym w:font="Wingdings" w:char="F0FC"/>
            </w:r>
          </w:p>
        </w:tc>
        <w:tc>
          <w:tcPr>
            <w:tcW w:w="992" w:type="dxa"/>
          </w:tcPr>
          <w:p w14:paraId="0660888A" w14:textId="77777777" w:rsidR="00F604EE" w:rsidRPr="00686B55" w:rsidRDefault="00F604EE" w:rsidP="00F604EE">
            <w:pPr>
              <w:ind w:left="34" w:right="33"/>
              <w:jc w:val="center"/>
              <w:rPr>
                <w:sz w:val="20"/>
              </w:rPr>
            </w:pPr>
            <w:r w:rsidRPr="00686B55">
              <w:rPr>
                <w:sz w:val="20"/>
              </w:rPr>
              <w:t>–</w:t>
            </w:r>
          </w:p>
        </w:tc>
      </w:tr>
      <w:tr w:rsidR="00686B55" w:rsidRPr="00686B55" w14:paraId="2390095B" w14:textId="77777777" w:rsidTr="00686B55">
        <w:trPr>
          <w:trHeight w:val="94"/>
        </w:trPr>
        <w:tc>
          <w:tcPr>
            <w:tcW w:w="1668" w:type="dxa"/>
            <w:vMerge/>
          </w:tcPr>
          <w:p w14:paraId="27D1E35F" w14:textId="77777777" w:rsidR="00F604EE" w:rsidRPr="00686B55" w:rsidRDefault="00F604EE" w:rsidP="00F604EE">
            <w:pPr>
              <w:ind w:left="0" w:right="33"/>
              <w:rPr>
                <w:sz w:val="20"/>
              </w:rPr>
            </w:pPr>
          </w:p>
        </w:tc>
        <w:tc>
          <w:tcPr>
            <w:tcW w:w="2835" w:type="dxa"/>
          </w:tcPr>
          <w:p w14:paraId="3A0C8C87" w14:textId="77777777" w:rsidR="00F604EE" w:rsidRPr="00686B55" w:rsidRDefault="00F604EE" w:rsidP="00F604EE">
            <w:pPr>
              <w:rPr>
                <w:sz w:val="20"/>
              </w:rPr>
            </w:pPr>
            <w:r w:rsidRPr="00686B55">
              <w:rPr>
                <w:sz w:val="20"/>
              </w:rPr>
              <w:t>Immunogenicity (development of antibodies to romosozumab)</w:t>
            </w:r>
          </w:p>
        </w:tc>
        <w:tc>
          <w:tcPr>
            <w:tcW w:w="1134" w:type="dxa"/>
          </w:tcPr>
          <w:p w14:paraId="0E77E8CB" w14:textId="77777777" w:rsidR="00F604EE" w:rsidRPr="00686B55" w:rsidRDefault="00F604EE" w:rsidP="00F604EE">
            <w:pPr>
              <w:ind w:left="34" w:right="33"/>
              <w:jc w:val="center"/>
              <w:rPr>
                <w:sz w:val="20"/>
              </w:rPr>
            </w:pPr>
            <w:r w:rsidRPr="00686B55">
              <w:rPr>
                <w:sz w:val="20"/>
              </w:rPr>
              <w:sym w:font="Wingdings" w:char="F0FC"/>
            </w:r>
          </w:p>
        </w:tc>
        <w:tc>
          <w:tcPr>
            <w:tcW w:w="992" w:type="dxa"/>
          </w:tcPr>
          <w:p w14:paraId="292A6DBE" w14:textId="77777777" w:rsidR="00F604EE" w:rsidRPr="00686B55" w:rsidRDefault="00F604EE" w:rsidP="00F604EE">
            <w:pPr>
              <w:ind w:left="34" w:right="33"/>
              <w:jc w:val="center"/>
              <w:rPr>
                <w:sz w:val="20"/>
              </w:rPr>
            </w:pPr>
            <w:r w:rsidRPr="00686B55">
              <w:rPr>
                <w:sz w:val="20"/>
              </w:rPr>
              <w:t>–</w:t>
            </w:r>
          </w:p>
        </w:tc>
        <w:tc>
          <w:tcPr>
            <w:tcW w:w="992" w:type="dxa"/>
          </w:tcPr>
          <w:p w14:paraId="5BC0DC20" w14:textId="77777777" w:rsidR="00F604EE" w:rsidRPr="00686B55" w:rsidRDefault="00F604EE" w:rsidP="00F604EE">
            <w:pPr>
              <w:ind w:left="34" w:right="33"/>
              <w:jc w:val="center"/>
              <w:rPr>
                <w:sz w:val="20"/>
              </w:rPr>
            </w:pPr>
            <w:r w:rsidRPr="00686B55">
              <w:rPr>
                <w:sz w:val="20"/>
              </w:rPr>
              <w:sym w:font="Wingdings" w:char="F0FC"/>
            </w:r>
          </w:p>
        </w:tc>
        <w:tc>
          <w:tcPr>
            <w:tcW w:w="992" w:type="dxa"/>
          </w:tcPr>
          <w:p w14:paraId="10C9AA1E" w14:textId="77777777" w:rsidR="00F604EE" w:rsidRPr="00686B55" w:rsidRDefault="00F604EE" w:rsidP="00F604EE">
            <w:pPr>
              <w:ind w:left="34" w:right="33"/>
              <w:jc w:val="center"/>
              <w:rPr>
                <w:sz w:val="20"/>
              </w:rPr>
            </w:pPr>
            <w:r w:rsidRPr="00686B55">
              <w:rPr>
                <w:sz w:val="20"/>
              </w:rPr>
              <w:t>–</w:t>
            </w:r>
          </w:p>
        </w:tc>
      </w:tr>
      <w:tr w:rsidR="00686B55" w:rsidRPr="00686B55" w14:paraId="5A4DFBC0" w14:textId="77777777" w:rsidTr="00686B55">
        <w:trPr>
          <w:trHeight w:val="187"/>
        </w:trPr>
        <w:tc>
          <w:tcPr>
            <w:tcW w:w="1668" w:type="dxa"/>
            <w:vMerge/>
          </w:tcPr>
          <w:p w14:paraId="67C3B455" w14:textId="77777777" w:rsidR="00F604EE" w:rsidRPr="00686B55" w:rsidRDefault="00F604EE" w:rsidP="00F604EE">
            <w:pPr>
              <w:ind w:left="0" w:right="33"/>
              <w:rPr>
                <w:sz w:val="20"/>
              </w:rPr>
            </w:pPr>
          </w:p>
        </w:tc>
        <w:tc>
          <w:tcPr>
            <w:tcW w:w="2835" w:type="dxa"/>
          </w:tcPr>
          <w:p w14:paraId="59EA1DA2" w14:textId="77777777" w:rsidR="00F604EE" w:rsidRPr="00686B55" w:rsidRDefault="00F604EE" w:rsidP="00F604EE">
            <w:pPr>
              <w:rPr>
                <w:sz w:val="20"/>
              </w:rPr>
            </w:pPr>
            <w:r w:rsidRPr="00686B55">
              <w:rPr>
                <w:sz w:val="20"/>
              </w:rPr>
              <w:t>Hypocalcaemia</w:t>
            </w:r>
          </w:p>
        </w:tc>
        <w:tc>
          <w:tcPr>
            <w:tcW w:w="1134" w:type="dxa"/>
          </w:tcPr>
          <w:p w14:paraId="057FBA41" w14:textId="77777777" w:rsidR="00F604EE" w:rsidRPr="00686B55" w:rsidRDefault="00F604EE" w:rsidP="00F604EE">
            <w:pPr>
              <w:ind w:left="34" w:right="33"/>
              <w:jc w:val="center"/>
              <w:rPr>
                <w:sz w:val="20"/>
              </w:rPr>
            </w:pPr>
            <w:r w:rsidRPr="00686B55">
              <w:rPr>
                <w:sz w:val="20"/>
              </w:rPr>
              <w:sym w:font="Wingdings" w:char="F0FC"/>
            </w:r>
          </w:p>
        </w:tc>
        <w:tc>
          <w:tcPr>
            <w:tcW w:w="992" w:type="dxa"/>
          </w:tcPr>
          <w:p w14:paraId="10190065" w14:textId="77777777" w:rsidR="00F604EE" w:rsidRPr="00686B55" w:rsidRDefault="00F604EE" w:rsidP="00F604EE">
            <w:pPr>
              <w:ind w:left="34" w:right="33"/>
              <w:jc w:val="center"/>
              <w:rPr>
                <w:sz w:val="20"/>
              </w:rPr>
            </w:pPr>
            <w:r w:rsidRPr="00686B55">
              <w:rPr>
                <w:sz w:val="20"/>
              </w:rPr>
              <w:t>–</w:t>
            </w:r>
          </w:p>
        </w:tc>
        <w:tc>
          <w:tcPr>
            <w:tcW w:w="992" w:type="dxa"/>
          </w:tcPr>
          <w:p w14:paraId="2A30DFAF" w14:textId="77777777" w:rsidR="00F604EE" w:rsidRPr="00686B55" w:rsidRDefault="00F604EE" w:rsidP="00F604EE">
            <w:pPr>
              <w:ind w:left="34" w:right="33"/>
              <w:jc w:val="center"/>
              <w:rPr>
                <w:sz w:val="20"/>
              </w:rPr>
            </w:pPr>
            <w:r w:rsidRPr="00686B55">
              <w:rPr>
                <w:sz w:val="20"/>
              </w:rPr>
              <w:sym w:font="Wingdings" w:char="F0FC"/>
            </w:r>
          </w:p>
        </w:tc>
        <w:tc>
          <w:tcPr>
            <w:tcW w:w="992" w:type="dxa"/>
          </w:tcPr>
          <w:p w14:paraId="300210DF" w14:textId="77777777" w:rsidR="00F604EE" w:rsidRPr="00686B55" w:rsidRDefault="00F604EE" w:rsidP="00F604EE">
            <w:pPr>
              <w:ind w:left="34" w:right="33"/>
              <w:jc w:val="center"/>
              <w:rPr>
                <w:sz w:val="20"/>
              </w:rPr>
            </w:pPr>
            <w:r w:rsidRPr="00686B55">
              <w:rPr>
                <w:sz w:val="20"/>
              </w:rPr>
              <w:t>–</w:t>
            </w:r>
          </w:p>
        </w:tc>
      </w:tr>
      <w:tr w:rsidR="00686B55" w:rsidRPr="00686B55" w14:paraId="05858ECA" w14:textId="77777777" w:rsidTr="00686B55">
        <w:trPr>
          <w:trHeight w:val="159"/>
        </w:trPr>
        <w:tc>
          <w:tcPr>
            <w:tcW w:w="1668" w:type="dxa"/>
            <w:vMerge w:val="restart"/>
          </w:tcPr>
          <w:p w14:paraId="7CBFCC30" w14:textId="77777777" w:rsidR="00F604EE" w:rsidRPr="00686B55" w:rsidRDefault="00F604EE" w:rsidP="00F604EE">
            <w:pPr>
              <w:ind w:left="0" w:right="33"/>
              <w:rPr>
                <w:sz w:val="20"/>
              </w:rPr>
            </w:pPr>
            <w:r w:rsidRPr="00686B55">
              <w:rPr>
                <w:sz w:val="20"/>
              </w:rPr>
              <w:t>Important potential risks</w:t>
            </w:r>
          </w:p>
        </w:tc>
        <w:tc>
          <w:tcPr>
            <w:tcW w:w="2835" w:type="dxa"/>
          </w:tcPr>
          <w:p w14:paraId="65094CAA" w14:textId="77777777" w:rsidR="00F604EE" w:rsidRPr="00686B55" w:rsidRDefault="00F604EE" w:rsidP="00F604EE">
            <w:pPr>
              <w:rPr>
                <w:sz w:val="20"/>
              </w:rPr>
            </w:pPr>
            <w:r w:rsidRPr="00686B55">
              <w:rPr>
                <w:sz w:val="20"/>
              </w:rPr>
              <w:t>Serious cardiovascular adverse events</w:t>
            </w:r>
          </w:p>
        </w:tc>
        <w:tc>
          <w:tcPr>
            <w:tcW w:w="1134" w:type="dxa"/>
          </w:tcPr>
          <w:p w14:paraId="30CF0015" w14:textId="77777777" w:rsidR="00F604EE" w:rsidRPr="00686B55" w:rsidRDefault="00F604EE" w:rsidP="00F604EE">
            <w:pPr>
              <w:ind w:left="34" w:right="33"/>
              <w:jc w:val="center"/>
              <w:rPr>
                <w:sz w:val="20"/>
              </w:rPr>
            </w:pPr>
            <w:r w:rsidRPr="00686B55">
              <w:rPr>
                <w:sz w:val="20"/>
              </w:rPr>
              <w:sym w:font="Wingdings" w:char="F0FC"/>
            </w:r>
          </w:p>
        </w:tc>
        <w:tc>
          <w:tcPr>
            <w:tcW w:w="992" w:type="dxa"/>
          </w:tcPr>
          <w:p w14:paraId="1042F5CE" w14:textId="77777777" w:rsidR="00F604EE" w:rsidRPr="00686B55" w:rsidRDefault="00F604EE" w:rsidP="00F604EE">
            <w:pPr>
              <w:ind w:left="34" w:right="33"/>
              <w:jc w:val="center"/>
              <w:rPr>
                <w:sz w:val="20"/>
                <w:vertAlign w:val="superscript"/>
              </w:rPr>
            </w:pPr>
            <w:r w:rsidRPr="00686B55">
              <w:rPr>
                <w:sz w:val="20"/>
              </w:rPr>
              <w:sym w:font="Wingdings" w:char="F0FC"/>
            </w:r>
            <w:r w:rsidRPr="00686B55">
              <w:rPr>
                <w:sz w:val="20"/>
                <w:vertAlign w:val="superscript"/>
              </w:rPr>
              <w:t>1</w:t>
            </w:r>
          </w:p>
        </w:tc>
        <w:tc>
          <w:tcPr>
            <w:tcW w:w="992" w:type="dxa"/>
          </w:tcPr>
          <w:p w14:paraId="73DCA0F2" w14:textId="77777777" w:rsidR="00F604EE" w:rsidRPr="00686B55" w:rsidRDefault="00F604EE" w:rsidP="00F604EE">
            <w:pPr>
              <w:ind w:left="34" w:right="33"/>
              <w:jc w:val="center"/>
              <w:rPr>
                <w:sz w:val="20"/>
              </w:rPr>
            </w:pPr>
            <w:r w:rsidRPr="00686B55">
              <w:rPr>
                <w:sz w:val="20"/>
              </w:rPr>
              <w:sym w:font="Wingdings" w:char="F0FC"/>
            </w:r>
          </w:p>
        </w:tc>
        <w:tc>
          <w:tcPr>
            <w:tcW w:w="992" w:type="dxa"/>
          </w:tcPr>
          <w:p w14:paraId="72175E32" w14:textId="77777777" w:rsidR="00F604EE" w:rsidRPr="00686B55" w:rsidRDefault="00F604EE" w:rsidP="00F604EE">
            <w:pPr>
              <w:ind w:left="34" w:right="33"/>
              <w:jc w:val="center"/>
              <w:rPr>
                <w:sz w:val="20"/>
              </w:rPr>
            </w:pPr>
            <w:r w:rsidRPr="00686B55">
              <w:rPr>
                <w:sz w:val="20"/>
              </w:rPr>
              <w:t>–</w:t>
            </w:r>
          </w:p>
        </w:tc>
      </w:tr>
      <w:tr w:rsidR="00686B55" w:rsidRPr="00686B55" w14:paraId="3BE06F70" w14:textId="77777777" w:rsidTr="00686B55">
        <w:trPr>
          <w:trHeight w:val="122"/>
        </w:trPr>
        <w:tc>
          <w:tcPr>
            <w:tcW w:w="1668" w:type="dxa"/>
            <w:vMerge/>
          </w:tcPr>
          <w:p w14:paraId="6FC3A123" w14:textId="77777777" w:rsidR="00F604EE" w:rsidRPr="00686B55" w:rsidRDefault="00F604EE" w:rsidP="00F604EE">
            <w:pPr>
              <w:ind w:left="0" w:right="33"/>
              <w:rPr>
                <w:sz w:val="20"/>
              </w:rPr>
            </w:pPr>
          </w:p>
        </w:tc>
        <w:tc>
          <w:tcPr>
            <w:tcW w:w="2835" w:type="dxa"/>
          </w:tcPr>
          <w:p w14:paraId="3F09C00A" w14:textId="77777777" w:rsidR="00F604EE" w:rsidRPr="00686B55" w:rsidRDefault="00F604EE" w:rsidP="00F604EE">
            <w:pPr>
              <w:rPr>
                <w:sz w:val="20"/>
              </w:rPr>
            </w:pPr>
            <w:r w:rsidRPr="00686B55">
              <w:rPr>
                <w:sz w:val="20"/>
              </w:rPr>
              <w:t>Osteonecrosis of the jaw</w:t>
            </w:r>
          </w:p>
        </w:tc>
        <w:tc>
          <w:tcPr>
            <w:tcW w:w="1134" w:type="dxa"/>
          </w:tcPr>
          <w:p w14:paraId="74191114" w14:textId="77777777" w:rsidR="00F604EE" w:rsidRPr="00686B55" w:rsidRDefault="00F604EE" w:rsidP="00F604EE">
            <w:pPr>
              <w:ind w:left="34" w:right="33"/>
              <w:jc w:val="center"/>
              <w:rPr>
                <w:sz w:val="20"/>
              </w:rPr>
            </w:pPr>
            <w:r w:rsidRPr="00686B55">
              <w:rPr>
                <w:sz w:val="20"/>
              </w:rPr>
              <w:sym w:font="Wingdings" w:char="F0FC"/>
            </w:r>
          </w:p>
        </w:tc>
        <w:tc>
          <w:tcPr>
            <w:tcW w:w="992" w:type="dxa"/>
          </w:tcPr>
          <w:p w14:paraId="00B1171E" w14:textId="77777777" w:rsidR="00F604EE" w:rsidRPr="00686B55" w:rsidRDefault="00F604EE" w:rsidP="00F604EE">
            <w:pPr>
              <w:ind w:left="34" w:right="33"/>
              <w:jc w:val="center"/>
              <w:rPr>
                <w:sz w:val="20"/>
              </w:rPr>
            </w:pPr>
            <w:r w:rsidRPr="00686B55">
              <w:rPr>
                <w:sz w:val="20"/>
              </w:rPr>
              <w:t>–</w:t>
            </w:r>
          </w:p>
        </w:tc>
        <w:tc>
          <w:tcPr>
            <w:tcW w:w="992" w:type="dxa"/>
          </w:tcPr>
          <w:p w14:paraId="24D08E46" w14:textId="77777777" w:rsidR="00F604EE" w:rsidRPr="00686B55" w:rsidRDefault="00F604EE" w:rsidP="00F604EE">
            <w:pPr>
              <w:ind w:left="34" w:right="33"/>
              <w:jc w:val="center"/>
              <w:rPr>
                <w:sz w:val="20"/>
              </w:rPr>
            </w:pPr>
            <w:r w:rsidRPr="00686B55">
              <w:rPr>
                <w:sz w:val="20"/>
              </w:rPr>
              <w:sym w:font="Wingdings" w:char="F0FC"/>
            </w:r>
          </w:p>
        </w:tc>
        <w:tc>
          <w:tcPr>
            <w:tcW w:w="992" w:type="dxa"/>
          </w:tcPr>
          <w:p w14:paraId="6FEEEBFE" w14:textId="77777777" w:rsidR="00F604EE" w:rsidRPr="00686B55" w:rsidRDefault="00F604EE" w:rsidP="00F604EE">
            <w:pPr>
              <w:ind w:left="34" w:right="33"/>
              <w:jc w:val="center"/>
              <w:rPr>
                <w:sz w:val="20"/>
                <w:vertAlign w:val="superscript"/>
              </w:rPr>
            </w:pPr>
            <w:r w:rsidRPr="00686B55">
              <w:rPr>
                <w:sz w:val="20"/>
              </w:rPr>
              <w:t>–</w:t>
            </w:r>
          </w:p>
        </w:tc>
      </w:tr>
      <w:tr w:rsidR="00686B55" w:rsidRPr="00686B55" w14:paraId="1FD74230" w14:textId="77777777" w:rsidTr="00686B55">
        <w:trPr>
          <w:trHeight w:val="122"/>
        </w:trPr>
        <w:tc>
          <w:tcPr>
            <w:tcW w:w="1668" w:type="dxa"/>
            <w:vMerge/>
          </w:tcPr>
          <w:p w14:paraId="2C1FFD2C" w14:textId="77777777" w:rsidR="00F604EE" w:rsidRPr="00686B55" w:rsidRDefault="00F604EE" w:rsidP="00F604EE">
            <w:pPr>
              <w:ind w:left="0" w:right="33"/>
              <w:rPr>
                <w:sz w:val="20"/>
              </w:rPr>
            </w:pPr>
          </w:p>
        </w:tc>
        <w:tc>
          <w:tcPr>
            <w:tcW w:w="2835" w:type="dxa"/>
          </w:tcPr>
          <w:p w14:paraId="62404086" w14:textId="77777777" w:rsidR="00F604EE" w:rsidRPr="00686B55" w:rsidRDefault="00F604EE" w:rsidP="00F604EE">
            <w:pPr>
              <w:rPr>
                <w:sz w:val="20"/>
              </w:rPr>
            </w:pPr>
            <w:r w:rsidRPr="00686B55">
              <w:rPr>
                <w:sz w:val="20"/>
              </w:rPr>
              <w:t xml:space="preserve">Atypical </w:t>
            </w:r>
            <w:r w:rsidR="00C85473">
              <w:rPr>
                <w:sz w:val="20"/>
              </w:rPr>
              <w:t>femoral</w:t>
            </w:r>
            <w:r w:rsidRPr="00686B55">
              <w:rPr>
                <w:sz w:val="20"/>
              </w:rPr>
              <w:t xml:space="preserve"> fracture</w:t>
            </w:r>
          </w:p>
        </w:tc>
        <w:tc>
          <w:tcPr>
            <w:tcW w:w="1134" w:type="dxa"/>
          </w:tcPr>
          <w:p w14:paraId="55F82FB7" w14:textId="77777777" w:rsidR="00F604EE" w:rsidRPr="00686B55" w:rsidRDefault="00F604EE" w:rsidP="00F604EE">
            <w:pPr>
              <w:ind w:left="34" w:right="33"/>
              <w:jc w:val="center"/>
              <w:rPr>
                <w:sz w:val="20"/>
              </w:rPr>
            </w:pPr>
            <w:r w:rsidRPr="00686B55">
              <w:rPr>
                <w:sz w:val="20"/>
              </w:rPr>
              <w:sym w:font="Wingdings" w:char="F0FC"/>
            </w:r>
          </w:p>
        </w:tc>
        <w:tc>
          <w:tcPr>
            <w:tcW w:w="992" w:type="dxa"/>
          </w:tcPr>
          <w:p w14:paraId="2D4B73EC" w14:textId="77777777" w:rsidR="00F604EE" w:rsidRPr="00686B55" w:rsidRDefault="00F604EE" w:rsidP="00F604EE">
            <w:pPr>
              <w:ind w:left="34" w:right="33"/>
              <w:jc w:val="center"/>
              <w:rPr>
                <w:sz w:val="20"/>
              </w:rPr>
            </w:pPr>
            <w:r w:rsidRPr="00686B55">
              <w:rPr>
                <w:sz w:val="20"/>
              </w:rPr>
              <w:t>–</w:t>
            </w:r>
          </w:p>
        </w:tc>
        <w:tc>
          <w:tcPr>
            <w:tcW w:w="992" w:type="dxa"/>
          </w:tcPr>
          <w:p w14:paraId="42AAE28D" w14:textId="77777777" w:rsidR="00F604EE" w:rsidRPr="00686B55" w:rsidRDefault="00F604EE" w:rsidP="00F604EE">
            <w:pPr>
              <w:ind w:left="34" w:right="33"/>
              <w:jc w:val="center"/>
              <w:rPr>
                <w:sz w:val="20"/>
              </w:rPr>
            </w:pPr>
            <w:r w:rsidRPr="00686B55">
              <w:rPr>
                <w:sz w:val="20"/>
              </w:rPr>
              <w:sym w:font="Wingdings" w:char="F0FC"/>
            </w:r>
          </w:p>
        </w:tc>
        <w:tc>
          <w:tcPr>
            <w:tcW w:w="992" w:type="dxa"/>
          </w:tcPr>
          <w:p w14:paraId="30C20F71" w14:textId="77777777" w:rsidR="00F604EE" w:rsidRPr="00686B55" w:rsidRDefault="00F604EE" w:rsidP="00F604EE">
            <w:pPr>
              <w:ind w:left="34" w:right="33"/>
              <w:jc w:val="center"/>
              <w:rPr>
                <w:sz w:val="20"/>
              </w:rPr>
            </w:pPr>
            <w:r w:rsidRPr="00686B55">
              <w:rPr>
                <w:sz w:val="20"/>
              </w:rPr>
              <w:t>–</w:t>
            </w:r>
          </w:p>
        </w:tc>
      </w:tr>
      <w:tr w:rsidR="00686B55" w:rsidRPr="00686B55" w14:paraId="793830A5" w14:textId="77777777" w:rsidTr="00686B55">
        <w:trPr>
          <w:trHeight w:val="112"/>
        </w:trPr>
        <w:tc>
          <w:tcPr>
            <w:tcW w:w="1668" w:type="dxa"/>
            <w:vMerge/>
          </w:tcPr>
          <w:p w14:paraId="2012E0A4" w14:textId="77777777" w:rsidR="00F604EE" w:rsidRPr="00686B55" w:rsidRDefault="00F604EE" w:rsidP="00F604EE">
            <w:pPr>
              <w:ind w:left="0" w:right="33"/>
              <w:rPr>
                <w:sz w:val="20"/>
              </w:rPr>
            </w:pPr>
          </w:p>
        </w:tc>
        <w:tc>
          <w:tcPr>
            <w:tcW w:w="2835" w:type="dxa"/>
          </w:tcPr>
          <w:p w14:paraId="0F40A5B5" w14:textId="77777777" w:rsidR="00F604EE" w:rsidRPr="00686B55" w:rsidRDefault="00F604EE" w:rsidP="00F604EE">
            <w:pPr>
              <w:rPr>
                <w:sz w:val="20"/>
              </w:rPr>
            </w:pPr>
            <w:r w:rsidRPr="00686B55">
              <w:rPr>
                <w:sz w:val="20"/>
              </w:rPr>
              <w:t>Foetal risk</w:t>
            </w:r>
          </w:p>
        </w:tc>
        <w:tc>
          <w:tcPr>
            <w:tcW w:w="1134" w:type="dxa"/>
          </w:tcPr>
          <w:p w14:paraId="3E21D816" w14:textId="77777777" w:rsidR="00F604EE" w:rsidRPr="00686B55" w:rsidRDefault="00F604EE" w:rsidP="00F604EE">
            <w:pPr>
              <w:ind w:left="34" w:right="33"/>
              <w:jc w:val="center"/>
              <w:rPr>
                <w:sz w:val="20"/>
              </w:rPr>
            </w:pPr>
            <w:r w:rsidRPr="00686B55">
              <w:rPr>
                <w:sz w:val="20"/>
              </w:rPr>
              <w:sym w:font="Wingdings" w:char="F0FC"/>
            </w:r>
          </w:p>
        </w:tc>
        <w:tc>
          <w:tcPr>
            <w:tcW w:w="992" w:type="dxa"/>
          </w:tcPr>
          <w:p w14:paraId="336B9AD6" w14:textId="77777777" w:rsidR="00F604EE" w:rsidRPr="00686B55" w:rsidRDefault="00F604EE" w:rsidP="00F604EE">
            <w:pPr>
              <w:ind w:left="34" w:right="33"/>
              <w:jc w:val="center"/>
              <w:rPr>
                <w:sz w:val="20"/>
              </w:rPr>
            </w:pPr>
            <w:r w:rsidRPr="00686B55">
              <w:rPr>
                <w:sz w:val="20"/>
              </w:rPr>
              <w:t>–</w:t>
            </w:r>
          </w:p>
        </w:tc>
        <w:tc>
          <w:tcPr>
            <w:tcW w:w="992" w:type="dxa"/>
          </w:tcPr>
          <w:p w14:paraId="421FCB39" w14:textId="77777777" w:rsidR="00F604EE" w:rsidRPr="00686B55" w:rsidRDefault="00F604EE" w:rsidP="00F604EE">
            <w:pPr>
              <w:ind w:left="34" w:right="33"/>
              <w:jc w:val="center"/>
              <w:rPr>
                <w:sz w:val="20"/>
              </w:rPr>
            </w:pPr>
            <w:r w:rsidRPr="00686B55">
              <w:rPr>
                <w:sz w:val="20"/>
              </w:rPr>
              <w:sym w:font="Wingdings" w:char="F0FC"/>
            </w:r>
          </w:p>
        </w:tc>
        <w:tc>
          <w:tcPr>
            <w:tcW w:w="992" w:type="dxa"/>
          </w:tcPr>
          <w:p w14:paraId="58C42E7C" w14:textId="77777777" w:rsidR="00F604EE" w:rsidRPr="00686B55" w:rsidRDefault="00F604EE" w:rsidP="00F604EE">
            <w:pPr>
              <w:ind w:left="34" w:right="33"/>
              <w:jc w:val="center"/>
              <w:rPr>
                <w:sz w:val="20"/>
              </w:rPr>
            </w:pPr>
            <w:r w:rsidRPr="00686B55">
              <w:rPr>
                <w:sz w:val="20"/>
              </w:rPr>
              <w:t>–</w:t>
            </w:r>
          </w:p>
        </w:tc>
      </w:tr>
      <w:tr w:rsidR="00686B55" w:rsidRPr="00686B55" w14:paraId="43117F3C" w14:textId="77777777" w:rsidTr="00686B55">
        <w:trPr>
          <w:trHeight w:val="178"/>
        </w:trPr>
        <w:tc>
          <w:tcPr>
            <w:tcW w:w="1668" w:type="dxa"/>
            <w:vMerge w:val="restart"/>
          </w:tcPr>
          <w:p w14:paraId="7BAF35D4" w14:textId="77777777" w:rsidR="00F604EE" w:rsidRPr="00686B55" w:rsidRDefault="00F604EE" w:rsidP="00F604EE">
            <w:pPr>
              <w:ind w:left="0" w:right="33"/>
              <w:rPr>
                <w:sz w:val="20"/>
              </w:rPr>
            </w:pPr>
            <w:r w:rsidRPr="00686B55">
              <w:rPr>
                <w:sz w:val="20"/>
              </w:rPr>
              <w:t>Missing information</w:t>
            </w:r>
          </w:p>
        </w:tc>
        <w:tc>
          <w:tcPr>
            <w:tcW w:w="2835" w:type="dxa"/>
          </w:tcPr>
          <w:p w14:paraId="0BB10B04" w14:textId="77777777" w:rsidR="00F604EE" w:rsidRPr="00686B55" w:rsidRDefault="00F604EE" w:rsidP="00F604EE">
            <w:pPr>
              <w:rPr>
                <w:sz w:val="20"/>
              </w:rPr>
            </w:pPr>
            <w:r w:rsidRPr="00686B55">
              <w:rPr>
                <w:sz w:val="20"/>
              </w:rPr>
              <w:t>Pregnant or breastfeeding women</w:t>
            </w:r>
          </w:p>
        </w:tc>
        <w:tc>
          <w:tcPr>
            <w:tcW w:w="1134" w:type="dxa"/>
          </w:tcPr>
          <w:p w14:paraId="22005BD1" w14:textId="77777777" w:rsidR="00F604EE" w:rsidRPr="00686B55" w:rsidRDefault="00F604EE" w:rsidP="00F604EE">
            <w:pPr>
              <w:ind w:left="34" w:right="33"/>
              <w:jc w:val="center"/>
              <w:rPr>
                <w:sz w:val="20"/>
              </w:rPr>
            </w:pPr>
            <w:r w:rsidRPr="00686B55">
              <w:rPr>
                <w:sz w:val="20"/>
              </w:rPr>
              <w:sym w:font="Wingdings" w:char="F0FC"/>
            </w:r>
          </w:p>
        </w:tc>
        <w:tc>
          <w:tcPr>
            <w:tcW w:w="992" w:type="dxa"/>
          </w:tcPr>
          <w:p w14:paraId="02CF1FB8" w14:textId="77777777" w:rsidR="00F604EE" w:rsidRPr="00686B55" w:rsidRDefault="00F604EE" w:rsidP="00F604EE">
            <w:pPr>
              <w:ind w:left="34" w:right="33"/>
              <w:jc w:val="center"/>
              <w:rPr>
                <w:sz w:val="20"/>
              </w:rPr>
            </w:pPr>
            <w:r w:rsidRPr="00686B55">
              <w:rPr>
                <w:sz w:val="20"/>
              </w:rPr>
              <w:t>–</w:t>
            </w:r>
          </w:p>
        </w:tc>
        <w:tc>
          <w:tcPr>
            <w:tcW w:w="992" w:type="dxa"/>
          </w:tcPr>
          <w:p w14:paraId="5F00918F" w14:textId="77777777" w:rsidR="00F604EE" w:rsidRPr="00686B55" w:rsidRDefault="00F604EE" w:rsidP="00F604EE">
            <w:pPr>
              <w:ind w:left="34" w:right="33"/>
              <w:jc w:val="center"/>
              <w:rPr>
                <w:sz w:val="20"/>
              </w:rPr>
            </w:pPr>
            <w:r w:rsidRPr="00686B55">
              <w:rPr>
                <w:sz w:val="20"/>
              </w:rPr>
              <w:sym w:font="Wingdings" w:char="F0FC"/>
            </w:r>
          </w:p>
        </w:tc>
        <w:tc>
          <w:tcPr>
            <w:tcW w:w="992" w:type="dxa"/>
          </w:tcPr>
          <w:p w14:paraId="33DD123D" w14:textId="77777777" w:rsidR="00F604EE" w:rsidRPr="00686B55" w:rsidRDefault="00F604EE" w:rsidP="00F604EE">
            <w:pPr>
              <w:ind w:left="34" w:right="33"/>
              <w:jc w:val="center"/>
              <w:rPr>
                <w:sz w:val="20"/>
              </w:rPr>
            </w:pPr>
            <w:r w:rsidRPr="00686B55">
              <w:rPr>
                <w:sz w:val="20"/>
              </w:rPr>
              <w:t>–</w:t>
            </w:r>
          </w:p>
        </w:tc>
      </w:tr>
      <w:tr w:rsidR="00686B55" w:rsidRPr="00686B55" w14:paraId="21E5B3BB" w14:textId="77777777" w:rsidTr="00686B55">
        <w:trPr>
          <w:trHeight w:val="140"/>
        </w:trPr>
        <w:tc>
          <w:tcPr>
            <w:tcW w:w="1668" w:type="dxa"/>
            <w:vMerge/>
          </w:tcPr>
          <w:p w14:paraId="114AE8CE" w14:textId="77777777" w:rsidR="00F604EE" w:rsidRPr="00686B55" w:rsidRDefault="00F604EE" w:rsidP="00F604EE">
            <w:pPr>
              <w:ind w:left="0" w:right="33"/>
              <w:rPr>
                <w:sz w:val="20"/>
              </w:rPr>
            </w:pPr>
          </w:p>
        </w:tc>
        <w:tc>
          <w:tcPr>
            <w:tcW w:w="2835" w:type="dxa"/>
          </w:tcPr>
          <w:p w14:paraId="01D1EFAC" w14:textId="77777777" w:rsidR="00F604EE" w:rsidRPr="00686B55" w:rsidRDefault="00F604EE" w:rsidP="00F604EE">
            <w:pPr>
              <w:rPr>
                <w:sz w:val="20"/>
              </w:rPr>
            </w:pPr>
            <w:r w:rsidRPr="00686B55">
              <w:rPr>
                <w:sz w:val="20"/>
              </w:rPr>
              <w:t>Patients with hepatic impairment</w:t>
            </w:r>
          </w:p>
        </w:tc>
        <w:tc>
          <w:tcPr>
            <w:tcW w:w="1134" w:type="dxa"/>
          </w:tcPr>
          <w:p w14:paraId="6DE43BE0" w14:textId="77777777" w:rsidR="00F604EE" w:rsidRPr="00686B55" w:rsidRDefault="00F604EE" w:rsidP="00F604EE">
            <w:pPr>
              <w:ind w:left="34" w:right="33"/>
              <w:jc w:val="center"/>
              <w:rPr>
                <w:sz w:val="20"/>
              </w:rPr>
            </w:pPr>
            <w:r w:rsidRPr="00686B55">
              <w:rPr>
                <w:sz w:val="20"/>
              </w:rPr>
              <w:sym w:font="Wingdings" w:char="F0FC"/>
            </w:r>
          </w:p>
        </w:tc>
        <w:tc>
          <w:tcPr>
            <w:tcW w:w="992" w:type="dxa"/>
          </w:tcPr>
          <w:p w14:paraId="67D9E887" w14:textId="77777777" w:rsidR="00F604EE" w:rsidRPr="00686B55" w:rsidRDefault="00F604EE" w:rsidP="00F604EE">
            <w:pPr>
              <w:ind w:left="34" w:right="33"/>
              <w:jc w:val="center"/>
              <w:rPr>
                <w:sz w:val="20"/>
              </w:rPr>
            </w:pPr>
            <w:r w:rsidRPr="00686B55">
              <w:rPr>
                <w:sz w:val="20"/>
              </w:rPr>
              <w:t>–</w:t>
            </w:r>
          </w:p>
        </w:tc>
        <w:tc>
          <w:tcPr>
            <w:tcW w:w="992" w:type="dxa"/>
          </w:tcPr>
          <w:p w14:paraId="2DBA6008" w14:textId="77777777" w:rsidR="00F604EE" w:rsidRPr="00686B55" w:rsidRDefault="00F604EE" w:rsidP="00F604EE">
            <w:pPr>
              <w:ind w:left="34" w:right="33"/>
              <w:jc w:val="center"/>
              <w:rPr>
                <w:sz w:val="20"/>
              </w:rPr>
            </w:pPr>
            <w:r w:rsidRPr="00686B55">
              <w:rPr>
                <w:sz w:val="20"/>
              </w:rPr>
              <w:sym w:font="Wingdings" w:char="F0FC"/>
            </w:r>
          </w:p>
        </w:tc>
        <w:tc>
          <w:tcPr>
            <w:tcW w:w="992" w:type="dxa"/>
          </w:tcPr>
          <w:p w14:paraId="6202D657" w14:textId="77777777" w:rsidR="00F604EE" w:rsidRPr="00686B55" w:rsidRDefault="00F604EE" w:rsidP="00F604EE">
            <w:pPr>
              <w:ind w:left="34" w:right="33"/>
              <w:jc w:val="center"/>
              <w:rPr>
                <w:sz w:val="20"/>
              </w:rPr>
            </w:pPr>
            <w:r w:rsidRPr="00686B55">
              <w:rPr>
                <w:sz w:val="20"/>
              </w:rPr>
              <w:t>–</w:t>
            </w:r>
          </w:p>
        </w:tc>
      </w:tr>
    </w:tbl>
    <w:p w14:paraId="042CC489" w14:textId="77777777" w:rsidR="00F604EE" w:rsidRDefault="00F604EE" w:rsidP="00534C3E">
      <w:pPr>
        <w:pStyle w:val="TableDescription"/>
        <w:rPr>
          <w:lang w:eastAsia="en-AU"/>
        </w:rPr>
      </w:pPr>
      <w:r w:rsidRPr="00F604EE">
        <w:rPr>
          <w:vertAlign w:val="superscript"/>
          <w:lang w:eastAsia="en-AU"/>
        </w:rPr>
        <w:t>1</w:t>
      </w:r>
      <w:r w:rsidRPr="00F604EE">
        <w:rPr>
          <w:lang w:eastAsia="en-AU"/>
        </w:rPr>
        <w:t>Post-authorisaation Safety Study in the EU</w:t>
      </w:r>
    </w:p>
    <w:p w14:paraId="447C66B4" w14:textId="77777777" w:rsidR="00F604EE" w:rsidRDefault="00F604EE" w:rsidP="00F604EE">
      <w:pPr>
        <w:rPr>
          <w:lang w:eastAsia="en-AU"/>
        </w:rPr>
      </w:pPr>
      <w:r>
        <w:rPr>
          <w:lang w:eastAsia="en-AU"/>
        </w:rPr>
        <w:t xml:space="preserve">The only additional pharmacovigilance activity is the planned </w:t>
      </w:r>
      <w:r w:rsidR="00F627B6">
        <w:rPr>
          <w:lang w:eastAsia="en-AU"/>
        </w:rPr>
        <w:t>post authorisation safety study</w:t>
      </w:r>
      <w:r>
        <w:rPr>
          <w:lang w:eastAsia="en-AU"/>
        </w:rPr>
        <w:t xml:space="preserve"> conducted in the EU. Although considered applicable to Australian context, the </w:t>
      </w:r>
      <w:r>
        <w:rPr>
          <w:lang w:eastAsia="en-AU"/>
        </w:rPr>
        <w:lastRenderedPageBreak/>
        <w:t>implementation of the activity depends on dependent on the market authorisation in the EU. The sponsor has indicated that a similar study is planned in the US, which could also provide further information on the risk of serious cardiovascular adverse events.</w:t>
      </w:r>
    </w:p>
    <w:p w14:paraId="737CE44D" w14:textId="77777777" w:rsidR="00F604EE" w:rsidRDefault="00F604EE" w:rsidP="00F604EE">
      <w:pPr>
        <w:rPr>
          <w:lang w:eastAsia="en-AU"/>
        </w:rPr>
      </w:pPr>
      <w:r>
        <w:rPr>
          <w:lang w:eastAsia="en-AU"/>
        </w:rPr>
        <w:t>Routine risk minimisation is considered sufficient to manage the safety concerns for this product as they are consistent with those for similar medicines.</w:t>
      </w:r>
    </w:p>
    <w:p w14:paraId="194F40CE" w14:textId="77777777" w:rsidR="003F09E4" w:rsidRDefault="00456765" w:rsidP="00456765">
      <w:pPr>
        <w:pStyle w:val="Heading4"/>
      </w:pPr>
      <w:bookmarkStart w:id="115" w:name="_Toc477354123"/>
      <w:r>
        <w:t>New and outstanding recommendations from second round evaluation</w:t>
      </w:r>
      <w:bookmarkEnd w:id="115"/>
    </w:p>
    <w:p w14:paraId="1075E8CB" w14:textId="4FB027F2" w:rsidR="00686B55" w:rsidRDefault="00686B55" w:rsidP="00686B55">
      <w:pPr>
        <w:rPr>
          <w:lang w:eastAsia="en-AU"/>
        </w:rPr>
      </w:pPr>
      <w:r>
        <w:rPr>
          <w:lang w:eastAsia="en-AU"/>
        </w:rPr>
        <w:t xml:space="preserve">There are two outstanding issues from the </w:t>
      </w:r>
      <w:r w:rsidR="001125FC">
        <w:rPr>
          <w:lang w:eastAsia="en-AU"/>
        </w:rPr>
        <w:t xml:space="preserve">first round </w:t>
      </w:r>
      <w:r>
        <w:rPr>
          <w:lang w:eastAsia="en-AU"/>
        </w:rPr>
        <w:t>evaluation (recommendation</w:t>
      </w:r>
      <w:r w:rsidR="001125FC">
        <w:rPr>
          <w:lang w:eastAsia="en-AU"/>
        </w:rPr>
        <w:t xml:space="preserve"> </w:t>
      </w:r>
      <w:r>
        <w:rPr>
          <w:lang w:eastAsia="en-AU"/>
        </w:rPr>
        <w:t>1), as described below:</w:t>
      </w:r>
    </w:p>
    <w:p w14:paraId="167071F0" w14:textId="77777777" w:rsidR="008D74BF" w:rsidRDefault="00686B55" w:rsidP="007F02DD">
      <w:pPr>
        <w:pStyle w:val="Heading5"/>
        <w:rPr>
          <w:lang w:eastAsia="en-AU"/>
        </w:rPr>
      </w:pPr>
      <w:r>
        <w:rPr>
          <w:lang w:eastAsia="en-AU"/>
        </w:rPr>
        <w:t>Recommendation 1</w:t>
      </w:r>
      <w:r w:rsidR="008D74BF">
        <w:rPr>
          <w:lang w:eastAsia="en-AU"/>
        </w:rPr>
        <w:t>.</w:t>
      </w:r>
    </w:p>
    <w:p w14:paraId="72CFD4E2" w14:textId="77777777" w:rsidR="00C44BAA" w:rsidRDefault="00686B55" w:rsidP="00686B55">
      <w:pPr>
        <w:rPr>
          <w:lang w:eastAsia="en-AU"/>
        </w:rPr>
      </w:pPr>
      <w:r>
        <w:rPr>
          <w:lang w:eastAsia="en-AU"/>
        </w:rPr>
        <w:t>The non-clinical evaluation report noted the following discrepancies in the RMP:</w:t>
      </w:r>
    </w:p>
    <w:p w14:paraId="2A26D3FF" w14:textId="5C56B7FE" w:rsidR="00686B55" w:rsidRDefault="001125FC" w:rsidP="001125FC">
      <w:pPr>
        <w:ind w:left="284"/>
        <w:rPr>
          <w:lang w:eastAsia="en-AU"/>
        </w:rPr>
      </w:pPr>
      <w:r>
        <w:rPr>
          <w:lang w:eastAsia="en-AU"/>
        </w:rPr>
        <w:t>‘</w:t>
      </w:r>
      <w:r w:rsidR="00686B55">
        <w:rPr>
          <w:lang w:eastAsia="en-AU"/>
        </w:rPr>
        <w:t>Despite their low incidence, foetal skeletal malformations (including syndactyly and polydactyly) observed in rats with maternal dosing at 300 mg/kg/week are seen to be related to treatment based on a weight of evidence approach, with biological plausibility downplayed by the sponsor.</w:t>
      </w:r>
    </w:p>
    <w:p w14:paraId="2E9F94B6" w14:textId="23CDDFFD" w:rsidR="00686B55" w:rsidRDefault="00686B55" w:rsidP="001125FC">
      <w:pPr>
        <w:ind w:left="284"/>
        <w:rPr>
          <w:lang w:eastAsia="en-AU"/>
        </w:rPr>
      </w:pPr>
      <w:r>
        <w:rPr>
          <w:lang w:eastAsia="en-AU"/>
        </w:rPr>
        <w:t xml:space="preserve">Minor discrepancies in </w:t>
      </w:r>
      <w:proofErr w:type="spellStart"/>
      <w:r>
        <w:rPr>
          <w:lang w:eastAsia="en-AU"/>
        </w:rPr>
        <w:t>animal:human</w:t>
      </w:r>
      <w:proofErr w:type="spellEnd"/>
      <w:r>
        <w:rPr>
          <w:lang w:eastAsia="en-AU"/>
        </w:rPr>
        <w:t xml:space="preserve"> exposure ratios are noted. Exposure ratios calculated in this report are based on a serum AUC value of 509 µ</w:t>
      </w:r>
      <w:proofErr w:type="spellStart"/>
      <w:r>
        <w:rPr>
          <w:lang w:eastAsia="en-AU"/>
        </w:rPr>
        <w:t>g.d</w:t>
      </w:r>
      <w:proofErr w:type="spellEnd"/>
      <w:r>
        <w:rPr>
          <w:lang w:eastAsia="en-AU"/>
        </w:rPr>
        <w:t xml:space="preserve">/mL </w:t>
      </w:r>
      <w:r w:rsidR="00654353">
        <w:rPr>
          <w:lang w:eastAsia="en-AU"/>
        </w:rPr>
        <w:t>(</w:t>
      </w:r>
      <w:r>
        <w:rPr>
          <w:lang w:eastAsia="en-AU"/>
        </w:rPr>
        <w:t>= 12216</w:t>
      </w:r>
      <w:r w:rsidR="00C61641">
        <w:rPr>
          <w:lang w:eastAsia="en-AU"/>
        </w:rPr>
        <w:t> </w:t>
      </w:r>
      <w:r>
        <w:rPr>
          <w:lang w:eastAsia="en-AU"/>
        </w:rPr>
        <w:t>µ</w:t>
      </w:r>
      <w:proofErr w:type="spellStart"/>
      <w:r>
        <w:rPr>
          <w:lang w:eastAsia="en-AU"/>
        </w:rPr>
        <w:t>g.h</w:t>
      </w:r>
      <w:proofErr w:type="spellEnd"/>
      <w:r>
        <w:rPr>
          <w:lang w:eastAsia="en-AU"/>
        </w:rPr>
        <w:t>/mL</w:t>
      </w:r>
      <w:r w:rsidR="00654353">
        <w:rPr>
          <w:lang w:eastAsia="en-AU"/>
        </w:rPr>
        <w:t>)</w:t>
      </w:r>
      <w:r w:rsidR="008D74BF">
        <w:rPr>
          <w:lang w:eastAsia="en-AU"/>
        </w:rPr>
        <w:t xml:space="preserve"> </w:t>
      </w:r>
      <w:r>
        <w:rPr>
          <w:lang w:eastAsia="en-AU"/>
        </w:rPr>
        <w:t xml:space="preserve">as given in the </w:t>
      </w:r>
      <w:r w:rsidR="00CF0630">
        <w:rPr>
          <w:lang w:eastAsia="en-AU"/>
        </w:rPr>
        <w:t>p</w:t>
      </w:r>
      <w:r>
        <w:rPr>
          <w:lang w:eastAsia="en-AU"/>
        </w:rPr>
        <w:t xml:space="preserve">opulation </w:t>
      </w:r>
      <w:r w:rsidR="00C36ACF">
        <w:rPr>
          <w:lang w:eastAsia="en-AU"/>
        </w:rPr>
        <w:t>pharmacokinetics</w:t>
      </w:r>
      <w:r>
        <w:rPr>
          <w:lang w:eastAsia="en-AU"/>
        </w:rPr>
        <w:t xml:space="preserve"> report provided with the submission (Study 119384A), while those cited by the sponsor appear to be based on an earlier value of 537 µ</w:t>
      </w:r>
      <w:proofErr w:type="spellStart"/>
      <w:r>
        <w:rPr>
          <w:lang w:eastAsia="en-AU"/>
        </w:rPr>
        <w:t>g.d</w:t>
      </w:r>
      <w:proofErr w:type="spellEnd"/>
      <w:r>
        <w:rPr>
          <w:lang w:eastAsia="en-AU"/>
        </w:rPr>
        <w:t xml:space="preserve">/mL </w:t>
      </w:r>
      <w:r w:rsidR="00654353">
        <w:rPr>
          <w:lang w:eastAsia="en-AU"/>
        </w:rPr>
        <w:t>(</w:t>
      </w:r>
      <w:r>
        <w:rPr>
          <w:lang w:eastAsia="en-AU"/>
        </w:rPr>
        <w:t>= 12888 µ</w:t>
      </w:r>
      <w:proofErr w:type="spellStart"/>
      <w:r>
        <w:rPr>
          <w:lang w:eastAsia="en-AU"/>
        </w:rPr>
        <w:t>g.h</w:t>
      </w:r>
      <w:proofErr w:type="spellEnd"/>
      <w:r>
        <w:rPr>
          <w:lang w:eastAsia="en-AU"/>
        </w:rPr>
        <w:t>/mL</w:t>
      </w:r>
      <w:r w:rsidR="00654353">
        <w:rPr>
          <w:lang w:eastAsia="en-AU"/>
        </w:rPr>
        <w:t>)</w:t>
      </w:r>
      <w:r>
        <w:rPr>
          <w:lang w:eastAsia="en-AU"/>
        </w:rPr>
        <w:t>.</w:t>
      </w:r>
      <w:r w:rsidR="001125FC">
        <w:rPr>
          <w:lang w:eastAsia="en-AU"/>
        </w:rPr>
        <w:t>’</w:t>
      </w:r>
    </w:p>
    <w:p w14:paraId="3B18D100" w14:textId="435D5C16" w:rsidR="008D74BF" w:rsidRDefault="00686B55" w:rsidP="00686B55">
      <w:pPr>
        <w:rPr>
          <w:lang w:eastAsia="en-AU"/>
        </w:rPr>
      </w:pPr>
      <w:r>
        <w:rPr>
          <w:lang w:eastAsia="en-AU"/>
        </w:rPr>
        <w:t>The discrepancies refer to content in the EU-RMP. The sponsor should rectify the discrepancies in the EU-RMP document in the next RMP</w:t>
      </w:r>
      <w:r w:rsidR="001125FC">
        <w:rPr>
          <w:lang w:eastAsia="en-AU"/>
        </w:rPr>
        <w:t xml:space="preserve"> update. It is noted that the f</w:t>
      </w:r>
      <w:r>
        <w:rPr>
          <w:lang w:eastAsia="en-AU"/>
        </w:rPr>
        <w:t>etal malformations are of limited relevance to the indicated population</w:t>
      </w:r>
      <w:r w:rsidR="008D74BF">
        <w:rPr>
          <w:lang w:eastAsia="en-AU"/>
        </w:rPr>
        <w:t>.</w:t>
      </w:r>
    </w:p>
    <w:p w14:paraId="6FA2920E" w14:textId="54063736" w:rsidR="00DD0C6F" w:rsidRDefault="00DD0C6F" w:rsidP="00DD0C6F">
      <w:pPr>
        <w:pStyle w:val="Heading4"/>
        <w:rPr>
          <w:lang w:eastAsia="en-AU"/>
        </w:rPr>
      </w:pPr>
      <w:r>
        <w:rPr>
          <w:lang w:eastAsia="en-AU"/>
        </w:rPr>
        <w:t>Post second round RMP update</w:t>
      </w:r>
    </w:p>
    <w:p w14:paraId="0D80F66D" w14:textId="1347F426" w:rsidR="00DD0C6F" w:rsidRPr="00DD0C6F" w:rsidRDefault="00DD0C6F" w:rsidP="00DD0C6F">
      <w:pPr>
        <w:rPr>
          <w:lang w:eastAsia="en-AU"/>
        </w:rPr>
      </w:pPr>
      <w:r w:rsidRPr="00B43995">
        <w:rPr>
          <w:shd w:val="clear" w:color="auto" w:fill="FFFFFF" w:themeFill="background1"/>
        </w:rPr>
        <w:t xml:space="preserve">As requested by the TGA </w:t>
      </w:r>
      <w:r w:rsidR="00CF0630">
        <w:rPr>
          <w:shd w:val="clear" w:color="auto" w:fill="FFFFFF" w:themeFill="background1"/>
        </w:rPr>
        <w:t>D</w:t>
      </w:r>
      <w:r w:rsidR="00CF0630" w:rsidRPr="00B43995">
        <w:rPr>
          <w:shd w:val="clear" w:color="auto" w:fill="FFFFFF" w:themeFill="background1"/>
        </w:rPr>
        <w:t>elegate</w:t>
      </w:r>
      <w:r w:rsidRPr="00B43995">
        <w:rPr>
          <w:shd w:val="clear" w:color="auto" w:fill="FFFFFF" w:themeFill="background1"/>
        </w:rPr>
        <w:t xml:space="preserve">, the sponsor has submitted another updated EU-RMP version 0.2; dated 13 July 2018, DLP 22 May 2018 with ASA version 4.0; dated 13 May 2019. These RMP documents have been reviewed with the consideration of recommendations from the </w:t>
      </w:r>
      <w:r w:rsidR="00CF0630">
        <w:rPr>
          <w:shd w:val="clear" w:color="auto" w:fill="FFFFFF" w:themeFill="background1"/>
        </w:rPr>
        <w:t>Advisory Committee on Medicines (</w:t>
      </w:r>
      <w:r w:rsidRPr="00B43995">
        <w:rPr>
          <w:shd w:val="clear" w:color="auto" w:fill="FFFFFF" w:themeFill="background1"/>
        </w:rPr>
        <w:t>ACM</w:t>
      </w:r>
      <w:r w:rsidR="00CF0630">
        <w:rPr>
          <w:shd w:val="clear" w:color="auto" w:fill="FFFFFF" w:themeFill="background1"/>
        </w:rPr>
        <w:t>)</w:t>
      </w:r>
      <w:r w:rsidRPr="00B43995">
        <w:rPr>
          <w:shd w:val="clear" w:color="auto" w:fill="FFFFFF" w:themeFill="background1"/>
        </w:rPr>
        <w:t xml:space="preserve"> and TGA </w:t>
      </w:r>
      <w:r w:rsidR="00CF0630">
        <w:rPr>
          <w:shd w:val="clear" w:color="auto" w:fill="FFFFFF" w:themeFill="background1"/>
        </w:rPr>
        <w:t>D</w:t>
      </w:r>
      <w:r w:rsidR="00CF0630" w:rsidRPr="00B43995">
        <w:rPr>
          <w:shd w:val="clear" w:color="auto" w:fill="FFFFFF" w:themeFill="background1"/>
        </w:rPr>
        <w:t>elegate</w:t>
      </w:r>
      <w:r w:rsidRPr="00B43995">
        <w:rPr>
          <w:shd w:val="clear" w:color="auto" w:fill="FFFFFF" w:themeFill="background1"/>
        </w:rPr>
        <w:t>. No further recommendations to update the RMP documents are made at this stage</w:t>
      </w:r>
      <w:r>
        <w:rPr>
          <w:shd w:val="clear" w:color="auto" w:fill="FFFFCC"/>
        </w:rPr>
        <w:t>.</w:t>
      </w:r>
    </w:p>
    <w:p w14:paraId="4216C065" w14:textId="77777777" w:rsidR="003F09E4" w:rsidRDefault="00456765" w:rsidP="00456765">
      <w:pPr>
        <w:pStyle w:val="Heading4"/>
      </w:pPr>
      <w:bookmarkStart w:id="116" w:name="_Toc477354124"/>
      <w:r>
        <w:t>Proposed wording for conditions of registration</w:t>
      </w:r>
      <w:bookmarkEnd w:id="116"/>
    </w:p>
    <w:p w14:paraId="7DDFC2E5" w14:textId="77777777" w:rsidR="008D74BF" w:rsidRDefault="00686B55" w:rsidP="00686B55">
      <w:pPr>
        <w:rPr>
          <w:lang w:eastAsia="en-AU"/>
        </w:rPr>
      </w:pPr>
      <w:r>
        <w:rPr>
          <w:lang w:eastAsia="en-AU"/>
        </w:rPr>
        <w:t>Any changes to which the sponsor has agreed should be included in a revised RMP and ASA. However, irrespective of whether or not they are included in the currently available version of the RMP document, the agreed changes become part of the risk management system</w:t>
      </w:r>
      <w:r w:rsidR="008D74BF">
        <w:rPr>
          <w:lang w:eastAsia="en-AU"/>
        </w:rPr>
        <w:t>.</w:t>
      </w:r>
    </w:p>
    <w:p w14:paraId="0C44D417" w14:textId="77777777" w:rsidR="00C44BAA" w:rsidRDefault="00686B55" w:rsidP="00686B55">
      <w:pPr>
        <w:rPr>
          <w:lang w:eastAsia="en-AU"/>
        </w:rPr>
      </w:pPr>
      <w:r>
        <w:rPr>
          <w:lang w:eastAsia="en-AU"/>
        </w:rPr>
        <w:t>The suggested wording is:</w:t>
      </w:r>
    </w:p>
    <w:p w14:paraId="6F7834F6" w14:textId="178AF063" w:rsidR="00DD0C6F" w:rsidRDefault="00DD0C6F" w:rsidP="00DD0C6F">
      <w:pPr>
        <w:pStyle w:val="ListBullet"/>
      </w:pPr>
      <w:r>
        <w:t>The</w:t>
      </w:r>
      <w:r w:rsidRPr="004222FE">
        <w:t xml:space="preserve"> </w:t>
      </w:r>
      <w:r w:rsidRPr="00DD0C6F">
        <w:t xml:space="preserve">Evenity </w:t>
      </w:r>
      <w:r w:rsidRPr="004222FE">
        <w:t xml:space="preserve">EU-Risk Management Plan (RMP) </w:t>
      </w:r>
      <w:r>
        <w:t>version 0.2 (dated 13 July 2018; DLP 22</w:t>
      </w:r>
      <w:r w:rsidR="00CF0630">
        <w:t> </w:t>
      </w:r>
      <w:r>
        <w:t>May 2018</w:t>
      </w:r>
      <w:r w:rsidRPr="008A0703">
        <w:t>)</w:t>
      </w:r>
      <w:r w:rsidRPr="004222FE">
        <w:t>, with Australian Specific Annex</w:t>
      </w:r>
      <w:r>
        <w:t xml:space="preserve"> version 4.0 (dated 13 May 2019)</w:t>
      </w:r>
      <w:r w:rsidRPr="004222FE">
        <w:t>,</w:t>
      </w:r>
      <w:r>
        <w:t xml:space="preserve"> included with submission PM-2017-04339-1-5</w:t>
      </w:r>
      <w:r w:rsidRPr="00B64D61">
        <w:t xml:space="preserve"> and any subsequent revisions, as agreed with the TGA will be implemented in Australia.</w:t>
      </w:r>
    </w:p>
    <w:p w14:paraId="7347AB5C" w14:textId="40FE5823" w:rsidR="00C44BAA" w:rsidRDefault="00686B55" w:rsidP="001125FC">
      <w:pPr>
        <w:ind w:left="360"/>
        <w:rPr>
          <w:lang w:eastAsia="en-AU"/>
        </w:rPr>
      </w:pPr>
      <w:r>
        <w:rPr>
          <w:lang w:eastAsia="en-AU"/>
        </w:rPr>
        <w:t>The following wording is recom</w:t>
      </w:r>
      <w:r w:rsidR="00DD0C6F">
        <w:rPr>
          <w:lang w:eastAsia="en-AU"/>
        </w:rPr>
        <w:t>mended for the PSUR requirement</w:t>
      </w:r>
      <w:r w:rsidR="00DD0C6F" w:rsidRPr="004222FE">
        <w:t>:</w:t>
      </w:r>
      <w:r w:rsidR="00DD0C6F">
        <w:t xml:space="preserve"> (this does not include the TGA delegate’s request for the submission of annual reports on overseas PASS to avoid repetition):</w:t>
      </w:r>
    </w:p>
    <w:p w14:paraId="1F85DDFD" w14:textId="77777777" w:rsidR="008D74BF" w:rsidRDefault="00686B55" w:rsidP="001125FC">
      <w:pPr>
        <w:ind w:left="360"/>
        <w:rPr>
          <w:lang w:eastAsia="en-AU"/>
        </w:rPr>
      </w:pPr>
      <w:r>
        <w:rPr>
          <w:lang w:eastAsia="en-AU"/>
        </w:rPr>
        <w:t>An obligatory component of risk management plans is routine pharmacovigilance. Routine pharmacovigilance includes the submission of Periodic Safety Update Reports (PSURs)</w:t>
      </w:r>
      <w:r w:rsidR="008D74BF">
        <w:rPr>
          <w:lang w:eastAsia="en-AU"/>
        </w:rPr>
        <w:t>.</w:t>
      </w:r>
    </w:p>
    <w:p w14:paraId="6DA1E63C" w14:textId="77777777" w:rsidR="00686B55" w:rsidRDefault="00686B55" w:rsidP="001125FC">
      <w:pPr>
        <w:ind w:left="360"/>
        <w:rPr>
          <w:lang w:eastAsia="en-AU"/>
        </w:rPr>
      </w:pPr>
      <w:r>
        <w:rPr>
          <w:lang w:eastAsia="en-AU"/>
        </w:rPr>
        <w:lastRenderedPageBreak/>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six monthly reports may be submitted separately as they become available.</w:t>
      </w:r>
    </w:p>
    <w:p w14:paraId="770A75E4" w14:textId="77777777" w:rsidR="00686B55" w:rsidRDefault="00686B55" w:rsidP="001125FC">
      <w:pPr>
        <w:ind w:left="360"/>
        <w:rPr>
          <w:lang w:eastAsia="en-AU"/>
        </w:rPr>
      </w:pPr>
      <w:r>
        <w:rPr>
          <w:lang w:eastAsia="en-AU"/>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6759B3D2" w14:textId="77777777" w:rsidR="00C44BAA" w:rsidRDefault="00686B55" w:rsidP="00686B55">
      <w:pPr>
        <w:rPr>
          <w:lang w:eastAsia="en-AU"/>
        </w:rPr>
      </w:pPr>
      <w:r>
        <w:rPr>
          <w:lang w:eastAsia="en-AU"/>
        </w:rPr>
        <w:t xml:space="preserve">As </w:t>
      </w:r>
      <w:r w:rsidR="00C36ACF">
        <w:rPr>
          <w:lang w:eastAsia="en-AU"/>
        </w:rPr>
        <w:t>Evenity</w:t>
      </w:r>
      <w:r>
        <w:rPr>
          <w:lang w:eastAsia="en-AU"/>
        </w:rPr>
        <w:t xml:space="preserve"> is a new biological entity it should be included in the Black Triangle Scheme as a condition of registration. The following wording is recommended for the condition of registration:</w:t>
      </w:r>
    </w:p>
    <w:p w14:paraId="77547333" w14:textId="77777777" w:rsidR="00686B55" w:rsidRPr="007F02DD" w:rsidRDefault="00C36ACF" w:rsidP="001125FC">
      <w:pPr>
        <w:pStyle w:val="ListBullet"/>
        <w:rPr>
          <w:lang w:eastAsia="en-AU"/>
        </w:rPr>
      </w:pPr>
      <w:r w:rsidRPr="007F02DD">
        <w:rPr>
          <w:lang w:eastAsia="en-AU"/>
        </w:rPr>
        <w:t>Evenity</w:t>
      </w:r>
      <w:r w:rsidR="00686B55" w:rsidRPr="007F02DD">
        <w:rPr>
          <w:lang w:eastAsia="en-AU"/>
        </w:rPr>
        <w:t xml:space="preserve"> (romosozumab) is to be included in the Black Triangle Scheme. The PI and </w:t>
      </w:r>
      <w:r w:rsidR="00C61641">
        <w:rPr>
          <w:lang w:eastAsia="en-AU"/>
        </w:rPr>
        <w:t>CMI</w:t>
      </w:r>
      <w:r w:rsidR="00686B55" w:rsidRPr="007F02DD">
        <w:rPr>
          <w:lang w:eastAsia="en-AU"/>
        </w:rPr>
        <w:t xml:space="preserve"> for </w:t>
      </w:r>
      <w:r w:rsidRPr="007F02DD">
        <w:rPr>
          <w:lang w:eastAsia="en-AU"/>
        </w:rPr>
        <w:t>Evenity</w:t>
      </w:r>
      <w:r w:rsidR="00686B55" w:rsidRPr="007F02DD">
        <w:rPr>
          <w:lang w:eastAsia="en-AU"/>
        </w:rPr>
        <w:t xml:space="preserve"> must include the black triangle symbol and mandatory accompanying text for five years, which starts from the date that the sponsor notifies the TGA of supply of the product.</w:t>
      </w:r>
    </w:p>
    <w:p w14:paraId="7DD46BA7" w14:textId="77777777" w:rsidR="008E7846" w:rsidRPr="00792A32" w:rsidRDefault="008E7846" w:rsidP="00475B33">
      <w:pPr>
        <w:pStyle w:val="Heading2"/>
      </w:pPr>
      <w:bookmarkStart w:id="117" w:name="_Toc32481922"/>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3"/>
      <w:bookmarkEnd w:id="113"/>
      <w:bookmarkEnd w:id="114"/>
      <w:bookmarkEnd w:id="117"/>
    </w:p>
    <w:p w14:paraId="5932D6E2" w14:textId="209DEC40" w:rsidR="008E7846" w:rsidRDefault="008E7846" w:rsidP="008E7846">
      <w:bookmarkStart w:id="118" w:name="_Toc247691528"/>
      <w:r>
        <w:t xml:space="preserve">The submission was summarised in the following </w:t>
      </w:r>
      <w:r w:rsidRPr="00EF5C48">
        <w:t xml:space="preserve">Delegate’s </w:t>
      </w:r>
      <w:r>
        <w:t>overview</w:t>
      </w:r>
      <w:r w:rsidRPr="00EF5C48">
        <w:t xml:space="preserve"> and recommendation</w:t>
      </w:r>
      <w:r w:rsidR="00995A69">
        <w:t>s.</w:t>
      </w:r>
    </w:p>
    <w:p w14:paraId="657D1BA1" w14:textId="72C19179" w:rsidR="00475B33" w:rsidRDefault="00475B33" w:rsidP="00475B33">
      <w:pPr>
        <w:pStyle w:val="Heading3"/>
      </w:pPr>
      <w:bookmarkStart w:id="119" w:name="_Toc32481923"/>
      <w:r>
        <w:t>Background</w:t>
      </w:r>
      <w:bookmarkEnd w:id="119"/>
    </w:p>
    <w:p w14:paraId="0E6A87A1" w14:textId="27F8A439" w:rsidR="008D74BF" w:rsidRDefault="00696AC6" w:rsidP="00995A69">
      <w:r>
        <w:t>Romosozumab</w:t>
      </w:r>
      <w:r w:rsidR="00995A69">
        <w:t xml:space="preserve"> is a high-affinity humanised immunoglobulin G2 (IgG2) monoclonal antibody directed against sclerostin that inhibits its interaction with LRP-5/LRP-6 and activates </w:t>
      </w:r>
      <w:r w:rsidR="002F44D8" w:rsidRPr="00C61641">
        <w:t>Wingless-related integration site</w:t>
      </w:r>
      <w:r w:rsidR="00995A69">
        <w:t xml:space="preserve"> </w:t>
      </w:r>
      <w:r w:rsidR="003458DF">
        <w:t>signalling</w:t>
      </w:r>
      <w:r w:rsidR="00995A69">
        <w:t xml:space="preserve"> in the osteoblast lineage. Sclerostin-mediated decreases in </w:t>
      </w:r>
      <w:r w:rsidR="002F44D8">
        <w:t>Wingless-related integration site</w:t>
      </w:r>
      <w:r w:rsidR="00995A69">
        <w:t xml:space="preserve"> signalling in osteoblast</w:t>
      </w:r>
      <w:r w:rsidR="003F09E4">
        <w:t xml:space="preserve"> </w:t>
      </w:r>
      <w:r w:rsidR="00995A69">
        <w:t>lineage cells result in inhibition of osteoblast</w:t>
      </w:r>
      <w:r w:rsidR="00130972">
        <w:t xml:space="preserve"> </w:t>
      </w:r>
      <w:r w:rsidR="00995A69">
        <w:t>mediated bone formation and stimulation of osteoclast</w:t>
      </w:r>
      <w:r w:rsidR="00130972">
        <w:t xml:space="preserve"> </w:t>
      </w:r>
      <w:r w:rsidR="00995A69">
        <w:t xml:space="preserve">mediated bone resorption. By blocking sclerostin, romosozumab increases bone formation due to the activation of bone lining cells, increased bone matrix production by osteoblasts, and recruitment of </w:t>
      </w:r>
      <w:proofErr w:type="spellStart"/>
      <w:r w:rsidR="00995A69">
        <w:t>osteo</w:t>
      </w:r>
      <w:proofErr w:type="spellEnd"/>
      <w:r w:rsidR="003458DF">
        <w:t>-</w:t>
      </w:r>
      <w:r w:rsidR="00995A69">
        <w:t>progenitor cells. Additionally, romosozumab results in changes in expression of osteoclast mediators, thereby decreasing bone resorption. Together, the dual effect of increasing bone formation and decreasing bone resorption results in improvements in bone mass, structure and strength</w:t>
      </w:r>
      <w:r w:rsidR="008D74BF">
        <w:t>.</w:t>
      </w:r>
    </w:p>
    <w:p w14:paraId="27E1D1B4" w14:textId="77777777" w:rsidR="008D74BF" w:rsidRDefault="00995A69" w:rsidP="00995A69">
      <w:r>
        <w:t>Sclerostin was identified as a target of interest by genetic analysis of two rare bone disorders (</w:t>
      </w:r>
      <w:proofErr w:type="spellStart"/>
      <w:r>
        <w:t>sclerosteosis</w:t>
      </w:r>
      <w:proofErr w:type="spellEnd"/>
      <w:r>
        <w:t xml:space="preserve"> and Van </w:t>
      </w:r>
      <w:proofErr w:type="spellStart"/>
      <w:r>
        <w:t>Buchem</w:t>
      </w:r>
      <w:proofErr w:type="spellEnd"/>
      <w:r>
        <w:t xml:space="preserve"> disease) that are associated with thick bones, increased density and resistance to fracture. Homozygous patients also experience facial palsy, hearing impairment and syndactyly</w:t>
      </w:r>
      <w:r w:rsidR="008D74BF">
        <w:t>.</w:t>
      </w:r>
    </w:p>
    <w:p w14:paraId="1D36B24C" w14:textId="77777777" w:rsidR="008D74BF" w:rsidRDefault="00696AC6" w:rsidP="00995A69">
      <w:r>
        <w:t>Romosozumab</w:t>
      </w:r>
      <w:r w:rsidR="00995A69">
        <w:t xml:space="preserve"> is a large protein, theoretical mass 145</w:t>
      </w:r>
      <w:r w:rsidR="00DB6D02">
        <w:t>,</w:t>
      </w:r>
      <w:r w:rsidR="00995A69">
        <w:t xml:space="preserve">622 </w:t>
      </w:r>
      <w:proofErr w:type="spellStart"/>
      <w:r w:rsidR="00995A69">
        <w:t>daltons</w:t>
      </w:r>
      <w:proofErr w:type="spellEnd"/>
      <w:r w:rsidR="008D74BF">
        <w:t>.</w:t>
      </w:r>
    </w:p>
    <w:p w14:paraId="5662C129" w14:textId="5610C126" w:rsidR="00995A69" w:rsidRDefault="00130972" w:rsidP="00995A69">
      <w:r w:rsidRPr="00A62BA9">
        <w:t>T</w:t>
      </w:r>
      <w:r w:rsidR="00995A69" w:rsidRPr="00A62BA9">
        <w:t>able</w:t>
      </w:r>
      <w:r w:rsidR="00A62BA9">
        <w:t xml:space="preserve"> 27</w:t>
      </w:r>
      <w:r w:rsidR="00995A69">
        <w:t xml:space="preserve"> </w:t>
      </w:r>
      <w:r w:rsidR="00CF0630">
        <w:t xml:space="preserve">(shown </w:t>
      </w:r>
      <w:r w:rsidR="00995A69">
        <w:t>below</w:t>
      </w:r>
      <w:r w:rsidR="00CF0630">
        <w:t>)</w:t>
      </w:r>
      <w:r w:rsidR="00995A69">
        <w:t xml:space="preserve"> describes the currently available options for the treatment of </w:t>
      </w:r>
      <w:r>
        <w:t>o</w:t>
      </w:r>
      <w:r w:rsidR="00995A69">
        <w:t>steoporosis.</w:t>
      </w:r>
    </w:p>
    <w:p w14:paraId="25991A89" w14:textId="77777777" w:rsidR="00995A69" w:rsidRDefault="00995A69" w:rsidP="00995A69">
      <w:r>
        <w:t>The current treatment guidelines for the management of post-menopausal osteoporosis by the RACGP and osteoporosis Australia recommend bisphosphonates or denosumab as first line therapy.</w:t>
      </w:r>
      <w:r w:rsidR="003F09E4">
        <w:t xml:space="preserve"> </w:t>
      </w:r>
      <w:r>
        <w:t xml:space="preserve">Denosumab has advantages over bisphosphonates in terms of greater </w:t>
      </w:r>
      <w:r>
        <w:lastRenderedPageBreak/>
        <w:t>efficacy, and better compliance. Teriparatide is used when patients sustain fractures despite treatment with other anti-</w:t>
      </w:r>
      <w:proofErr w:type="spellStart"/>
      <w:r>
        <w:t>resorptive</w:t>
      </w:r>
      <w:proofErr w:type="spellEnd"/>
      <w:r>
        <w:t xml:space="preserve"> treatments. In men, alendronate and denosumab are considered to be a treatment option for osteoporosis.</w:t>
      </w:r>
    </w:p>
    <w:p w14:paraId="7D9BCF09" w14:textId="74BF511D" w:rsidR="00995A69" w:rsidRDefault="00B47A03" w:rsidP="00C61641">
      <w:pPr>
        <w:pStyle w:val="TableTitle"/>
      </w:pPr>
      <w:r>
        <w:t xml:space="preserve">Table </w:t>
      </w:r>
      <w:r w:rsidR="00A62BA9">
        <w:t>27</w:t>
      </w:r>
      <w:r>
        <w:t>:</w:t>
      </w:r>
      <w:r w:rsidR="00C61641">
        <w:t xml:space="preserve"> Currently approved options for the treatment of osteoporosis</w:t>
      </w:r>
    </w:p>
    <w:tbl>
      <w:tblPr>
        <w:tblStyle w:val="TableTGAblue"/>
        <w:tblW w:w="0" w:type="auto"/>
        <w:tblLayout w:type="fixed"/>
        <w:tblLook w:val="04A0" w:firstRow="1" w:lastRow="0" w:firstColumn="1" w:lastColumn="0" w:noHBand="0" w:noVBand="1"/>
      </w:tblPr>
      <w:tblGrid>
        <w:gridCol w:w="1701"/>
        <w:gridCol w:w="3510"/>
        <w:gridCol w:w="1701"/>
        <w:gridCol w:w="1808"/>
      </w:tblGrid>
      <w:tr w:rsidR="00B47A03" w:rsidRPr="00475B33" w14:paraId="48FBCB69" w14:textId="77777777" w:rsidTr="00130972">
        <w:trPr>
          <w:cnfStyle w:val="100000000000" w:firstRow="1" w:lastRow="0" w:firstColumn="0" w:lastColumn="0" w:oddVBand="0" w:evenVBand="0" w:oddHBand="0" w:evenHBand="0" w:firstRowFirstColumn="0" w:firstRowLastColumn="0" w:lastRowFirstColumn="0" w:lastRowLastColumn="0"/>
        </w:trPr>
        <w:tc>
          <w:tcPr>
            <w:tcW w:w="1701" w:type="dxa"/>
          </w:tcPr>
          <w:p w14:paraId="5D62813B" w14:textId="77777777" w:rsidR="00B47A03" w:rsidRPr="00475B33" w:rsidRDefault="00130972" w:rsidP="00130972">
            <w:pPr>
              <w:ind w:left="0" w:right="0"/>
              <w:rPr>
                <w:b w:val="0"/>
                <w:sz w:val="20"/>
                <w:szCs w:val="20"/>
              </w:rPr>
            </w:pPr>
            <w:r w:rsidRPr="00475B33">
              <w:rPr>
                <w:sz w:val="20"/>
                <w:szCs w:val="20"/>
              </w:rPr>
              <w:t>Drug</w:t>
            </w:r>
          </w:p>
        </w:tc>
        <w:tc>
          <w:tcPr>
            <w:tcW w:w="3510" w:type="dxa"/>
          </w:tcPr>
          <w:p w14:paraId="2704A31B" w14:textId="77777777" w:rsidR="00B47A03" w:rsidRPr="00475B33" w:rsidRDefault="00130972" w:rsidP="00B47A03">
            <w:pPr>
              <w:ind w:left="0" w:right="0"/>
              <w:rPr>
                <w:b w:val="0"/>
                <w:sz w:val="20"/>
                <w:szCs w:val="20"/>
              </w:rPr>
            </w:pPr>
            <w:r w:rsidRPr="00475B33">
              <w:rPr>
                <w:sz w:val="20"/>
                <w:szCs w:val="20"/>
              </w:rPr>
              <w:t>I</w:t>
            </w:r>
            <w:r w:rsidR="00B47A03" w:rsidRPr="00475B33">
              <w:rPr>
                <w:sz w:val="20"/>
                <w:szCs w:val="20"/>
              </w:rPr>
              <w:t>ndications</w:t>
            </w:r>
          </w:p>
        </w:tc>
        <w:tc>
          <w:tcPr>
            <w:tcW w:w="1701" w:type="dxa"/>
          </w:tcPr>
          <w:p w14:paraId="77F20125" w14:textId="77777777" w:rsidR="00B47A03" w:rsidRPr="00475B33" w:rsidRDefault="00B47A03" w:rsidP="00B47A03">
            <w:pPr>
              <w:ind w:left="0" w:right="0"/>
              <w:rPr>
                <w:b w:val="0"/>
                <w:sz w:val="20"/>
                <w:szCs w:val="20"/>
              </w:rPr>
            </w:pPr>
            <w:r w:rsidRPr="00475B33">
              <w:rPr>
                <w:sz w:val="20"/>
                <w:szCs w:val="20"/>
              </w:rPr>
              <w:t>Physiology</w:t>
            </w:r>
          </w:p>
        </w:tc>
        <w:tc>
          <w:tcPr>
            <w:tcW w:w="1808" w:type="dxa"/>
          </w:tcPr>
          <w:p w14:paraId="1A22ED71" w14:textId="77777777" w:rsidR="00B47A03" w:rsidRPr="00475B33" w:rsidRDefault="00130972" w:rsidP="00B47A03">
            <w:pPr>
              <w:ind w:left="0" w:right="0"/>
              <w:rPr>
                <w:b w:val="0"/>
                <w:sz w:val="20"/>
                <w:szCs w:val="20"/>
              </w:rPr>
            </w:pPr>
            <w:r w:rsidRPr="00475B33">
              <w:rPr>
                <w:sz w:val="20"/>
                <w:szCs w:val="20"/>
              </w:rPr>
              <w:t>N</w:t>
            </w:r>
            <w:r w:rsidR="00B47A03" w:rsidRPr="00475B33">
              <w:rPr>
                <w:sz w:val="20"/>
                <w:szCs w:val="20"/>
              </w:rPr>
              <w:t>otes</w:t>
            </w:r>
          </w:p>
        </w:tc>
      </w:tr>
      <w:tr w:rsidR="00B47A03" w:rsidRPr="00475B33" w14:paraId="1514F652" w14:textId="77777777" w:rsidTr="00130972">
        <w:tc>
          <w:tcPr>
            <w:tcW w:w="1701" w:type="dxa"/>
          </w:tcPr>
          <w:p w14:paraId="7EB7604B" w14:textId="69C31FE2" w:rsidR="00B47A03" w:rsidRPr="00475B33" w:rsidRDefault="0016114C" w:rsidP="00B47A03">
            <w:pPr>
              <w:ind w:left="0" w:right="0"/>
              <w:rPr>
                <w:sz w:val="20"/>
                <w:szCs w:val="20"/>
              </w:rPr>
            </w:pPr>
            <w:r w:rsidRPr="00475B33">
              <w:rPr>
                <w:sz w:val="20"/>
                <w:szCs w:val="20"/>
              </w:rPr>
              <w:t>Risedronate</w:t>
            </w:r>
          </w:p>
        </w:tc>
        <w:tc>
          <w:tcPr>
            <w:tcW w:w="3510" w:type="dxa"/>
          </w:tcPr>
          <w:p w14:paraId="5BF625B0" w14:textId="77777777" w:rsidR="00B47A03" w:rsidRPr="00475B33" w:rsidRDefault="00B47A03" w:rsidP="00B47A03">
            <w:pPr>
              <w:ind w:left="0" w:right="0"/>
              <w:rPr>
                <w:rFonts w:eastAsiaTheme="minorHAnsi"/>
                <w:color w:val="000000"/>
                <w:sz w:val="20"/>
                <w:szCs w:val="20"/>
                <w:lang w:eastAsia="en-US"/>
              </w:rPr>
            </w:pPr>
          </w:p>
        </w:tc>
        <w:tc>
          <w:tcPr>
            <w:tcW w:w="1701" w:type="dxa"/>
            <w:vMerge w:val="restart"/>
          </w:tcPr>
          <w:p w14:paraId="57E0F302" w14:textId="433501A2" w:rsidR="00B47A03" w:rsidRPr="00475B33" w:rsidRDefault="001125FC" w:rsidP="00B47A03">
            <w:pPr>
              <w:ind w:left="0" w:right="0"/>
              <w:rPr>
                <w:sz w:val="20"/>
                <w:szCs w:val="20"/>
              </w:rPr>
            </w:pPr>
            <w:r w:rsidRPr="00475B33">
              <w:rPr>
                <w:sz w:val="20"/>
                <w:szCs w:val="20"/>
              </w:rPr>
              <w:t>Decrease bone resorption</w:t>
            </w:r>
          </w:p>
        </w:tc>
        <w:tc>
          <w:tcPr>
            <w:tcW w:w="1808" w:type="dxa"/>
            <w:vMerge w:val="restart"/>
          </w:tcPr>
          <w:p w14:paraId="6BD7870A" w14:textId="77777777" w:rsidR="00B47A03" w:rsidRPr="00475B33" w:rsidRDefault="00B47A03" w:rsidP="00B47A03">
            <w:pPr>
              <w:ind w:left="0" w:right="0"/>
              <w:rPr>
                <w:sz w:val="20"/>
                <w:szCs w:val="20"/>
              </w:rPr>
            </w:pPr>
            <w:r w:rsidRPr="00475B33">
              <w:rPr>
                <w:sz w:val="20"/>
                <w:szCs w:val="20"/>
              </w:rPr>
              <w:t>Needs to take with water and not lie down</w:t>
            </w:r>
          </w:p>
          <w:p w14:paraId="46647960" w14:textId="77777777" w:rsidR="00B47A03" w:rsidRPr="00475B33" w:rsidRDefault="00B47A03" w:rsidP="00B47A03">
            <w:pPr>
              <w:ind w:left="0" w:right="0"/>
              <w:rPr>
                <w:sz w:val="20"/>
                <w:szCs w:val="20"/>
              </w:rPr>
            </w:pPr>
            <w:r w:rsidRPr="00475B33">
              <w:rPr>
                <w:sz w:val="20"/>
                <w:szCs w:val="20"/>
              </w:rPr>
              <w:t>G</w:t>
            </w:r>
            <w:r w:rsidR="00130972" w:rsidRPr="00475B33">
              <w:rPr>
                <w:sz w:val="20"/>
                <w:szCs w:val="20"/>
              </w:rPr>
              <w:t>astrointestinal</w:t>
            </w:r>
            <w:r w:rsidRPr="00475B33">
              <w:rPr>
                <w:sz w:val="20"/>
                <w:szCs w:val="20"/>
              </w:rPr>
              <w:t xml:space="preserve"> side effects</w:t>
            </w:r>
          </w:p>
          <w:p w14:paraId="179143B3" w14:textId="77777777" w:rsidR="00B47A03" w:rsidRPr="00475B33" w:rsidRDefault="00136D00" w:rsidP="00B47A03">
            <w:pPr>
              <w:ind w:left="0" w:right="0"/>
              <w:rPr>
                <w:sz w:val="20"/>
                <w:szCs w:val="20"/>
              </w:rPr>
            </w:pPr>
            <w:r w:rsidRPr="00475B33">
              <w:rPr>
                <w:sz w:val="20"/>
                <w:szCs w:val="20"/>
              </w:rPr>
              <w:t>U</w:t>
            </w:r>
            <w:r w:rsidR="00B47A03" w:rsidRPr="00475B33">
              <w:rPr>
                <w:sz w:val="20"/>
                <w:szCs w:val="20"/>
              </w:rPr>
              <w:t>veitis</w:t>
            </w:r>
          </w:p>
          <w:p w14:paraId="3ADEEC1D" w14:textId="77777777" w:rsidR="00B47A03" w:rsidRPr="00475B33" w:rsidRDefault="00136D00" w:rsidP="00B47A03">
            <w:pPr>
              <w:ind w:left="0" w:right="0"/>
              <w:rPr>
                <w:sz w:val="20"/>
                <w:szCs w:val="20"/>
              </w:rPr>
            </w:pPr>
            <w:r w:rsidRPr="00475B33">
              <w:rPr>
                <w:sz w:val="20"/>
                <w:szCs w:val="20"/>
              </w:rPr>
              <w:t>Osteonecrosis of the jaw</w:t>
            </w:r>
          </w:p>
        </w:tc>
      </w:tr>
      <w:tr w:rsidR="00B47A03" w:rsidRPr="00475B33" w14:paraId="13C82524" w14:textId="77777777" w:rsidTr="00130972">
        <w:tc>
          <w:tcPr>
            <w:tcW w:w="1701" w:type="dxa"/>
          </w:tcPr>
          <w:p w14:paraId="603A5CD6" w14:textId="241BF935" w:rsidR="00B47A03" w:rsidRPr="00475B33" w:rsidRDefault="0016114C" w:rsidP="00B47A03">
            <w:pPr>
              <w:ind w:left="0" w:right="0"/>
              <w:rPr>
                <w:sz w:val="20"/>
                <w:szCs w:val="20"/>
              </w:rPr>
            </w:pPr>
            <w:r w:rsidRPr="00475B33">
              <w:rPr>
                <w:sz w:val="20"/>
                <w:szCs w:val="20"/>
              </w:rPr>
              <w:t>Alendronate</w:t>
            </w:r>
          </w:p>
        </w:tc>
        <w:tc>
          <w:tcPr>
            <w:tcW w:w="3510" w:type="dxa"/>
          </w:tcPr>
          <w:p w14:paraId="3A086EA9" w14:textId="77777777" w:rsidR="00C44BAA" w:rsidRPr="00475B33" w:rsidRDefault="00130972" w:rsidP="00122B94">
            <w:pPr>
              <w:ind w:left="0" w:right="0"/>
              <w:rPr>
                <w:sz w:val="20"/>
                <w:szCs w:val="20"/>
                <w:lang w:eastAsia="en-US"/>
              </w:rPr>
            </w:pPr>
            <w:r w:rsidRPr="00475B33">
              <w:rPr>
                <w:sz w:val="20"/>
                <w:szCs w:val="20"/>
                <w:lang w:eastAsia="en-US"/>
              </w:rPr>
              <w:t>Fosamax</w:t>
            </w:r>
            <w:r w:rsidR="00B47A03" w:rsidRPr="00475B33">
              <w:rPr>
                <w:sz w:val="20"/>
                <w:szCs w:val="20"/>
                <w:lang w:eastAsia="en-US"/>
              </w:rPr>
              <w:t xml:space="preserve"> is indicated for the treatment of:</w:t>
            </w:r>
          </w:p>
          <w:p w14:paraId="708A18F7" w14:textId="77777777" w:rsidR="00C44BAA" w:rsidRPr="00475B33" w:rsidRDefault="00B47A03" w:rsidP="001125FC">
            <w:pPr>
              <w:pStyle w:val="ListBullet"/>
              <w:ind w:right="0"/>
              <w:rPr>
                <w:sz w:val="20"/>
                <w:szCs w:val="20"/>
                <w:lang w:eastAsia="en-US"/>
              </w:rPr>
            </w:pPr>
            <w:r w:rsidRPr="00475B33">
              <w:rPr>
                <w:sz w:val="20"/>
                <w:szCs w:val="20"/>
                <w:lang w:eastAsia="en-US"/>
              </w:rPr>
              <w:t>Osteoporosis, including glucocorticoid-induced osteoporosis</w:t>
            </w:r>
          </w:p>
          <w:p w14:paraId="7CECB82F" w14:textId="77777777" w:rsidR="00C44BAA" w:rsidRPr="00475B33" w:rsidRDefault="00B47A03" w:rsidP="001125FC">
            <w:pPr>
              <w:pStyle w:val="ListBullet"/>
              <w:ind w:right="0"/>
              <w:rPr>
                <w:sz w:val="20"/>
                <w:szCs w:val="20"/>
                <w:lang w:eastAsia="en-US"/>
              </w:rPr>
            </w:pPr>
            <w:r w:rsidRPr="00475B33">
              <w:rPr>
                <w:sz w:val="20"/>
                <w:szCs w:val="20"/>
                <w:lang w:eastAsia="en-US"/>
              </w:rPr>
              <w:t>Paget's disease of bone</w:t>
            </w:r>
          </w:p>
          <w:p w14:paraId="2062D80A" w14:textId="77777777" w:rsidR="00C44BAA" w:rsidRPr="00475B33" w:rsidRDefault="00130972" w:rsidP="001125FC">
            <w:pPr>
              <w:pStyle w:val="ListBullet"/>
              <w:ind w:right="0"/>
              <w:rPr>
                <w:sz w:val="20"/>
                <w:szCs w:val="20"/>
                <w:lang w:eastAsia="en-US"/>
              </w:rPr>
            </w:pPr>
            <w:r w:rsidRPr="00475B33">
              <w:rPr>
                <w:sz w:val="20"/>
                <w:szCs w:val="20"/>
                <w:lang w:eastAsia="en-US"/>
              </w:rPr>
              <w:t>Fosamax</w:t>
            </w:r>
            <w:r w:rsidR="00B47A03" w:rsidRPr="00475B33">
              <w:rPr>
                <w:sz w:val="20"/>
                <w:szCs w:val="20"/>
                <w:lang w:eastAsia="en-US"/>
              </w:rPr>
              <w:t xml:space="preserve"> is also indicated for the prevention of:</w:t>
            </w:r>
          </w:p>
          <w:p w14:paraId="0B06BFF1" w14:textId="77777777" w:rsidR="00C44BAA" w:rsidRPr="00475B33" w:rsidRDefault="00B47A03" w:rsidP="001125FC">
            <w:pPr>
              <w:pStyle w:val="ListBullet"/>
              <w:ind w:right="0"/>
              <w:rPr>
                <w:sz w:val="20"/>
                <w:szCs w:val="20"/>
                <w:lang w:eastAsia="en-US"/>
              </w:rPr>
            </w:pPr>
            <w:r w:rsidRPr="00475B33">
              <w:rPr>
                <w:sz w:val="20"/>
                <w:szCs w:val="20"/>
                <w:lang w:eastAsia="en-US"/>
              </w:rPr>
              <w:t>Osteoporosis in postmenopausal women with low bone mass (at least 1 standard deviation below the mean for young adults)</w:t>
            </w:r>
          </w:p>
          <w:p w14:paraId="1CFE3EE5" w14:textId="77777777" w:rsidR="00B47A03" w:rsidRPr="00475B33" w:rsidRDefault="00B47A03" w:rsidP="001125FC">
            <w:pPr>
              <w:pStyle w:val="ListBullet"/>
              <w:ind w:right="0"/>
              <w:rPr>
                <w:sz w:val="20"/>
                <w:szCs w:val="20"/>
                <w:lang w:eastAsia="en-US"/>
              </w:rPr>
            </w:pPr>
            <w:r w:rsidRPr="00475B33">
              <w:rPr>
                <w:sz w:val="20"/>
                <w:szCs w:val="20"/>
                <w:lang w:eastAsia="en-US"/>
              </w:rPr>
              <w:t xml:space="preserve">Glucocorticoid-induced osteoporosis in those patients on long term corticosteroid therapy </w:t>
            </w:r>
          </w:p>
        </w:tc>
        <w:tc>
          <w:tcPr>
            <w:tcW w:w="1701" w:type="dxa"/>
            <w:vMerge/>
          </w:tcPr>
          <w:p w14:paraId="60BF8F76" w14:textId="77777777" w:rsidR="00B47A03" w:rsidRPr="00475B33" w:rsidRDefault="00B47A03" w:rsidP="00B47A03">
            <w:pPr>
              <w:ind w:left="0" w:right="0"/>
              <w:rPr>
                <w:sz w:val="20"/>
                <w:szCs w:val="20"/>
              </w:rPr>
            </w:pPr>
          </w:p>
        </w:tc>
        <w:tc>
          <w:tcPr>
            <w:tcW w:w="1808" w:type="dxa"/>
            <w:vMerge/>
          </w:tcPr>
          <w:p w14:paraId="2FEF8B84" w14:textId="77777777" w:rsidR="00B47A03" w:rsidRPr="00475B33" w:rsidRDefault="00B47A03" w:rsidP="00B47A03">
            <w:pPr>
              <w:ind w:left="0" w:right="0"/>
              <w:rPr>
                <w:sz w:val="20"/>
                <w:szCs w:val="20"/>
              </w:rPr>
            </w:pPr>
          </w:p>
        </w:tc>
      </w:tr>
      <w:tr w:rsidR="00B47A03" w:rsidRPr="00475B33" w14:paraId="242CC3C9" w14:textId="77777777" w:rsidTr="00130972">
        <w:tc>
          <w:tcPr>
            <w:tcW w:w="1701" w:type="dxa"/>
          </w:tcPr>
          <w:p w14:paraId="004595EC" w14:textId="77777777" w:rsidR="00B47A03" w:rsidRPr="00475B33" w:rsidRDefault="00B47A03" w:rsidP="00B47A03">
            <w:pPr>
              <w:ind w:left="0" w:right="0"/>
              <w:rPr>
                <w:sz w:val="20"/>
                <w:szCs w:val="20"/>
              </w:rPr>
            </w:pPr>
            <w:r w:rsidRPr="00475B33">
              <w:rPr>
                <w:sz w:val="20"/>
                <w:szCs w:val="20"/>
              </w:rPr>
              <w:t>Zoledronic acid</w:t>
            </w:r>
          </w:p>
        </w:tc>
        <w:tc>
          <w:tcPr>
            <w:tcW w:w="3510" w:type="dxa"/>
          </w:tcPr>
          <w:p w14:paraId="089528EC" w14:textId="77777777" w:rsidR="008D74BF" w:rsidRPr="00475B33" w:rsidRDefault="00B47A03" w:rsidP="00475B33">
            <w:pPr>
              <w:pStyle w:val="ListBullet"/>
              <w:ind w:left="357" w:right="0" w:hanging="357"/>
              <w:rPr>
                <w:sz w:val="20"/>
                <w:szCs w:val="20"/>
                <w:lang w:eastAsia="en-US"/>
              </w:rPr>
            </w:pPr>
            <w:r w:rsidRPr="00475B33">
              <w:rPr>
                <w:sz w:val="20"/>
                <w:szCs w:val="20"/>
                <w:lang w:eastAsia="en-US"/>
              </w:rPr>
              <w:t>Treatment of osteoporosis in postmenopausal women to reduce the incidence of hip, vertebral and non-vertebral fractures</w:t>
            </w:r>
            <w:r w:rsidR="008D74BF" w:rsidRPr="00475B33">
              <w:rPr>
                <w:sz w:val="20"/>
                <w:szCs w:val="20"/>
                <w:lang w:eastAsia="en-US"/>
              </w:rPr>
              <w:t>.</w:t>
            </w:r>
          </w:p>
          <w:p w14:paraId="5D4FA353" w14:textId="77777777" w:rsidR="008D74BF" w:rsidRPr="00475B33" w:rsidRDefault="00B47A03" w:rsidP="00475B33">
            <w:pPr>
              <w:pStyle w:val="ListBullet"/>
              <w:ind w:left="357" w:right="0" w:hanging="357"/>
              <w:rPr>
                <w:sz w:val="20"/>
                <w:szCs w:val="20"/>
                <w:lang w:eastAsia="en-US"/>
              </w:rPr>
            </w:pPr>
            <w:r w:rsidRPr="00475B33">
              <w:rPr>
                <w:sz w:val="20"/>
                <w:szCs w:val="20"/>
                <w:lang w:eastAsia="en-US"/>
              </w:rPr>
              <w:t>Treatment of osteoporosis in patients over 50 years of age with a history of at least one low trauma hip fracture, to reduce the incidence of further fractures</w:t>
            </w:r>
            <w:r w:rsidR="008D74BF" w:rsidRPr="00475B33">
              <w:rPr>
                <w:sz w:val="20"/>
                <w:szCs w:val="20"/>
                <w:lang w:eastAsia="en-US"/>
              </w:rPr>
              <w:t>.</w:t>
            </w:r>
          </w:p>
          <w:p w14:paraId="53399B35" w14:textId="5A960E87" w:rsidR="008D74BF" w:rsidRPr="00475B33" w:rsidRDefault="00B47A03" w:rsidP="00475B33">
            <w:pPr>
              <w:pStyle w:val="ListBullet"/>
              <w:ind w:left="357" w:right="0" w:hanging="357"/>
              <w:rPr>
                <w:sz w:val="20"/>
                <w:szCs w:val="20"/>
                <w:lang w:eastAsia="en-US"/>
              </w:rPr>
            </w:pPr>
            <w:r w:rsidRPr="00475B33">
              <w:rPr>
                <w:sz w:val="20"/>
                <w:szCs w:val="20"/>
                <w:lang w:eastAsia="en-US"/>
              </w:rPr>
              <w:t xml:space="preserve">To increase </w:t>
            </w:r>
            <w:r w:rsidR="00881772">
              <w:rPr>
                <w:sz w:val="20"/>
                <w:szCs w:val="20"/>
                <w:lang w:eastAsia="en-US"/>
              </w:rPr>
              <w:t>BMD</w:t>
            </w:r>
            <w:r w:rsidRPr="00475B33">
              <w:rPr>
                <w:sz w:val="20"/>
                <w:szCs w:val="20"/>
                <w:lang w:eastAsia="en-US"/>
              </w:rPr>
              <w:t xml:space="preserve"> in men with osteoporosis</w:t>
            </w:r>
            <w:r w:rsidR="008D74BF" w:rsidRPr="00475B33">
              <w:rPr>
                <w:sz w:val="20"/>
                <w:szCs w:val="20"/>
                <w:lang w:eastAsia="en-US"/>
              </w:rPr>
              <w:t>.</w:t>
            </w:r>
          </w:p>
          <w:p w14:paraId="640418AB" w14:textId="213E0514" w:rsidR="008D74BF" w:rsidRPr="00475B33" w:rsidRDefault="00B47A03" w:rsidP="00475B33">
            <w:pPr>
              <w:pStyle w:val="ListBullet"/>
              <w:ind w:left="357" w:right="0" w:hanging="357"/>
              <w:rPr>
                <w:sz w:val="20"/>
                <w:szCs w:val="20"/>
                <w:lang w:eastAsia="en-US"/>
              </w:rPr>
            </w:pPr>
            <w:r w:rsidRPr="00475B33">
              <w:rPr>
                <w:sz w:val="20"/>
                <w:szCs w:val="20"/>
                <w:lang w:eastAsia="en-US"/>
              </w:rPr>
              <w:t xml:space="preserve">To increase </w:t>
            </w:r>
            <w:r w:rsidR="00881772">
              <w:rPr>
                <w:sz w:val="20"/>
                <w:szCs w:val="20"/>
                <w:lang w:eastAsia="en-US"/>
              </w:rPr>
              <w:t>BMD</w:t>
            </w:r>
            <w:r w:rsidRPr="00475B33">
              <w:rPr>
                <w:sz w:val="20"/>
                <w:szCs w:val="20"/>
                <w:lang w:eastAsia="en-US"/>
              </w:rPr>
              <w:t xml:space="preserve"> in patients with osteoporosis associated with long term glucocorticoid use</w:t>
            </w:r>
            <w:r w:rsidR="008D74BF" w:rsidRPr="00475B33">
              <w:rPr>
                <w:sz w:val="20"/>
                <w:szCs w:val="20"/>
                <w:lang w:eastAsia="en-US"/>
              </w:rPr>
              <w:t>.</w:t>
            </w:r>
          </w:p>
          <w:p w14:paraId="0C333EDA" w14:textId="78FBFE2D" w:rsidR="008D74BF" w:rsidRPr="00475B33" w:rsidRDefault="00B47A03" w:rsidP="00475B33">
            <w:pPr>
              <w:pStyle w:val="ListBullet"/>
              <w:ind w:left="357" w:right="0" w:hanging="357"/>
              <w:rPr>
                <w:sz w:val="20"/>
                <w:szCs w:val="20"/>
                <w:lang w:eastAsia="en-US"/>
              </w:rPr>
            </w:pPr>
            <w:r w:rsidRPr="00475B33">
              <w:rPr>
                <w:sz w:val="20"/>
                <w:szCs w:val="20"/>
                <w:lang w:eastAsia="en-US"/>
              </w:rPr>
              <w:t xml:space="preserve">To prevent glucocorticoid-induced </w:t>
            </w:r>
            <w:r w:rsidR="00881772">
              <w:rPr>
                <w:sz w:val="20"/>
                <w:szCs w:val="20"/>
                <w:lang w:eastAsia="en-US"/>
              </w:rPr>
              <w:t>BMD</w:t>
            </w:r>
            <w:r w:rsidRPr="00475B33">
              <w:rPr>
                <w:sz w:val="20"/>
                <w:szCs w:val="20"/>
                <w:lang w:eastAsia="en-US"/>
              </w:rPr>
              <w:t xml:space="preserve"> loss</w:t>
            </w:r>
            <w:r w:rsidR="008D74BF" w:rsidRPr="00475B33">
              <w:rPr>
                <w:sz w:val="20"/>
                <w:szCs w:val="20"/>
                <w:lang w:eastAsia="en-US"/>
              </w:rPr>
              <w:t>.</w:t>
            </w:r>
          </w:p>
          <w:p w14:paraId="24FEE5CC" w14:textId="1C073D43" w:rsidR="00B47A03" w:rsidRPr="00475B33" w:rsidRDefault="00B47A03" w:rsidP="00475B33">
            <w:pPr>
              <w:pStyle w:val="ListBullet"/>
              <w:ind w:left="357" w:right="0" w:hanging="357"/>
              <w:rPr>
                <w:sz w:val="20"/>
                <w:szCs w:val="20"/>
                <w:lang w:eastAsia="en-US"/>
              </w:rPr>
            </w:pPr>
            <w:r w:rsidRPr="00475B33">
              <w:rPr>
                <w:sz w:val="20"/>
                <w:szCs w:val="20"/>
                <w:lang w:eastAsia="en-US"/>
              </w:rPr>
              <w:t>Treatm</w:t>
            </w:r>
            <w:r w:rsidR="00475B33" w:rsidRPr="00475B33">
              <w:rPr>
                <w:sz w:val="20"/>
                <w:szCs w:val="20"/>
                <w:lang w:eastAsia="en-US"/>
              </w:rPr>
              <w:t>ent of Paget’s disease of bone.</w:t>
            </w:r>
          </w:p>
        </w:tc>
        <w:tc>
          <w:tcPr>
            <w:tcW w:w="1701" w:type="dxa"/>
            <w:vMerge/>
          </w:tcPr>
          <w:p w14:paraId="61C28A37" w14:textId="77777777" w:rsidR="00B47A03" w:rsidRPr="00475B33" w:rsidRDefault="00B47A03" w:rsidP="00B47A03">
            <w:pPr>
              <w:ind w:left="0" w:right="0"/>
              <w:rPr>
                <w:sz w:val="20"/>
                <w:szCs w:val="20"/>
              </w:rPr>
            </w:pPr>
          </w:p>
        </w:tc>
        <w:tc>
          <w:tcPr>
            <w:tcW w:w="1808" w:type="dxa"/>
          </w:tcPr>
          <w:p w14:paraId="7F3D4847" w14:textId="77777777" w:rsidR="003F09E4" w:rsidRPr="00475B33" w:rsidRDefault="00B47A03" w:rsidP="00136D00">
            <w:pPr>
              <w:ind w:left="34" w:right="-1"/>
              <w:rPr>
                <w:sz w:val="20"/>
                <w:szCs w:val="20"/>
              </w:rPr>
            </w:pPr>
            <w:r w:rsidRPr="00475B33">
              <w:rPr>
                <w:sz w:val="20"/>
                <w:szCs w:val="20"/>
              </w:rPr>
              <w:t>Only if Vit</w:t>
            </w:r>
            <w:r w:rsidR="00130972" w:rsidRPr="00475B33">
              <w:rPr>
                <w:sz w:val="20"/>
                <w:szCs w:val="20"/>
              </w:rPr>
              <w:t>amin</w:t>
            </w:r>
            <w:r w:rsidRPr="00475B33">
              <w:rPr>
                <w:sz w:val="20"/>
                <w:szCs w:val="20"/>
              </w:rPr>
              <w:t xml:space="preserve"> D &gt;</w:t>
            </w:r>
            <w:r w:rsidR="00130972" w:rsidRPr="00475B33">
              <w:rPr>
                <w:sz w:val="20"/>
                <w:szCs w:val="20"/>
              </w:rPr>
              <w:t> </w:t>
            </w:r>
            <w:r w:rsidRPr="00475B33">
              <w:rPr>
                <w:sz w:val="20"/>
                <w:szCs w:val="20"/>
              </w:rPr>
              <w:t>50, calcium normal, eGFR &gt;</w:t>
            </w:r>
            <w:r w:rsidR="00136D00" w:rsidRPr="00475B33">
              <w:rPr>
                <w:sz w:val="20"/>
                <w:szCs w:val="20"/>
              </w:rPr>
              <w:t> </w:t>
            </w:r>
            <w:r w:rsidRPr="00475B33">
              <w:rPr>
                <w:sz w:val="20"/>
                <w:szCs w:val="20"/>
              </w:rPr>
              <w:t>35</w:t>
            </w:r>
            <w:r w:rsidR="00136D00" w:rsidRPr="00475B33">
              <w:rPr>
                <w:sz w:val="20"/>
                <w:szCs w:val="20"/>
              </w:rPr>
              <w:t xml:space="preserve"> mL/min</w:t>
            </w:r>
          </w:p>
          <w:p w14:paraId="6D0AC600" w14:textId="77777777" w:rsidR="003F09E4" w:rsidRPr="00475B33" w:rsidRDefault="00DB6D02" w:rsidP="00136D00">
            <w:pPr>
              <w:ind w:left="34" w:right="-1"/>
              <w:rPr>
                <w:sz w:val="20"/>
                <w:szCs w:val="20"/>
              </w:rPr>
            </w:pPr>
            <w:r w:rsidRPr="00475B33">
              <w:rPr>
                <w:sz w:val="20"/>
                <w:szCs w:val="20"/>
              </w:rPr>
              <w:t>R</w:t>
            </w:r>
            <w:r w:rsidR="00B47A03" w:rsidRPr="00475B33">
              <w:rPr>
                <w:sz w:val="20"/>
                <w:szCs w:val="20"/>
              </w:rPr>
              <w:t>enal impairment</w:t>
            </w:r>
          </w:p>
          <w:p w14:paraId="515AD1BB" w14:textId="77777777" w:rsidR="00B47A03" w:rsidRPr="00475B33" w:rsidRDefault="00DB6D02" w:rsidP="00136D00">
            <w:pPr>
              <w:ind w:left="34" w:right="-1"/>
              <w:rPr>
                <w:sz w:val="20"/>
                <w:szCs w:val="20"/>
              </w:rPr>
            </w:pPr>
            <w:r w:rsidRPr="00475B33">
              <w:rPr>
                <w:sz w:val="20"/>
                <w:szCs w:val="20"/>
              </w:rPr>
              <w:t>O</w:t>
            </w:r>
            <w:r w:rsidR="00136D00" w:rsidRPr="00475B33">
              <w:rPr>
                <w:sz w:val="20"/>
                <w:szCs w:val="20"/>
              </w:rPr>
              <w:t>steonecrosis of the jaw</w:t>
            </w:r>
          </w:p>
        </w:tc>
      </w:tr>
      <w:tr w:rsidR="00B47A03" w:rsidRPr="00475B33" w14:paraId="545F70D8" w14:textId="77777777" w:rsidTr="00130972">
        <w:tc>
          <w:tcPr>
            <w:tcW w:w="1701" w:type="dxa"/>
          </w:tcPr>
          <w:p w14:paraId="645FA91E" w14:textId="4BAED6E1" w:rsidR="00B47A03" w:rsidRPr="00475B33" w:rsidRDefault="0016114C" w:rsidP="00B47A03">
            <w:pPr>
              <w:ind w:left="0" w:right="0"/>
              <w:rPr>
                <w:sz w:val="20"/>
                <w:szCs w:val="20"/>
              </w:rPr>
            </w:pPr>
            <w:r w:rsidRPr="00475B33">
              <w:rPr>
                <w:sz w:val="20"/>
                <w:szCs w:val="20"/>
              </w:rPr>
              <w:t>Denosumab</w:t>
            </w:r>
          </w:p>
        </w:tc>
        <w:tc>
          <w:tcPr>
            <w:tcW w:w="3510" w:type="dxa"/>
          </w:tcPr>
          <w:p w14:paraId="44E7DF75" w14:textId="77777777" w:rsidR="008D74BF" w:rsidRPr="00475B33" w:rsidRDefault="00DB6D02" w:rsidP="00475B33">
            <w:pPr>
              <w:pStyle w:val="ListBullet"/>
              <w:ind w:left="357" w:right="0" w:hanging="357"/>
              <w:rPr>
                <w:sz w:val="20"/>
                <w:szCs w:val="20"/>
                <w:lang w:eastAsia="en-US"/>
              </w:rPr>
            </w:pPr>
            <w:r w:rsidRPr="00475B33">
              <w:rPr>
                <w:sz w:val="20"/>
                <w:szCs w:val="20"/>
                <w:lang w:eastAsia="en-US"/>
              </w:rPr>
              <w:t>T</w:t>
            </w:r>
            <w:r w:rsidR="00B47A03" w:rsidRPr="00475B33">
              <w:rPr>
                <w:sz w:val="20"/>
                <w:szCs w:val="20"/>
                <w:lang w:eastAsia="en-US"/>
              </w:rPr>
              <w:t xml:space="preserve">reatment of osteoporosis in postmenopausal women. </w:t>
            </w:r>
            <w:proofErr w:type="spellStart"/>
            <w:r w:rsidR="00B47A03" w:rsidRPr="00475B33">
              <w:rPr>
                <w:sz w:val="20"/>
                <w:szCs w:val="20"/>
                <w:lang w:eastAsia="en-US"/>
              </w:rPr>
              <w:t>Prolia</w:t>
            </w:r>
            <w:proofErr w:type="spellEnd"/>
            <w:r w:rsidR="00B47A03" w:rsidRPr="00475B33">
              <w:rPr>
                <w:sz w:val="20"/>
                <w:szCs w:val="20"/>
                <w:lang w:eastAsia="en-US"/>
              </w:rPr>
              <w:t xml:space="preserve"> significantly reduces the risk of vertebral, non-vertebral and hip fractures</w:t>
            </w:r>
            <w:r w:rsidR="008D74BF" w:rsidRPr="00475B33">
              <w:rPr>
                <w:sz w:val="20"/>
                <w:szCs w:val="20"/>
                <w:lang w:eastAsia="en-US"/>
              </w:rPr>
              <w:t>.</w:t>
            </w:r>
          </w:p>
          <w:p w14:paraId="0E745324" w14:textId="77777777" w:rsidR="00C44BAA" w:rsidRPr="00475B33" w:rsidRDefault="00B47A03" w:rsidP="00475B33">
            <w:pPr>
              <w:pStyle w:val="ListBullet"/>
              <w:ind w:left="357" w:right="0" w:hanging="357"/>
              <w:rPr>
                <w:sz w:val="20"/>
                <w:szCs w:val="20"/>
                <w:lang w:eastAsia="en-US"/>
              </w:rPr>
            </w:pPr>
            <w:r w:rsidRPr="00475B33">
              <w:rPr>
                <w:sz w:val="20"/>
                <w:szCs w:val="20"/>
                <w:lang w:eastAsia="en-US"/>
              </w:rPr>
              <w:t xml:space="preserve">Treatment to increase bone mass </w:t>
            </w:r>
            <w:r w:rsidRPr="00475B33">
              <w:rPr>
                <w:sz w:val="20"/>
                <w:szCs w:val="20"/>
                <w:lang w:eastAsia="en-US"/>
              </w:rPr>
              <w:lastRenderedPageBreak/>
              <w:t>in men with osteopenia receiving androgen deprivation therapy for non-metastatic prostate cancer</w:t>
            </w:r>
          </w:p>
          <w:p w14:paraId="1FA63212" w14:textId="77777777" w:rsidR="008D74BF" w:rsidRPr="00475B33" w:rsidRDefault="00B47A03" w:rsidP="00475B33">
            <w:pPr>
              <w:pStyle w:val="ListBullet"/>
              <w:ind w:left="357" w:right="0" w:hanging="357"/>
              <w:rPr>
                <w:sz w:val="20"/>
                <w:szCs w:val="20"/>
                <w:lang w:eastAsia="en-US"/>
              </w:rPr>
            </w:pPr>
            <w:r w:rsidRPr="00475B33">
              <w:rPr>
                <w:sz w:val="20"/>
                <w:szCs w:val="20"/>
                <w:lang w:eastAsia="en-US"/>
              </w:rPr>
              <w:t>Treatment to increase bone mass in men with osteoporosis at increased risk of fracture</w:t>
            </w:r>
            <w:r w:rsidR="008D74BF" w:rsidRPr="00475B33">
              <w:rPr>
                <w:sz w:val="20"/>
                <w:szCs w:val="20"/>
                <w:lang w:eastAsia="en-US"/>
              </w:rPr>
              <w:t>.</w:t>
            </w:r>
          </w:p>
          <w:p w14:paraId="45DB9389" w14:textId="642E3017" w:rsidR="00B47A03" w:rsidRPr="00475B33" w:rsidRDefault="00B47A03" w:rsidP="00475B33">
            <w:pPr>
              <w:pStyle w:val="ListBullet"/>
              <w:ind w:left="357" w:right="0" w:hanging="357"/>
              <w:rPr>
                <w:sz w:val="20"/>
                <w:szCs w:val="20"/>
              </w:rPr>
            </w:pPr>
            <w:r w:rsidRPr="00475B33">
              <w:rPr>
                <w:sz w:val="20"/>
                <w:szCs w:val="20"/>
                <w:lang w:eastAsia="en-US"/>
              </w:rPr>
              <w:t>Treatment to increase bone mass in women and men at increased risk of fracture due to long-term s</w:t>
            </w:r>
            <w:r w:rsidR="001125FC" w:rsidRPr="00475B33">
              <w:rPr>
                <w:sz w:val="20"/>
                <w:szCs w:val="20"/>
                <w:lang w:eastAsia="en-US"/>
              </w:rPr>
              <w:t>ystemic glucocorticoid therapy.</w:t>
            </w:r>
          </w:p>
        </w:tc>
        <w:tc>
          <w:tcPr>
            <w:tcW w:w="1701" w:type="dxa"/>
          </w:tcPr>
          <w:p w14:paraId="13B7D50D" w14:textId="77777777" w:rsidR="00B47A03" w:rsidRPr="00475B33" w:rsidRDefault="00B47A03" w:rsidP="00136D00">
            <w:pPr>
              <w:ind w:left="0" w:right="0"/>
              <w:rPr>
                <w:sz w:val="20"/>
                <w:szCs w:val="20"/>
              </w:rPr>
            </w:pPr>
            <w:r w:rsidRPr="00475B33">
              <w:rPr>
                <w:sz w:val="20"/>
                <w:szCs w:val="20"/>
              </w:rPr>
              <w:lastRenderedPageBreak/>
              <w:t>Decrease bone resorption</w:t>
            </w:r>
          </w:p>
          <w:p w14:paraId="0E7504E1" w14:textId="77777777" w:rsidR="003F09E4" w:rsidRPr="00475B33" w:rsidRDefault="00B47A03" w:rsidP="00136D00">
            <w:pPr>
              <w:ind w:left="0"/>
              <w:rPr>
                <w:sz w:val="20"/>
                <w:szCs w:val="20"/>
              </w:rPr>
            </w:pPr>
            <w:r w:rsidRPr="00475B33">
              <w:rPr>
                <w:sz w:val="20"/>
                <w:szCs w:val="20"/>
              </w:rPr>
              <w:t>Increase bone formation</w:t>
            </w:r>
          </w:p>
          <w:p w14:paraId="3A48E535" w14:textId="77777777" w:rsidR="00B47A03" w:rsidRPr="00475B33" w:rsidRDefault="00B47A03" w:rsidP="00136D00">
            <w:pPr>
              <w:ind w:left="0" w:right="0"/>
              <w:rPr>
                <w:sz w:val="20"/>
                <w:szCs w:val="20"/>
              </w:rPr>
            </w:pPr>
            <w:r w:rsidRPr="00475B33">
              <w:rPr>
                <w:sz w:val="20"/>
                <w:szCs w:val="20"/>
              </w:rPr>
              <w:t xml:space="preserve">can be used renal </w:t>
            </w:r>
            <w:r w:rsidRPr="00475B33">
              <w:rPr>
                <w:sz w:val="20"/>
                <w:szCs w:val="20"/>
              </w:rPr>
              <w:lastRenderedPageBreak/>
              <w:t>impairment</w:t>
            </w:r>
          </w:p>
        </w:tc>
        <w:tc>
          <w:tcPr>
            <w:tcW w:w="1808" w:type="dxa"/>
          </w:tcPr>
          <w:p w14:paraId="198E084F" w14:textId="77777777" w:rsidR="00136D00" w:rsidRPr="00475B33" w:rsidRDefault="00136D00" w:rsidP="00136D00">
            <w:pPr>
              <w:ind w:left="0" w:right="0"/>
              <w:rPr>
                <w:sz w:val="20"/>
                <w:szCs w:val="20"/>
              </w:rPr>
            </w:pPr>
            <w:r w:rsidRPr="00475B33">
              <w:rPr>
                <w:sz w:val="20"/>
                <w:szCs w:val="20"/>
              </w:rPr>
              <w:lastRenderedPageBreak/>
              <w:t>Osteonecrosis of the jaw</w:t>
            </w:r>
          </w:p>
          <w:p w14:paraId="78E1814F" w14:textId="77777777" w:rsidR="003F09E4" w:rsidRPr="00475B33" w:rsidRDefault="00DB6D02" w:rsidP="00136D00">
            <w:pPr>
              <w:ind w:left="0" w:right="0"/>
              <w:rPr>
                <w:sz w:val="20"/>
                <w:szCs w:val="20"/>
              </w:rPr>
            </w:pPr>
            <w:r w:rsidRPr="00475B33">
              <w:rPr>
                <w:sz w:val="20"/>
                <w:szCs w:val="20"/>
              </w:rPr>
              <w:t>M</w:t>
            </w:r>
            <w:r w:rsidR="00B47A03" w:rsidRPr="00475B33">
              <w:rPr>
                <w:sz w:val="20"/>
                <w:szCs w:val="20"/>
              </w:rPr>
              <w:t>usculoskeletal pain</w:t>
            </w:r>
          </w:p>
          <w:p w14:paraId="7E2A9FE4" w14:textId="1D559073" w:rsidR="00B47A03" w:rsidRPr="00475B33" w:rsidRDefault="00DB6D02" w:rsidP="00136D00">
            <w:pPr>
              <w:ind w:left="0" w:right="0"/>
              <w:rPr>
                <w:sz w:val="20"/>
                <w:szCs w:val="20"/>
              </w:rPr>
            </w:pPr>
            <w:proofErr w:type="spellStart"/>
            <w:r w:rsidRPr="00475B33">
              <w:rPr>
                <w:sz w:val="20"/>
                <w:szCs w:val="20"/>
              </w:rPr>
              <w:t>H</w:t>
            </w:r>
            <w:r w:rsidR="00B47A03" w:rsidRPr="00475B33">
              <w:rPr>
                <w:sz w:val="20"/>
                <w:szCs w:val="20"/>
              </w:rPr>
              <w:t>ypercholesterol</w:t>
            </w:r>
            <w:r w:rsidR="00E61C13">
              <w:rPr>
                <w:sz w:val="20"/>
                <w:szCs w:val="20"/>
              </w:rPr>
              <w:t>-</w:t>
            </w:r>
            <w:r w:rsidR="00B47A03" w:rsidRPr="00475B33">
              <w:rPr>
                <w:sz w:val="20"/>
                <w:szCs w:val="20"/>
              </w:rPr>
              <w:lastRenderedPageBreak/>
              <w:t>emia</w:t>
            </w:r>
            <w:proofErr w:type="spellEnd"/>
          </w:p>
          <w:p w14:paraId="2515E784" w14:textId="3ACDE61D" w:rsidR="00B47A03" w:rsidRPr="00475B33" w:rsidRDefault="00DB6D02" w:rsidP="00136D00">
            <w:pPr>
              <w:ind w:left="0" w:right="0"/>
              <w:rPr>
                <w:sz w:val="20"/>
                <w:szCs w:val="20"/>
              </w:rPr>
            </w:pPr>
            <w:r w:rsidRPr="00475B33">
              <w:rPr>
                <w:sz w:val="20"/>
                <w:szCs w:val="20"/>
              </w:rPr>
              <w:t>E</w:t>
            </w:r>
            <w:r w:rsidR="003458DF">
              <w:rPr>
                <w:sz w:val="20"/>
                <w:szCs w:val="20"/>
              </w:rPr>
              <w:t>czema</w:t>
            </w:r>
          </w:p>
        </w:tc>
      </w:tr>
      <w:tr w:rsidR="00B47A03" w:rsidRPr="00475B33" w14:paraId="2BC69CDF" w14:textId="77777777" w:rsidTr="00130972">
        <w:tc>
          <w:tcPr>
            <w:tcW w:w="1701" w:type="dxa"/>
          </w:tcPr>
          <w:p w14:paraId="6C78E9A7" w14:textId="0E817652" w:rsidR="00B47A03" w:rsidRPr="00475B33" w:rsidRDefault="0016114C" w:rsidP="00B47A03">
            <w:pPr>
              <w:ind w:left="0" w:right="0"/>
              <w:rPr>
                <w:sz w:val="20"/>
                <w:szCs w:val="20"/>
              </w:rPr>
            </w:pPr>
            <w:r w:rsidRPr="00475B33">
              <w:rPr>
                <w:sz w:val="20"/>
                <w:szCs w:val="20"/>
              </w:rPr>
              <w:lastRenderedPageBreak/>
              <w:t>Teriparatide</w:t>
            </w:r>
          </w:p>
        </w:tc>
        <w:tc>
          <w:tcPr>
            <w:tcW w:w="3510" w:type="dxa"/>
          </w:tcPr>
          <w:p w14:paraId="75A8AE0A" w14:textId="77777777" w:rsidR="008D74BF" w:rsidRPr="00475B33" w:rsidRDefault="00130972" w:rsidP="00475B33">
            <w:pPr>
              <w:pStyle w:val="ListBullet"/>
              <w:ind w:left="357" w:right="0" w:hanging="357"/>
              <w:rPr>
                <w:sz w:val="20"/>
                <w:szCs w:val="20"/>
                <w:lang w:eastAsia="en-US"/>
              </w:rPr>
            </w:pPr>
            <w:proofErr w:type="spellStart"/>
            <w:r w:rsidRPr="00475B33">
              <w:rPr>
                <w:sz w:val="20"/>
                <w:szCs w:val="20"/>
                <w:lang w:eastAsia="en-US"/>
              </w:rPr>
              <w:t>Forteo</w:t>
            </w:r>
            <w:proofErr w:type="spellEnd"/>
            <w:r w:rsidR="00B47A03" w:rsidRPr="00475B33">
              <w:rPr>
                <w:sz w:val="20"/>
                <w:szCs w:val="20"/>
                <w:lang w:eastAsia="en-US"/>
              </w:rPr>
              <w:t xml:space="preserve"> is indicated for the treatment of osteoporosis in postmenopausal women and the treatment of primary osteoporosis in men when other agents are considered unsuitable and when there is a high risk of fractures</w:t>
            </w:r>
            <w:r w:rsidR="008D74BF" w:rsidRPr="00475B33">
              <w:rPr>
                <w:sz w:val="20"/>
                <w:szCs w:val="20"/>
                <w:lang w:eastAsia="en-US"/>
              </w:rPr>
              <w:t>.</w:t>
            </w:r>
          </w:p>
          <w:p w14:paraId="6329B7EE" w14:textId="1E7E4E12" w:rsidR="00B47A03" w:rsidRPr="00475B33" w:rsidRDefault="00130972" w:rsidP="00475B33">
            <w:pPr>
              <w:pStyle w:val="ListBullet"/>
              <w:ind w:left="357" w:right="0" w:hanging="357"/>
              <w:rPr>
                <w:sz w:val="20"/>
                <w:szCs w:val="20"/>
              </w:rPr>
            </w:pPr>
            <w:proofErr w:type="spellStart"/>
            <w:r w:rsidRPr="00475B33">
              <w:rPr>
                <w:sz w:val="20"/>
                <w:szCs w:val="20"/>
                <w:lang w:eastAsia="en-US"/>
              </w:rPr>
              <w:t>Forteo</w:t>
            </w:r>
            <w:proofErr w:type="spellEnd"/>
            <w:r w:rsidR="00B47A03" w:rsidRPr="00475B33">
              <w:rPr>
                <w:sz w:val="20"/>
                <w:szCs w:val="20"/>
                <w:lang w:eastAsia="en-US"/>
              </w:rPr>
              <w:t xml:space="preserve"> is indicated for the treatment of osteoporosis associated with sustained systemic glucocorticoid therapy in women and</w:t>
            </w:r>
            <w:r w:rsidR="003458DF">
              <w:rPr>
                <w:sz w:val="20"/>
                <w:szCs w:val="20"/>
                <w:lang w:eastAsia="en-US"/>
              </w:rPr>
              <w:t xml:space="preserve"> men at high risk for fracture.</w:t>
            </w:r>
          </w:p>
        </w:tc>
        <w:tc>
          <w:tcPr>
            <w:tcW w:w="1701" w:type="dxa"/>
          </w:tcPr>
          <w:p w14:paraId="528220DE" w14:textId="52C49E7A" w:rsidR="00B47A03" w:rsidRPr="00475B33" w:rsidRDefault="00DD4DAE" w:rsidP="00B47A03">
            <w:pPr>
              <w:ind w:left="0" w:right="0"/>
              <w:rPr>
                <w:sz w:val="20"/>
                <w:szCs w:val="20"/>
              </w:rPr>
            </w:pPr>
            <w:r>
              <w:rPr>
                <w:sz w:val="20"/>
                <w:szCs w:val="20"/>
              </w:rPr>
              <w:t>s</w:t>
            </w:r>
            <w:r w:rsidR="00B47A03" w:rsidRPr="00475B33">
              <w:rPr>
                <w:sz w:val="20"/>
                <w:szCs w:val="20"/>
              </w:rPr>
              <w:t xml:space="preserve">ynthetic form of </w:t>
            </w:r>
            <w:r w:rsidR="00136D00" w:rsidRPr="00475B33">
              <w:rPr>
                <w:sz w:val="20"/>
                <w:szCs w:val="20"/>
              </w:rPr>
              <w:t>parathyroid hormone</w:t>
            </w:r>
          </w:p>
          <w:p w14:paraId="6533C4B4" w14:textId="77777777" w:rsidR="00B47A03" w:rsidRPr="00475B33" w:rsidRDefault="00B47A03" w:rsidP="00B47A03">
            <w:pPr>
              <w:ind w:left="0" w:right="0"/>
              <w:rPr>
                <w:sz w:val="20"/>
                <w:szCs w:val="20"/>
              </w:rPr>
            </w:pPr>
            <w:r w:rsidRPr="00475B33">
              <w:rPr>
                <w:sz w:val="20"/>
                <w:szCs w:val="20"/>
              </w:rPr>
              <w:t>increases bone formation</w:t>
            </w:r>
          </w:p>
        </w:tc>
        <w:tc>
          <w:tcPr>
            <w:tcW w:w="1808" w:type="dxa"/>
          </w:tcPr>
          <w:p w14:paraId="0E0E285A" w14:textId="77777777" w:rsidR="00B47A03" w:rsidRPr="00475B33" w:rsidRDefault="00B47A03" w:rsidP="00B47A03">
            <w:pPr>
              <w:ind w:left="0" w:right="0"/>
              <w:rPr>
                <w:sz w:val="20"/>
                <w:szCs w:val="20"/>
              </w:rPr>
            </w:pPr>
            <w:r w:rsidRPr="00475B33">
              <w:rPr>
                <w:sz w:val="20"/>
                <w:szCs w:val="20"/>
              </w:rPr>
              <w:t>caused bone sarcoma in rats, lifelong therapy limited to 2</w:t>
            </w:r>
            <w:r w:rsidR="00130972" w:rsidRPr="00475B33">
              <w:rPr>
                <w:sz w:val="20"/>
                <w:szCs w:val="20"/>
              </w:rPr>
              <w:t> </w:t>
            </w:r>
            <w:r w:rsidRPr="00475B33">
              <w:rPr>
                <w:sz w:val="20"/>
                <w:szCs w:val="20"/>
              </w:rPr>
              <w:t>years</w:t>
            </w:r>
          </w:p>
          <w:p w14:paraId="502EBAF1" w14:textId="77777777" w:rsidR="00B47A03" w:rsidRPr="00475B33" w:rsidRDefault="00B47A03" w:rsidP="00130972">
            <w:pPr>
              <w:ind w:left="0" w:right="0"/>
              <w:rPr>
                <w:sz w:val="20"/>
                <w:szCs w:val="20"/>
              </w:rPr>
            </w:pPr>
            <w:r w:rsidRPr="00475B33">
              <w:rPr>
                <w:sz w:val="20"/>
                <w:szCs w:val="20"/>
              </w:rPr>
              <w:t>contra-indicated &lt;</w:t>
            </w:r>
            <w:r w:rsidR="00130972" w:rsidRPr="00475B33">
              <w:rPr>
                <w:sz w:val="20"/>
                <w:szCs w:val="20"/>
              </w:rPr>
              <w:t> </w:t>
            </w:r>
            <w:r w:rsidRPr="00475B33">
              <w:rPr>
                <w:sz w:val="20"/>
                <w:szCs w:val="20"/>
              </w:rPr>
              <w:t>25</w:t>
            </w:r>
            <w:r w:rsidR="00130972" w:rsidRPr="00475B33">
              <w:rPr>
                <w:sz w:val="20"/>
                <w:szCs w:val="20"/>
              </w:rPr>
              <w:t> </w:t>
            </w:r>
            <w:r w:rsidRPr="00475B33">
              <w:rPr>
                <w:sz w:val="20"/>
                <w:szCs w:val="20"/>
              </w:rPr>
              <w:t>years, Paget</w:t>
            </w:r>
            <w:r w:rsidR="00F627B6" w:rsidRPr="00475B33">
              <w:rPr>
                <w:sz w:val="20"/>
                <w:szCs w:val="20"/>
              </w:rPr>
              <w:t>’</w:t>
            </w:r>
            <w:r w:rsidRPr="00475B33">
              <w:rPr>
                <w:sz w:val="20"/>
                <w:szCs w:val="20"/>
              </w:rPr>
              <w:t>s disease, previous radiotherapy, hypercalcaemia, malignancy, kidney disease, malignancy</w:t>
            </w:r>
          </w:p>
        </w:tc>
      </w:tr>
      <w:tr w:rsidR="00B47A03" w:rsidRPr="00475B33" w14:paraId="6D28F425" w14:textId="77777777" w:rsidTr="00130972">
        <w:tc>
          <w:tcPr>
            <w:tcW w:w="1701" w:type="dxa"/>
          </w:tcPr>
          <w:p w14:paraId="7D7CF15F" w14:textId="2BB30369" w:rsidR="00B47A03" w:rsidRPr="00475B33" w:rsidRDefault="0016114C" w:rsidP="00B47A03">
            <w:pPr>
              <w:ind w:left="0" w:right="0"/>
              <w:rPr>
                <w:sz w:val="20"/>
                <w:szCs w:val="20"/>
              </w:rPr>
            </w:pPr>
            <w:r w:rsidRPr="00475B33">
              <w:rPr>
                <w:sz w:val="20"/>
                <w:szCs w:val="20"/>
              </w:rPr>
              <w:t>Strontium</w:t>
            </w:r>
          </w:p>
        </w:tc>
        <w:tc>
          <w:tcPr>
            <w:tcW w:w="3510" w:type="dxa"/>
          </w:tcPr>
          <w:p w14:paraId="3D44CBF6" w14:textId="77777777" w:rsidR="00B47A03" w:rsidRPr="00475B33" w:rsidRDefault="00B47A03" w:rsidP="00B47A03">
            <w:pPr>
              <w:ind w:left="0" w:right="0"/>
              <w:rPr>
                <w:sz w:val="20"/>
                <w:szCs w:val="20"/>
              </w:rPr>
            </w:pPr>
            <w:r w:rsidRPr="00475B33">
              <w:rPr>
                <w:sz w:val="20"/>
                <w:szCs w:val="20"/>
              </w:rPr>
              <w:t>Discontinued 2017</w:t>
            </w:r>
          </w:p>
        </w:tc>
        <w:tc>
          <w:tcPr>
            <w:tcW w:w="1701" w:type="dxa"/>
          </w:tcPr>
          <w:p w14:paraId="13517F5A" w14:textId="77777777" w:rsidR="00B47A03" w:rsidRPr="00475B33" w:rsidRDefault="00B47A03" w:rsidP="00B47A03">
            <w:pPr>
              <w:ind w:left="0" w:right="0"/>
              <w:rPr>
                <w:sz w:val="20"/>
                <w:szCs w:val="20"/>
              </w:rPr>
            </w:pPr>
          </w:p>
        </w:tc>
        <w:tc>
          <w:tcPr>
            <w:tcW w:w="1808" w:type="dxa"/>
          </w:tcPr>
          <w:p w14:paraId="388F5126" w14:textId="77777777" w:rsidR="00B47A03" w:rsidRPr="00475B33" w:rsidRDefault="00B47A03" w:rsidP="00B47A03">
            <w:pPr>
              <w:ind w:left="0" w:right="0"/>
              <w:rPr>
                <w:sz w:val="20"/>
                <w:szCs w:val="20"/>
              </w:rPr>
            </w:pPr>
          </w:p>
        </w:tc>
      </w:tr>
      <w:tr w:rsidR="00B47A03" w:rsidRPr="00475B33" w14:paraId="2BA77C72" w14:textId="77777777" w:rsidTr="00130972">
        <w:tc>
          <w:tcPr>
            <w:tcW w:w="1701" w:type="dxa"/>
          </w:tcPr>
          <w:p w14:paraId="572B2B5F" w14:textId="64F079D3" w:rsidR="00B47A03" w:rsidRPr="00475B33" w:rsidRDefault="0016114C" w:rsidP="00B47A03">
            <w:pPr>
              <w:ind w:left="0" w:right="0"/>
              <w:rPr>
                <w:sz w:val="20"/>
                <w:szCs w:val="20"/>
              </w:rPr>
            </w:pPr>
            <w:proofErr w:type="spellStart"/>
            <w:r w:rsidRPr="00475B33">
              <w:rPr>
                <w:sz w:val="20"/>
                <w:szCs w:val="20"/>
              </w:rPr>
              <w:t>Raloxifene</w:t>
            </w:r>
            <w:proofErr w:type="spellEnd"/>
          </w:p>
        </w:tc>
        <w:tc>
          <w:tcPr>
            <w:tcW w:w="3510" w:type="dxa"/>
          </w:tcPr>
          <w:p w14:paraId="2E2BC623" w14:textId="77777777" w:rsidR="00B47A03" w:rsidRPr="00475B33" w:rsidRDefault="00B47A03" w:rsidP="00475B33">
            <w:pPr>
              <w:ind w:left="0" w:right="0"/>
              <w:rPr>
                <w:sz w:val="20"/>
                <w:szCs w:val="20"/>
              </w:rPr>
            </w:pPr>
            <w:proofErr w:type="spellStart"/>
            <w:r w:rsidRPr="00475B33">
              <w:rPr>
                <w:rFonts w:eastAsiaTheme="minorHAnsi"/>
                <w:sz w:val="20"/>
                <w:szCs w:val="20"/>
                <w:lang w:eastAsia="en-US"/>
              </w:rPr>
              <w:t>E</w:t>
            </w:r>
            <w:r w:rsidR="00130972" w:rsidRPr="00475B33">
              <w:rPr>
                <w:rFonts w:eastAsiaTheme="minorHAnsi"/>
                <w:sz w:val="20"/>
                <w:szCs w:val="20"/>
                <w:lang w:eastAsia="en-US"/>
              </w:rPr>
              <w:t>vista</w:t>
            </w:r>
            <w:proofErr w:type="spellEnd"/>
            <w:r w:rsidRPr="00475B33">
              <w:rPr>
                <w:rFonts w:eastAsiaTheme="minorHAnsi"/>
                <w:sz w:val="20"/>
                <w:szCs w:val="20"/>
                <w:lang w:eastAsia="en-US"/>
              </w:rPr>
              <w:t xml:space="preserve"> is indicated for the prevention and treatment of osteoporosis in post-menopausal</w:t>
            </w:r>
            <w:r w:rsidR="00130972" w:rsidRPr="00475B33">
              <w:rPr>
                <w:rFonts w:eastAsiaTheme="minorHAnsi"/>
                <w:sz w:val="20"/>
                <w:szCs w:val="20"/>
                <w:lang w:eastAsia="en-US"/>
              </w:rPr>
              <w:t xml:space="preserve"> </w:t>
            </w:r>
            <w:r w:rsidRPr="00475B33">
              <w:rPr>
                <w:rFonts w:eastAsiaTheme="minorHAnsi"/>
                <w:sz w:val="20"/>
                <w:szCs w:val="20"/>
                <w:lang w:eastAsia="en-US"/>
              </w:rPr>
              <w:t>women.</w:t>
            </w:r>
          </w:p>
        </w:tc>
        <w:tc>
          <w:tcPr>
            <w:tcW w:w="1701" w:type="dxa"/>
          </w:tcPr>
          <w:p w14:paraId="605CF266" w14:textId="77777777" w:rsidR="00B47A03" w:rsidRPr="00475B33" w:rsidRDefault="00B47A03" w:rsidP="00B47A03">
            <w:pPr>
              <w:ind w:left="0" w:right="0"/>
              <w:rPr>
                <w:sz w:val="20"/>
                <w:szCs w:val="20"/>
              </w:rPr>
            </w:pPr>
            <w:r w:rsidRPr="00475B33">
              <w:rPr>
                <w:sz w:val="20"/>
                <w:szCs w:val="20"/>
              </w:rPr>
              <w:t>Oestrogen receptor modulator</w:t>
            </w:r>
          </w:p>
        </w:tc>
        <w:tc>
          <w:tcPr>
            <w:tcW w:w="1808" w:type="dxa"/>
          </w:tcPr>
          <w:p w14:paraId="68CC0A0B" w14:textId="77777777" w:rsidR="00B47A03" w:rsidRPr="00475B33" w:rsidRDefault="00B47A03" w:rsidP="00B47A03">
            <w:pPr>
              <w:ind w:left="0" w:right="0"/>
              <w:rPr>
                <w:sz w:val="20"/>
                <w:szCs w:val="20"/>
              </w:rPr>
            </w:pPr>
            <w:r w:rsidRPr="00475B33">
              <w:rPr>
                <w:sz w:val="20"/>
                <w:szCs w:val="20"/>
              </w:rPr>
              <w:t>Reduces vertebral fracture risk in women &gt;</w:t>
            </w:r>
            <w:r w:rsidR="00130972" w:rsidRPr="00475B33">
              <w:rPr>
                <w:sz w:val="20"/>
                <w:szCs w:val="20"/>
              </w:rPr>
              <w:t> </w:t>
            </w:r>
            <w:r w:rsidRPr="00475B33">
              <w:rPr>
                <w:sz w:val="20"/>
                <w:szCs w:val="20"/>
              </w:rPr>
              <w:t>3</w:t>
            </w:r>
            <w:r w:rsidR="00130972" w:rsidRPr="00475B33">
              <w:rPr>
                <w:sz w:val="20"/>
                <w:szCs w:val="20"/>
              </w:rPr>
              <w:t> </w:t>
            </w:r>
            <w:r w:rsidRPr="00475B33">
              <w:rPr>
                <w:sz w:val="20"/>
                <w:szCs w:val="20"/>
              </w:rPr>
              <w:t>years post menopause.</w:t>
            </w:r>
          </w:p>
          <w:p w14:paraId="76AA43C6" w14:textId="77777777" w:rsidR="00B47A03" w:rsidRPr="00475B33" w:rsidRDefault="00B47A03" w:rsidP="00B47A03">
            <w:pPr>
              <w:ind w:left="0" w:right="0"/>
              <w:rPr>
                <w:sz w:val="20"/>
                <w:szCs w:val="20"/>
              </w:rPr>
            </w:pPr>
            <w:r w:rsidRPr="00475B33">
              <w:rPr>
                <w:sz w:val="20"/>
                <w:szCs w:val="20"/>
              </w:rPr>
              <w:t xml:space="preserve">Avoid in women at risk of </w:t>
            </w:r>
            <w:r w:rsidR="00871B36" w:rsidRPr="00475B33">
              <w:rPr>
                <w:sz w:val="20"/>
                <w:szCs w:val="20"/>
              </w:rPr>
              <w:t xml:space="preserve">venous </w:t>
            </w:r>
            <w:proofErr w:type="spellStart"/>
            <w:r w:rsidR="00871B36" w:rsidRPr="00475B33">
              <w:rPr>
                <w:sz w:val="20"/>
                <w:szCs w:val="20"/>
              </w:rPr>
              <w:t>thrombo</w:t>
            </w:r>
            <w:proofErr w:type="spellEnd"/>
            <w:r w:rsidR="00871B36" w:rsidRPr="00475B33">
              <w:rPr>
                <w:sz w:val="20"/>
                <w:szCs w:val="20"/>
              </w:rPr>
              <w:t>-embolism</w:t>
            </w:r>
          </w:p>
          <w:p w14:paraId="7CF705D3" w14:textId="77777777" w:rsidR="00B47A03" w:rsidRPr="00475B33" w:rsidRDefault="00B47A03" w:rsidP="00B47A03">
            <w:pPr>
              <w:ind w:left="0" w:right="0"/>
              <w:rPr>
                <w:sz w:val="20"/>
                <w:szCs w:val="20"/>
              </w:rPr>
            </w:pPr>
            <w:r w:rsidRPr="00475B33">
              <w:rPr>
                <w:sz w:val="20"/>
                <w:szCs w:val="20"/>
              </w:rPr>
              <w:t>-hot flushes</w:t>
            </w:r>
          </w:p>
        </w:tc>
      </w:tr>
    </w:tbl>
    <w:p w14:paraId="1888BE63" w14:textId="581E489E" w:rsidR="00475B33" w:rsidRDefault="00475B33" w:rsidP="00475B33">
      <w:pPr>
        <w:pStyle w:val="Heading4"/>
      </w:pPr>
      <w:r>
        <w:t>International registration status</w:t>
      </w:r>
    </w:p>
    <w:p w14:paraId="535DE094" w14:textId="4C5B312F" w:rsidR="00B47A03" w:rsidRDefault="00B47A03" w:rsidP="00B47A03">
      <w:r>
        <w:t xml:space="preserve">There are concurrent applications in </w:t>
      </w:r>
      <w:r w:rsidR="00CF0630">
        <w:t xml:space="preserve">the </w:t>
      </w:r>
      <w:r>
        <w:t>USA, Europe</w:t>
      </w:r>
      <w:r w:rsidR="00CF0630">
        <w:t xml:space="preserve"> (EU)</w:t>
      </w:r>
      <w:r>
        <w:t>, Canada and Japan.</w:t>
      </w:r>
    </w:p>
    <w:p w14:paraId="537D6C53" w14:textId="1DF6F93D" w:rsidR="008D74BF" w:rsidRDefault="00B47A03" w:rsidP="00B47A03">
      <w:r>
        <w:t>The USA submitted a complete response letter in July asking for data from a clinical</w:t>
      </w:r>
      <w:r w:rsidR="00CF0630">
        <w:t xml:space="preserve"> study (</w:t>
      </w:r>
      <w:r w:rsidR="003D7E26">
        <w:t>Study</w:t>
      </w:r>
      <w:r>
        <w:t xml:space="preserve"> 20110174) that had been submitted to Japan including men with osteoporosis that showed an imbalance in cardiovascular events. A resubmission of the data is planned for Q4 2018</w:t>
      </w:r>
      <w:r w:rsidR="008D74BF">
        <w:t>.</w:t>
      </w:r>
      <w:r w:rsidR="00C97F66">
        <w:rPr>
          <w:rStyle w:val="FootnoteReference"/>
        </w:rPr>
        <w:footnoteReference w:id="54"/>
      </w:r>
    </w:p>
    <w:p w14:paraId="0DB18ED6" w14:textId="186FB198" w:rsidR="00B47A03" w:rsidRDefault="00B47A03" w:rsidP="00B47A03">
      <w:r>
        <w:t xml:space="preserve">The drug development program was informed by regulatory interactions between </w:t>
      </w:r>
      <w:r w:rsidR="00CF0630">
        <w:t xml:space="preserve">the </w:t>
      </w:r>
      <w:r>
        <w:t xml:space="preserve">EU, </w:t>
      </w:r>
      <w:r w:rsidR="00CF0630">
        <w:t xml:space="preserve">US </w:t>
      </w:r>
      <w:r>
        <w:t>FDA, Health Canada and Japanese PMDA.</w:t>
      </w:r>
    </w:p>
    <w:p w14:paraId="6FC163AF" w14:textId="77777777" w:rsidR="008E7846" w:rsidRDefault="008E7846" w:rsidP="008E7846">
      <w:pPr>
        <w:pStyle w:val="Heading3"/>
      </w:pPr>
      <w:bookmarkStart w:id="120" w:name="_Toc314842511"/>
      <w:bookmarkStart w:id="121" w:name="_Toc32481924"/>
      <w:r>
        <w:lastRenderedPageBreak/>
        <w:t>Quality</w:t>
      </w:r>
      <w:bookmarkEnd w:id="118"/>
      <w:bookmarkEnd w:id="120"/>
      <w:bookmarkEnd w:id="121"/>
    </w:p>
    <w:p w14:paraId="691A1666" w14:textId="77777777" w:rsidR="00B47A03" w:rsidRDefault="00B47A03" w:rsidP="00D91C37">
      <w:pPr>
        <w:rPr>
          <w:b/>
          <w:bCs/>
        </w:rPr>
      </w:pPr>
      <w:bookmarkStart w:id="122" w:name="_Toc314842512"/>
      <w:r w:rsidRPr="00D91C37">
        <w:t>There were no objections of quality grounds for the approval of romosozumab</w:t>
      </w:r>
      <w:r w:rsidRPr="00B47A03">
        <w:t>.</w:t>
      </w:r>
    </w:p>
    <w:p w14:paraId="28DA4190" w14:textId="77777777" w:rsidR="008E7846" w:rsidRDefault="008E7846" w:rsidP="008E7846">
      <w:pPr>
        <w:pStyle w:val="Heading3"/>
      </w:pPr>
      <w:bookmarkStart w:id="123" w:name="_Toc32481925"/>
      <w:r>
        <w:t>Nonclinical</w:t>
      </w:r>
      <w:bookmarkEnd w:id="122"/>
      <w:bookmarkEnd w:id="123"/>
    </w:p>
    <w:p w14:paraId="58120A7A" w14:textId="77777777" w:rsidR="008D74BF" w:rsidRDefault="00B47A03" w:rsidP="00B47A03">
      <w:bookmarkStart w:id="124" w:name="_Toc247691530"/>
      <w:bookmarkStart w:id="125" w:name="_Toc314842513"/>
      <w:r w:rsidRPr="00B47A03">
        <w:t xml:space="preserve">There are no nonclinical objections to the registration of </w:t>
      </w:r>
      <w:r w:rsidR="00130972">
        <w:t>Evenity</w:t>
      </w:r>
      <w:r w:rsidRPr="00B47A03">
        <w:t xml:space="preserve"> for the proposed indication</w:t>
      </w:r>
      <w:r w:rsidR="008D74BF">
        <w:t>.</w:t>
      </w:r>
    </w:p>
    <w:p w14:paraId="4728CA01" w14:textId="77777777" w:rsidR="008D74BF" w:rsidRDefault="00B47A03" w:rsidP="00B47A03">
      <w:r w:rsidRPr="00B47A03">
        <w:t>Sclerostin is predominantly secreted by mature osteocytes. It is also expressed in various non-mineralised human tissues, including heart, aorta, liver, lung and kidney</w:t>
      </w:r>
      <w:r w:rsidR="008D74BF">
        <w:t>.</w:t>
      </w:r>
    </w:p>
    <w:p w14:paraId="02DA607C" w14:textId="05C8746C" w:rsidR="008D74BF" w:rsidRDefault="00B47A03" w:rsidP="00B47A03">
      <w:r w:rsidRPr="00122B94">
        <w:rPr>
          <w:i/>
        </w:rPr>
        <w:t>In vitro</w:t>
      </w:r>
      <w:r w:rsidRPr="00C61641">
        <w:t xml:space="preserve"> studies established that romosozumab binds to human sclerostin with high affinity (K</w:t>
      </w:r>
      <w:r w:rsidRPr="00122B94">
        <w:rPr>
          <w:vertAlign w:val="subscript"/>
        </w:rPr>
        <w:t>D</w:t>
      </w:r>
      <w:r w:rsidRPr="00C61641">
        <w:t xml:space="preserve">, 11 </w:t>
      </w:r>
      <w:proofErr w:type="spellStart"/>
      <w:r w:rsidRPr="00C61641">
        <w:t>pM</w:t>
      </w:r>
      <w:proofErr w:type="spellEnd"/>
      <w:r w:rsidRPr="00C61641">
        <w:t>), inhibits the binding of sclerostin to LRP5 and LRP6 receptors through which it signals, and antagonises the action of sclerostin to reduce mineralisation in</w:t>
      </w:r>
      <w:r w:rsidRPr="00B47A03">
        <w:t xml:space="preserve"> a mouse osteoblast cell line. </w:t>
      </w:r>
      <w:r w:rsidRPr="008C1A13">
        <w:rPr>
          <w:i/>
        </w:rPr>
        <w:t>In vivo</w:t>
      </w:r>
      <w:r w:rsidRPr="00B47A03">
        <w:t xml:space="preserve">, romosozumab increased bone mineral content, </w:t>
      </w:r>
      <w:r w:rsidR="00881772">
        <w:t>BMD</w:t>
      </w:r>
      <w:r w:rsidRPr="00B47A03">
        <w:t>, bone mass, bone thickness and bone strength in rat and monkey models of post-menopausal bone loss. Positive effects on bone were also observed in a variety of other models of bone loss (including androgen ablation), and in repeat-dose toxicity studies conducted in normal male and female rats and monkeys</w:t>
      </w:r>
      <w:r w:rsidR="008D74BF">
        <w:t>.</w:t>
      </w:r>
    </w:p>
    <w:p w14:paraId="0EB4198A" w14:textId="77777777" w:rsidR="008D74BF" w:rsidRDefault="00696AC6" w:rsidP="00B47A03">
      <w:r>
        <w:t>Romosozumab</w:t>
      </w:r>
      <w:r w:rsidR="00B47A03" w:rsidRPr="00B47A03">
        <w:t xml:space="preserve"> showed comparable affinity for the animal and human forms of sclerostin</w:t>
      </w:r>
      <w:r w:rsidR="008D74BF">
        <w:t>.</w:t>
      </w:r>
    </w:p>
    <w:p w14:paraId="2E448838" w14:textId="77777777" w:rsidR="008D74BF" w:rsidRDefault="00B47A03" w:rsidP="00B47A03">
      <w:r w:rsidRPr="00B47A03">
        <w:t>High specificity for binding was evident in immunohistochemistry assays examining cross-reactivity. Safety pharmacology studies (covering the central nervous, cardiovascular and respiratory systems) identified no relevant concerns</w:t>
      </w:r>
      <w:r w:rsidR="008D74BF">
        <w:t>.</w:t>
      </w:r>
    </w:p>
    <w:p w14:paraId="162AA8F5" w14:textId="199BB69B" w:rsidR="008D74BF" w:rsidRDefault="00B47A03" w:rsidP="00B47A03">
      <w:r w:rsidRPr="00B47A03">
        <w:t>Pharmacokinetic studies with romosozumab and a mouse surrogate antibody (of comparable potency) revealed a typical profile for an IgG antibody</w:t>
      </w:r>
      <w:r w:rsidR="0016114C">
        <w:t>;</w:t>
      </w:r>
      <w:r w:rsidR="006839BE">
        <w:t xml:space="preserve"> </w:t>
      </w:r>
      <w:r w:rsidRPr="00B47A03">
        <w:t xml:space="preserve">non-linear pharmacokinetics (consistent with target-specific binding and clearance), slow absorption after </w:t>
      </w:r>
      <w:r w:rsidR="006839BE">
        <w:t>subcutaneous</w:t>
      </w:r>
      <w:r w:rsidRPr="00B47A03">
        <w:t xml:space="preserve"> administration, a long serum half-life, and a low volume of distribution (consistent with limited extravascular distribution)</w:t>
      </w:r>
      <w:r w:rsidR="008D74BF">
        <w:t>.</w:t>
      </w:r>
    </w:p>
    <w:p w14:paraId="7DA085F5" w14:textId="77777777" w:rsidR="008D74BF" w:rsidRDefault="00B47A03" w:rsidP="00B47A03">
      <w:r w:rsidRPr="00B47A03">
        <w:t>Repeat</w:t>
      </w:r>
      <w:r w:rsidR="006839BE">
        <w:t xml:space="preserve"> </w:t>
      </w:r>
      <w:r w:rsidRPr="00B47A03">
        <w:t xml:space="preserve">dose toxicity studies of up to 6 months duration were conducted in rats and cynomolgus monkeys. These species are seen to be appropriate models for the investigation of romosozumab toxicity on pharmacodynamic and pharmacokinetic grounds, and with immunogenicity (to the humanised protein) in the species not so prevalent as to affect study validity. Weekly SC administration of romosozumab at doses producing very high multiples of the clinical systemic exposure was well tolerated, with no target organs for toxicity identified. Histological changes were observed in bone, liver and spleen, but represent pharmacological effects (hyperostosis in bone; and </w:t>
      </w:r>
      <w:proofErr w:type="spellStart"/>
      <w:r w:rsidRPr="00B47A03">
        <w:t>extramedullary</w:t>
      </w:r>
      <w:proofErr w:type="spellEnd"/>
      <w:r w:rsidRPr="00B47A03">
        <w:t xml:space="preserve"> haematopoiesis in liver and spleen, occurring secondary to a reduction in bone marrow space)</w:t>
      </w:r>
      <w:r w:rsidR="008D74BF">
        <w:t>.</w:t>
      </w:r>
    </w:p>
    <w:p w14:paraId="124008BC" w14:textId="21C96C37" w:rsidR="008D74BF" w:rsidRDefault="00B47A03" w:rsidP="00B47A03">
      <w:r w:rsidRPr="00B47A03">
        <w:t xml:space="preserve">Genotoxicity studies were not conducted, in line with </w:t>
      </w:r>
      <w:r w:rsidRPr="00C61641">
        <w:t xml:space="preserve">ICH </w:t>
      </w:r>
      <w:r w:rsidR="00CF0630">
        <w:t xml:space="preserve">guideline </w:t>
      </w:r>
      <w:r w:rsidRPr="00C61641">
        <w:t>S6 (R1).</w:t>
      </w:r>
      <w:r w:rsidR="00CF0630" w:rsidRPr="00122B94">
        <w:rPr>
          <w:vertAlign w:val="superscript"/>
        </w:rPr>
        <w:fldChar w:fldCharType="begin"/>
      </w:r>
      <w:r w:rsidR="00CF0630" w:rsidRPr="00122B94">
        <w:rPr>
          <w:vertAlign w:val="superscript"/>
        </w:rPr>
        <w:instrText xml:space="preserve"> NOTEREF _Ref30101836 \h </w:instrText>
      </w:r>
      <w:r w:rsidR="00CF0630">
        <w:rPr>
          <w:vertAlign w:val="superscript"/>
        </w:rPr>
        <w:instrText xml:space="preserve"> \* MERGEFORMAT </w:instrText>
      </w:r>
      <w:r w:rsidR="00CF0630" w:rsidRPr="00122B94">
        <w:rPr>
          <w:vertAlign w:val="superscript"/>
        </w:rPr>
      </w:r>
      <w:r w:rsidR="00CF0630" w:rsidRPr="00122B94">
        <w:rPr>
          <w:vertAlign w:val="superscript"/>
        </w:rPr>
        <w:fldChar w:fldCharType="separate"/>
      </w:r>
      <w:r w:rsidR="00CF0630" w:rsidRPr="00122B94">
        <w:rPr>
          <w:vertAlign w:val="superscript"/>
        </w:rPr>
        <w:t>5</w:t>
      </w:r>
      <w:r w:rsidR="00CF0630" w:rsidRPr="00122B94">
        <w:rPr>
          <w:vertAlign w:val="superscript"/>
        </w:rPr>
        <w:fldChar w:fldCharType="end"/>
      </w:r>
      <w:r w:rsidRPr="00B47A03">
        <w:t xml:space="preserve"> </w:t>
      </w:r>
      <w:proofErr w:type="spellStart"/>
      <w:r w:rsidR="00871B36">
        <w:t>R</w:t>
      </w:r>
      <w:r w:rsidR="00086452">
        <w:t>omosozumab</w:t>
      </w:r>
      <w:proofErr w:type="spellEnd"/>
      <w:r w:rsidRPr="00B47A03">
        <w:t xml:space="preserve"> was not carcinogenic in rats</w:t>
      </w:r>
      <w:r w:rsidR="008D74BF">
        <w:t>.</w:t>
      </w:r>
    </w:p>
    <w:p w14:paraId="3D9BCA2C" w14:textId="65142D23" w:rsidR="00B47A03" w:rsidRDefault="00B47A03" w:rsidP="00B47A03">
      <w:pPr>
        <w:rPr>
          <w:b/>
          <w:bCs/>
        </w:rPr>
      </w:pPr>
      <w:r w:rsidRPr="00B47A03">
        <w:t>Weak teratogenicity was evident with romosozumab in rats, with skeletal malformations (including syndactyly and polydactyly) observed at low incidence and at a high animal:</w:t>
      </w:r>
      <w:r w:rsidR="00CF0630">
        <w:t> </w:t>
      </w:r>
      <w:r w:rsidRPr="00B47A03">
        <w:t>human exposure margin (59</w:t>
      </w:r>
      <w:r w:rsidR="00BB1B9E">
        <w:t xml:space="preserve"> </w:t>
      </w:r>
      <w:r w:rsidRPr="00B47A03">
        <w:t xml:space="preserve">fold). This finding is consistent with a role for sclerostin in digit formation recognised in humans and animals. No adverse effects on male and female fertility, or on postnatal development, were observed. Pregnancy </w:t>
      </w:r>
      <w:r w:rsidRPr="004C75D3">
        <w:t>Category B3</w:t>
      </w:r>
      <w:r w:rsidR="00CF0630">
        <w:t>;</w:t>
      </w:r>
      <w:r w:rsidR="004C75D3" w:rsidRPr="004C75D3">
        <w:rPr>
          <w:vertAlign w:val="superscript"/>
        </w:rPr>
        <w:fldChar w:fldCharType="begin"/>
      </w:r>
      <w:r w:rsidR="004C75D3" w:rsidRPr="004C75D3">
        <w:rPr>
          <w:vertAlign w:val="superscript"/>
        </w:rPr>
        <w:instrText xml:space="preserve"> NOTEREF _Ref2936590 \h </w:instrText>
      </w:r>
      <w:r w:rsidR="004C75D3">
        <w:rPr>
          <w:vertAlign w:val="superscript"/>
        </w:rPr>
        <w:instrText xml:space="preserve"> \* MERGEFORMAT </w:instrText>
      </w:r>
      <w:r w:rsidR="004C75D3" w:rsidRPr="004C75D3">
        <w:rPr>
          <w:vertAlign w:val="superscript"/>
        </w:rPr>
      </w:r>
      <w:r w:rsidR="004C75D3" w:rsidRPr="004C75D3">
        <w:rPr>
          <w:vertAlign w:val="superscript"/>
        </w:rPr>
        <w:fldChar w:fldCharType="separate"/>
      </w:r>
      <w:r w:rsidR="004C75D3" w:rsidRPr="004C75D3">
        <w:rPr>
          <w:vertAlign w:val="superscript"/>
        </w:rPr>
        <w:t>7</w:t>
      </w:r>
      <w:r w:rsidR="004C75D3" w:rsidRPr="004C75D3">
        <w:rPr>
          <w:vertAlign w:val="superscript"/>
        </w:rPr>
        <w:fldChar w:fldCharType="end"/>
      </w:r>
      <w:r w:rsidRPr="00B47A03">
        <w:t xml:space="preserve"> as the sponsor proposes, was considered appropriate.</w:t>
      </w:r>
    </w:p>
    <w:p w14:paraId="1CA7C477" w14:textId="77777777" w:rsidR="008E7846" w:rsidRDefault="008E7846" w:rsidP="00B47A03">
      <w:pPr>
        <w:pStyle w:val="Heading3"/>
      </w:pPr>
      <w:bookmarkStart w:id="126" w:name="_Toc32481926"/>
      <w:r>
        <w:lastRenderedPageBreak/>
        <w:t>Clinical</w:t>
      </w:r>
      <w:bookmarkEnd w:id="124"/>
      <w:bookmarkEnd w:id="125"/>
      <w:bookmarkEnd w:id="126"/>
    </w:p>
    <w:p w14:paraId="6B28D1D5" w14:textId="77777777" w:rsidR="007B6132" w:rsidRDefault="007B6132" w:rsidP="00B47A03">
      <w:pPr>
        <w:pStyle w:val="Heading4"/>
      </w:pPr>
      <w:bookmarkStart w:id="127" w:name="_Toc314842514"/>
      <w:r w:rsidRPr="007B6132">
        <w:t>Clinical evaluator’s recommendation</w:t>
      </w:r>
    </w:p>
    <w:p w14:paraId="1806D8F5" w14:textId="77777777" w:rsidR="00545C9F" w:rsidRPr="00B47A03" w:rsidRDefault="00545C9F" w:rsidP="00BB1B9E">
      <w:r w:rsidRPr="00B47A03">
        <w:t>At the end of the second round evaluation, the clinical evaluator recommended approval of the following revised indication:</w:t>
      </w:r>
    </w:p>
    <w:p w14:paraId="59BDFD27" w14:textId="77777777" w:rsidR="00545C9F" w:rsidRPr="00BB1B9E" w:rsidRDefault="00BB1B9E" w:rsidP="00BB1B9E">
      <w:pPr>
        <w:ind w:left="720"/>
        <w:rPr>
          <w:i/>
        </w:rPr>
      </w:pPr>
      <w:r w:rsidRPr="00BB1B9E">
        <w:rPr>
          <w:bCs/>
          <w:i/>
        </w:rPr>
        <w:t>Evenity</w:t>
      </w:r>
      <w:r w:rsidR="008D74BF">
        <w:rPr>
          <w:bCs/>
          <w:i/>
        </w:rPr>
        <w:t xml:space="preserve"> </w:t>
      </w:r>
      <w:r w:rsidR="00545C9F" w:rsidRPr="00BB1B9E">
        <w:rPr>
          <w:i/>
        </w:rPr>
        <w:t>is indicated for the treatment of primary osteoporosis in postmenopausal women and in men at increased risk of fracture.</w:t>
      </w:r>
    </w:p>
    <w:p w14:paraId="68A5AC50" w14:textId="77777777" w:rsidR="00BB1B9E" w:rsidRPr="00BB1B9E" w:rsidRDefault="00BB1B9E" w:rsidP="00BB1B9E">
      <w:pPr>
        <w:rPr>
          <w:i/>
        </w:rPr>
      </w:pPr>
      <w:r w:rsidRPr="00B47A03">
        <w:t xml:space="preserve">The evaluator did not agree with inclusion of the following statement in the </w:t>
      </w:r>
      <w:r w:rsidRPr="00BB1B9E">
        <w:rPr>
          <w:i/>
        </w:rPr>
        <w:t>indication:</w:t>
      </w:r>
    </w:p>
    <w:p w14:paraId="36D06F86" w14:textId="77777777" w:rsidR="008D74BF" w:rsidRDefault="00BB1B9E" w:rsidP="00BB1B9E">
      <w:pPr>
        <w:ind w:left="720"/>
      </w:pPr>
      <w:r w:rsidRPr="00BB1B9E">
        <w:rPr>
          <w:i/>
        </w:rPr>
        <w:t>Evenity</w:t>
      </w:r>
      <w:r w:rsidRPr="00B47A03">
        <w:t xml:space="preserve"> </w:t>
      </w:r>
      <w:r w:rsidRPr="00871B36">
        <w:rPr>
          <w:i/>
        </w:rPr>
        <w:t>reduces the risk of vertebral, clinical and non-vertebral fractures</w:t>
      </w:r>
      <w:r w:rsidR="008D74BF">
        <w:t>.</w:t>
      </w:r>
    </w:p>
    <w:p w14:paraId="7553482F" w14:textId="77777777" w:rsidR="008D74BF" w:rsidRDefault="00BB1B9E" w:rsidP="00BB1B9E">
      <w:r w:rsidRPr="00B47A03">
        <w:t>as the reduction in non-vertebral fractures was not statistically significant in a number of studies as either a primary or secondary outcome</w:t>
      </w:r>
      <w:r w:rsidR="008D74BF">
        <w:t>.</w:t>
      </w:r>
    </w:p>
    <w:p w14:paraId="1705317B" w14:textId="77777777" w:rsidR="00BB1B9E" w:rsidRDefault="00BB1B9E" w:rsidP="00BB1B9E">
      <w:pPr>
        <w:pStyle w:val="Heading4"/>
      </w:pPr>
      <w:r>
        <w:t>Pharmacology</w:t>
      </w:r>
    </w:p>
    <w:p w14:paraId="3D47FFA5" w14:textId="77777777" w:rsidR="00BB1B9E" w:rsidRDefault="00BB1B9E" w:rsidP="00BB1B9E">
      <w:pPr>
        <w:pStyle w:val="Heading5"/>
      </w:pPr>
      <w:r>
        <w:t>Pharmacokinetics</w:t>
      </w:r>
    </w:p>
    <w:p w14:paraId="0E272D1E" w14:textId="77777777" w:rsidR="00BB1B9E" w:rsidRDefault="00BB1B9E" w:rsidP="00BB1B9E">
      <w:pPr>
        <w:pStyle w:val="ListBullet"/>
      </w:pPr>
      <w:r>
        <w:t>Given as a subcutaneous injection via syringe or pen twice a month</w:t>
      </w:r>
    </w:p>
    <w:p w14:paraId="0FFA9904" w14:textId="77777777" w:rsidR="00BB1B9E" w:rsidRDefault="00BB1B9E" w:rsidP="00BB1B9E">
      <w:pPr>
        <w:pStyle w:val="ListBullet"/>
      </w:pPr>
      <w:r>
        <w:t>time to maximum concentration 3 to 5 days</w:t>
      </w:r>
    </w:p>
    <w:p w14:paraId="1BCCDC03" w14:textId="77777777" w:rsidR="00BB1B9E" w:rsidRDefault="00BB1B9E" w:rsidP="00BB1B9E">
      <w:pPr>
        <w:pStyle w:val="ListBullet"/>
      </w:pPr>
      <w:r>
        <w:t>relative bioavailability 50 to 70%</w:t>
      </w:r>
    </w:p>
    <w:p w14:paraId="1D21235A" w14:textId="5DD3E1C7" w:rsidR="00BB1B9E" w:rsidRDefault="00BB1B9E" w:rsidP="00BB1B9E">
      <w:pPr>
        <w:pStyle w:val="ListBullet"/>
      </w:pPr>
      <w:r>
        <w:t xml:space="preserve">lower bioavailability with higher strength solutions. Clearance decreases with increasing dose. Biphasic elimination. The way in which romosozumab is </w:t>
      </w:r>
      <w:r w:rsidR="00475B33">
        <w:t>metabolised</w:t>
      </w:r>
      <w:r>
        <w:t xml:space="preserve"> is not entirely clear. Renal clearance is unlikely due to the large size.</w:t>
      </w:r>
    </w:p>
    <w:p w14:paraId="1B55F962" w14:textId="33B73B61" w:rsidR="008D74BF" w:rsidRDefault="00BB1B9E" w:rsidP="00BB1B9E">
      <w:pPr>
        <w:pStyle w:val="ListBullet"/>
      </w:pPr>
      <w:r>
        <w:t>Pop</w:t>
      </w:r>
      <w:r w:rsidR="00E6387D">
        <w:t>ulation pharmacokinetic</w:t>
      </w:r>
      <w:r>
        <w:t xml:space="preserve"> studies were performed to explain the </w:t>
      </w:r>
      <w:r w:rsidR="00E6387D">
        <w:t>pharmacokinetic</w:t>
      </w:r>
      <w:r>
        <w:t xml:space="preserve"> characteristics of romosozumab. Results from the model suggested that following SC administration of romosozumab 210 mg, bioavailability was high (81%) and absorption was complete in </w:t>
      </w:r>
      <w:r w:rsidR="00CF0630">
        <w:t xml:space="preserve">around </w:t>
      </w:r>
      <w:r>
        <w:t xml:space="preserve">14 days. The rate of absorption was similar across the range of doses evaluated. </w:t>
      </w:r>
      <w:r w:rsidR="00696AC6">
        <w:t>Romosozumab</w:t>
      </w:r>
      <w:r>
        <w:t xml:space="preserve"> was eliminated through a slow nonspecific elimination pathway mediated by the hepatic reticuloendothelial system (that is, linear clearance </w:t>
      </w:r>
      <w:r w:rsidR="00654353">
        <w:t>(</w:t>
      </w:r>
      <w:r>
        <w:t>CL</w:t>
      </w:r>
      <w:r w:rsidR="00654353">
        <w:t>)</w:t>
      </w:r>
      <w:r>
        <w:t>), and a rapid saturable elimination pathway (that is, target-mediated nonlinear clearance) mediated by degradation of romosozumab</w:t>
      </w:r>
      <w:r w:rsidR="00475B33">
        <w:t xml:space="preserve"> </w:t>
      </w:r>
      <w:r w:rsidR="00545C9F">
        <w:t>and 12.2</w:t>
      </w:r>
      <w:r w:rsidR="00E6387D">
        <w:t> </w:t>
      </w:r>
      <w:r w:rsidR="00545C9F">
        <w:t xml:space="preserve">mL/h at high concentrations of romosozumab). Body weight and </w:t>
      </w:r>
      <w:r w:rsidR="00545C9F" w:rsidRPr="00C2628B">
        <w:t>eGFR</w:t>
      </w:r>
      <w:r w:rsidR="00545C9F">
        <w:t xml:space="preserve"> had a </w:t>
      </w:r>
      <w:r w:rsidR="00545C9F" w:rsidRPr="00136D00">
        <w:t xml:space="preserve">small impact on </w:t>
      </w:r>
      <w:r w:rsidR="00727ACB" w:rsidRPr="00136D00">
        <w:t>pharmacokinetic</w:t>
      </w:r>
      <w:r w:rsidR="00545C9F" w:rsidRPr="00136D00">
        <w:t xml:space="preserve"> characteristics but did not alter the changes in </w:t>
      </w:r>
      <w:r w:rsidR="00881772">
        <w:t>BMD</w:t>
      </w:r>
      <w:r w:rsidR="008D74BF">
        <w:t>.</w:t>
      </w:r>
    </w:p>
    <w:p w14:paraId="4C4CD53B" w14:textId="77777777" w:rsidR="00545C9F" w:rsidRPr="00136D00" w:rsidRDefault="00727ACB" w:rsidP="00727ACB">
      <w:pPr>
        <w:pStyle w:val="Heading5"/>
      </w:pPr>
      <w:r w:rsidRPr="00136D00">
        <w:t>Pharmacodynamics</w:t>
      </w:r>
    </w:p>
    <w:p w14:paraId="3A9D0DDA" w14:textId="67FBD023" w:rsidR="00545C9F" w:rsidRPr="00136D00" w:rsidRDefault="00727ACB" w:rsidP="00727ACB">
      <w:pPr>
        <w:pStyle w:val="ListBullet"/>
      </w:pPr>
      <w:r w:rsidRPr="00136D00">
        <w:t>S</w:t>
      </w:r>
      <w:r w:rsidR="00545C9F" w:rsidRPr="00136D00">
        <w:t xml:space="preserve">tudy 20090153 evaluated the effects of romosozumab on bone quality of the ultra-distal radius and distal radius with in patients with low </w:t>
      </w:r>
      <w:r w:rsidR="00881772">
        <w:t>BMD</w:t>
      </w:r>
      <w:r w:rsidR="00545C9F" w:rsidRPr="00136D00">
        <w:t xml:space="preserve"> using </w:t>
      </w:r>
      <w:r w:rsidRPr="00136D00">
        <w:t>quantitative computed tomography</w:t>
      </w:r>
      <w:r w:rsidR="00545C9F" w:rsidRPr="00136D00">
        <w:t xml:space="preserve">. Patients were randomised 1:1 to receive romosozumab or placebo. At </w:t>
      </w:r>
      <w:r w:rsidR="00CF0630">
        <w:t>D</w:t>
      </w:r>
      <w:r w:rsidR="00545C9F" w:rsidRPr="00136D00">
        <w:t xml:space="preserve">ay 57, decreases in the mean polar of inertia of 1% from </w:t>
      </w:r>
      <w:r w:rsidR="00CF0630">
        <w:t>B</w:t>
      </w:r>
      <w:r w:rsidR="00545C9F" w:rsidRPr="00136D00">
        <w:t xml:space="preserve">aseline was observed in both groups, however by </w:t>
      </w:r>
      <w:r w:rsidRPr="00136D00">
        <w:t>D</w:t>
      </w:r>
      <w:r w:rsidR="00545C9F" w:rsidRPr="00136D00">
        <w:t xml:space="preserve">ay 85 there was an increase of 1.5% above baseline in the romosozumab group. There was also an increase in total </w:t>
      </w:r>
      <w:r w:rsidR="00881772">
        <w:t>BMD</w:t>
      </w:r>
      <w:r w:rsidR="00545C9F" w:rsidRPr="00136D00">
        <w:t xml:space="preserve">, total bone area, trabecular bone area, trabecular bone mineral content, and trabecular </w:t>
      </w:r>
      <w:r w:rsidR="00881772">
        <w:t>BMD</w:t>
      </w:r>
      <w:r w:rsidR="00545C9F" w:rsidRPr="00136D00">
        <w:t>.</w:t>
      </w:r>
    </w:p>
    <w:p w14:paraId="362940BC" w14:textId="6E8C2546" w:rsidR="00545C9F" w:rsidRPr="00136D00" w:rsidRDefault="00727ACB" w:rsidP="00727ACB">
      <w:pPr>
        <w:pStyle w:val="ListBullet"/>
      </w:pPr>
      <w:r w:rsidRPr="00136D00">
        <w:t>S</w:t>
      </w:r>
      <w:r w:rsidR="00545C9F" w:rsidRPr="00136D00">
        <w:t>tudy 20110253 examined the impact of 140</w:t>
      </w:r>
      <w:r w:rsidR="00136D00">
        <w:t xml:space="preserve"> </w:t>
      </w:r>
      <w:r w:rsidR="00545C9F" w:rsidRPr="00136D00">
        <w:t>mg or 210</w:t>
      </w:r>
      <w:r w:rsidR="00136D00">
        <w:t xml:space="preserve"> </w:t>
      </w:r>
      <w:r w:rsidR="00545C9F" w:rsidRPr="00136D00">
        <w:t>mg of romosozumab given monthly to postmenopausal women with osteoporosis (</w:t>
      </w:r>
      <w:r w:rsidR="00881772">
        <w:t>BMD</w:t>
      </w:r>
      <w:r w:rsidR="00545C9F" w:rsidRPr="00136D00">
        <w:t xml:space="preserve"> -2 to -4) who had received alendronate. </w:t>
      </w:r>
      <w:r w:rsidR="00696AC6">
        <w:t>Romosozumab</w:t>
      </w:r>
      <w:r w:rsidR="00545C9F" w:rsidRPr="00136D00">
        <w:t xml:space="preserve"> increased </w:t>
      </w:r>
      <w:r w:rsidR="00881772">
        <w:t>BMD</w:t>
      </w:r>
      <w:r w:rsidR="00545C9F" w:rsidRPr="00136D00">
        <w:t xml:space="preserve"> at the lumbar spine, </w:t>
      </w:r>
      <w:r w:rsidR="00C85473">
        <w:t>femoral</w:t>
      </w:r>
      <w:r w:rsidR="00545C9F" w:rsidRPr="00136D00">
        <w:t xml:space="preserve"> neck and hip for both doses.</w:t>
      </w:r>
    </w:p>
    <w:p w14:paraId="67A52C49" w14:textId="1555E65F" w:rsidR="00545C9F" w:rsidRDefault="00727ACB" w:rsidP="00E6387D">
      <w:pPr>
        <w:pStyle w:val="ListBullet"/>
      </w:pPr>
      <w:r w:rsidRPr="00136D00">
        <w:t>S</w:t>
      </w:r>
      <w:r w:rsidR="00545C9F" w:rsidRPr="00136D00">
        <w:t>tud</w:t>
      </w:r>
      <w:r w:rsidR="0016114C">
        <w:t>ies</w:t>
      </w:r>
      <w:r w:rsidR="00545C9F" w:rsidRPr="00136D00">
        <w:t xml:space="preserve"> 20060220, 20090378 and 20060221 evaluated the impact of romosozumab on markers of bone formation. There was a dose dependent increa</w:t>
      </w:r>
      <w:r w:rsidR="003458DF">
        <w:t>se in markers of bone formation;</w:t>
      </w:r>
      <w:r w:rsidR="00545C9F" w:rsidRPr="00136D00">
        <w:t xml:space="preserve"> </w:t>
      </w:r>
      <w:r w:rsidR="003458DF">
        <w:t>P1NP</w:t>
      </w:r>
      <w:r w:rsidR="00545C9F" w:rsidRPr="00136D00">
        <w:t xml:space="preserve">, </w:t>
      </w:r>
      <w:proofErr w:type="spellStart"/>
      <w:r w:rsidR="00E6387D" w:rsidRPr="00136D00">
        <w:t>osteocalcin</w:t>
      </w:r>
      <w:proofErr w:type="spellEnd"/>
      <w:r w:rsidR="00545C9F" w:rsidRPr="00136D00">
        <w:t xml:space="preserve"> and </w:t>
      </w:r>
      <w:r w:rsidR="00E6387D" w:rsidRPr="00136D00">
        <w:t>bone specific alkaline phosphatase</w:t>
      </w:r>
      <w:r w:rsidR="00545C9F" w:rsidRPr="00136D00">
        <w:t xml:space="preserve">. The maximum </w:t>
      </w:r>
      <w:r w:rsidR="00545C9F" w:rsidRPr="00136D00">
        <w:lastRenderedPageBreak/>
        <w:t>increase in P1NP</w:t>
      </w:r>
      <w:r w:rsidR="00545C9F">
        <w:t xml:space="preserve"> occurred in the first 2</w:t>
      </w:r>
      <w:r>
        <w:t> </w:t>
      </w:r>
      <w:r w:rsidR="00545C9F">
        <w:t>months of dosing, and returned to baseline 4</w:t>
      </w:r>
      <w:r w:rsidR="004C75D3">
        <w:t xml:space="preserve"> to </w:t>
      </w:r>
      <w:r w:rsidR="00545C9F">
        <w:t>8 weeks after the final dose.</w:t>
      </w:r>
    </w:p>
    <w:p w14:paraId="46A0CB01" w14:textId="7B458597" w:rsidR="008D74BF" w:rsidRDefault="00727ACB" w:rsidP="00727ACB">
      <w:pPr>
        <w:pStyle w:val="ListBullet"/>
      </w:pPr>
      <w:r>
        <w:t>S</w:t>
      </w:r>
      <w:r w:rsidR="00545C9F">
        <w:t>tud</w:t>
      </w:r>
      <w:r w:rsidR="0016114C">
        <w:t>ies</w:t>
      </w:r>
      <w:r w:rsidR="00545C9F">
        <w:t xml:space="preserve"> 20060220, 20090378 and 20060221 also evaluated the impact of romosozumab on markers of bone resorption. There was a dec</w:t>
      </w:r>
      <w:r>
        <w:t>rease in bone resorption marker</w:t>
      </w:r>
      <w:r w:rsidR="00545C9F">
        <w:t>s</w:t>
      </w:r>
      <w:r>
        <w:t xml:space="preserve"> </w:t>
      </w:r>
      <w:proofErr w:type="spellStart"/>
      <w:r w:rsidR="00654353">
        <w:t>sCTX</w:t>
      </w:r>
      <w:proofErr w:type="spellEnd"/>
      <w:r w:rsidR="00654353">
        <w:t xml:space="preserve"> </w:t>
      </w:r>
      <w:r w:rsidR="00545C9F">
        <w:t>which reached a nadir within 1</w:t>
      </w:r>
      <w:r>
        <w:t xml:space="preserve"> to </w:t>
      </w:r>
      <w:r w:rsidR="00545C9F">
        <w:t xml:space="preserve">2 months and returned to </w:t>
      </w:r>
      <w:r w:rsidR="0016114C">
        <w:t xml:space="preserve">Baseline </w:t>
      </w:r>
      <w:r w:rsidR="00545C9F">
        <w:t>3</w:t>
      </w:r>
      <w:r>
        <w:t xml:space="preserve"> to </w:t>
      </w:r>
      <w:r w:rsidR="00545C9F">
        <w:t>6 weeks post treatment</w:t>
      </w:r>
      <w:r w:rsidR="008D74BF">
        <w:t>.</w:t>
      </w:r>
    </w:p>
    <w:p w14:paraId="2198C114" w14:textId="6208CF46" w:rsidR="003F09E4" w:rsidRDefault="00727ACB" w:rsidP="00545C9F">
      <w:r>
        <w:t>Pharmacokinetic/pharmacodynamics</w:t>
      </w:r>
      <w:r w:rsidR="008D74BF">
        <w:t xml:space="preserve"> </w:t>
      </w:r>
      <w:r w:rsidR="00545C9F">
        <w:t>modelling and simulations using the dose-</w:t>
      </w:r>
      <w:r w:rsidR="00881772">
        <w:t>BMD</w:t>
      </w:r>
      <w:r w:rsidR="003458DF">
        <w:t xml:space="preserve"> and concentration;</w:t>
      </w:r>
      <w:r w:rsidR="00545C9F">
        <w:t xml:space="preserve"> </w:t>
      </w:r>
      <w:r w:rsidR="00E6387D">
        <w:t>bone turnover marker</w:t>
      </w:r>
      <w:r w:rsidR="003458DF">
        <w:t>;</w:t>
      </w:r>
      <w:r w:rsidR="00545C9F">
        <w:t xml:space="preserve"> </w:t>
      </w:r>
      <w:r w:rsidR="00881772">
        <w:t>BMD</w:t>
      </w:r>
      <w:r w:rsidR="00545C9F">
        <w:t xml:space="preserve"> (lumbar spine) models demonstrated that a romosozumab dose of 210 mg SC </w:t>
      </w:r>
      <w:r w:rsidR="004A189B">
        <w:t>monthly</w:t>
      </w:r>
      <w:r w:rsidR="00545C9F">
        <w:t xml:space="preserve"> provided greater </w:t>
      </w:r>
      <w:r w:rsidR="00881772">
        <w:t>BMD</w:t>
      </w:r>
      <w:r w:rsidR="00545C9F">
        <w:t xml:space="preserve"> gains at </w:t>
      </w:r>
      <w:r w:rsidR="00EA6703">
        <w:t>M</w:t>
      </w:r>
      <w:r w:rsidR="00545C9F">
        <w:t>onth 12 compared to the other dosing regimens tested.</w:t>
      </w:r>
    </w:p>
    <w:p w14:paraId="7C33DC53" w14:textId="77777777" w:rsidR="00545C9F" w:rsidRDefault="00545C9F" w:rsidP="00E6387D">
      <w:pPr>
        <w:pStyle w:val="Heading4"/>
      </w:pPr>
      <w:r>
        <w:t>Efficacy</w:t>
      </w:r>
    </w:p>
    <w:p w14:paraId="6C9867F7" w14:textId="14248052" w:rsidR="00545C9F" w:rsidRDefault="00475B33" w:rsidP="00E6387D">
      <w:pPr>
        <w:pStyle w:val="Heading5"/>
      </w:pPr>
      <w:r>
        <w:t xml:space="preserve">Post-menopausal </w:t>
      </w:r>
      <w:r w:rsidR="00C61B08">
        <w:t>women</w:t>
      </w:r>
    </w:p>
    <w:p w14:paraId="7F9FB506" w14:textId="468AA10C" w:rsidR="00475B33" w:rsidRPr="00475B33" w:rsidRDefault="00475B33" w:rsidP="00475B33">
      <w:pPr>
        <w:pStyle w:val="Heading6"/>
      </w:pPr>
      <w:r>
        <w:t>Studies providing efficacy data</w:t>
      </w:r>
    </w:p>
    <w:p w14:paraId="2DD96CD6" w14:textId="25BA7CE0" w:rsidR="00C44BAA" w:rsidRDefault="00545C9F" w:rsidP="00475B33">
      <w:pPr>
        <w:pStyle w:val="ListBullet"/>
      </w:pPr>
      <w:r>
        <w:t xml:space="preserve">Two </w:t>
      </w:r>
      <w:r w:rsidR="00475B33">
        <w:t>p</w:t>
      </w:r>
      <w:r>
        <w:t xml:space="preserve">ivotal Phase </w:t>
      </w:r>
      <w:r w:rsidR="00EA6703">
        <w:t>III</w:t>
      </w:r>
      <w:r>
        <w:t xml:space="preserve"> efficacy studies:</w:t>
      </w:r>
    </w:p>
    <w:p w14:paraId="09311C32" w14:textId="02A6E4F9" w:rsidR="00545C9F" w:rsidRDefault="00475B33" w:rsidP="00475B33">
      <w:pPr>
        <w:pStyle w:val="ListBullet2"/>
      </w:pPr>
      <w:r>
        <w:t xml:space="preserve">Study </w:t>
      </w:r>
      <w:r w:rsidR="00545C9F">
        <w:t>20070337 (FRAME</w:t>
      </w:r>
      <w:r w:rsidR="0016114C">
        <w:t xml:space="preserve"> trial</w:t>
      </w:r>
      <w:r w:rsidR="00545C9F">
        <w:t xml:space="preserve">): </w:t>
      </w:r>
      <w:r w:rsidR="00E6387D">
        <w:t>a multicentre, international, randomised, double blind, placebo controlled, parallel group study to assess the efficacy and safety of romosozumab treatment in postmenopausal women with osteoporosis</w:t>
      </w:r>
      <w:r w:rsidR="00545C9F">
        <w:t>.</w:t>
      </w:r>
    </w:p>
    <w:p w14:paraId="3C136475" w14:textId="57AAD130" w:rsidR="00545C9F" w:rsidRDefault="00475B33" w:rsidP="00475B33">
      <w:pPr>
        <w:pStyle w:val="ListBullet2"/>
      </w:pPr>
      <w:r>
        <w:t xml:space="preserve">Study </w:t>
      </w:r>
      <w:r w:rsidR="00545C9F">
        <w:t>20110142 (ARCH</w:t>
      </w:r>
      <w:r w:rsidR="0016114C">
        <w:t xml:space="preserve"> trial</w:t>
      </w:r>
      <w:r w:rsidR="00545C9F">
        <w:t xml:space="preserve">): </w:t>
      </w:r>
      <w:r w:rsidR="00E6387D">
        <w:t>a multicentre, international, randomised, double blind, alendronate controlled study to determine the efficacy and safety of romosozumab in the treatment of postmenopausal women with osteoporosis.</w:t>
      </w:r>
    </w:p>
    <w:p w14:paraId="4F01C27B" w14:textId="77777777" w:rsidR="00545C9F" w:rsidRDefault="00545C9F" w:rsidP="00475B33">
      <w:pPr>
        <w:pStyle w:val="ListBullet"/>
      </w:pPr>
      <w:r>
        <w:t>Four supportive studies:</w:t>
      </w:r>
    </w:p>
    <w:p w14:paraId="118ECAB1" w14:textId="6492F54A" w:rsidR="00545C9F" w:rsidRDefault="00475B33" w:rsidP="00475B33">
      <w:pPr>
        <w:pStyle w:val="ListBullet2"/>
      </w:pPr>
      <w:r>
        <w:t xml:space="preserve">Study </w:t>
      </w:r>
      <w:r w:rsidR="00545C9F">
        <w:t xml:space="preserve">20080289: </w:t>
      </w:r>
      <w:r w:rsidR="0016114C">
        <w:t xml:space="preserve">a </w:t>
      </w:r>
      <w:r w:rsidR="00545C9F">
        <w:t xml:space="preserve">Phase </w:t>
      </w:r>
      <w:proofErr w:type="spellStart"/>
      <w:r w:rsidR="00E6387D">
        <w:t>III</w:t>
      </w:r>
      <w:r w:rsidR="00545C9F">
        <w:t>b</w:t>
      </w:r>
      <w:proofErr w:type="spellEnd"/>
      <w:r w:rsidR="00545C9F">
        <w:t xml:space="preserve"> active</w:t>
      </w:r>
      <w:r w:rsidR="00E6387D">
        <w:t xml:space="preserve"> </w:t>
      </w:r>
      <w:r w:rsidR="00545C9F">
        <w:t>controlled (</w:t>
      </w:r>
      <w:proofErr w:type="spellStart"/>
      <w:r w:rsidR="00545C9F">
        <w:t>teriparatide</w:t>
      </w:r>
      <w:proofErr w:type="spellEnd"/>
      <w:r w:rsidR="00545C9F">
        <w:t>) study in postmenopausal women with osteoporosis previously treated w</w:t>
      </w:r>
      <w:r w:rsidR="00E6387D">
        <w:t>ith bisphosphonates (important s</w:t>
      </w:r>
      <w:r w:rsidR="00545C9F">
        <w:t xml:space="preserve">tudy as examined use </w:t>
      </w:r>
      <w:r w:rsidR="0016114C" w:rsidRPr="001377E9">
        <w:rPr>
          <w:i/>
        </w:rPr>
        <w:t>after</w:t>
      </w:r>
      <w:r w:rsidR="00545C9F">
        <w:t xml:space="preserve"> bisphosphonates)</w:t>
      </w:r>
    </w:p>
    <w:p w14:paraId="2E02B242" w14:textId="42FEDF59" w:rsidR="00545C9F" w:rsidRDefault="00475B33" w:rsidP="00475B33">
      <w:pPr>
        <w:pStyle w:val="ListBullet2"/>
      </w:pPr>
      <w:r>
        <w:t xml:space="preserve">Study </w:t>
      </w:r>
      <w:r w:rsidR="00545C9F">
        <w:t xml:space="preserve">20060326: </w:t>
      </w:r>
      <w:r w:rsidR="0016114C">
        <w:t xml:space="preserve">a </w:t>
      </w:r>
      <w:r w:rsidR="00545C9F">
        <w:t xml:space="preserve">Phase </w:t>
      </w:r>
      <w:proofErr w:type="spellStart"/>
      <w:r w:rsidR="00E6387D">
        <w:t>II</w:t>
      </w:r>
      <w:r w:rsidR="00545C9F">
        <w:t>b</w:t>
      </w:r>
      <w:proofErr w:type="spellEnd"/>
      <w:r w:rsidR="00545C9F">
        <w:t xml:space="preserve"> study in postmenopausal women with low </w:t>
      </w:r>
      <w:r w:rsidR="00881772">
        <w:t>BMD</w:t>
      </w:r>
      <w:r w:rsidR="00545C9F">
        <w:t>.</w:t>
      </w:r>
    </w:p>
    <w:p w14:paraId="387D4C2B" w14:textId="71361635" w:rsidR="00545C9F" w:rsidRDefault="00475B33" w:rsidP="00475B33">
      <w:pPr>
        <w:pStyle w:val="ListBullet2"/>
      </w:pPr>
      <w:r>
        <w:t xml:space="preserve">Study </w:t>
      </w:r>
      <w:r w:rsidR="00545C9F">
        <w:t xml:space="preserve">220120156: </w:t>
      </w:r>
      <w:r w:rsidR="0016114C">
        <w:t xml:space="preserve">a </w:t>
      </w:r>
      <w:r w:rsidR="00545C9F">
        <w:t xml:space="preserve">Phase </w:t>
      </w:r>
      <w:r w:rsidR="00E6387D">
        <w:t>III</w:t>
      </w:r>
      <w:r w:rsidR="00545C9F">
        <w:t xml:space="preserve"> study in postmenopausal women with osteoporosis (90</w:t>
      </w:r>
      <w:r w:rsidR="00E6387D">
        <w:t> </w:t>
      </w:r>
      <w:r w:rsidR="00545C9F">
        <w:t>mg/m</w:t>
      </w:r>
      <w:r w:rsidR="00E6387D">
        <w:t xml:space="preserve">L </w:t>
      </w:r>
      <w:r w:rsidR="00545C9F">
        <w:t>v</w:t>
      </w:r>
      <w:r w:rsidR="00E6387D">
        <w:t>ersu</w:t>
      </w:r>
      <w:r w:rsidR="00545C9F">
        <w:t>s 70</w:t>
      </w:r>
      <w:r w:rsidR="00E6387D">
        <w:t xml:space="preserve"> </w:t>
      </w:r>
      <w:r w:rsidR="00545C9F">
        <w:t>mg/m</w:t>
      </w:r>
      <w:r w:rsidR="00E6387D">
        <w:t>L</w:t>
      </w:r>
      <w:r w:rsidR="00545C9F">
        <w:t>).</w:t>
      </w:r>
    </w:p>
    <w:p w14:paraId="39DFDE52" w14:textId="5BB606F7" w:rsidR="00545C9F" w:rsidRDefault="00475B33" w:rsidP="00475B33">
      <w:pPr>
        <w:pStyle w:val="ListBullet2"/>
      </w:pPr>
      <w:r>
        <w:t xml:space="preserve">Study </w:t>
      </w:r>
      <w:r w:rsidR="00545C9F">
        <w:t xml:space="preserve">20101291: </w:t>
      </w:r>
      <w:r w:rsidR="0016114C">
        <w:t xml:space="preserve">a </w:t>
      </w:r>
      <w:r w:rsidR="00545C9F">
        <w:t xml:space="preserve">Phase </w:t>
      </w:r>
      <w:proofErr w:type="spellStart"/>
      <w:r w:rsidR="00E6387D">
        <w:t>II</w:t>
      </w:r>
      <w:r w:rsidR="00545C9F">
        <w:t>b</w:t>
      </w:r>
      <w:proofErr w:type="spellEnd"/>
      <w:r w:rsidR="00545C9F">
        <w:t xml:space="preserve"> in postmenopausal Japanese women with osteoporosis.</w:t>
      </w:r>
    </w:p>
    <w:p w14:paraId="5C60BB51" w14:textId="1DF5FAC1" w:rsidR="00545C9F" w:rsidRDefault="00545C9F" w:rsidP="0016114C">
      <w:pPr>
        <w:pStyle w:val="TableTitle"/>
      </w:pPr>
      <w:r>
        <w:t>Table</w:t>
      </w:r>
      <w:r w:rsidR="008E3C6C">
        <w:t xml:space="preserve"> 28</w:t>
      </w:r>
      <w:r>
        <w:t>:</w:t>
      </w:r>
      <w:r w:rsidR="00EA6703">
        <w:t xml:space="preserve"> Summary </w:t>
      </w:r>
      <w:r w:rsidR="008E3C6C">
        <w:t xml:space="preserve">of </w:t>
      </w:r>
      <w:r w:rsidR="00EA6703">
        <w:t>Study 20070337</w:t>
      </w:r>
      <w:r w:rsidR="008E3C6C">
        <w:t xml:space="preserve"> (FRAME)</w:t>
      </w:r>
    </w:p>
    <w:tbl>
      <w:tblPr>
        <w:tblStyle w:val="TableTGAblue"/>
        <w:tblW w:w="0" w:type="auto"/>
        <w:tblLook w:val="04A0" w:firstRow="1" w:lastRow="0" w:firstColumn="1" w:lastColumn="0" w:noHBand="0" w:noVBand="1"/>
      </w:tblPr>
      <w:tblGrid>
        <w:gridCol w:w="1279"/>
        <w:gridCol w:w="7441"/>
      </w:tblGrid>
      <w:tr w:rsidR="00545C9F" w14:paraId="2044B82B" w14:textId="77777777" w:rsidTr="00545C9F">
        <w:trPr>
          <w:cnfStyle w:val="100000000000" w:firstRow="1" w:lastRow="0" w:firstColumn="0" w:lastColumn="0" w:oddVBand="0" w:evenVBand="0" w:oddHBand="0" w:evenHBand="0" w:firstRowFirstColumn="0" w:firstRowLastColumn="0" w:lastRowFirstColumn="0" w:lastRowLastColumn="0"/>
        </w:trPr>
        <w:tc>
          <w:tcPr>
            <w:tcW w:w="9286" w:type="dxa"/>
            <w:gridSpan w:val="2"/>
          </w:tcPr>
          <w:p w14:paraId="05FEEFDD" w14:textId="4F280923" w:rsidR="00545C9F" w:rsidRDefault="00475B33" w:rsidP="00402558">
            <w:pPr>
              <w:spacing w:line="240" w:lineRule="auto"/>
              <w:ind w:left="0" w:right="0"/>
              <w:rPr>
                <w:b w:val="0"/>
              </w:rPr>
            </w:pPr>
            <w:r>
              <w:t>Study</w:t>
            </w:r>
            <w:r w:rsidR="00545C9F">
              <w:t xml:space="preserve"> 20070337</w:t>
            </w:r>
            <w:r>
              <w:t xml:space="preserve"> (FRAME</w:t>
            </w:r>
            <w:r w:rsidR="0016114C">
              <w:t xml:space="preserve"> trial</w:t>
            </w:r>
            <w:r>
              <w:t>)</w:t>
            </w:r>
          </w:p>
        </w:tc>
      </w:tr>
      <w:tr w:rsidR="00545C9F" w:rsidRPr="00B87FAE" w14:paraId="5F2AEFEC" w14:textId="77777777" w:rsidTr="00545C9F">
        <w:tc>
          <w:tcPr>
            <w:tcW w:w="1282" w:type="dxa"/>
          </w:tcPr>
          <w:p w14:paraId="075A1D05" w14:textId="77777777" w:rsidR="00545C9F" w:rsidRDefault="00545C9F" w:rsidP="001377E9">
            <w:pPr>
              <w:keepNext/>
              <w:spacing w:line="240" w:lineRule="auto"/>
              <w:ind w:left="0" w:right="0"/>
            </w:pPr>
            <w:r>
              <w:t>Design</w:t>
            </w:r>
          </w:p>
        </w:tc>
        <w:tc>
          <w:tcPr>
            <w:tcW w:w="8004" w:type="dxa"/>
          </w:tcPr>
          <w:p w14:paraId="271802AA" w14:textId="60A3010F" w:rsidR="00545C9F" w:rsidRPr="00B87FAE" w:rsidRDefault="00545C9F" w:rsidP="001377E9">
            <w:pPr>
              <w:keepNext/>
              <w:spacing w:line="240" w:lineRule="auto"/>
              <w:ind w:left="0" w:right="0"/>
            </w:pPr>
            <w:r w:rsidRPr="00B87FAE">
              <w:t xml:space="preserve">Phase </w:t>
            </w:r>
            <w:r w:rsidR="00E6387D">
              <w:t>III</w:t>
            </w:r>
            <w:r w:rsidRPr="00B87FAE">
              <w:t xml:space="preserve"> global </w:t>
            </w:r>
            <w:r w:rsidR="00E6387D">
              <w:t>randomised controlled trial</w:t>
            </w:r>
            <w:r w:rsidR="00475B33">
              <w:t xml:space="preserve">. 2012 to </w:t>
            </w:r>
            <w:r w:rsidRPr="00B87FAE">
              <w:t>2016</w:t>
            </w:r>
          </w:p>
        </w:tc>
      </w:tr>
      <w:tr w:rsidR="00545C9F" w:rsidRPr="00B87FAE" w14:paraId="3BC5D17C" w14:textId="77777777" w:rsidTr="00545C9F">
        <w:tc>
          <w:tcPr>
            <w:tcW w:w="1282" w:type="dxa"/>
          </w:tcPr>
          <w:p w14:paraId="0D432B78" w14:textId="77777777" w:rsidR="00545C9F" w:rsidRDefault="00545C9F" w:rsidP="001377E9">
            <w:pPr>
              <w:keepNext/>
              <w:spacing w:line="240" w:lineRule="auto"/>
              <w:ind w:left="0" w:right="0"/>
            </w:pPr>
            <w:r>
              <w:t>Population</w:t>
            </w:r>
          </w:p>
        </w:tc>
        <w:tc>
          <w:tcPr>
            <w:tcW w:w="8004" w:type="dxa"/>
          </w:tcPr>
          <w:p w14:paraId="64E7624C" w14:textId="77777777" w:rsidR="00545C9F" w:rsidRPr="00EA6703" w:rsidRDefault="00545C9F" w:rsidP="001377E9">
            <w:pPr>
              <w:keepNext/>
              <w:spacing w:line="240" w:lineRule="auto"/>
              <w:ind w:left="0" w:right="0"/>
            </w:pPr>
            <w:r w:rsidRPr="00EA6703">
              <w:t>Postmenopausal women.</w:t>
            </w:r>
          </w:p>
          <w:p w14:paraId="1BB2F74C" w14:textId="218FC9A1" w:rsidR="00545C9F" w:rsidRPr="00EA6703" w:rsidRDefault="00475B33" w:rsidP="001377E9">
            <w:pPr>
              <w:keepNext/>
              <w:spacing w:line="240" w:lineRule="auto"/>
              <w:ind w:left="0" w:right="0"/>
            </w:pPr>
            <w:r>
              <w:rPr>
                <w:rFonts w:eastAsiaTheme="minorHAnsi" w:cs="Arial"/>
              </w:rPr>
              <w:t>A</w:t>
            </w:r>
            <w:r w:rsidR="00545C9F" w:rsidRPr="00EA6703">
              <w:rPr>
                <w:rFonts w:eastAsiaTheme="minorHAnsi" w:cs="Arial"/>
              </w:rPr>
              <w:t xml:space="preserve">ge 55 to 90 years with a </w:t>
            </w:r>
            <w:r w:rsidR="00881772">
              <w:rPr>
                <w:rFonts w:eastAsiaTheme="minorHAnsi" w:cs="Arial"/>
              </w:rPr>
              <w:t>BMD</w:t>
            </w:r>
            <w:r w:rsidR="00545C9F" w:rsidRPr="00EA6703">
              <w:rPr>
                <w:rFonts w:eastAsiaTheme="minorHAnsi" w:cs="Arial"/>
              </w:rPr>
              <w:t xml:space="preserve"> T-score at the total hip or </w:t>
            </w:r>
            <w:r w:rsidR="00C85473" w:rsidRPr="00EA6703">
              <w:rPr>
                <w:rFonts w:eastAsiaTheme="minorHAnsi" w:cs="Arial"/>
              </w:rPr>
              <w:t>femoral</w:t>
            </w:r>
            <w:r w:rsidR="00545C9F" w:rsidRPr="00EA6703">
              <w:rPr>
                <w:rFonts w:eastAsiaTheme="minorHAnsi" w:cs="Arial"/>
              </w:rPr>
              <w:t xml:space="preserve"> neck of less than or equal to -2.50 and at least 2 vertebrae in the L1 through L4 region and at least one hip evaluable by DXA. excluded if </w:t>
            </w:r>
            <w:r w:rsidR="00881772">
              <w:rPr>
                <w:rFonts w:eastAsiaTheme="minorHAnsi" w:cs="Arial"/>
              </w:rPr>
              <w:t>BMD</w:t>
            </w:r>
            <w:r w:rsidR="00545C9F" w:rsidRPr="00EA6703">
              <w:rPr>
                <w:rFonts w:eastAsiaTheme="minorHAnsi" w:cs="Arial"/>
              </w:rPr>
              <w:t xml:space="preserve"> &lt; -3.5 or hip fracture or &gt; 2 vertebral</w:t>
            </w:r>
            <w:r>
              <w:rPr>
                <w:rFonts w:eastAsiaTheme="minorHAnsi" w:cs="Arial"/>
              </w:rPr>
              <w:t xml:space="preserve"> fractures.</w:t>
            </w:r>
          </w:p>
        </w:tc>
      </w:tr>
      <w:tr w:rsidR="00545C9F" w:rsidRPr="00B87FAE" w14:paraId="22EB0469" w14:textId="77777777" w:rsidTr="00545C9F">
        <w:tc>
          <w:tcPr>
            <w:tcW w:w="1282" w:type="dxa"/>
          </w:tcPr>
          <w:p w14:paraId="2F0268B3" w14:textId="77777777" w:rsidR="00545C9F" w:rsidRDefault="00545C9F" w:rsidP="00475B33">
            <w:pPr>
              <w:spacing w:line="240" w:lineRule="auto"/>
              <w:ind w:left="0" w:right="0"/>
            </w:pPr>
            <w:r>
              <w:t>Treatment</w:t>
            </w:r>
          </w:p>
        </w:tc>
        <w:tc>
          <w:tcPr>
            <w:tcW w:w="8004" w:type="dxa"/>
          </w:tcPr>
          <w:p w14:paraId="0A776F07" w14:textId="2BFC2779" w:rsidR="00545C9F" w:rsidRPr="00EA6703" w:rsidRDefault="00545C9F" w:rsidP="00475B33">
            <w:pPr>
              <w:spacing w:line="240" w:lineRule="auto"/>
              <w:ind w:left="0" w:right="0"/>
            </w:pPr>
            <w:r w:rsidRPr="00EA6703">
              <w:t>210</w:t>
            </w:r>
            <w:r w:rsidR="00436BB4" w:rsidRPr="00EA6703">
              <w:t xml:space="preserve"> mg </w:t>
            </w:r>
            <w:r w:rsidR="00475B33">
              <w:t>SC</w:t>
            </w:r>
            <w:r w:rsidRPr="00EA6703">
              <w:t xml:space="preserve"> monthly romosozumab versus placebo for 12</w:t>
            </w:r>
            <w:r w:rsidR="00436BB4" w:rsidRPr="00EA6703">
              <w:t> </w:t>
            </w:r>
            <w:r w:rsidRPr="00EA6703">
              <w:t>months (blinded 12 months then open label 12 months with denosumab in both groups)</w:t>
            </w:r>
          </w:p>
        </w:tc>
      </w:tr>
      <w:tr w:rsidR="00545C9F" w:rsidRPr="00B87FAE" w14:paraId="119E6B29" w14:textId="77777777" w:rsidTr="00545C9F">
        <w:tc>
          <w:tcPr>
            <w:tcW w:w="1282" w:type="dxa"/>
          </w:tcPr>
          <w:p w14:paraId="2D14F1B5" w14:textId="77777777" w:rsidR="00545C9F" w:rsidRDefault="00545C9F" w:rsidP="00475B33">
            <w:pPr>
              <w:spacing w:line="240" w:lineRule="auto"/>
              <w:ind w:left="0" w:right="0"/>
            </w:pPr>
            <w:r>
              <w:t>Outcome</w:t>
            </w:r>
          </w:p>
        </w:tc>
        <w:tc>
          <w:tcPr>
            <w:tcW w:w="8004" w:type="dxa"/>
          </w:tcPr>
          <w:p w14:paraId="17898420" w14:textId="77777777" w:rsidR="00545C9F" w:rsidRPr="00EA6703" w:rsidRDefault="00545C9F" w:rsidP="00475B33">
            <w:pPr>
              <w:spacing w:line="240" w:lineRule="auto"/>
              <w:ind w:left="0" w:right="0"/>
            </w:pPr>
            <w:r w:rsidRPr="00EA6703">
              <w:t>Primary outcome was new vertebral fracture at 12 months and 24</w:t>
            </w:r>
            <w:r w:rsidR="00436BB4" w:rsidRPr="00EA6703">
              <w:t> </w:t>
            </w:r>
            <w:r w:rsidRPr="00EA6703">
              <w:t xml:space="preserve">months </w:t>
            </w:r>
          </w:p>
        </w:tc>
      </w:tr>
      <w:tr w:rsidR="00545C9F" w:rsidRPr="00B87FAE" w14:paraId="64A68FCF" w14:textId="77777777" w:rsidTr="00545C9F">
        <w:tc>
          <w:tcPr>
            <w:tcW w:w="1282" w:type="dxa"/>
          </w:tcPr>
          <w:p w14:paraId="0581CBD4" w14:textId="77777777" w:rsidR="00545C9F" w:rsidRDefault="00436BB4" w:rsidP="00475B33">
            <w:pPr>
              <w:spacing w:line="240" w:lineRule="auto"/>
              <w:ind w:left="0" w:right="0"/>
            </w:pPr>
            <w:r>
              <w:lastRenderedPageBreak/>
              <w:t>Baseline</w:t>
            </w:r>
          </w:p>
        </w:tc>
        <w:tc>
          <w:tcPr>
            <w:tcW w:w="8004" w:type="dxa"/>
          </w:tcPr>
          <w:p w14:paraId="5F7545E0" w14:textId="77777777" w:rsidR="00545C9F" w:rsidRPr="00EA6703" w:rsidRDefault="00545C9F" w:rsidP="00475B33">
            <w:pPr>
              <w:spacing w:line="240" w:lineRule="auto"/>
              <w:ind w:left="0" w:right="0"/>
            </w:pPr>
            <w:r w:rsidRPr="00EA6703">
              <w:t>7180 randomised. 89 % completed 12 month follow up, 84% 24 month follow up.</w:t>
            </w:r>
          </w:p>
          <w:p w14:paraId="3106959E" w14:textId="77777777" w:rsidR="00545C9F" w:rsidRPr="00EA6703" w:rsidRDefault="00545C9F" w:rsidP="00475B33">
            <w:pPr>
              <w:spacing w:line="240" w:lineRule="auto"/>
              <w:ind w:left="0" w:right="0"/>
            </w:pPr>
            <w:r w:rsidRPr="00EA6703">
              <w:t>Mean age 70.9 years (31% were &gt; 75 years). 40% had a history of fracture. Mean 10 year probability of fracture based on FRAX score was 13.4%. Only 6.8% had received previous treatment with osteoporotic medication at baseline, of these 4.9% were bisphosphonates</w:t>
            </w:r>
          </w:p>
        </w:tc>
      </w:tr>
      <w:tr w:rsidR="00545C9F" w14:paraId="300F53DA" w14:textId="77777777" w:rsidTr="00545C9F">
        <w:tc>
          <w:tcPr>
            <w:tcW w:w="1282" w:type="dxa"/>
          </w:tcPr>
          <w:p w14:paraId="64E7E7FE" w14:textId="77777777" w:rsidR="00545C9F" w:rsidRDefault="00436BB4" w:rsidP="00475B33">
            <w:pPr>
              <w:spacing w:line="240" w:lineRule="auto"/>
              <w:ind w:left="0" w:right="0"/>
            </w:pPr>
            <w:r>
              <w:t>Results</w:t>
            </w:r>
          </w:p>
        </w:tc>
        <w:tc>
          <w:tcPr>
            <w:tcW w:w="8004" w:type="dxa"/>
          </w:tcPr>
          <w:p w14:paraId="2FBBD56A" w14:textId="570CF7FD" w:rsidR="00545C9F" w:rsidRDefault="00696AC6" w:rsidP="00475B33">
            <w:pPr>
              <w:spacing w:line="240" w:lineRule="auto"/>
              <w:ind w:left="0" w:right="0"/>
              <w:rPr>
                <w:rFonts w:eastAsiaTheme="minorHAnsi" w:cs="Arial"/>
                <w:color w:val="000000"/>
              </w:rPr>
            </w:pPr>
            <w:r>
              <w:rPr>
                <w:rFonts w:eastAsiaTheme="minorHAnsi" w:cs="Arial"/>
                <w:color w:val="000000"/>
              </w:rPr>
              <w:t>Romosozumab</w:t>
            </w:r>
            <w:r w:rsidR="00545C9F" w:rsidRPr="000509B0">
              <w:rPr>
                <w:rFonts w:eastAsiaTheme="minorHAnsi" w:cs="Arial"/>
                <w:color w:val="000000"/>
              </w:rPr>
              <w:t xml:space="preserve"> significantly reduced the risk of new vertebral fractures compared with placebo through </w:t>
            </w:r>
            <w:r w:rsidR="00436BB4">
              <w:rPr>
                <w:rFonts w:eastAsiaTheme="minorHAnsi" w:cs="Arial"/>
                <w:color w:val="000000"/>
              </w:rPr>
              <w:t>M</w:t>
            </w:r>
            <w:r w:rsidR="00545C9F" w:rsidRPr="000509B0">
              <w:rPr>
                <w:rFonts w:eastAsiaTheme="minorHAnsi" w:cs="Arial"/>
                <w:color w:val="000000"/>
              </w:rPr>
              <w:t>onth 12 (romosozumab v</w:t>
            </w:r>
            <w:r w:rsidR="00436BB4">
              <w:rPr>
                <w:rFonts w:eastAsiaTheme="minorHAnsi" w:cs="Arial"/>
                <w:color w:val="000000"/>
              </w:rPr>
              <w:t>ersu</w:t>
            </w:r>
            <w:r w:rsidR="00545C9F" w:rsidRPr="000509B0">
              <w:rPr>
                <w:rFonts w:eastAsiaTheme="minorHAnsi" w:cs="Arial"/>
                <w:color w:val="000000"/>
              </w:rPr>
              <w:t>s placebo: 0.5% v</w:t>
            </w:r>
            <w:r w:rsidR="00436BB4">
              <w:rPr>
                <w:rFonts w:eastAsiaTheme="minorHAnsi" w:cs="Arial"/>
                <w:color w:val="000000"/>
              </w:rPr>
              <w:t>ersu</w:t>
            </w:r>
            <w:r w:rsidR="00545C9F" w:rsidRPr="000509B0">
              <w:rPr>
                <w:rFonts w:eastAsiaTheme="minorHAnsi" w:cs="Arial"/>
                <w:color w:val="000000"/>
              </w:rPr>
              <w:t>s 1.8%; odds ratio = 0.27, p &lt; 0.001), with an absolute risk reduction of 1.30% (95% CI: 0.79</w:t>
            </w:r>
            <w:r w:rsidR="00436BB4">
              <w:rPr>
                <w:rFonts w:eastAsiaTheme="minorHAnsi" w:cs="Arial"/>
                <w:color w:val="000000"/>
              </w:rPr>
              <w:t xml:space="preserve"> to</w:t>
            </w:r>
            <w:r w:rsidR="00545C9F" w:rsidRPr="000509B0">
              <w:rPr>
                <w:rFonts w:eastAsiaTheme="minorHAnsi" w:cs="Arial"/>
                <w:color w:val="000000"/>
              </w:rPr>
              <w:t>1.80) and a relative risk reduction of 73% (risk ratio = 0.27; 95% CI: 0.16</w:t>
            </w:r>
            <w:r w:rsidR="00436BB4">
              <w:rPr>
                <w:rFonts w:eastAsiaTheme="minorHAnsi" w:cs="Arial"/>
                <w:color w:val="000000"/>
              </w:rPr>
              <w:t xml:space="preserve"> to</w:t>
            </w:r>
            <w:r w:rsidR="00545C9F" w:rsidRPr="000509B0">
              <w:rPr>
                <w:rFonts w:eastAsiaTheme="minorHAnsi" w:cs="Arial"/>
                <w:color w:val="000000"/>
              </w:rPr>
              <w:t xml:space="preserve"> 0.47</w:t>
            </w:r>
            <w:r w:rsidR="00654353">
              <w:rPr>
                <w:rFonts w:eastAsiaTheme="minorHAnsi" w:cs="Arial"/>
                <w:color w:val="000000"/>
              </w:rPr>
              <w:t>)</w:t>
            </w:r>
            <w:r w:rsidR="00545C9F" w:rsidRPr="000509B0">
              <w:rPr>
                <w:rFonts w:eastAsiaTheme="minorHAnsi" w:cs="Arial"/>
                <w:color w:val="000000"/>
              </w:rPr>
              <w:t>. Vertebral fracture risk reduction was maintained over the 24</w:t>
            </w:r>
            <w:r w:rsidR="00436BB4">
              <w:rPr>
                <w:rFonts w:eastAsiaTheme="minorHAnsi" w:cs="Arial"/>
                <w:color w:val="000000"/>
              </w:rPr>
              <w:t xml:space="preserve"> </w:t>
            </w:r>
            <w:r w:rsidR="00545C9F" w:rsidRPr="000509B0">
              <w:rPr>
                <w:rFonts w:eastAsiaTheme="minorHAnsi" w:cs="Arial"/>
                <w:color w:val="000000"/>
              </w:rPr>
              <w:t>month study period for subjects</w:t>
            </w:r>
            <w:r w:rsidR="00545C9F">
              <w:rPr>
                <w:rFonts w:eastAsiaTheme="minorHAnsi" w:cs="Arial"/>
                <w:color w:val="000000"/>
              </w:rPr>
              <w:t xml:space="preserve"> </w:t>
            </w:r>
            <w:r w:rsidR="00545C9F" w:rsidRPr="000509B0">
              <w:rPr>
                <w:rFonts w:eastAsiaTheme="minorHAnsi" w:cs="Arial"/>
                <w:color w:val="000000"/>
              </w:rPr>
              <w:t>in the romosozumab/ denosumab compared with placebo/ denosumab (0.6% v</w:t>
            </w:r>
            <w:r w:rsidR="00436BB4">
              <w:rPr>
                <w:rFonts w:eastAsiaTheme="minorHAnsi" w:cs="Arial"/>
                <w:color w:val="000000"/>
              </w:rPr>
              <w:t>ersu</w:t>
            </w:r>
            <w:r w:rsidR="00545C9F" w:rsidRPr="000509B0">
              <w:rPr>
                <w:rFonts w:eastAsiaTheme="minorHAnsi" w:cs="Arial"/>
                <w:color w:val="000000"/>
              </w:rPr>
              <w:t>s 2.5%; odds ratio = 0.24, p &lt; 0.001), with an absolute risk reduction of 1.89% (1.30</w:t>
            </w:r>
            <w:r w:rsidR="00436BB4">
              <w:rPr>
                <w:rFonts w:eastAsiaTheme="minorHAnsi" w:cs="Arial"/>
                <w:color w:val="000000"/>
              </w:rPr>
              <w:t xml:space="preserve"> to </w:t>
            </w:r>
            <w:r w:rsidR="00545C9F" w:rsidRPr="000509B0">
              <w:rPr>
                <w:rFonts w:eastAsiaTheme="minorHAnsi" w:cs="Arial"/>
                <w:color w:val="000000"/>
              </w:rPr>
              <w:t xml:space="preserve">2.49) and a relative risk reduction of 75% (risk ratio = 0.25 </w:t>
            </w:r>
            <w:r w:rsidR="00654353">
              <w:rPr>
                <w:rFonts w:eastAsiaTheme="minorHAnsi" w:cs="Arial"/>
                <w:color w:val="000000"/>
              </w:rPr>
              <w:t>(</w:t>
            </w:r>
            <w:r w:rsidR="00545C9F" w:rsidRPr="000509B0">
              <w:rPr>
                <w:rFonts w:eastAsiaTheme="minorHAnsi" w:cs="Arial"/>
                <w:color w:val="000000"/>
              </w:rPr>
              <w:t>95% CI: 0.16</w:t>
            </w:r>
            <w:r w:rsidR="00436BB4">
              <w:rPr>
                <w:rFonts w:eastAsiaTheme="minorHAnsi" w:cs="Arial"/>
                <w:color w:val="000000"/>
              </w:rPr>
              <w:t xml:space="preserve"> to </w:t>
            </w:r>
            <w:r w:rsidR="00545C9F" w:rsidRPr="000509B0">
              <w:rPr>
                <w:rFonts w:eastAsiaTheme="minorHAnsi" w:cs="Arial"/>
                <w:color w:val="000000"/>
              </w:rPr>
              <w:t>0.40</w:t>
            </w:r>
            <w:r w:rsidR="00654353">
              <w:rPr>
                <w:rFonts w:eastAsiaTheme="minorHAnsi" w:cs="Arial"/>
                <w:color w:val="000000"/>
              </w:rPr>
              <w:t>)</w:t>
            </w:r>
            <w:r w:rsidR="003458DF">
              <w:rPr>
                <w:rFonts w:eastAsiaTheme="minorHAnsi" w:cs="Arial"/>
                <w:color w:val="000000"/>
              </w:rPr>
              <w:t>)</w:t>
            </w:r>
            <w:r w:rsidR="00545C9F">
              <w:rPr>
                <w:rFonts w:eastAsiaTheme="minorHAnsi" w:cs="Arial"/>
                <w:color w:val="000000"/>
              </w:rPr>
              <w:t>. The fracture risk reduction was observed using all fracture descriptors (clinical, non-vertebral, major non vert</w:t>
            </w:r>
            <w:r w:rsidR="004C75D3">
              <w:rPr>
                <w:rFonts w:eastAsiaTheme="minorHAnsi" w:cs="Arial"/>
                <w:color w:val="000000"/>
              </w:rPr>
              <w:t>ebral, hip, major osteoporotic)</w:t>
            </w:r>
            <w:r w:rsidR="00545C9F">
              <w:rPr>
                <w:rFonts w:eastAsiaTheme="minorHAnsi" w:cs="Arial"/>
                <w:color w:val="000000"/>
              </w:rPr>
              <w:t xml:space="preserve">, but this was only statistically significant when corrected for multiplicity for clinical fracture at 12 months. There was a significant improvement in </w:t>
            </w:r>
            <w:r w:rsidR="00881772">
              <w:rPr>
                <w:rFonts w:eastAsiaTheme="minorHAnsi" w:cs="Arial"/>
                <w:color w:val="000000"/>
              </w:rPr>
              <w:t>BMD</w:t>
            </w:r>
            <w:r w:rsidR="00545C9F">
              <w:rPr>
                <w:rFonts w:eastAsiaTheme="minorHAnsi" w:cs="Arial"/>
                <w:color w:val="000000"/>
              </w:rPr>
              <w:t xml:space="preserve"> (up to 14.4% at the lumbar spine and 6.6% at the hip at </w:t>
            </w:r>
            <w:r w:rsidR="00436BB4">
              <w:rPr>
                <w:rFonts w:eastAsiaTheme="minorHAnsi" w:cs="Arial"/>
                <w:color w:val="000000"/>
              </w:rPr>
              <w:t>M</w:t>
            </w:r>
            <w:r w:rsidR="00545C9F">
              <w:rPr>
                <w:rFonts w:eastAsiaTheme="minorHAnsi" w:cs="Arial"/>
                <w:color w:val="000000"/>
              </w:rPr>
              <w:t>onth 12</w:t>
            </w:r>
            <w:r w:rsidR="00A349BB">
              <w:rPr>
                <w:rFonts w:eastAsiaTheme="minorHAnsi" w:cs="Arial"/>
                <w:color w:val="000000"/>
              </w:rPr>
              <w:t>)</w:t>
            </w:r>
            <w:r w:rsidR="00C2628B">
              <w:rPr>
                <w:rFonts w:eastAsiaTheme="minorHAnsi" w:cs="Arial"/>
                <w:color w:val="000000"/>
              </w:rPr>
              <w:t>.</w:t>
            </w:r>
          </w:p>
          <w:p w14:paraId="53F70AB0" w14:textId="77777777" w:rsidR="00545C9F" w:rsidRDefault="00545C9F" w:rsidP="00475B33">
            <w:pPr>
              <w:spacing w:line="240" w:lineRule="auto"/>
              <w:ind w:left="0" w:right="0"/>
              <w:rPr>
                <w:rFonts w:eastAsiaTheme="minorHAnsi" w:cs="Arial"/>
                <w:color w:val="000000"/>
              </w:rPr>
            </w:pPr>
            <w:r>
              <w:rPr>
                <w:rFonts w:eastAsiaTheme="minorHAnsi" w:cs="Arial"/>
                <w:color w:val="000000"/>
              </w:rPr>
              <w:t>No changes to symptoms or quality of life.</w:t>
            </w:r>
          </w:p>
          <w:p w14:paraId="4761F135" w14:textId="77777777" w:rsidR="00C44BAA" w:rsidRDefault="00545C9F" w:rsidP="00475B33">
            <w:pPr>
              <w:spacing w:line="240" w:lineRule="auto"/>
              <w:ind w:left="0" w:right="0"/>
              <w:rPr>
                <w:rFonts w:eastAsiaTheme="minorHAnsi" w:cs="Arial"/>
                <w:color w:val="000000"/>
              </w:rPr>
            </w:pPr>
            <w:r>
              <w:rPr>
                <w:rFonts w:eastAsiaTheme="minorHAnsi" w:cs="Arial"/>
                <w:color w:val="000000"/>
              </w:rPr>
              <w:t xml:space="preserve">At </w:t>
            </w:r>
            <w:r w:rsidR="004C75D3">
              <w:rPr>
                <w:rFonts w:eastAsiaTheme="minorHAnsi" w:cs="Arial"/>
                <w:color w:val="000000"/>
              </w:rPr>
              <w:t>M</w:t>
            </w:r>
            <w:r>
              <w:rPr>
                <w:rFonts w:eastAsiaTheme="minorHAnsi" w:cs="Arial"/>
                <w:color w:val="000000"/>
              </w:rPr>
              <w:t>onth 36,</w:t>
            </w:r>
            <w:r w:rsidR="003F09E4">
              <w:rPr>
                <w:rFonts w:eastAsiaTheme="minorHAnsi" w:cs="Arial"/>
                <w:color w:val="000000"/>
              </w:rPr>
              <w:t xml:space="preserve"> </w:t>
            </w:r>
            <w:r>
              <w:rPr>
                <w:rFonts w:eastAsiaTheme="minorHAnsi" w:cs="Arial"/>
                <w:color w:val="000000"/>
              </w:rPr>
              <w:t>after 2 years of denosumab, the group previously treated with romosozumab had a reduced risk of vertebral fracture (</w:t>
            </w:r>
            <w:r w:rsidR="00436BB4">
              <w:rPr>
                <w:rFonts w:eastAsiaTheme="minorHAnsi" w:cs="Arial"/>
                <w:color w:val="000000"/>
              </w:rPr>
              <w:t xml:space="preserve">relative risk </w:t>
            </w:r>
            <w:r>
              <w:rPr>
                <w:rFonts w:eastAsiaTheme="minorHAnsi" w:cs="Arial"/>
                <w:color w:val="000000"/>
              </w:rPr>
              <w:t>0.3</w:t>
            </w:r>
            <w:r w:rsidR="00C2628B">
              <w:rPr>
                <w:rFonts w:eastAsiaTheme="minorHAnsi" w:cs="Arial"/>
                <w:color w:val="000000"/>
              </w:rPr>
              <w:t>4).</w:t>
            </w:r>
          </w:p>
          <w:p w14:paraId="136F4DFB" w14:textId="2B4BFA56" w:rsidR="00545C9F" w:rsidRDefault="00545C9F" w:rsidP="00475B33">
            <w:pPr>
              <w:spacing w:line="240" w:lineRule="auto"/>
              <w:ind w:left="0" w:right="0"/>
            </w:pPr>
            <w:r>
              <w:rPr>
                <w:rFonts w:eastAsiaTheme="minorHAnsi" w:cs="Arial"/>
                <w:color w:val="000000"/>
              </w:rPr>
              <w:t>There were no significant changes a</w:t>
            </w:r>
            <w:r w:rsidR="003458DF">
              <w:rPr>
                <w:rFonts w:eastAsiaTheme="minorHAnsi" w:cs="Arial"/>
                <w:color w:val="000000"/>
              </w:rPr>
              <w:t>t the radius when assessed by D</w:t>
            </w:r>
            <w:r>
              <w:rPr>
                <w:rFonts w:eastAsiaTheme="minorHAnsi" w:cs="Arial"/>
                <w:color w:val="000000"/>
              </w:rPr>
              <w:t xml:space="preserve">XA, </w:t>
            </w:r>
            <w:r w:rsidR="00EA6703">
              <w:rPr>
                <w:rFonts w:eastAsiaTheme="minorHAnsi" w:cs="Arial"/>
                <w:color w:val="000000"/>
              </w:rPr>
              <w:t>high resolution quantitative computed tomography</w:t>
            </w:r>
            <w:r w:rsidRPr="00EA6703">
              <w:rPr>
                <w:rFonts w:eastAsiaTheme="minorHAnsi" w:cs="Arial"/>
                <w:color w:val="000000"/>
              </w:rPr>
              <w:t xml:space="preserve"> or </w:t>
            </w:r>
            <w:r w:rsidR="00EA6703">
              <w:rPr>
                <w:rFonts w:eastAsiaTheme="minorHAnsi" w:cs="Arial"/>
                <w:color w:val="000000"/>
              </w:rPr>
              <w:t>finite element analysis</w:t>
            </w:r>
            <w:r>
              <w:rPr>
                <w:rFonts w:eastAsiaTheme="minorHAnsi" w:cs="Arial"/>
                <w:color w:val="000000"/>
              </w:rPr>
              <w:t xml:space="preserve"> (strength)</w:t>
            </w:r>
            <w:r w:rsidR="00C2628B">
              <w:rPr>
                <w:rFonts w:eastAsiaTheme="minorHAnsi" w:cs="Arial"/>
                <w:color w:val="000000"/>
              </w:rPr>
              <w:t>.</w:t>
            </w:r>
          </w:p>
        </w:tc>
      </w:tr>
    </w:tbl>
    <w:p w14:paraId="5710987A" w14:textId="43E03F4F" w:rsidR="00545C9F" w:rsidRDefault="005C6FAF" w:rsidP="00EA6703">
      <w:pPr>
        <w:pStyle w:val="TableTitle"/>
      </w:pPr>
      <w:r>
        <w:t>Table</w:t>
      </w:r>
      <w:r w:rsidR="008E3C6C">
        <w:t xml:space="preserve"> 29</w:t>
      </w:r>
      <w:r w:rsidR="00EA6703">
        <w:t>: Summary pivotal Phase III Study 20110142</w:t>
      </w:r>
      <w:r w:rsidR="008E3C6C">
        <w:t xml:space="preserve"> (ARCH</w:t>
      </w:r>
      <w:r w:rsidR="0016114C">
        <w:t xml:space="preserve"> trial</w:t>
      </w:r>
      <w:r w:rsidR="008E3C6C">
        <w:t>)</w:t>
      </w:r>
    </w:p>
    <w:tbl>
      <w:tblPr>
        <w:tblStyle w:val="TableTGAblue"/>
        <w:tblW w:w="0" w:type="auto"/>
        <w:tblLook w:val="04A0" w:firstRow="1" w:lastRow="0" w:firstColumn="1" w:lastColumn="0" w:noHBand="0" w:noVBand="1"/>
      </w:tblPr>
      <w:tblGrid>
        <w:gridCol w:w="1584"/>
        <w:gridCol w:w="7136"/>
      </w:tblGrid>
      <w:tr w:rsidR="005C6FAF" w14:paraId="1ADB4F7B" w14:textId="77777777" w:rsidTr="005C6FAF">
        <w:trPr>
          <w:cnfStyle w:val="100000000000" w:firstRow="1" w:lastRow="0" w:firstColumn="0" w:lastColumn="0" w:oddVBand="0" w:evenVBand="0" w:oddHBand="0" w:evenHBand="0" w:firstRowFirstColumn="0" w:firstRowLastColumn="0" w:lastRowFirstColumn="0" w:lastRowLastColumn="0"/>
        </w:trPr>
        <w:tc>
          <w:tcPr>
            <w:tcW w:w="8720" w:type="dxa"/>
            <w:gridSpan w:val="2"/>
          </w:tcPr>
          <w:p w14:paraId="32B668B2" w14:textId="0CE9835B" w:rsidR="005C6FAF" w:rsidRDefault="00475B33" w:rsidP="005C6FAF">
            <w:pPr>
              <w:rPr>
                <w:b w:val="0"/>
                <w:szCs w:val="22"/>
              </w:rPr>
            </w:pPr>
            <w:r>
              <w:rPr>
                <w:szCs w:val="22"/>
              </w:rPr>
              <w:t>Study</w:t>
            </w:r>
            <w:r w:rsidR="005C6FAF">
              <w:rPr>
                <w:szCs w:val="22"/>
              </w:rPr>
              <w:t xml:space="preserve"> </w:t>
            </w:r>
            <w:r w:rsidR="005C6FAF" w:rsidRPr="000509B0">
              <w:t>20110142</w:t>
            </w:r>
            <w:r>
              <w:t xml:space="preserve"> (</w:t>
            </w:r>
            <w:r>
              <w:rPr>
                <w:szCs w:val="22"/>
              </w:rPr>
              <w:t>ARCH</w:t>
            </w:r>
            <w:r w:rsidR="0016114C">
              <w:rPr>
                <w:szCs w:val="22"/>
              </w:rPr>
              <w:t xml:space="preserve"> trial</w:t>
            </w:r>
            <w:r>
              <w:rPr>
                <w:szCs w:val="22"/>
              </w:rPr>
              <w:t>)</w:t>
            </w:r>
          </w:p>
        </w:tc>
      </w:tr>
      <w:tr w:rsidR="005C6FAF" w:rsidRPr="00B87FAE" w14:paraId="1CFD9EC2" w14:textId="77777777" w:rsidTr="005C6FAF">
        <w:tc>
          <w:tcPr>
            <w:tcW w:w="1584" w:type="dxa"/>
          </w:tcPr>
          <w:p w14:paraId="6A84DADA" w14:textId="77777777" w:rsidR="005C6FAF" w:rsidRDefault="005C6FAF" w:rsidP="005C6FAF">
            <w:pPr>
              <w:rPr>
                <w:szCs w:val="22"/>
              </w:rPr>
            </w:pPr>
            <w:r>
              <w:rPr>
                <w:szCs w:val="22"/>
              </w:rPr>
              <w:t>Design</w:t>
            </w:r>
          </w:p>
        </w:tc>
        <w:tc>
          <w:tcPr>
            <w:tcW w:w="7136" w:type="dxa"/>
          </w:tcPr>
          <w:p w14:paraId="05CCCDBE" w14:textId="77777777" w:rsidR="005C6FAF" w:rsidRPr="00B87FAE" w:rsidRDefault="005C6FAF" w:rsidP="00436BB4">
            <w:pPr>
              <w:rPr>
                <w:szCs w:val="22"/>
              </w:rPr>
            </w:pPr>
            <w:r>
              <w:rPr>
                <w:szCs w:val="22"/>
              </w:rPr>
              <w:t xml:space="preserve">Phase </w:t>
            </w:r>
            <w:r w:rsidR="00436BB4">
              <w:rPr>
                <w:szCs w:val="22"/>
              </w:rPr>
              <w:t>III</w:t>
            </w:r>
            <w:r>
              <w:rPr>
                <w:szCs w:val="22"/>
              </w:rPr>
              <w:t xml:space="preserve"> global </w:t>
            </w:r>
            <w:r w:rsidR="00436BB4">
              <w:rPr>
                <w:szCs w:val="22"/>
              </w:rPr>
              <w:t>randomised controlled trial</w:t>
            </w:r>
          </w:p>
        </w:tc>
      </w:tr>
      <w:tr w:rsidR="005C6FAF" w:rsidRPr="00B87FAE" w14:paraId="501944DA" w14:textId="77777777" w:rsidTr="005C6FAF">
        <w:tc>
          <w:tcPr>
            <w:tcW w:w="1584" w:type="dxa"/>
          </w:tcPr>
          <w:p w14:paraId="48C03CD0" w14:textId="77777777" w:rsidR="005C6FAF" w:rsidRDefault="005C6FAF" w:rsidP="005C6FAF">
            <w:pPr>
              <w:rPr>
                <w:szCs w:val="22"/>
              </w:rPr>
            </w:pPr>
            <w:r>
              <w:rPr>
                <w:szCs w:val="22"/>
              </w:rPr>
              <w:t>Population</w:t>
            </w:r>
          </w:p>
        </w:tc>
        <w:tc>
          <w:tcPr>
            <w:tcW w:w="7136" w:type="dxa"/>
          </w:tcPr>
          <w:p w14:paraId="11E9C438" w14:textId="77777777" w:rsidR="005C6FAF" w:rsidRPr="00B87FAE" w:rsidRDefault="00871B36" w:rsidP="00871B36">
            <w:pPr>
              <w:rPr>
                <w:szCs w:val="22"/>
              </w:rPr>
            </w:pPr>
            <w:r>
              <w:rPr>
                <w:szCs w:val="22"/>
              </w:rPr>
              <w:t>Post-menopausal osteoporosis.</w:t>
            </w:r>
          </w:p>
        </w:tc>
      </w:tr>
      <w:tr w:rsidR="005C6FAF" w:rsidRPr="00B87FAE" w14:paraId="260B2720" w14:textId="77777777" w:rsidTr="005C6FAF">
        <w:tc>
          <w:tcPr>
            <w:tcW w:w="1584" w:type="dxa"/>
          </w:tcPr>
          <w:p w14:paraId="747334FC" w14:textId="77777777" w:rsidR="005C6FAF" w:rsidRDefault="005C6FAF" w:rsidP="005C6FAF">
            <w:pPr>
              <w:rPr>
                <w:szCs w:val="22"/>
              </w:rPr>
            </w:pPr>
            <w:r>
              <w:rPr>
                <w:szCs w:val="22"/>
              </w:rPr>
              <w:t>Treatment</w:t>
            </w:r>
          </w:p>
        </w:tc>
        <w:tc>
          <w:tcPr>
            <w:tcW w:w="7136" w:type="dxa"/>
          </w:tcPr>
          <w:p w14:paraId="02C4A6EE" w14:textId="77777777" w:rsidR="005C6FAF" w:rsidRDefault="00696AC6" w:rsidP="005C6FAF">
            <w:pPr>
              <w:rPr>
                <w:szCs w:val="22"/>
              </w:rPr>
            </w:pPr>
            <w:r>
              <w:rPr>
                <w:szCs w:val="22"/>
              </w:rPr>
              <w:t>Romosozumab</w:t>
            </w:r>
            <w:r w:rsidR="005C6FAF">
              <w:rPr>
                <w:szCs w:val="22"/>
              </w:rPr>
              <w:t xml:space="preserve"> 210</w:t>
            </w:r>
            <w:r w:rsidR="00436BB4">
              <w:rPr>
                <w:szCs w:val="22"/>
              </w:rPr>
              <w:t xml:space="preserve"> </w:t>
            </w:r>
            <w:r w:rsidR="005C6FAF">
              <w:rPr>
                <w:szCs w:val="22"/>
              </w:rPr>
              <w:t>mg monthly</w:t>
            </w:r>
            <w:r w:rsidR="003F09E4">
              <w:rPr>
                <w:szCs w:val="22"/>
              </w:rPr>
              <w:t xml:space="preserve"> </w:t>
            </w:r>
            <w:r w:rsidR="005C6FAF">
              <w:rPr>
                <w:szCs w:val="22"/>
              </w:rPr>
              <w:t>for 12 months, followed by open label alendronate 70</w:t>
            </w:r>
            <w:r w:rsidR="00436BB4">
              <w:rPr>
                <w:szCs w:val="22"/>
              </w:rPr>
              <w:t xml:space="preserve"> </w:t>
            </w:r>
            <w:r w:rsidR="005C6FAF">
              <w:rPr>
                <w:szCs w:val="22"/>
              </w:rPr>
              <w:t>mg weekly for 12 months.</w:t>
            </w:r>
          </w:p>
          <w:p w14:paraId="4D44A3D8" w14:textId="24BA0004" w:rsidR="005C6FAF" w:rsidRDefault="005C6FAF" w:rsidP="005C6FAF">
            <w:pPr>
              <w:rPr>
                <w:szCs w:val="22"/>
              </w:rPr>
            </w:pPr>
            <w:r w:rsidRPr="00061223">
              <w:rPr>
                <w:szCs w:val="22"/>
              </w:rPr>
              <w:t>Compared to alendronate</w:t>
            </w:r>
            <w:r>
              <w:rPr>
                <w:szCs w:val="22"/>
              </w:rPr>
              <w:t xml:space="preserve"> 70</w:t>
            </w:r>
            <w:r w:rsidR="00436BB4">
              <w:rPr>
                <w:szCs w:val="22"/>
              </w:rPr>
              <w:t xml:space="preserve"> </w:t>
            </w:r>
            <w:r>
              <w:rPr>
                <w:szCs w:val="22"/>
              </w:rPr>
              <w:t>mg weekly</w:t>
            </w:r>
          </w:p>
          <w:p w14:paraId="5D4E75D4" w14:textId="77777777" w:rsidR="005C6FAF" w:rsidRPr="00B87FAE" w:rsidRDefault="005C6FAF" w:rsidP="005C6FAF">
            <w:pPr>
              <w:rPr>
                <w:szCs w:val="22"/>
              </w:rPr>
            </w:pPr>
            <w:r>
              <w:rPr>
                <w:szCs w:val="22"/>
              </w:rPr>
              <w:t>All patients also received calcium and vitamin D</w:t>
            </w:r>
          </w:p>
        </w:tc>
      </w:tr>
      <w:tr w:rsidR="005C6FAF" w:rsidRPr="00B87FAE" w14:paraId="0AB3568D" w14:textId="77777777" w:rsidTr="005C6FAF">
        <w:tc>
          <w:tcPr>
            <w:tcW w:w="1584" w:type="dxa"/>
          </w:tcPr>
          <w:p w14:paraId="14E8B9B0" w14:textId="77777777" w:rsidR="005C6FAF" w:rsidRDefault="005C6FAF" w:rsidP="005C6FAF">
            <w:pPr>
              <w:rPr>
                <w:szCs w:val="22"/>
              </w:rPr>
            </w:pPr>
            <w:r>
              <w:rPr>
                <w:szCs w:val="22"/>
              </w:rPr>
              <w:t>Outcome</w:t>
            </w:r>
          </w:p>
        </w:tc>
        <w:tc>
          <w:tcPr>
            <w:tcW w:w="7136" w:type="dxa"/>
          </w:tcPr>
          <w:p w14:paraId="3F285E38" w14:textId="461DC664" w:rsidR="005C6FAF" w:rsidRPr="00B87FAE" w:rsidRDefault="005C6FAF" w:rsidP="005C6FAF">
            <w:pPr>
              <w:rPr>
                <w:szCs w:val="22"/>
              </w:rPr>
            </w:pPr>
            <w:r>
              <w:rPr>
                <w:szCs w:val="22"/>
              </w:rPr>
              <w:t xml:space="preserve">Clinical </w:t>
            </w:r>
            <w:r w:rsidR="0016114C">
              <w:rPr>
                <w:szCs w:val="22"/>
              </w:rPr>
              <w:t>f</w:t>
            </w:r>
            <w:r>
              <w:rPr>
                <w:szCs w:val="22"/>
              </w:rPr>
              <w:t>racture at 12 and 24 months</w:t>
            </w:r>
          </w:p>
        </w:tc>
      </w:tr>
      <w:tr w:rsidR="005C6FAF" w:rsidRPr="00B87FAE" w14:paraId="591EE50F" w14:textId="77777777" w:rsidTr="005C6FAF">
        <w:tc>
          <w:tcPr>
            <w:tcW w:w="1584" w:type="dxa"/>
          </w:tcPr>
          <w:p w14:paraId="1D0C0849" w14:textId="77777777" w:rsidR="005C6FAF" w:rsidRDefault="00436BB4" w:rsidP="005C6FAF">
            <w:pPr>
              <w:rPr>
                <w:szCs w:val="22"/>
              </w:rPr>
            </w:pPr>
            <w:r>
              <w:rPr>
                <w:szCs w:val="22"/>
              </w:rPr>
              <w:t>Baseline</w:t>
            </w:r>
          </w:p>
        </w:tc>
        <w:tc>
          <w:tcPr>
            <w:tcW w:w="7136" w:type="dxa"/>
          </w:tcPr>
          <w:p w14:paraId="71A6A0AC" w14:textId="77777777" w:rsidR="005C6FAF" w:rsidRDefault="005C6FAF" w:rsidP="005C6FAF">
            <w:pPr>
              <w:rPr>
                <w:szCs w:val="22"/>
              </w:rPr>
            </w:pPr>
            <w:r>
              <w:rPr>
                <w:szCs w:val="22"/>
              </w:rPr>
              <w:t>4093 were randomised, 89.3% completed 12 months and 77% completed 24 months.</w:t>
            </w:r>
          </w:p>
          <w:p w14:paraId="206EE39E" w14:textId="77777777" w:rsidR="005C6FAF" w:rsidRPr="00B87FAE" w:rsidRDefault="005C6FAF" w:rsidP="005C6FAF">
            <w:pPr>
              <w:rPr>
                <w:szCs w:val="22"/>
              </w:rPr>
            </w:pPr>
            <w:r>
              <w:rPr>
                <w:szCs w:val="22"/>
              </w:rPr>
              <w:t xml:space="preserve">Mean age was 74.3 years, 52.4% were &gt; 75 years. 99% had a prior osteoporotic fracture. The mean 10 year probability of major </w:t>
            </w:r>
            <w:r>
              <w:rPr>
                <w:szCs w:val="22"/>
              </w:rPr>
              <w:lastRenderedPageBreak/>
              <w:t>osteoporotic fracture was 20.1%. The use of prior osteoporotic medication was reported by 9%</w:t>
            </w:r>
            <w:r w:rsidR="00C2628B">
              <w:rPr>
                <w:szCs w:val="22"/>
              </w:rPr>
              <w:t>.</w:t>
            </w:r>
          </w:p>
        </w:tc>
      </w:tr>
      <w:tr w:rsidR="005C6FAF" w14:paraId="66004EE9" w14:textId="77777777" w:rsidTr="005C6FAF">
        <w:tc>
          <w:tcPr>
            <w:tcW w:w="1584" w:type="dxa"/>
          </w:tcPr>
          <w:p w14:paraId="1146674A" w14:textId="77777777" w:rsidR="005C6FAF" w:rsidRDefault="00436BB4" w:rsidP="005C6FAF">
            <w:pPr>
              <w:rPr>
                <w:szCs w:val="22"/>
              </w:rPr>
            </w:pPr>
            <w:r>
              <w:rPr>
                <w:szCs w:val="22"/>
              </w:rPr>
              <w:lastRenderedPageBreak/>
              <w:t>Results</w:t>
            </w:r>
          </w:p>
        </w:tc>
        <w:tc>
          <w:tcPr>
            <w:tcW w:w="7136" w:type="dxa"/>
          </w:tcPr>
          <w:p w14:paraId="54F53881" w14:textId="1F2DE74A" w:rsidR="005C6FAF" w:rsidRDefault="00696AC6" w:rsidP="005C6FAF">
            <w:pPr>
              <w:rPr>
                <w:rFonts w:eastAsiaTheme="minorHAnsi" w:cs="Arial"/>
              </w:rPr>
            </w:pPr>
            <w:r>
              <w:rPr>
                <w:rFonts w:eastAsiaTheme="minorHAnsi" w:cs="Arial"/>
              </w:rPr>
              <w:t>Romosozumab</w:t>
            </w:r>
            <w:r w:rsidR="005C6FAF" w:rsidRPr="000509B0">
              <w:rPr>
                <w:rFonts w:eastAsiaTheme="minorHAnsi" w:cs="Arial"/>
              </w:rPr>
              <w:t xml:space="preserve"> 210 mg </w:t>
            </w:r>
            <w:r w:rsidR="004A189B">
              <w:rPr>
                <w:rFonts w:eastAsiaTheme="minorHAnsi" w:cs="Arial"/>
              </w:rPr>
              <w:t>monthly</w:t>
            </w:r>
            <w:r w:rsidR="005C6FAF" w:rsidRPr="000509B0">
              <w:rPr>
                <w:rFonts w:eastAsiaTheme="minorHAnsi" w:cs="Arial"/>
              </w:rPr>
              <w:t xml:space="preserve"> for 12 months followed by alendronate 70 mg </w:t>
            </w:r>
            <w:r w:rsidR="00436BB4">
              <w:rPr>
                <w:rFonts w:eastAsiaTheme="minorHAnsi" w:cs="Arial"/>
              </w:rPr>
              <w:t>once weekly</w:t>
            </w:r>
            <w:r w:rsidR="005C6FAF" w:rsidRPr="000509B0">
              <w:rPr>
                <w:rFonts w:eastAsiaTheme="minorHAnsi" w:cs="Arial"/>
              </w:rPr>
              <w:t xml:space="preserve"> for 12 months significantly reduced the risk of new vertebral fracture by 50% compared with alendronate alone (romosozumab/ alendronate v</w:t>
            </w:r>
            <w:r w:rsidR="00436BB4">
              <w:rPr>
                <w:rFonts w:eastAsiaTheme="minorHAnsi" w:cs="Arial"/>
              </w:rPr>
              <w:t>ersu</w:t>
            </w:r>
            <w:r w:rsidR="005C6FAF" w:rsidRPr="000509B0">
              <w:rPr>
                <w:rFonts w:eastAsiaTheme="minorHAnsi" w:cs="Arial"/>
              </w:rPr>
              <w:t>s alendronate/alendronate: 74</w:t>
            </w:r>
            <w:r w:rsidR="00436BB4">
              <w:rPr>
                <w:rFonts w:eastAsiaTheme="minorHAnsi" w:cs="Arial"/>
              </w:rPr>
              <w:t xml:space="preserve"> of </w:t>
            </w:r>
            <w:r w:rsidR="005C6FAF" w:rsidRPr="000509B0">
              <w:rPr>
                <w:rFonts w:eastAsiaTheme="minorHAnsi" w:cs="Arial"/>
              </w:rPr>
              <w:t>1825, 4.1% v</w:t>
            </w:r>
            <w:r w:rsidR="00436BB4">
              <w:rPr>
                <w:rFonts w:eastAsiaTheme="minorHAnsi" w:cs="Arial"/>
              </w:rPr>
              <w:t>ersu</w:t>
            </w:r>
            <w:r w:rsidR="005C6FAF" w:rsidRPr="000509B0">
              <w:rPr>
                <w:rFonts w:eastAsiaTheme="minorHAnsi" w:cs="Arial"/>
              </w:rPr>
              <w:t>s 147</w:t>
            </w:r>
            <w:r w:rsidR="00436BB4">
              <w:rPr>
                <w:rFonts w:eastAsiaTheme="minorHAnsi" w:cs="Arial"/>
              </w:rPr>
              <w:t xml:space="preserve"> of </w:t>
            </w:r>
            <w:r w:rsidR="005C6FAF" w:rsidRPr="000509B0">
              <w:rPr>
                <w:rFonts w:eastAsiaTheme="minorHAnsi" w:cs="Arial"/>
              </w:rPr>
              <w:t>1834, 8%;</w:t>
            </w:r>
            <w:r w:rsidR="003F09E4">
              <w:rPr>
                <w:rFonts w:eastAsiaTheme="minorHAnsi" w:cs="Arial"/>
              </w:rPr>
              <w:t xml:space="preserve"> </w:t>
            </w:r>
            <w:r w:rsidR="005C6FAF" w:rsidRPr="000509B0">
              <w:rPr>
                <w:rFonts w:eastAsiaTheme="minorHAnsi" w:cs="Arial"/>
              </w:rPr>
              <w:t>odds ratio = 0.48; 95% CI: 0.36</w:t>
            </w:r>
            <w:r w:rsidR="00436BB4">
              <w:rPr>
                <w:rFonts w:eastAsiaTheme="minorHAnsi" w:cs="Arial"/>
              </w:rPr>
              <w:t xml:space="preserve"> to</w:t>
            </w:r>
            <w:r w:rsidR="008D74BF">
              <w:rPr>
                <w:rFonts w:eastAsiaTheme="minorHAnsi" w:cs="Arial"/>
              </w:rPr>
              <w:t xml:space="preserve"> </w:t>
            </w:r>
            <w:r w:rsidR="005C6FAF" w:rsidRPr="000509B0">
              <w:rPr>
                <w:rFonts w:eastAsiaTheme="minorHAnsi" w:cs="Arial"/>
              </w:rPr>
              <w:t>0.64;</w:t>
            </w:r>
            <w:r w:rsidR="00436BB4">
              <w:rPr>
                <w:rFonts w:eastAsiaTheme="minorHAnsi" w:cs="Arial"/>
              </w:rPr>
              <w:t xml:space="preserve"> </w:t>
            </w:r>
            <w:r w:rsidR="00881772">
              <w:rPr>
                <w:rFonts w:eastAsiaTheme="minorHAnsi" w:cs="Arial"/>
              </w:rPr>
              <w:t>adjusted p &lt; 0.001).</w:t>
            </w:r>
          </w:p>
          <w:p w14:paraId="5E8596A9" w14:textId="77777777" w:rsidR="008D74BF" w:rsidRDefault="005C6FAF" w:rsidP="005C6FAF">
            <w:pPr>
              <w:rPr>
                <w:rFonts w:eastAsiaTheme="minorHAnsi" w:cs="Arial"/>
                <w:color w:val="000000"/>
              </w:rPr>
            </w:pPr>
            <w:r>
              <w:rPr>
                <w:rFonts w:eastAsiaTheme="minorHAnsi" w:cs="Arial"/>
                <w:color w:val="000000"/>
              </w:rPr>
              <w:t>There was also a</w:t>
            </w:r>
            <w:r w:rsidRPr="00E05970">
              <w:rPr>
                <w:rFonts w:eastAsiaTheme="minorHAnsi" w:cs="Arial"/>
                <w:color w:val="000000"/>
              </w:rPr>
              <w:t xml:space="preserve"> significant reduc</w:t>
            </w:r>
            <w:r>
              <w:rPr>
                <w:rFonts w:eastAsiaTheme="minorHAnsi" w:cs="Arial"/>
                <w:color w:val="000000"/>
              </w:rPr>
              <w:t>tion in</w:t>
            </w:r>
            <w:r w:rsidRPr="00E05970">
              <w:rPr>
                <w:rFonts w:eastAsiaTheme="minorHAnsi" w:cs="Arial"/>
                <w:color w:val="000000"/>
              </w:rPr>
              <w:t xml:space="preserve"> the risk of clinical fractures (non</w:t>
            </w:r>
            <w:r>
              <w:rPr>
                <w:rFonts w:eastAsiaTheme="minorHAnsi" w:cs="Arial"/>
                <w:color w:val="000000"/>
              </w:rPr>
              <w:t>-</w:t>
            </w:r>
            <w:r w:rsidRPr="00E05970">
              <w:rPr>
                <w:rFonts w:eastAsiaTheme="minorHAnsi" w:cs="Arial"/>
                <w:color w:val="000000"/>
              </w:rPr>
              <w:t>vertebral fracture and clinical vertebral fracture) by 27% compared with alendronate alone (</w:t>
            </w:r>
            <w:r w:rsidRPr="00E05970">
              <w:rPr>
                <w:rFonts w:eastAsiaTheme="minorHAnsi" w:cs="Arial"/>
              </w:rPr>
              <w:t>romosozumab/ alendronate v</w:t>
            </w:r>
            <w:r w:rsidR="00436BB4">
              <w:rPr>
                <w:rFonts w:eastAsiaTheme="minorHAnsi" w:cs="Arial"/>
              </w:rPr>
              <w:t>ersu</w:t>
            </w:r>
            <w:r w:rsidRPr="00E05970">
              <w:rPr>
                <w:rFonts w:eastAsiaTheme="minorHAnsi" w:cs="Arial"/>
              </w:rPr>
              <w:t>s alendronate/alendronate: 198</w:t>
            </w:r>
            <w:r w:rsidR="00436BB4">
              <w:rPr>
                <w:rFonts w:eastAsiaTheme="minorHAnsi" w:cs="Arial"/>
              </w:rPr>
              <w:t xml:space="preserve"> of </w:t>
            </w:r>
            <w:r w:rsidRPr="00E05970">
              <w:rPr>
                <w:rFonts w:eastAsiaTheme="minorHAnsi" w:cs="Arial"/>
              </w:rPr>
              <w:t>2046, 9.7% v</w:t>
            </w:r>
            <w:r w:rsidR="00436BB4">
              <w:rPr>
                <w:rFonts w:eastAsiaTheme="minorHAnsi" w:cs="Arial"/>
              </w:rPr>
              <w:t>ersu</w:t>
            </w:r>
            <w:r w:rsidRPr="00E05970">
              <w:rPr>
                <w:rFonts w:eastAsiaTheme="minorHAnsi" w:cs="Arial"/>
              </w:rPr>
              <w:t>s 266</w:t>
            </w:r>
            <w:r w:rsidR="00436BB4">
              <w:rPr>
                <w:rFonts w:eastAsiaTheme="minorHAnsi" w:cs="Arial"/>
              </w:rPr>
              <w:t xml:space="preserve"> of </w:t>
            </w:r>
            <w:r w:rsidRPr="00E05970">
              <w:rPr>
                <w:rFonts w:eastAsiaTheme="minorHAnsi" w:cs="Arial"/>
              </w:rPr>
              <w:t>2047, 13%;</w:t>
            </w:r>
            <w:r w:rsidR="003F09E4">
              <w:rPr>
                <w:rFonts w:eastAsiaTheme="minorHAnsi" w:cs="Arial"/>
              </w:rPr>
              <w:t xml:space="preserve"> </w:t>
            </w:r>
            <w:r w:rsidR="00436BB4">
              <w:rPr>
                <w:rFonts w:eastAsiaTheme="minorHAnsi" w:cs="Arial"/>
              </w:rPr>
              <w:t>Hazard ratio</w:t>
            </w:r>
            <w:r w:rsidRPr="00E05970">
              <w:rPr>
                <w:rFonts w:eastAsiaTheme="minorHAnsi" w:cs="Arial"/>
              </w:rPr>
              <w:t xml:space="preserve"> = 0.73; 95% CI: 0.61</w:t>
            </w:r>
            <w:r w:rsidR="00436BB4">
              <w:rPr>
                <w:rFonts w:eastAsiaTheme="minorHAnsi" w:cs="Arial"/>
              </w:rPr>
              <w:t xml:space="preserve"> to</w:t>
            </w:r>
            <w:r w:rsidRPr="00E05970">
              <w:rPr>
                <w:rFonts w:eastAsiaTheme="minorHAnsi" w:cs="Arial"/>
              </w:rPr>
              <w:t xml:space="preserve"> 0.88, </w:t>
            </w:r>
            <w:r w:rsidRPr="00E05970">
              <w:rPr>
                <w:rFonts w:eastAsiaTheme="minorHAnsi" w:cs="Arial"/>
                <w:color w:val="000000"/>
              </w:rPr>
              <w:t>adjusted p</w:t>
            </w:r>
            <w:r w:rsidR="00FF54C9">
              <w:rPr>
                <w:rFonts w:eastAsiaTheme="minorHAnsi" w:cs="Arial"/>
                <w:color w:val="000000"/>
              </w:rPr>
              <w:t> </w:t>
            </w:r>
            <w:r w:rsidRPr="00E05970">
              <w:rPr>
                <w:rFonts w:eastAsiaTheme="minorHAnsi" w:cs="Arial"/>
                <w:color w:val="000000"/>
              </w:rPr>
              <w:t>&lt;</w:t>
            </w:r>
            <w:r w:rsidR="00FF54C9">
              <w:rPr>
                <w:rFonts w:eastAsiaTheme="minorHAnsi" w:cs="Arial"/>
                <w:color w:val="000000"/>
              </w:rPr>
              <w:t> </w:t>
            </w:r>
            <w:r w:rsidRPr="00E05970">
              <w:rPr>
                <w:rFonts w:eastAsiaTheme="minorHAnsi" w:cs="Arial"/>
                <w:color w:val="000000"/>
              </w:rPr>
              <w:t>0.001)</w:t>
            </w:r>
            <w:r w:rsidR="008D74BF">
              <w:rPr>
                <w:rFonts w:eastAsiaTheme="minorHAnsi" w:cs="Arial"/>
                <w:color w:val="000000"/>
              </w:rPr>
              <w:t>.</w:t>
            </w:r>
          </w:p>
          <w:p w14:paraId="45F1BD84" w14:textId="733F1954" w:rsidR="005C6FAF" w:rsidRPr="00FF54C9" w:rsidRDefault="00871B36" w:rsidP="00881772">
            <w:pPr>
              <w:rPr>
                <w:rFonts w:eastAsiaTheme="minorHAnsi" w:cs="Arial"/>
                <w:color w:val="000000"/>
              </w:rPr>
            </w:pPr>
            <w:r>
              <w:rPr>
                <w:rFonts w:eastAsiaTheme="minorHAnsi" w:cs="Arial"/>
              </w:rPr>
              <w:t>R</w:t>
            </w:r>
            <w:r w:rsidR="00086452">
              <w:rPr>
                <w:rFonts w:eastAsiaTheme="minorHAnsi" w:cs="Arial"/>
              </w:rPr>
              <w:t>omosozumab</w:t>
            </w:r>
            <w:r w:rsidR="005C6FAF" w:rsidRPr="000509B0">
              <w:rPr>
                <w:rFonts w:eastAsiaTheme="minorHAnsi" w:cs="Arial"/>
              </w:rPr>
              <w:t xml:space="preserve"> 210 mg </w:t>
            </w:r>
            <w:r w:rsidR="004A189B">
              <w:rPr>
                <w:rFonts w:eastAsiaTheme="minorHAnsi" w:cs="Arial"/>
              </w:rPr>
              <w:t>monthly</w:t>
            </w:r>
            <w:r w:rsidR="005C6FAF" w:rsidRPr="000509B0">
              <w:rPr>
                <w:rFonts w:eastAsiaTheme="minorHAnsi" w:cs="Arial"/>
              </w:rPr>
              <w:t xml:space="preserve"> for 12 months followed by alendronate 70 mg</w:t>
            </w:r>
            <w:r w:rsidR="008D74BF">
              <w:rPr>
                <w:rFonts w:eastAsiaTheme="minorHAnsi" w:cs="Arial"/>
              </w:rPr>
              <w:t xml:space="preserve"> </w:t>
            </w:r>
            <w:r w:rsidR="00436BB4">
              <w:rPr>
                <w:rFonts w:eastAsiaTheme="minorHAnsi" w:cs="Arial"/>
              </w:rPr>
              <w:t>once weekly</w:t>
            </w:r>
            <w:r w:rsidR="005C6FAF" w:rsidRPr="000509B0">
              <w:rPr>
                <w:rFonts w:eastAsiaTheme="minorHAnsi" w:cs="Arial"/>
              </w:rPr>
              <w:t xml:space="preserve"> through the primary analysis significantly reduced the risk of non</w:t>
            </w:r>
            <w:r w:rsidR="005C6FAF">
              <w:rPr>
                <w:rFonts w:eastAsiaTheme="minorHAnsi" w:cs="Arial"/>
              </w:rPr>
              <w:t>-</w:t>
            </w:r>
            <w:r w:rsidR="005C6FAF" w:rsidRPr="000509B0">
              <w:rPr>
                <w:rFonts w:eastAsiaTheme="minorHAnsi" w:cs="Arial"/>
              </w:rPr>
              <w:t>vertebral fractures by 19%</w:t>
            </w:r>
            <w:r w:rsidR="003F09E4">
              <w:rPr>
                <w:rFonts w:eastAsiaTheme="minorHAnsi" w:cs="Arial"/>
              </w:rPr>
              <w:t xml:space="preserve"> </w:t>
            </w:r>
            <w:r w:rsidR="005C6FAF" w:rsidRPr="000509B0">
              <w:rPr>
                <w:rFonts w:eastAsiaTheme="minorHAnsi" w:cs="Arial"/>
              </w:rPr>
              <w:t>(</w:t>
            </w:r>
            <w:r w:rsidR="005C6FAF" w:rsidRPr="000509B0">
              <w:rPr>
                <w:rFonts w:eastAsiaTheme="minorHAnsi" w:cs="Arial"/>
                <w:color w:val="000000"/>
              </w:rPr>
              <w:t>romosozumab/alendronate: 178</w:t>
            </w:r>
            <w:r w:rsidR="00436BB4">
              <w:rPr>
                <w:rFonts w:eastAsiaTheme="minorHAnsi" w:cs="Arial"/>
                <w:color w:val="000000"/>
              </w:rPr>
              <w:t xml:space="preserve"> of </w:t>
            </w:r>
            <w:r w:rsidR="005C6FAF" w:rsidRPr="000509B0">
              <w:rPr>
                <w:rFonts w:eastAsiaTheme="minorHAnsi" w:cs="Arial"/>
                <w:color w:val="000000"/>
              </w:rPr>
              <w:t>2046, 8.7% v</w:t>
            </w:r>
            <w:r w:rsidR="00436BB4">
              <w:rPr>
                <w:rFonts w:eastAsiaTheme="minorHAnsi" w:cs="Arial"/>
                <w:color w:val="000000"/>
              </w:rPr>
              <w:t>ersu</w:t>
            </w:r>
            <w:r w:rsidR="005C6FAF" w:rsidRPr="000509B0">
              <w:rPr>
                <w:rFonts w:eastAsiaTheme="minorHAnsi" w:cs="Arial"/>
                <w:color w:val="000000"/>
              </w:rPr>
              <w:t>s alendronate/alendronate: 217</w:t>
            </w:r>
            <w:r w:rsidR="00436BB4">
              <w:rPr>
                <w:rFonts w:eastAsiaTheme="minorHAnsi" w:cs="Arial"/>
                <w:color w:val="000000"/>
              </w:rPr>
              <w:t xml:space="preserve"> of </w:t>
            </w:r>
            <w:r w:rsidR="005C6FAF" w:rsidRPr="000509B0">
              <w:rPr>
                <w:rFonts w:eastAsiaTheme="minorHAnsi" w:cs="Arial"/>
                <w:color w:val="000000"/>
              </w:rPr>
              <w:t xml:space="preserve">2047, 10.6%; </w:t>
            </w:r>
            <w:r w:rsidR="00FF54C9">
              <w:rPr>
                <w:rFonts w:eastAsiaTheme="minorHAnsi" w:cs="Arial"/>
                <w:color w:val="000000"/>
              </w:rPr>
              <w:t xml:space="preserve">Hazard ratio </w:t>
            </w:r>
            <w:r w:rsidR="005C6FAF" w:rsidRPr="000509B0">
              <w:rPr>
                <w:rFonts w:eastAsiaTheme="minorHAnsi" w:cs="Arial"/>
                <w:color w:val="000000"/>
              </w:rPr>
              <w:t>=</w:t>
            </w:r>
            <w:r w:rsidR="00FF54C9">
              <w:rPr>
                <w:rFonts w:eastAsiaTheme="minorHAnsi" w:cs="Arial"/>
                <w:color w:val="000000"/>
              </w:rPr>
              <w:t xml:space="preserve"> </w:t>
            </w:r>
            <w:r w:rsidR="005C6FAF" w:rsidRPr="000509B0">
              <w:rPr>
                <w:rFonts w:eastAsiaTheme="minorHAnsi" w:cs="Arial"/>
                <w:color w:val="000000"/>
              </w:rPr>
              <w:t>0.81, 95% CI: 0.66</w:t>
            </w:r>
            <w:r w:rsidR="00FF54C9">
              <w:rPr>
                <w:rFonts w:eastAsiaTheme="minorHAnsi" w:cs="Arial"/>
                <w:color w:val="000000"/>
              </w:rPr>
              <w:t xml:space="preserve"> to </w:t>
            </w:r>
            <w:r w:rsidR="005C6FAF" w:rsidRPr="000509B0">
              <w:rPr>
                <w:rFonts w:eastAsiaTheme="minorHAnsi" w:cs="Arial"/>
                <w:color w:val="000000"/>
              </w:rPr>
              <w:t>0.99; 2-sided adjusted p =</w:t>
            </w:r>
            <w:r w:rsidR="00FF54C9">
              <w:rPr>
                <w:rFonts w:eastAsiaTheme="minorHAnsi" w:cs="Arial"/>
                <w:color w:val="000000"/>
              </w:rPr>
              <w:t xml:space="preserve"> </w:t>
            </w:r>
            <w:r w:rsidR="005C6FAF" w:rsidRPr="000509B0">
              <w:rPr>
                <w:rFonts w:eastAsiaTheme="minorHAnsi" w:cs="Arial"/>
                <w:color w:val="000000"/>
              </w:rPr>
              <w:t xml:space="preserve">0.040) </w:t>
            </w:r>
          </w:p>
        </w:tc>
      </w:tr>
    </w:tbl>
    <w:p w14:paraId="34E0384E" w14:textId="77777777" w:rsidR="005C6FAF" w:rsidRDefault="005C6FAF" w:rsidP="00FF54C9">
      <w:pPr>
        <w:pStyle w:val="Heading4"/>
      </w:pPr>
      <w:r>
        <w:t>Other efficacy studies</w:t>
      </w:r>
    </w:p>
    <w:p w14:paraId="18DCE540" w14:textId="6851B029" w:rsidR="005C6FAF" w:rsidRDefault="005C6FAF" w:rsidP="005C6FAF">
      <w:r>
        <w:t xml:space="preserve">Study 20060326: This was a </w:t>
      </w:r>
      <w:r w:rsidR="00FF54C9">
        <w:t>Phase II</w:t>
      </w:r>
      <w:r>
        <w:t xml:space="preserve"> </w:t>
      </w:r>
      <w:r w:rsidR="00FF54C9">
        <w:t>randomised controlled trial</w:t>
      </w:r>
      <w:r>
        <w:t xml:space="preserve"> of romosozumab in the treatment of 419 postmenopausal women with low </w:t>
      </w:r>
      <w:r w:rsidR="00881772">
        <w:t>BMD</w:t>
      </w:r>
      <w:r>
        <w:t>.</w:t>
      </w:r>
    </w:p>
    <w:p w14:paraId="6D5384B7" w14:textId="08B20FA5" w:rsidR="005C6FAF" w:rsidRDefault="005C6FAF" w:rsidP="00A97706">
      <w:pPr>
        <w:pStyle w:val="TableTitle"/>
      </w:pPr>
      <w:r>
        <w:t>Table</w:t>
      </w:r>
      <w:r w:rsidR="008E3C6C">
        <w:t xml:space="preserve"> 30</w:t>
      </w:r>
      <w:r w:rsidR="00EA6703">
        <w:t xml:space="preserve">: Study design for Phase II </w:t>
      </w:r>
      <w:r w:rsidR="00A97706">
        <w:t>S</w:t>
      </w:r>
      <w:r w:rsidR="00EA6703">
        <w:t>tudy 20060326</w:t>
      </w:r>
    </w:p>
    <w:p w14:paraId="58E9890F" w14:textId="532DB49A" w:rsidR="00881772" w:rsidRDefault="00881772" w:rsidP="003458DF">
      <w:r>
        <w:rPr>
          <w:noProof/>
          <w:lang w:eastAsia="en-AU"/>
        </w:rPr>
        <w:drawing>
          <wp:inline distT="0" distB="0" distL="0" distR="0" wp14:anchorId="1B766C76" wp14:editId="2057A0B0">
            <wp:extent cx="5381625" cy="1066800"/>
            <wp:effectExtent l="0" t="0" r="9525" b="0"/>
            <wp:docPr id="461" name="Picture 461" descr="Study design for Phase II Study 2006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81625" cy="1066800"/>
                    </a:xfrm>
                    <a:prstGeom prst="rect">
                      <a:avLst/>
                    </a:prstGeom>
                  </pic:spPr>
                </pic:pic>
              </a:graphicData>
            </a:graphic>
          </wp:inline>
        </w:drawing>
      </w:r>
    </w:p>
    <w:p w14:paraId="68E87671" w14:textId="77777777" w:rsidR="008D74BF" w:rsidRDefault="005C6FAF" w:rsidP="005C6FAF">
      <w:r>
        <w:t xml:space="preserve">There was a high number of protocol deviations. The sample size was calculated at 400. Only 141 continued the follow up stage at </w:t>
      </w:r>
      <w:r w:rsidR="00FF54C9">
        <w:t>M</w:t>
      </w:r>
      <w:r>
        <w:t>onth 48</w:t>
      </w:r>
      <w:r w:rsidR="008D74BF">
        <w:t>.</w:t>
      </w:r>
    </w:p>
    <w:p w14:paraId="3914CE27" w14:textId="13178FBA" w:rsidR="00FF54C9" w:rsidRDefault="005C6FAF" w:rsidP="005C6FAF">
      <w:r>
        <w:t xml:space="preserve">At </w:t>
      </w:r>
      <w:r w:rsidR="00FF54C9">
        <w:t>M</w:t>
      </w:r>
      <w:r>
        <w:t xml:space="preserve">onth 12, the mean percent change from baseline in </w:t>
      </w:r>
      <w:r w:rsidR="00881772">
        <w:t>BMD</w:t>
      </w:r>
      <w:r>
        <w:t xml:space="preserve"> at the lumbar spine for subjects who received romosozumab increased for both dose frequencies (</w:t>
      </w:r>
      <w:r w:rsidR="004A189B">
        <w:t>monthly</w:t>
      </w:r>
      <w:r>
        <w:t xml:space="preserve">: 8.6%, </w:t>
      </w:r>
      <w:r w:rsidR="00FF54C9">
        <w:t>three monthly</w:t>
      </w:r>
      <w:r>
        <w:t>: 5.5%) and both dose levels (140 mg: 7.3%, 210 mg: 8.4%) versus placebo (-0.1%). Compared with placebo, there was a statistically significant (p</w:t>
      </w:r>
      <w:r w:rsidR="00A349BB">
        <w:t> </w:t>
      </w:r>
      <w:r>
        <w:t>&lt;</w:t>
      </w:r>
      <w:r w:rsidR="00A349BB">
        <w:t> </w:t>
      </w:r>
      <w:r>
        <w:t xml:space="preserve">0.0001) difference in </w:t>
      </w:r>
      <w:r w:rsidR="00881772">
        <w:t>BMD</w:t>
      </w:r>
      <w:r>
        <w:t xml:space="preserve"> at </w:t>
      </w:r>
      <w:r w:rsidR="00FF54C9">
        <w:t>M</w:t>
      </w:r>
      <w:r>
        <w:t>onth 12 at the lumbar spine at both dose frequencies and dose levels. The romosozumab 140 mg</w:t>
      </w:r>
      <w:r w:rsidR="008D74BF">
        <w:t xml:space="preserve"> </w:t>
      </w:r>
      <w:r w:rsidR="004A189B">
        <w:t>monthly</w:t>
      </w:r>
      <w:r>
        <w:t xml:space="preserve"> and 210 mg </w:t>
      </w:r>
      <w:r w:rsidR="004A189B">
        <w:t>monthly</w:t>
      </w:r>
      <w:r>
        <w:t xml:space="preserve"> dose groups also demonstrated statistically significant increases in bone density when compared with alendronate (p &lt; 0.0001) and teriparatide (p </w:t>
      </w:r>
      <w:r w:rsidR="00FF54C9">
        <w:t>≤</w:t>
      </w:r>
      <w:r w:rsidR="00871B36">
        <w:t xml:space="preserve"> </w:t>
      </w:r>
      <w:r w:rsidR="00FF54C9">
        <w:t>0.0276).</w:t>
      </w:r>
    </w:p>
    <w:p w14:paraId="6E3586BB" w14:textId="70F2017C" w:rsidR="008D74BF" w:rsidRDefault="005C6FAF" w:rsidP="005C6FAF">
      <w:r>
        <w:t xml:space="preserve">Treatment with romosozumab between 12 and 24 months resulted in less gains in </w:t>
      </w:r>
      <w:r w:rsidR="00881772">
        <w:t>BMD</w:t>
      </w:r>
      <w:r>
        <w:t xml:space="preserve"> than in the first 12 months. Bone formation markers increased in the first 1</w:t>
      </w:r>
      <w:r w:rsidR="00FF54C9">
        <w:t xml:space="preserve"> to </w:t>
      </w:r>
      <w:r>
        <w:t xml:space="preserve">9 months of treatment, then decreased to baseline or below. Bone resorption markers decreased and remained low. In patients who continued denosumab when romosozumab was ceased, </w:t>
      </w:r>
      <w:r w:rsidR="00881772">
        <w:t>BMD</w:t>
      </w:r>
      <w:r>
        <w:t xml:space="preserve"> continued to increase. </w:t>
      </w:r>
      <w:r w:rsidR="00881772">
        <w:t>However,</w:t>
      </w:r>
      <w:r>
        <w:t xml:space="preserve"> in those that received placebo, </w:t>
      </w:r>
      <w:r w:rsidR="00881772">
        <w:t>BMD</w:t>
      </w:r>
      <w:r>
        <w:t xml:space="preserve"> decreased. </w:t>
      </w:r>
      <w:r>
        <w:lastRenderedPageBreak/>
        <w:t xml:space="preserve">Retreatment with romosozumab during </w:t>
      </w:r>
      <w:r w:rsidR="00E50A3D">
        <w:t>M</w:t>
      </w:r>
      <w:r>
        <w:t xml:space="preserve">onths 36 to 48 following placebo from </w:t>
      </w:r>
      <w:r w:rsidR="00E50A3D">
        <w:t>M</w:t>
      </w:r>
      <w:r>
        <w:t xml:space="preserve">onths 24 to 36 resulted in </w:t>
      </w:r>
      <w:r w:rsidR="00881772">
        <w:t>BMD</w:t>
      </w:r>
      <w:r>
        <w:t xml:space="preserve"> increases at the spine and hip comparable to those seen in the group that received initial tre</w:t>
      </w:r>
      <w:r w:rsidR="00E50A3D">
        <w:t xml:space="preserve">atment with romosozumab 210 mg </w:t>
      </w:r>
      <w:r w:rsidR="004A189B">
        <w:t>monthly</w:t>
      </w:r>
      <w:r>
        <w:t xml:space="preserve"> during the first 12 months.</w:t>
      </w:r>
      <w:r w:rsidR="003F09E4">
        <w:t xml:space="preserve"> </w:t>
      </w:r>
      <w:r>
        <w:t xml:space="preserve">Retreatment with romosozumab in those transitioning from denosumab yielded a more modest increase in </w:t>
      </w:r>
      <w:r w:rsidR="00881772">
        <w:t>BMD</w:t>
      </w:r>
      <w:r>
        <w:t xml:space="preserve"> at the spine and </w:t>
      </w:r>
      <w:r w:rsidR="00C85473">
        <w:t>femoral</w:t>
      </w:r>
      <w:r>
        <w:t xml:space="preserve"> neck and maintenance of </w:t>
      </w:r>
      <w:r w:rsidR="00881772">
        <w:t>BMD</w:t>
      </w:r>
      <w:r>
        <w:t xml:space="preserve"> at the total hip</w:t>
      </w:r>
      <w:r w:rsidR="008D74BF">
        <w:t>.</w:t>
      </w:r>
    </w:p>
    <w:p w14:paraId="167EA89A" w14:textId="77777777" w:rsidR="005C6FAF" w:rsidRDefault="005C6FAF" w:rsidP="00E50A3D">
      <w:pPr>
        <w:pStyle w:val="Heading5"/>
      </w:pPr>
      <w:r>
        <w:t>Study 20080289</w:t>
      </w:r>
    </w:p>
    <w:p w14:paraId="1416C861" w14:textId="3DCBF108" w:rsidR="005C6FAF" w:rsidRDefault="005C6FAF" w:rsidP="005C6FAF">
      <w:r>
        <w:t xml:space="preserve">This was a </w:t>
      </w:r>
      <w:r w:rsidR="00E50A3D">
        <w:t>P</w:t>
      </w:r>
      <w:r>
        <w:t xml:space="preserve">hase </w:t>
      </w:r>
      <w:proofErr w:type="spellStart"/>
      <w:r w:rsidR="00E50A3D">
        <w:t>III</w:t>
      </w:r>
      <w:r>
        <w:t>b</w:t>
      </w:r>
      <w:proofErr w:type="spellEnd"/>
      <w:r>
        <w:t xml:space="preserve"> randomised, </w:t>
      </w:r>
      <w:proofErr w:type="spellStart"/>
      <w:r>
        <w:t>teriparatide</w:t>
      </w:r>
      <w:proofErr w:type="spellEnd"/>
      <w:r>
        <w:t xml:space="preserve"> controlled, open label study of 436 postmenopausal women with osteoporosis transitioning from oral bisphosphonate therapy to romosozumab or teriparatide. Subjects must have taken oral bisphosphonates at the dose approved for post-menopausal osteoporosis for at least 3 years before study entry. This study used hip rather than spine as the primary efficacy endpoint. 436 subjects were randomised into the study.</w:t>
      </w:r>
      <w:r w:rsidR="003F09E4">
        <w:t xml:space="preserve"> </w:t>
      </w:r>
      <w:r>
        <w:t>The mean duration of prior bisphosphonate use was 6.2</w:t>
      </w:r>
      <w:r w:rsidR="00E50A3D">
        <w:t> </w:t>
      </w:r>
      <w:r>
        <w:t xml:space="preserve">years (range: 3 to 27 years). Through 12 months of treatment, the mean percent change from baseline in </w:t>
      </w:r>
      <w:r w:rsidR="00881772">
        <w:t>BMD</w:t>
      </w:r>
      <w:r>
        <w:t xml:space="preserve"> for the total hip was 2.6% (2.2%</w:t>
      </w:r>
      <w:r w:rsidR="00E50A3D">
        <w:t xml:space="preserve"> to</w:t>
      </w:r>
      <w:r>
        <w:t xml:space="preserve"> 3.0%) in the romosozumab group and -0.6% (95% CI: -1.0</w:t>
      </w:r>
      <w:r w:rsidR="00E50A3D">
        <w:t xml:space="preserve"> to</w:t>
      </w:r>
      <w:r>
        <w:t xml:space="preserve"> -0.2%) in the teriparatide group. All secondary endpoints including </w:t>
      </w:r>
      <w:r w:rsidR="00C85473">
        <w:t>femoral</w:t>
      </w:r>
      <w:r>
        <w:t xml:space="preserve"> neck (romosozumab v</w:t>
      </w:r>
      <w:r w:rsidR="00E50A3D">
        <w:t>ersus</w:t>
      </w:r>
      <w:r w:rsidR="008D74BF">
        <w:t xml:space="preserve"> </w:t>
      </w:r>
      <w:r>
        <w:t xml:space="preserve">teriparatide 3.2% </w:t>
      </w:r>
      <w:r w:rsidR="00E50A3D">
        <w:t>versus</w:t>
      </w:r>
      <w:r>
        <w:t xml:space="preserve"> -0.2%) and lumbar spine (9.8% </w:t>
      </w:r>
      <w:r w:rsidR="00E50A3D">
        <w:t>versus</w:t>
      </w:r>
      <w:r>
        <w:t xml:space="preserve"> 5.4%) </w:t>
      </w:r>
      <w:r w:rsidR="00881772">
        <w:t>BMD</w:t>
      </w:r>
      <w:r>
        <w:t xml:space="preserve"> by DXA demonstrated statistically significant increases in the romosozumab treatment group compared with teriparatide.</w:t>
      </w:r>
    </w:p>
    <w:p w14:paraId="49120010" w14:textId="77777777" w:rsidR="005C6FAF" w:rsidRDefault="005C6FAF" w:rsidP="00E50A3D">
      <w:pPr>
        <w:pStyle w:val="Heading5"/>
      </w:pPr>
      <w:r>
        <w:t>Study 201011291</w:t>
      </w:r>
    </w:p>
    <w:p w14:paraId="529942F3" w14:textId="77777777" w:rsidR="005C6FAF" w:rsidRDefault="00E50A3D" w:rsidP="005C6FAF">
      <w:r>
        <w:t xml:space="preserve">This was a Phase </w:t>
      </w:r>
      <w:proofErr w:type="spellStart"/>
      <w:r>
        <w:t>II</w:t>
      </w:r>
      <w:r w:rsidR="005C6FAF">
        <w:t>b</w:t>
      </w:r>
      <w:proofErr w:type="spellEnd"/>
      <w:r w:rsidR="005C6FAF">
        <w:t>, multicentre, parallel group dose ranging study in 252 postmenopausal Japanese women with osteoporosis. Patients were randomised 1:1:1:1 to receive romosozumab 70, 140 or 210</w:t>
      </w:r>
      <w:r>
        <w:t xml:space="preserve"> </w:t>
      </w:r>
      <w:r w:rsidR="005C6FAF">
        <w:t>mg or placebo</w:t>
      </w:r>
      <w:r>
        <w:t>.</w:t>
      </w:r>
    </w:p>
    <w:p w14:paraId="5CAA35A6" w14:textId="4A2E52F3" w:rsidR="00C44BAA" w:rsidRDefault="005C6FAF" w:rsidP="005C6FAF">
      <w:r>
        <w:t>After 12 months of treatment, romosozumab administration resulted in a dose</w:t>
      </w:r>
      <w:r w:rsidR="00E50A3D">
        <w:t xml:space="preserve"> </w:t>
      </w:r>
      <w:r>
        <w:t xml:space="preserve">dependent increase in lumbar spine </w:t>
      </w:r>
      <w:r w:rsidR="00881772">
        <w:t>BMD</w:t>
      </w:r>
      <w:r>
        <w:t xml:space="preserve"> compared with placebo, with the largest increase in the romosozumab 210 mg group. The differences between each of the romosozumab groups versus placebo and within the romosozumab groups were also statistically significant</w:t>
      </w:r>
      <w:r w:rsidR="00881772">
        <w:t>.</w:t>
      </w:r>
    </w:p>
    <w:p w14:paraId="08D90530" w14:textId="77777777" w:rsidR="00C44BAA" w:rsidRDefault="00A97706" w:rsidP="00E50A3D">
      <w:pPr>
        <w:pStyle w:val="Heading5"/>
      </w:pPr>
      <w:r>
        <w:t>Study 20120156</w:t>
      </w:r>
    </w:p>
    <w:p w14:paraId="08A8BACA" w14:textId="09B785E3" w:rsidR="005C6FAF" w:rsidRDefault="005C6FAF" w:rsidP="005C6FAF">
      <w:r>
        <w:t xml:space="preserve">This was a Phase </w:t>
      </w:r>
      <w:r w:rsidR="00E50A3D">
        <w:t>III</w:t>
      </w:r>
      <w:r>
        <w:t xml:space="preserve"> placebo</w:t>
      </w:r>
      <w:r w:rsidR="00E50A3D">
        <w:t xml:space="preserve"> </w:t>
      </w:r>
      <w:r>
        <w:t>controlled study in 294 postmenopausal women with osteoporosis evaluating the non-inferiority of a fixed dose of 210 mg of romosozumab when delivered as 90 mg/mL (</w:t>
      </w:r>
      <w:r w:rsidR="00E50A3D">
        <w:t>two</w:t>
      </w:r>
      <w:r>
        <w:t xml:space="preserve"> SC injections with the 1.17</w:t>
      </w:r>
      <w:r w:rsidR="00E50A3D">
        <w:t xml:space="preserve"> </w:t>
      </w:r>
      <w:r>
        <w:t>m</w:t>
      </w:r>
      <w:r w:rsidR="0026545E">
        <w:t>L prefilled syringe</w:t>
      </w:r>
      <w:r>
        <w:t>) compared with 70 mg/mL (</w:t>
      </w:r>
      <w:r w:rsidR="0026545E">
        <w:t>three</w:t>
      </w:r>
      <w:r>
        <w:t xml:space="preserve"> SC injections with</w:t>
      </w:r>
      <w:r w:rsidR="0026545E">
        <w:t xml:space="preserve"> the</w:t>
      </w:r>
      <w:r>
        <w:t xml:space="preserve"> 1.0</w:t>
      </w:r>
      <w:r w:rsidR="0026545E">
        <w:t xml:space="preserve"> </w:t>
      </w:r>
      <w:r>
        <w:t>m</w:t>
      </w:r>
      <w:r w:rsidR="0026545E">
        <w:t>L</w:t>
      </w:r>
      <w:r>
        <w:t xml:space="preserve"> </w:t>
      </w:r>
      <w:r w:rsidR="0026545E">
        <w:t>prefilled syringe</w:t>
      </w:r>
      <w:r>
        <w:t>).</w:t>
      </w:r>
      <w:r w:rsidR="003F09E4">
        <w:t xml:space="preserve"> </w:t>
      </w:r>
      <w:r>
        <w:t xml:space="preserve">The mean percent increase in lumbar spine </w:t>
      </w:r>
      <w:r w:rsidR="00881772">
        <w:t>BMD</w:t>
      </w:r>
      <w:r>
        <w:t xml:space="preserve"> was 0.8%, 9.6% and 9.2% in the placebo, romosozumab 70 mg/mL and romosozumab 90 mg/mL groups, respectively. The mean treatment difference between the romosozumab 90 mg/mL and romosozumab 70 mg/mL was -0.4% (-1.5</w:t>
      </w:r>
      <w:r w:rsidR="0026545E">
        <w:t xml:space="preserve"> to</w:t>
      </w:r>
      <w:r>
        <w:t xml:space="preserve"> 0.7%); non-inferiority between the </w:t>
      </w:r>
      <w:r w:rsidR="0026545E">
        <w:t>two</w:t>
      </w:r>
      <w:r>
        <w:t xml:space="preserve"> romosozumab groups was established as lower bound of the 1-sided 97.5% CI of the mean difference between the </w:t>
      </w:r>
      <w:r w:rsidR="0026545E">
        <w:t>two</w:t>
      </w:r>
      <w:r>
        <w:t xml:space="preserve"> romosozumab groups was -1.5%, which was greater than the pre-specified limit of -2.0%.</w:t>
      </w:r>
    </w:p>
    <w:p w14:paraId="4C127B46" w14:textId="4085CE44" w:rsidR="00A97706" w:rsidRDefault="00A97706" w:rsidP="00A97706">
      <w:pPr>
        <w:pStyle w:val="Heading5"/>
      </w:pPr>
      <w:r>
        <w:t xml:space="preserve">Studies in </w:t>
      </w:r>
      <w:r w:rsidR="0016114C">
        <w:t>m</w:t>
      </w:r>
      <w:r>
        <w:t>en</w:t>
      </w:r>
    </w:p>
    <w:p w14:paraId="7C10067D" w14:textId="416D7F1F" w:rsidR="005C6FAF" w:rsidRDefault="008E3C6C" w:rsidP="00A97706">
      <w:pPr>
        <w:pStyle w:val="TableTitle"/>
      </w:pPr>
      <w:r>
        <w:t>Table 31</w:t>
      </w:r>
      <w:r w:rsidR="00A97706">
        <w:t xml:space="preserve">: Summary of Study 20110174 in </w:t>
      </w:r>
      <w:r w:rsidR="0016114C">
        <w:t>m</w:t>
      </w:r>
      <w:r w:rsidR="00A97706">
        <w:t>en</w:t>
      </w:r>
    </w:p>
    <w:tbl>
      <w:tblPr>
        <w:tblStyle w:val="TableTGAblue"/>
        <w:tblW w:w="0" w:type="auto"/>
        <w:tblLook w:val="04A0" w:firstRow="1" w:lastRow="0" w:firstColumn="1" w:lastColumn="0" w:noHBand="0" w:noVBand="1"/>
      </w:tblPr>
      <w:tblGrid>
        <w:gridCol w:w="1384"/>
        <w:gridCol w:w="7336"/>
      </w:tblGrid>
      <w:tr w:rsidR="005C6FAF" w:rsidRPr="0014315F" w14:paraId="6458A7CB" w14:textId="77777777" w:rsidTr="005C6FAF">
        <w:trPr>
          <w:cnfStyle w:val="100000000000" w:firstRow="1" w:lastRow="0" w:firstColumn="0" w:lastColumn="0" w:oddVBand="0" w:evenVBand="0" w:oddHBand="0" w:evenHBand="0" w:firstRowFirstColumn="0" w:firstRowLastColumn="0" w:lastRowFirstColumn="0" w:lastRowLastColumn="0"/>
        </w:trPr>
        <w:tc>
          <w:tcPr>
            <w:tcW w:w="8720" w:type="dxa"/>
            <w:gridSpan w:val="2"/>
          </w:tcPr>
          <w:p w14:paraId="0DD5F65B" w14:textId="03BCD9DE" w:rsidR="005C6FAF" w:rsidRPr="0014315F" w:rsidRDefault="00881772" w:rsidP="00881772">
            <w:pPr>
              <w:ind w:left="0" w:right="20"/>
              <w:rPr>
                <w:b w:val="0"/>
              </w:rPr>
            </w:pPr>
            <w:r>
              <w:t>Study</w:t>
            </w:r>
            <w:r w:rsidR="005C6FAF">
              <w:t xml:space="preserve"> 20110174</w:t>
            </w:r>
            <w:r>
              <w:t xml:space="preserve"> (</w:t>
            </w:r>
            <w:r w:rsidRPr="0014315F">
              <w:t>BRIDGE</w:t>
            </w:r>
            <w:r w:rsidR="0016114C">
              <w:t xml:space="preserve"> trial</w:t>
            </w:r>
            <w:r>
              <w:t>)</w:t>
            </w:r>
          </w:p>
        </w:tc>
      </w:tr>
      <w:tr w:rsidR="005C6FAF" w14:paraId="213187CF" w14:textId="77777777" w:rsidTr="001377E9">
        <w:tc>
          <w:tcPr>
            <w:tcW w:w="1384" w:type="dxa"/>
          </w:tcPr>
          <w:p w14:paraId="382A136D" w14:textId="77777777" w:rsidR="005C6FAF" w:rsidRPr="0014315F" w:rsidRDefault="005C6FAF" w:rsidP="005C6FAF">
            <w:pPr>
              <w:ind w:left="0" w:right="20"/>
            </w:pPr>
            <w:r w:rsidRPr="0014315F">
              <w:t>Design</w:t>
            </w:r>
          </w:p>
        </w:tc>
        <w:tc>
          <w:tcPr>
            <w:tcW w:w="7336" w:type="dxa"/>
          </w:tcPr>
          <w:p w14:paraId="41382007" w14:textId="33EF7088" w:rsidR="005C6FAF" w:rsidRDefault="0016114C" w:rsidP="005C6FAF">
            <w:pPr>
              <w:ind w:left="0" w:right="20"/>
            </w:pPr>
            <w:r>
              <w:t xml:space="preserve">A </w:t>
            </w:r>
            <w:r w:rsidR="005C6FAF">
              <w:t xml:space="preserve">multicentre, randomised, double blind, placebo controlled study </w:t>
            </w:r>
            <w:r w:rsidR="00881772">
              <w:t>in men with osteoporosis.</w:t>
            </w:r>
          </w:p>
        </w:tc>
      </w:tr>
      <w:tr w:rsidR="005C6FAF" w14:paraId="46915F5E" w14:textId="77777777" w:rsidTr="001377E9">
        <w:tc>
          <w:tcPr>
            <w:tcW w:w="1384" w:type="dxa"/>
          </w:tcPr>
          <w:p w14:paraId="0433CCD2" w14:textId="77777777" w:rsidR="005C6FAF" w:rsidRPr="0014315F" w:rsidRDefault="005C6FAF" w:rsidP="005C6FAF">
            <w:pPr>
              <w:ind w:left="0" w:right="20"/>
            </w:pPr>
            <w:r w:rsidRPr="0014315F">
              <w:t>Treatment</w:t>
            </w:r>
          </w:p>
        </w:tc>
        <w:tc>
          <w:tcPr>
            <w:tcW w:w="7336" w:type="dxa"/>
          </w:tcPr>
          <w:p w14:paraId="524545BE" w14:textId="0FDE77A1" w:rsidR="005C6FAF" w:rsidRDefault="005C6FAF" w:rsidP="005C6FAF">
            <w:pPr>
              <w:ind w:left="0" w:right="20"/>
            </w:pPr>
            <w:r>
              <w:t>romosozumab 210</w:t>
            </w:r>
            <w:r w:rsidR="0026545E">
              <w:t xml:space="preserve"> </w:t>
            </w:r>
            <w:r>
              <w:t xml:space="preserve">mg monthly for 12 months or placebo, follow up extra 3 </w:t>
            </w:r>
            <w:r>
              <w:lastRenderedPageBreak/>
              <w:t>months</w:t>
            </w:r>
            <w:r w:rsidR="00881772">
              <w:t>.</w:t>
            </w:r>
          </w:p>
        </w:tc>
      </w:tr>
      <w:tr w:rsidR="005C6FAF" w14:paraId="324D0AC0" w14:textId="77777777" w:rsidTr="001377E9">
        <w:tc>
          <w:tcPr>
            <w:tcW w:w="1384" w:type="dxa"/>
          </w:tcPr>
          <w:p w14:paraId="52046EB7" w14:textId="21A20211" w:rsidR="005C6FAF" w:rsidRPr="0014315F" w:rsidRDefault="005C6FAF" w:rsidP="0016114C">
            <w:pPr>
              <w:ind w:left="0" w:right="20"/>
            </w:pPr>
            <w:r w:rsidRPr="0014315F">
              <w:lastRenderedPageBreak/>
              <w:t xml:space="preserve">Primary </w:t>
            </w:r>
            <w:r w:rsidR="0016114C">
              <w:t>o</w:t>
            </w:r>
            <w:r w:rsidR="0016114C" w:rsidRPr="0014315F">
              <w:t>utcome</w:t>
            </w:r>
          </w:p>
        </w:tc>
        <w:tc>
          <w:tcPr>
            <w:tcW w:w="7336" w:type="dxa"/>
          </w:tcPr>
          <w:p w14:paraId="0F184CF5" w14:textId="74E6778A" w:rsidR="005C6FAF" w:rsidRDefault="00881772" w:rsidP="005C6FAF">
            <w:pPr>
              <w:ind w:left="0" w:right="20"/>
            </w:pPr>
            <w:r>
              <w:t>BMD</w:t>
            </w:r>
            <w:r w:rsidR="005C6FAF">
              <w:t xml:space="preserve"> at lumbar spine, secondary outcomes </w:t>
            </w:r>
            <w:r>
              <w:t>BMD</w:t>
            </w:r>
            <w:r w:rsidR="005C6FAF">
              <w:t xml:space="preserve"> hip and femur. It was designed as a superiori</w:t>
            </w:r>
            <w:r>
              <w:t>ty study.</w:t>
            </w:r>
          </w:p>
        </w:tc>
      </w:tr>
      <w:tr w:rsidR="005C6FAF" w14:paraId="561D4F8F" w14:textId="77777777" w:rsidTr="001377E9">
        <w:tc>
          <w:tcPr>
            <w:tcW w:w="1384" w:type="dxa"/>
          </w:tcPr>
          <w:p w14:paraId="50A246FC" w14:textId="77777777" w:rsidR="005C6FAF" w:rsidRPr="0014315F" w:rsidRDefault="0026545E" w:rsidP="005C6FAF">
            <w:pPr>
              <w:ind w:left="0" w:right="20"/>
            </w:pPr>
            <w:r>
              <w:t>Inclusion criteria</w:t>
            </w:r>
          </w:p>
        </w:tc>
        <w:tc>
          <w:tcPr>
            <w:tcW w:w="7336" w:type="dxa"/>
          </w:tcPr>
          <w:p w14:paraId="7C8A0636" w14:textId="56B27E34" w:rsidR="005C6FAF" w:rsidRDefault="005C6FAF" w:rsidP="0026545E">
            <w:pPr>
              <w:ind w:left="0" w:right="20"/>
            </w:pPr>
            <w:r w:rsidRPr="00B02B53">
              <w:t xml:space="preserve">ambulatory men </w:t>
            </w:r>
            <w:r w:rsidR="0026545E">
              <w:t>≥</w:t>
            </w:r>
            <w:r w:rsidRPr="00B02B53">
              <w:t xml:space="preserve"> 55 years to ≤ 90 years of age with a DXA </w:t>
            </w:r>
            <w:r w:rsidR="00881772">
              <w:t>BMD</w:t>
            </w:r>
            <w:r w:rsidRPr="00A97706">
              <w:t xml:space="preserve"> T-score at the</w:t>
            </w:r>
            <w:r w:rsidRPr="00B02B53">
              <w:t xml:space="preserve"> lumbar spine, total hip, or </w:t>
            </w:r>
            <w:r w:rsidR="00C85473">
              <w:t>femoral</w:t>
            </w:r>
            <w:r w:rsidRPr="00B02B53">
              <w:t xml:space="preserve"> neck of ≤ -2.50 or a DXA </w:t>
            </w:r>
            <w:r w:rsidR="00881772">
              <w:t>BMD T</w:t>
            </w:r>
            <w:r w:rsidR="00881772">
              <w:noBreakHyphen/>
            </w:r>
            <w:r w:rsidRPr="00B02B53">
              <w:t xml:space="preserve">score at the lumbar spine, total hip or </w:t>
            </w:r>
            <w:r w:rsidR="00C85473">
              <w:t>femoral</w:t>
            </w:r>
            <w:r w:rsidRPr="00B02B53">
              <w:t xml:space="preserve"> neck of ≤ -1.50 and a history of fragility</w:t>
            </w:r>
            <w:r>
              <w:t>,</w:t>
            </w:r>
            <w:r w:rsidR="003F09E4">
              <w:t xml:space="preserve"> </w:t>
            </w:r>
            <w:r w:rsidRPr="00B02B53">
              <w:t>non</w:t>
            </w:r>
            <w:r>
              <w:t>-</w:t>
            </w:r>
            <w:r w:rsidRPr="00B02B53">
              <w:t>vertebral fracture or vertebral fracture (thoracic or lumbar).</w:t>
            </w:r>
          </w:p>
        </w:tc>
      </w:tr>
      <w:tr w:rsidR="005C6FAF" w14:paraId="698B7B50" w14:textId="77777777" w:rsidTr="001377E9">
        <w:tc>
          <w:tcPr>
            <w:tcW w:w="1384" w:type="dxa"/>
          </w:tcPr>
          <w:p w14:paraId="3D820A39" w14:textId="52B71B19" w:rsidR="005C6FAF" w:rsidRPr="0014315F" w:rsidRDefault="003458DF" w:rsidP="005C6FAF">
            <w:pPr>
              <w:ind w:left="0" w:right="20"/>
            </w:pPr>
            <w:r>
              <w:t>Subjects:</w:t>
            </w:r>
          </w:p>
        </w:tc>
        <w:tc>
          <w:tcPr>
            <w:tcW w:w="7336" w:type="dxa"/>
          </w:tcPr>
          <w:p w14:paraId="6268CCF3" w14:textId="38CABE65" w:rsidR="005C6FAF" w:rsidRDefault="005C6FAF" w:rsidP="00871B36">
            <w:pPr>
              <w:ind w:left="0" w:right="20"/>
            </w:pPr>
            <w:r>
              <w:t>There were 245 randomised to the study.</w:t>
            </w:r>
            <w:r w:rsidR="003F09E4">
              <w:t xml:space="preserve"> </w:t>
            </w:r>
            <w:r>
              <w:t xml:space="preserve">More patients discontinued in the romosozumab arm than the placebo arm (11% </w:t>
            </w:r>
            <w:r w:rsidR="0026545E" w:rsidRPr="0026545E">
              <w:t>compared with</w:t>
            </w:r>
            <w:r>
              <w:t xml:space="preserve"> 6.1%), the main reasons were subject request and adverse events (3.1 </w:t>
            </w:r>
            <w:r w:rsidR="0026545E">
              <w:t>compared with</w:t>
            </w:r>
            <w:r>
              <w:t xml:space="preserve"> 0%).</w:t>
            </w:r>
            <w:r w:rsidR="0016114C">
              <w:t xml:space="preserve"> </w:t>
            </w:r>
            <w:r>
              <w:t xml:space="preserve">The mean age was 71.4 years, </w:t>
            </w:r>
            <w:r w:rsidR="0026545E">
              <w:t>body mass index</w:t>
            </w:r>
            <w:r>
              <w:t xml:space="preserve"> 25.1kg/m</w:t>
            </w:r>
            <w:r w:rsidRPr="00B85862">
              <w:rPr>
                <w:vertAlign w:val="superscript"/>
              </w:rPr>
              <w:t>2</w:t>
            </w:r>
            <w:r>
              <w:t xml:space="preserve">. Mean </w:t>
            </w:r>
            <w:r w:rsidR="00881772">
              <w:t>BMD</w:t>
            </w:r>
            <w:r w:rsidRPr="00A97706">
              <w:t xml:space="preserve"> </w:t>
            </w:r>
            <w:r w:rsidR="0026545E" w:rsidRPr="00A97706">
              <w:t>T</w:t>
            </w:r>
            <w:r w:rsidRPr="00A97706">
              <w:t>-score was</w:t>
            </w:r>
            <w:r>
              <w:t xml:space="preserve"> -2.26 at lumbar spine, -1.92 at the hip and </w:t>
            </w:r>
            <w:r w:rsidR="00871B36">
              <w:noBreakHyphen/>
            </w:r>
            <w:r>
              <w:t xml:space="preserve">2.33 at the </w:t>
            </w:r>
            <w:r w:rsidR="00C85473">
              <w:t>femoral</w:t>
            </w:r>
            <w:r>
              <w:t xml:space="preserve"> neck. Cardiovascular risk was similar between the two groups, but less men in the romosozumab group had a history of smoking or diabetes. More patients in the placebo group had received prior osteoporosis medications.</w:t>
            </w:r>
            <w:r w:rsidR="003F09E4">
              <w:t xml:space="preserve"> </w:t>
            </w:r>
            <w:r w:rsidR="00881772">
              <w:t>More patients in the romosozumab</w:t>
            </w:r>
            <w:r>
              <w:t xml:space="preserve"> group had a diagn</w:t>
            </w:r>
            <w:r w:rsidR="003458DF">
              <w:t>osis of secondary osteoporosis.</w:t>
            </w:r>
          </w:p>
        </w:tc>
      </w:tr>
      <w:tr w:rsidR="005C6FAF" w14:paraId="16ED45CB" w14:textId="77777777" w:rsidTr="001377E9">
        <w:tc>
          <w:tcPr>
            <w:tcW w:w="1384" w:type="dxa"/>
          </w:tcPr>
          <w:p w14:paraId="2706A1A0" w14:textId="439873DE" w:rsidR="005C6FAF" w:rsidRPr="0014315F" w:rsidRDefault="003458DF" w:rsidP="005C6FAF">
            <w:pPr>
              <w:ind w:left="0" w:right="20"/>
            </w:pPr>
            <w:r>
              <w:t>Results:</w:t>
            </w:r>
          </w:p>
        </w:tc>
        <w:tc>
          <w:tcPr>
            <w:tcW w:w="7336" w:type="dxa"/>
          </w:tcPr>
          <w:p w14:paraId="447350BD" w14:textId="23738CFB" w:rsidR="005C6FAF" w:rsidRDefault="005C6FAF" w:rsidP="00871B36">
            <w:pPr>
              <w:ind w:left="0" w:right="20"/>
            </w:pPr>
            <w:r w:rsidRPr="00C41555">
              <w:rPr>
                <w:rFonts w:eastAsiaTheme="minorHAnsi" w:cs="Calibri Bold Italic"/>
                <w:lang w:val="en-US" w:eastAsia="en-US"/>
              </w:rPr>
              <w:t xml:space="preserve">At </w:t>
            </w:r>
            <w:r w:rsidR="00871B36">
              <w:rPr>
                <w:rFonts w:eastAsiaTheme="minorHAnsi" w:cs="Calibri Bold Italic"/>
                <w:lang w:val="en-US" w:eastAsia="en-US"/>
              </w:rPr>
              <w:t>M</w:t>
            </w:r>
            <w:r w:rsidRPr="00C41555">
              <w:rPr>
                <w:rFonts w:eastAsiaTheme="minorHAnsi" w:cs="Calibri Bold Italic"/>
                <w:lang w:val="en-US" w:eastAsia="en-US"/>
              </w:rPr>
              <w:t xml:space="preserve">onth 12, the mean percent increase in </w:t>
            </w:r>
            <w:r w:rsidR="00881772">
              <w:rPr>
                <w:rFonts w:eastAsiaTheme="minorHAnsi" w:cs="Calibri Bold Italic"/>
                <w:lang w:val="en-US" w:eastAsia="en-US"/>
              </w:rPr>
              <w:t>BMD</w:t>
            </w:r>
            <w:r w:rsidRPr="00C41555">
              <w:rPr>
                <w:rFonts w:eastAsiaTheme="minorHAnsi" w:cs="Calibri Bold Italic"/>
                <w:lang w:val="en-US" w:eastAsia="en-US"/>
              </w:rPr>
              <w:t xml:space="preserve"> at the lumbar spine from baseline was statistically significant greater in the romosozumab 210</w:t>
            </w:r>
            <w:r w:rsidR="0026545E">
              <w:rPr>
                <w:rFonts w:eastAsiaTheme="minorHAnsi" w:cs="Calibri Bold Italic"/>
                <w:lang w:val="en-US" w:eastAsia="en-US"/>
              </w:rPr>
              <w:t xml:space="preserve"> </w:t>
            </w:r>
            <w:r w:rsidRPr="00C41555">
              <w:rPr>
                <w:rFonts w:eastAsiaTheme="minorHAnsi" w:cs="Calibri Bold Italic"/>
                <w:lang w:val="en-US" w:eastAsia="en-US"/>
              </w:rPr>
              <w:t xml:space="preserve">mg </w:t>
            </w:r>
            <w:r w:rsidR="004A189B">
              <w:rPr>
                <w:rFonts w:eastAsiaTheme="minorHAnsi" w:cs="Calibri Bold Italic"/>
                <w:lang w:val="en-US" w:eastAsia="en-US"/>
              </w:rPr>
              <w:t>monthly</w:t>
            </w:r>
            <w:r w:rsidRPr="00C41555">
              <w:rPr>
                <w:rFonts w:eastAsiaTheme="minorHAnsi" w:cs="Calibri Bold Italic"/>
                <w:lang w:val="en-US" w:eastAsia="en-US"/>
              </w:rPr>
              <w:t xml:space="preserve"> group compared with placebo (12.1% v</w:t>
            </w:r>
            <w:r w:rsidR="0026545E">
              <w:rPr>
                <w:rFonts w:eastAsiaTheme="minorHAnsi" w:cs="Calibri Bold Italic"/>
                <w:lang w:val="en-US" w:eastAsia="en-US"/>
              </w:rPr>
              <w:t>ersu</w:t>
            </w:r>
            <w:r w:rsidRPr="00C41555">
              <w:rPr>
                <w:rFonts w:eastAsiaTheme="minorHAnsi" w:cs="Calibri Bold Italic"/>
                <w:lang w:val="en-US" w:eastAsia="en-US"/>
              </w:rPr>
              <w:t>s 1.2%, p</w:t>
            </w:r>
            <w:r w:rsidR="0026545E">
              <w:rPr>
                <w:rFonts w:eastAsiaTheme="minorHAnsi" w:cs="Calibri Bold Italic"/>
                <w:lang w:val="en-US" w:eastAsia="en-US"/>
              </w:rPr>
              <w:t xml:space="preserve"> </w:t>
            </w:r>
            <w:r w:rsidRPr="00C41555">
              <w:rPr>
                <w:rFonts w:eastAsiaTheme="minorHAnsi" w:cs="Calibri Bold Italic"/>
                <w:lang w:val="en-US" w:eastAsia="en-US"/>
              </w:rPr>
              <w:t>&lt;</w:t>
            </w:r>
            <w:r w:rsidR="0026545E">
              <w:rPr>
                <w:rFonts w:eastAsiaTheme="minorHAnsi" w:cs="Calibri Bold Italic"/>
                <w:lang w:val="en-US" w:eastAsia="en-US"/>
              </w:rPr>
              <w:t xml:space="preserve"> </w:t>
            </w:r>
            <w:r w:rsidR="00881772">
              <w:rPr>
                <w:rFonts w:eastAsiaTheme="minorHAnsi" w:cs="Calibri Bold Italic"/>
                <w:lang w:val="en-US" w:eastAsia="en-US"/>
              </w:rPr>
              <w:t>0.0001)</w:t>
            </w:r>
            <w:r w:rsidRPr="00C41555">
              <w:rPr>
                <w:rFonts w:eastAsiaTheme="minorHAnsi" w:cs="Calibri Bold Italic"/>
                <w:lang w:val="en-US" w:eastAsia="en-US"/>
              </w:rPr>
              <w:t xml:space="preserve">. </w:t>
            </w:r>
            <w:r w:rsidR="00881772">
              <w:rPr>
                <w:rFonts w:eastAsiaTheme="minorHAnsi" w:cs="Calibri Bold Italic"/>
                <w:lang w:val="en-US" w:eastAsia="en-US"/>
              </w:rPr>
              <w:t>However,</w:t>
            </w:r>
            <w:r>
              <w:rPr>
                <w:rFonts w:eastAsiaTheme="minorHAnsi" w:cs="Calibri Bold Italic"/>
                <w:lang w:val="en-US" w:eastAsia="en-US"/>
              </w:rPr>
              <w:t xml:space="preserve"> this data was not corrected for discrepancies at baseline such as prior use of bisphosphonates, secondary osteoporosis, smoking, and alcohol use. </w:t>
            </w:r>
            <w:r w:rsidRPr="00C41555">
              <w:rPr>
                <w:rFonts w:eastAsiaTheme="minorHAnsi" w:cs="Calibri Bold Italic"/>
                <w:lang w:val="en-US" w:eastAsia="en-US"/>
              </w:rPr>
              <w:t>At</w:t>
            </w:r>
            <w:r w:rsidRPr="001918C4">
              <w:rPr>
                <w:rFonts w:eastAsiaTheme="minorHAnsi" w:cs="Calibri Bold Italic"/>
                <w:lang w:val="en-US" w:eastAsia="en-US"/>
              </w:rPr>
              <w:t xml:space="preserve"> </w:t>
            </w:r>
            <w:r w:rsidR="0026545E">
              <w:rPr>
                <w:rFonts w:eastAsiaTheme="minorHAnsi" w:cs="Calibri Bold Italic"/>
                <w:lang w:val="en-US" w:eastAsia="en-US"/>
              </w:rPr>
              <w:t>M</w:t>
            </w:r>
            <w:r w:rsidRPr="001918C4">
              <w:rPr>
                <w:rFonts w:eastAsiaTheme="minorHAnsi" w:cs="Calibri Bold Italic"/>
                <w:lang w:val="en-US" w:eastAsia="en-US"/>
              </w:rPr>
              <w:t>onth 12, patients in the romosozumab 210</w:t>
            </w:r>
            <w:r w:rsidR="0026545E">
              <w:rPr>
                <w:rFonts w:eastAsiaTheme="minorHAnsi" w:cs="Calibri Bold Italic"/>
                <w:lang w:val="en-US" w:eastAsia="en-US"/>
              </w:rPr>
              <w:t xml:space="preserve"> </w:t>
            </w:r>
            <w:r w:rsidRPr="001918C4">
              <w:rPr>
                <w:rFonts w:eastAsiaTheme="minorHAnsi" w:cs="Calibri Bold Italic"/>
                <w:lang w:val="en-US" w:eastAsia="en-US"/>
              </w:rPr>
              <w:t xml:space="preserve">mg </w:t>
            </w:r>
            <w:r w:rsidR="004A189B">
              <w:rPr>
                <w:rFonts w:eastAsiaTheme="minorHAnsi" w:cs="Calibri Bold Italic"/>
                <w:lang w:val="en-US" w:eastAsia="en-US"/>
              </w:rPr>
              <w:t>monthly</w:t>
            </w:r>
            <w:r w:rsidRPr="001918C4">
              <w:rPr>
                <w:rFonts w:eastAsiaTheme="minorHAnsi" w:cs="Calibri Bold Italic"/>
                <w:lang w:val="en-US" w:eastAsia="en-US"/>
              </w:rPr>
              <w:t xml:space="preserve"> compared with the placebo group showed statistically significant (p</w:t>
            </w:r>
            <w:r w:rsidR="00881772">
              <w:rPr>
                <w:rFonts w:eastAsiaTheme="minorHAnsi" w:cs="Calibri Bold Italic"/>
                <w:lang w:val="en-US" w:eastAsia="en-US"/>
              </w:rPr>
              <w:t> </w:t>
            </w:r>
            <w:r w:rsidRPr="001918C4">
              <w:rPr>
                <w:rFonts w:eastAsiaTheme="minorHAnsi" w:cs="Calibri Bold Italic"/>
                <w:lang w:val="en-US" w:eastAsia="en-US"/>
              </w:rPr>
              <w:t>&lt;</w:t>
            </w:r>
            <w:r w:rsidR="00881772">
              <w:rPr>
                <w:rFonts w:eastAsiaTheme="minorHAnsi" w:cs="Calibri Bold Italic"/>
                <w:lang w:val="en-US" w:eastAsia="en-US"/>
              </w:rPr>
              <w:t> </w:t>
            </w:r>
            <w:r w:rsidRPr="001918C4">
              <w:rPr>
                <w:rFonts w:eastAsiaTheme="minorHAnsi" w:cs="Calibri Bold Italic"/>
                <w:lang w:val="en-US" w:eastAsia="en-US"/>
              </w:rPr>
              <w:t xml:space="preserve">0.0001) greater increase the mean percent increase in </w:t>
            </w:r>
            <w:r w:rsidR="00881772">
              <w:rPr>
                <w:rFonts w:eastAsiaTheme="minorHAnsi" w:cs="Calibri Bold Italic"/>
                <w:lang w:val="en-US" w:eastAsia="en-US"/>
              </w:rPr>
              <w:t>BMD</w:t>
            </w:r>
            <w:r w:rsidRPr="001918C4">
              <w:rPr>
                <w:rFonts w:eastAsiaTheme="minorHAnsi" w:cs="Calibri Bold Italic"/>
                <w:lang w:val="en-US" w:eastAsia="en-US"/>
              </w:rPr>
              <w:t xml:space="preserve"> at the total hip (2.5% v</w:t>
            </w:r>
            <w:r w:rsidR="0026545E">
              <w:rPr>
                <w:rFonts w:eastAsiaTheme="minorHAnsi" w:cs="Calibri Bold Italic"/>
                <w:lang w:val="en-US" w:eastAsia="en-US"/>
              </w:rPr>
              <w:t>ersu</w:t>
            </w:r>
            <w:r w:rsidRPr="001918C4">
              <w:rPr>
                <w:rFonts w:eastAsiaTheme="minorHAnsi" w:cs="Calibri Bold Italic"/>
                <w:lang w:val="en-US" w:eastAsia="en-US"/>
              </w:rPr>
              <w:t xml:space="preserve">s -0.5%) and </w:t>
            </w:r>
            <w:r w:rsidR="00C85473">
              <w:rPr>
                <w:rFonts w:eastAsiaTheme="minorHAnsi" w:cs="Calibri Bold Italic"/>
                <w:lang w:val="en-US" w:eastAsia="en-US"/>
              </w:rPr>
              <w:t>femoral</w:t>
            </w:r>
            <w:r w:rsidRPr="001918C4">
              <w:rPr>
                <w:rFonts w:eastAsiaTheme="minorHAnsi" w:cs="Calibri Bold Italic"/>
                <w:lang w:val="en-US" w:eastAsia="en-US"/>
              </w:rPr>
              <w:t xml:space="preserve"> neck (2.2% v</w:t>
            </w:r>
            <w:r w:rsidR="0026545E">
              <w:rPr>
                <w:rFonts w:eastAsiaTheme="minorHAnsi" w:cs="Calibri Bold Italic"/>
                <w:lang w:val="en-US" w:eastAsia="en-US"/>
              </w:rPr>
              <w:t>ersu</w:t>
            </w:r>
            <w:r w:rsidRPr="001918C4">
              <w:rPr>
                <w:rFonts w:eastAsiaTheme="minorHAnsi" w:cs="Calibri Bold Italic"/>
                <w:lang w:val="en-US" w:eastAsia="en-US"/>
              </w:rPr>
              <w:t>s -0.2%)</w:t>
            </w:r>
            <w:r>
              <w:rPr>
                <w:rFonts w:eastAsiaTheme="minorHAnsi" w:cs="Calibri Bold Italic"/>
                <w:lang w:val="en-US" w:eastAsia="en-US"/>
              </w:rPr>
              <w:t>.</w:t>
            </w:r>
          </w:p>
        </w:tc>
      </w:tr>
    </w:tbl>
    <w:p w14:paraId="279B3C23" w14:textId="77777777" w:rsidR="005C6FAF" w:rsidRDefault="005C6FAF" w:rsidP="0026545E">
      <w:pPr>
        <w:pStyle w:val="Heading4"/>
      </w:pPr>
      <w:r>
        <w:t>Safety</w:t>
      </w:r>
    </w:p>
    <w:p w14:paraId="095ED7D2" w14:textId="1D238AC1" w:rsidR="005C6FAF" w:rsidRDefault="005C6FAF" w:rsidP="005C6FAF">
      <w:r>
        <w:t xml:space="preserve">The following safety analysis comes from an integration of clinical studies comparing </w:t>
      </w:r>
      <w:r w:rsidR="00881772">
        <w:t>r</w:t>
      </w:r>
      <w:r w:rsidR="00696AC6">
        <w:t>omosozumab</w:t>
      </w:r>
      <w:r>
        <w:t xml:space="preserve"> to control (placebo or alendronate or teriparatide). This analysis included 24, 12 and 6 month periods of analysis. Only treatment emergent adverse events were included.</w:t>
      </w:r>
    </w:p>
    <w:p w14:paraId="168A433F" w14:textId="601927F8" w:rsidR="003F09E4" w:rsidRDefault="005C6FAF" w:rsidP="005C6FAF">
      <w:r>
        <w:t>The safety database included 11</w:t>
      </w:r>
      <w:r w:rsidR="00881772">
        <w:t>,</w:t>
      </w:r>
      <w:r>
        <w:t>553 subjects in 19 romosozumab clinical studies who received at least 1 dose of romosozumab (n = 7681) or placebo (n = 3872).</w:t>
      </w:r>
      <w:r w:rsidR="003F09E4">
        <w:t xml:space="preserve"> </w:t>
      </w:r>
      <w:r>
        <w:t>There were 5863 subjects (5712 women and 151 men) who received romosozumab for at least 12</w:t>
      </w:r>
      <w:r w:rsidR="0026545E">
        <w:t> </w:t>
      </w:r>
      <w:r>
        <w:t>months.</w:t>
      </w:r>
    </w:p>
    <w:p w14:paraId="514284F4" w14:textId="77777777" w:rsidR="008D74BF" w:rsidRDefault="005C6FAF" w:rsidP="005C6FAF">
      <w:r>
        <w:t xml:space="preserve">The proportion of subjects who had at least 1 </w:t>
      </w:r>
      <w:r w:rsidR="0026545E">
        <w:t xml:space="preserve">treatment emergent </w:t>
      </w:r>
      <w:r>
        <w:t>AE during the study period was similar in the romosozumab and placebo groups. The most common AEs were nasopharyngitis, arthralgia and back pain. Of note, overall about 10% of patients fell during the study period</w:t>
      </w:r>
      <w:r w:rsidR="008D74BF">
        <w:t>.</w:t>
      </w:r>
    </w:p>
    <w:p w14:paraId="7FF35FE6" w14:textId="77777777" w:rsidR="003F09E4" w:rsidRDefault="005C6FAF" w:rsidP="005C6FAF">
      <w:r>
        <w:t>There was no dose related increase in adverse events with 70, 140 and 210</w:t>
      </w:r>
      <w:r w:rsidR="0026545E">
        <w:t xml:space="preserve"> </w:t>
      </w:r>
      <w:r>
        <w:t>mg doses.</w:t>
      </w:r>
    </w:p>
    <w:p w14:paraId="36B303E6" w14:textId="77777777" w:rsidR="003F09E4" w:rsidRDefault="005C6FAF" w:rsidP="005C6FAF">
      <w:r>
        <w:t xml:space="preserve">The exposure-adjusted incidence rate of serious adverse events per 100 subject-years for the osteoporosis safety analysis set was 11.4 for the total romosozumab group, 11.7 for the romosozumab 210 mg group, and 11.7 for the integrated control group. The only SAE </w:t>
      </w:r>
      <w:r>
        <w:lastRenderedPageBreak/>
        <w:t>with an exposure-adjusted incidence rate of ≥ 0.5 per 100 subject-years in the total romosozumab or integrated control group was pneumonia (0.6 in the total romosozumab and 210</w:t>
      </w:r>
      <w:r w:rsidR="00C2628B">
        <w:t xml:space="preserve"> </w:t>
      </w:r>
      <w:r>
        <w:t>mg r</w:t>
      </w:r>
      <w:r w:rsidR="00A97706">
        <w:t>omosozumab groups, 0.5 control)</w:t>
      </w:r>
      <w:r>
        <w:t>.</w:t>
      </w:r>
    </w:p>
    <w:p w14:paraId="0CA96673" w14:textId="77777777" w:rsidR="005C6FAF" w:rsidRDefault="005C6FAF" w:rsidP="005C6FAF">
      <w:r>
        <w:t>It is noted that more cataracts were reported in those taking romosozumab.</w:t>
      </w:r>
    </w:p>
    <w:p w14:paraId="59CBFFB9" w14:textId="45029390" w:rsidR="005C6FAF" w:rsidRDefault="00881772" w:rsidP="0026545E">
      <w:pPr>
        <w:pStyle w:val="Heading5"/>
      </w:pPr>
      <w:r>
        <w:t>Laboratory parameters</w:t>
      </w:r>
    </w:p>
    <w:p w14:paraId="021E5405" w14:textId="77777777" w:rsidR="005C6FAF" w:rsidRDefault="005C6FAF" w:rsidP="0026545E">
      <w:pPr>
        <w:pStyle w:val="ListBullet"/>
      </w:pPr>
      <w:r>
        <w:t xml:space="preserve">No significant changes to </w:t>
      </w:r>
      <w:r w:rsidR="0026545E">
        <w:t>haemoglobin, p</w:t>
      </w:r>
      <w:r>
        <w:t xml:space="preserve">latelets or </w:t>
      </w:r>
      <w:r w:rsidR="0026545E">
        <w:t>white blood cells</w:t>
      </w:r>
      <w:r>
        <w:t xml:space="preserve"> to suggest marrow invasion.</w:t>
      </w:r>
    </w:p>
    <w:p w14:paraId="608A084D" w14:textId="77777777" w:rsidR="003F09E4" w:rsidRDefault="005C6FAF" w:rsidP="0026545E">
      <w:pPr>
        <w:pStyle w:val="ListBullet"/>
      </w:pPr>
      <w:r>
        <w:t xml:space="preserve">Small decrease in serum calcium and serum phosphate compared to placebo. There was a greater increase in </w:t>
      </w:r>
      <w:r w:rsidR="002F44D8">
        <w:t>intact parathyroid hormone</w:t>
      </w:r>
      <w:r>
        <w:t xml:space="preserve"> in patients in the romosozumab than the placebo group. There was no significant change in serum magnesium.</w:t>
      </w:r>
    </w:p>
    <w:p w14:paraId="2A6D4C91" w14:textId="23E8F876" w:rsidR="005C6FAF" w:rsidRDefault="00881772" w:rsidP="0026545E">
      <w:pPr>
        <w:pStyle w:val="Heading5"/>
      </w:pPr>
      <w:r>
        <w:t>Cardiac safety</w:t>
      </w:r>
    </w:p>
    <w:p w14:paraId="3E1F11F2" w14:textId="7E61D2E8" w:rsidR="008D74BF" w:rsidRDefault="005C6FAF" w:rsidP="005C6FAF">
      <w:r>
        <w:t>Electrocardiogram (ECG) data collec</w:t>
      </w:r>
      <w:r w:rsidR="00BA68DA">
        <w:t>ted in Study 20060326 and some P</w:t>
      </w:r>
      <w:r>
        <w:t xml:space="preserve">hase </w:t>
      </w:r>
      <w:r w:rsidR="00BA68DA">
        <w:t>I</w:t>
      </w:r>
      <w:r>
        <w:t xml:space="preserve"> studies are also provided in individual </w:t>
      </w:r>
      <w:r w:rsidR="00BA68DA">
        <w:t>clinical study reports</w:t>
      </w:r>
      <w:r>
        <w:t xml:space="preserve">. </w:t>
      </w:r>
      <w:r w:rsidR="00881772">
        <w:t>ECGs</w:t>
      </w:r>
      <w:r>
        <w:t xml:space="preserve"> were not performed in Studies</w:t>
      </w:r>
      <w:r w:rsidR="0016114C">
        <w:t> </w:t>
      </w:r>
      <w:r>
        <w:t>20070337, 20080289, 20110142 and 20110174. Analysis of ECG results in individual studies in which they were analysed demonstrated no clinically important effect of romosozumab</w:t>
      </w:r>
      <w:r w:rsidR="008D74BF">
        <w:t>.</w:t>
      </w:r>
    </w:p>
    <w:p w14:paraId="49003E64" w14:textId="6DE96E33" w:rsidR="005C6FAF" w:rsidRDefault="005C6FAF" w:rsidP="005C6FAF">
      <w:r>
        <w:t>During the development program, an imbalance in positively-adjudicated cardiovascular SAEs were observed between treatment groups in Study 20110142. This imbalance was due specifically to serious cardiac ischemic and cerebrovascular events. These findings were not observed in the larger, placebo</w:t>
      </w:r>
      <w:r w:rsidR="00BA68DA">
        <w:t xml:space="preserve"> </w:t>
      </w:r>
      <w:r w:rsidR="003D7E26">
        <w:t>controlled Study 20070337</w:t>
      </w:r>
      <w:r>
        <w:t xml:space="preserve"> but in the summary of serious and life threatening </w:t>
      </w:r>
      <w:r w:rsidR="00BA68DA">
        <w:t>treatment emergent AE</w:t>
      </w:r>
      <w:r>
        <w:t xml:space="preserve">s from the 12 month osteoporosis safety analysis set, described </w:t>
      </w:r>
      <w:r w:rsidRPr="008E3C6C">
        <w:t xml:space="preserve">in </w:t>
      </w:r>
      <w:r w:rsidR="00BA68DA" w:rsidRPr="008E3C6C">
        <w:t xml:space="preserve">Table </w:t>
      </w:r>
      <w:r w:rsidR="008E3C6C" w:rsidRPr="008E3C6C">
        <w:t>32</w:t>
      </w:r>
      <w:r w:rsidR="00BA68DA" w:rsidRPr="008E3C6C">
        <w:t xml:space="preserve"> </w:t>
      </w:r>
      <w:r w:rsidRPr="008E3C6C">
        <w:t xml:space="preserve">there is an imbalance in serious </w:t>
      </w:r>
      <w:r w:rsidR="00BA68DA" w:rsidRPr="008E3C6C">
        <w:t>cardiovascular</w:t>
      </w:r>
      <w:r w:rsidRPr="008E3C6C">
        <w:t xml:space="preserve"> events</w:t>
      </w:r>
      <w:r w:rsidR="00BA68DA" w:rsidRPr="008E3C6C">
        <w:t>.</w:t>
      </w:r>
    </w:p>
    <w:p w14:paraId="29665520" w14:textId="53BAA712" w:rsidR="00BA68DA" w:rsidRDefault="00BA68DA" w:rsidP="00A97706">
      <w:pPr>
        <w:pStyle w:val="TableTitle"/>
      </w:pPr>
      <w:r>
        <w:lastRenderedPageBreak/>
        <w:t xml:space="preserve">Table </w:t>
      </w:r>
      <w:r w:rsidR="008E3C6C">
        <w:t>32</w:t>
      </w:r>
      <w:r w:rsidR="00A97706">
        <w:t xml:space="preserve">: Treatment </w:t>
      </w:r>
      <w:r w:rsidR="00881772">
        <w:t xml:space="preserve">emergent severe and life </w:t>
      </w:r>
      <w:r w:rsidR="00A97706">
        <w:t xml:space="preserve">threatening SAEs by </w:t>
      </w:r>
      <w:r w:rsidR="00881772">
        <w:t>pr</w:t>
      </w:r>
      <w:r w:rsidR="00A97706">
        <w:t>eferred term and grade (12 month placebo controlled osteoporosis safety analysis set)</w:t>
      </w:r>
    </w:p>
    <w:p w14:paraId="55DC7B73" w14:textId="2B6AEC5D" w:rsidR="00BA68DA" w:rsidRDefault="00A719C8" w:rsidP="005C6FAF">
      <w:r>
        <w:rPr>
          <w:noProof/>
          <w:lang w:eastAsia="en-AU"/>
        </w:rPr>
        <w:drawing>
          <wp:inline distT="0" distB="0" distL="0" distR="0" wp14:anchorId="06948BB0" wp14:editId="22EA0196">
            <wp:extent cx="5400040" cy="7797800"/>
            <wp:effectExtent l="0" t="0" r="0" b="0"/>
            <wp:docPr id="463" name="Picture 463" descr="Treatment emergent severe and life threatening SAEs by preferred term and grade (12 month placebo controlled osteoporosi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7797800"/>
                    </a:xfrm>
                    <a:prstGeom prst="rect">
                      <a:avLst/>
                    </a:prstGeom>
                  </pic:spPr>
                </pic:pic>
              </a:graphicData>
            </a:graphic>
          </wp:inline>
        </w:drawing>
      </w:r>
    </w:p>
    <w:p w14:paraId="0678C7EB" w14:textId="77777777" w:rsidR="003F09E4" w:rsidRDefault="005C6FAF" w:rsidP="005C6FAF">
      <w:r>
        <w:t xml:space="preserve">Patients who suffer from </w:t>
      </w:r>
      <w:proofErr w:type="spellStart"/>
      <w:r>
        <w:t>sclerosteosis</w:t>
      </w:r>
      <w:proofErr w:type="spellEnd"/>
      <w:r>
        <w:t xml:space="preserve"> or van </w:t>
      </w:r>
      <w:proofErr w:type="spellStart"/>
      <w:r>
        <w:t>Buchem</w:t>
      </w:r>
      <w:proofErr w:type="spellEnd"/>
      <w:r>
        <w:t xml:space="preserve"> disease and have significantly reduced or absent sclerostin activity are not at increased r</w:t>
      </w:r>
      <w:r w:rsidR="002F44D8">
        <w:t>isk of cardiovascular disease.</w:t>
      </w:r>
    </w:p>
    <w:p w14:paraId="629A2D61" w14:textId="77777777" w:rsidR="005C6FAF" w:rsidRDefault="005C6FAF" w:rsidP="00BA68DA">
      <w:pPr>
        <w:pStyle w:val="Heading5"/>
      </w:pPr>
      <w:r>
        <w:lastRenderedPageBreak/>
        <w:t>Immunology</w:t>
      </w:r>
    </w:p>
    <w:p w14:paraId="4FCBC61E" w14:textId="372728CD" w:rsidR="008D74BF" w:rsidRDefault="005C6FAF" w:rsidP="005C6FAF">
      <w:r>
        <w:t>The pharmacokinetic exposure, safety (</w:t>
      </w:r>
      <w:r w:rsidR="002F44D8">
        <w:t>for example</w:t>
      </w:r>
      <w:r>
        <w:t xml:space="preserve">., hypersensitivity, injection site reactions, or autoimmune disorder) and efficacy (changes in </w:t>
      </w:r>
      <w:r w:rsidR="00881772">
        <w:t>BMD</w:t>
      </w:r>
      <w:r>
        <w:t>) profiles of the subjects who tested positive for binding anti-romosozumab antibodies were found to be consistent with the profiles of anti-romosozumab antibody-negative subjects</w:t>
      </w:r>
      <w:r w:rsidR="008D74BF">
        <w:t>.</w:t>
      </w:r>
    </w:p>
    <w:p w14:paraId="577C4B9B" w14:textId="77777777" w:rsidR="003F09E4" w:rsidRDefault="005C6FAF" w:rsidP="005C6FAF">
      <w:r>
        <w:t xml:space="preserve">In </w:t>
      </w:r>
      <w:r w:rsidR="002F44D8">
        <w:t>Phase II</w:t>
      </w:r>
      <w:r>
        <w:t xml:space="preserve"> and </w:t>
      </w:r>
      <w:r w:rsidR="002F44D8">
        <w:t>III</w:t>
      </w:r>
      <w:r>
        <w:t xml:space="preserve"> clinical studies of osteoporosis in postmenopausal women, the incidence of developing anti-romosozumab antibodies was 18.6% across all doses studied. Neutralising antibodies developed in 0.9% of subjects. The incidence of developing binding and neutralising anti-romosozumab antibodies in women who received 210 mg </w:t>
      </w:r>
      <w:r w:rsidR="004A189B">
        <w:t>monthly</w:t>
      </w:r>
      <w:r>
        <w:t xml:space="preserve"> was similar to the ov</w:t>
      </w:r>
      <w:r w:rsidR="002F44D8">
        <w:t>erall studies at 18.1% and 0.7%</w:t>
      </w:r>
      <w:r>
        <w:t>, respectively. Similar findings occurred in men.</w:t>
      </w:r>
    </w:p>
    <w:p w14:paraId="566D69ED" w14:textId="77777777" w:rsidR="003F09E4" w:rsidRDefault="005C6FAF" w:rsidP="005C6FAF">
      <w:r>
        <w:t>There were no anaphylactic reactions attributed to romosozumab.</w:t>
      </w:r>
    </w:p>
    <w:p w14:paraId="3E858329" w14:textId="77777777" w:rsidR="005C6FAF" w:rsidRDefault="005C6FAF" w:rsidP="002F44D8">
      <w:pPr>
        <w:pStyle w:val="Heading5"/>
      </w:pPr>
      <w:r>
        <w:t>Bone changes</w:t>
      </w:r>
    </w:p>
    <w:p w14:paraId="2305A279" w14:textId="77777777" w:rsidR="003F09E4" w:rsidRDefault="005C6FAF" w:rsidP="005C6FAF">
      <w:r>
        <w:t>There was no imbalance in the risk of hyperostosis in the clinical studies.</w:t>
      </w:r>
    </w:p>
    <w:p w14:paraId="2A36C8FC" w14:textId="4E532310" w:rsidR="008D74BF" w:rsidRDefault="005C6FAF" w:rsidP="005C6FAF">
      <w:r>
        <w:t xml:space="preserve">Osteoarthritis was included as an adverse event of special interest as sclerostin is expressed in articular cartilage and there is a possibility that blocking receptors may have a role in </w:t>
      </w:r>
      <w:r w:rsidR="002F44D8" w:rsidRPr="00B861F7">
        <w:t>Wingless-related integration site</w:t>
      </w:r>
      <w:r>
        <w:t xml:space="preserve"> signalling. </w:t>
      </w:r>
      <w:r w:rsidR="00881772">
        <w:t>However,</w:t>
      </w:r>
      <w:r>
        <w:t xml:space="preserve"> there were no changes in </w:t>
      </w:r>
      <w:proofErr w:type="spellStart"/>
      <w:r>
        <w:t>articular</w:t>
      </w:r>
      <w:proofErr w:type="spellEnd"/>
      <w:r>
        <w:t xml:space="preserve"> cartilages when rats were treated with 7 times the clinical dose, and no imbalance in osteoarthritis adverse events in the clinical trials</w:t>
      </w:r>
      <w:r w:rsidR="008D74BF">
        <w:t>.</w:t>
      </w:r>
    </w:p>
    <w:p w14:paraId="12C93AE6" w14:textId="77777777" w:rsidR="008D74BF" w:rsidRDefault="005C6FAF" w:rsidP="005C6FAF">
      <w:r>
        <w:t xml:space="preserve">Atypical </w:t>
      </w:r>
      <w:r w:rsidR="00C85473">
        <w:t>femoral</w:t>
      </w:r>
      <w:r>
        <w:t xml:space="preserve"> fractures were seen in 3 patients after treatment with romosozumab, and in 4 patients who had been randomised to alendronate for 24 months</w:t>
      </w:r>
      <w:r w:rsidR="008D74BF">
        <w:t>.</w:t>
      </w:r>
    </w:p>
    <w:p w14:paraId="4CE54ABE" w14:textId="77777777" w:rsidR="008D74BF" w:rsidRDefault="005C6FAF" w:rsidP="005C6FAF">
      <w:r>
        <w:t>Osteonecrosis of the jaw has been identified in 5 patients during the clinical development program</w:t>
      </w:r>
      <w:r w:rsidR="008D74BF">
        <w:t>.</w:t>
      </w:r>
    </w:p>
    <w:p w14:paraId="137135EA" w14:textId="40E876C7" w:rsidR="005C6FAF" w:rsidRPr="005C6FAF" w:rsidRDefault="005C6FAF" w:rsidP="005C6FAF">
      <w:r>
        <w:t xml:space="preserve">Safety in renal/hepatic impairment: The </w:t>
      </w:r>
      <w:r w:rsidR="002F44D8">
        <w:t>pharmacokinetics</w:t>
      </w:r>
      <w:r>
        <w:t xml:space="preserve">, </w:t>
      </w:r>
      <w:r w:rsidR="002F44D8">
        <w:t>pharma</w:t>
      </w:r>
      <w:r w:rsidR="00E61C13">
        <w:t>co</w:t>
      </w:r>
      <w:r w:rsidR="002F44D8">
        <w:t>dynamics</w:t>
      </w:r>
      <w:r>
        <w:t xml:space="preserve"> and safety of romosozumab in subjects with renal impairment was evaluated in the Phase </w:t>
      </w:r>
      <w:r w:rsidR="002F44D8">
        <w:t xml:space="preserve">I Study 20110227. </w:t>
      </w:r>
      <w:r>
        <w:t xml:space="preserve">The administration of romosozumab resulted in a greater decrease in serum calcium level and a greater compensatory physiological increase in </w:t>
      </w:r>
      <w:r w:rsidR="002F44D8">
        <w:t>intact parathyroid hormone</w:t>
      </w:r>
      <w:r>
        <w:t xml:space="preserve"> in subjects with stage 4 </w:t>
      </w:r>
      <w:r w:rsidR="002F44D8">
        <w:t>chronic kidney disease</w:t>
      </w:r>
      <w:r>
        <w:t xml:space="preserve"> and stage 5 </w:t>
      </w:r>
      <w:r w:rsidR="002F44D8">
        <w:t>chronic kidney disease</w:t>
      </w:r>
      <w:r>
        <w:t xml:space="preserve"> receiving </w:t>
      </w:r>
      <w:r w:rsidRPr="005C6FAF">
        <w:t xml:space="preserve">haemodialysis than in healthy subjects. Most of these changes were transient and returned to baseline by end of the study. AEs </w:t>
      </w:r>
      <w:r w:rsidR="002F44D8">
        <w:t xml:space="preserve">were </w:t>
      </w:r>
      <w:r w:rsidRPr="005C6FAF">
        <w:t xml:space="preserve">similar </w:t>
      </w:r>
      <w:r w:rsidRPr="00A97706">
        <w:t>across eGFR</w:t>
      </w:r>
      <w:r w:rsidR="00A97706">
        <w:t xml:space="preserve"> (estimated glomerular filtration rate)</w:t>
      </w:r>
      <w:r w:rsidRPr="005C6FAF">
        <w:t xml:space="preserve"> groups.</w:t>
      </w:r>
    </w:p>
    <w:p w14:paraId="792E1225" w14:textId="77777777" w:rsidR="008E7846" w:rsidRDefault="00386150" w:rsidP="007B6132">
      <w:pPr>
        <w:pStyle w:val="Heading3"/>
        <w:rPr>
          <w:lang w:eastAsia="en-AU"/>
        </w:rPr>
      </w:pPr>
      <w:bookmarkStart w:id="128" w:name="_Toc32481927"/>
      <w:r>
        <w:rPr>
          <w:lang w:eastAsia="en-AU"/>
        </w:rPr>
        <w:t>Risk m</w:t>
      </w:r>
      <w:r w:rsidR="008E7846">
        <w:rPr>
          <w:lang w:eastAsia="en-AU"/>
        </w:rPr>
        <w:t xml:space="preserve">anagement </w:t>
      </w:r>
      <w:r>
        <w:rPr>
          <w:lang w:eastAsia="en-AU"/>
        </w:rPr>
        <w:t>p</w:t>
      </w:r>
      <w:r w:rsidR="008E7846">
        <w:rPr>
          <w:lang w:eastAsia="en-AU"/>
        </w:rPr>
        <w:t>lan</w:t>
      </w:r>
      <w:bookmarkEnd w:id="127"/>
      <w:bookmarkEnd w:id="128"/>
    </w:p>
    <w:p w14:paraId="777B01DC" w14:textId="77777777" w:rsidR="005C6FAF" w:rsidRDefault="005C6FAF" w:rsidP="005C6FAF">
      <w:r>
        <w:t>The RMP and ASA included the following safety concerns.</w:t>
      </w:r>
    </w:p>
    <w:p w14:paraId="45034ED5" w14:textId="72628541" w:rsidR="008E7846" w:rsidRDefault="005C6FAF" w:rsidP="005C6FAF">
      <w:r>
        <w:t xml:space="preserve">A post market authorisation study to investigate the potential </w:t>
      </w:r>
      <w:r w:rsidR="002F44D8">
        <w:t>cardiovascular</w:t>
      </w:r>
      <w:r>
        <w:t xml:space="preserve"> signal is proposed, however it is unclear if this would only be performed if the medicine was registered in Europe or the USA.</w:t>
      </w:r>
      <w:r w:rsidR="005579F3">
        <w:t xml:space="preserve"> </w:t>
      </w:r>
      <w:r w:rsidR="008E3C6C">
        <w:t>See Table 26</w:t>
      </w:r>
      <w:r w:rsidR="00A97706">
        <w:t xml:space="preserve"> above.</w:t>
      </w:r>
    </w:p>
    <w:p w14:paraId="2AF4093D" w14:textId="77777777" w:rsidR="008E7846" w:rsidRDefault="00AA0ED0" w:rsidP="008E7846">
      <w:pPr>
        <w:pStyle w:val="Heading3"/>
      </w:pPr>
      <w:bookmarkStart w:id="129" w:name="_Toc247691531"/>
      <w:bookmarkStart w:id="130" w:name="_Toc314842515"/>
      <w:bookmarkStart w:id="131" w:name="_Toc196046505"/>
      <w:bookmarkStart w:id="132" w:name="_Toc196046949"/>
      <w:bookmarkStart w:id="133" w:name="_Toc32481928"/>
      <w:r>
        <w:t>Risk-benefit a</w:t>
      </w:r>
      <w:r w:rsidR="008E7846">
        <w:t>nalysis</w:t>
      </w:r>
      <w:bookmarkEnd w:id="129"/>
      <w:bookmarkEnd w:id="130"/>
      <w:bookmarkEnd w:id="133"/>
    </w:p>
    <w:p w14:paraId="6F13240D" w14:textId="3A8BB2F3" w:rsidR="00C44BAA" w:rsidRDefault="00AA6423" w:rsidP="00D23139">
      <w:pPr>
        <w:pStyle w:val="Heading4"/>
      </w:pPr>
      <w:r>
        <w:t>Discussion</w:t>
      </w:r>
    </w:p>
    <w:p w14:paraId="4C5AFE15" w14:textId="77777777" w:rsidR="005C6FAF" w:rsidRDefault="005C6FAF" w:rsidP="002F44D8">
      <w:pPr>
        <w:pStyle w:val="Heading5"/>
      </w:pPr>
      <w:r>
        <w:t>Efficacy</w:t>
      </w:r>
    </w:p>
    <w:p w14:paraId="05323D5B" w14:textId="364C3DA9" w:rsidR="003A5CBD" w:rsidRDefault="005C6FAF" w:rsidP="005C6FAF">
      <w:r>
        <w:t>The evidence for efficacy is primari</w:t>
      </w:r>
      <w:r w:rsidR="002F44D8">
        <w:t>ly from clinical trials in post</w:t>
      </w:r>
      <w:r>
        <w:t xml:space="preserve">menopausal women. These were large </w:t>
      </w:r>
      <w:r w:rsidR="00FF54C9">
        <w:t>randomised controlled trial</w:t>
      </w:r>
      <w:r>
        <w:t>s, with the primary outcome being fracture. There was a clinically and statistically significant reduction in vertebral fracture. From a clinical perspective, non-vertebral fractures</w:t>
      </w:r>
      <w:r w:rsidR="00D75882">
        <w:t xml:space="preserve">, </w:t>
      </w:r>
      <w:r>
        <w:t>in particular hip fractures</w:t>
      </w:r>
      <w:r w:rsidR="00D75882">
        <w:t>,</w:t>
      </w:r>
      <w:r>
        <w:t xml:space="preserve"> are the major cause of </w:t>
      </w:r>
      <w:r>
        <w:lastRenderedPageBreak/>
        <w:t>morbidity and mortality in osteoporosis. There were numerically more non vertebral fractures and clinical fractures than vertebral fractures in the pivotal studies, these reduced in number with treatment but the difference was not statistically significan</w:t>
      </w:r>
      <w:r w:rsidR="00E7282D">
        <w:t>t</w:t>
      </w:r>
      <w:r>
        <w:t>. This lack of effect may be due to the lumbar spine being more sensitive to changes in bone turnover than other sites as it has more trabecular bone</w:t>
      </w:r>
      <w:r w:rsidRPr="00871B36">
        <w:t>.</w:t>
      </w:r>
      <w:r w:rsidR="003F09E4" w:rsidRPr="00871B36">
        <w:t xml:space="preserve"> </w:t>
      </w:r>
      <w:r w:rsidRPr="00871B36">
        <w:t xml:space="preserve">The clinical development program </w:t>
      </w:r>
      <w:r w:rsidR="003458DF" w:rsidRPr="00871B36">
        <w:t>shows</w:t>
      </w:r>
      <w:r w:rsidRPr="00871B36">
        <w:t xml:space="preserve"> benefits over placebo and active treatment with alendronate and teriparatide</w:t>
      </w:r>
      <w:r>
        <w:t>. There were no studies in direct comparison to denosumab.</w:t>
      </w:r>
    </w:p>
    <w:p w14:paraId="3631F743" w14:textId="2F54D367" w:rsidR="00881772" w:rsidRDefault="00881772" w:rsidP="00AA6423">
      <w:r>
        <w:t>The patients in the clinical trials were representative of women with post-menopausal osteoporosis in the community. I disagree with the evaluator that the indication needs to includ</w:t>
      </w:r>
      <w:r w:rsidR="00AA6423">
        <w:t>e the word primary.</w:t>
      </w:r>
    </w:p>
    <w:p w14:paraId="1428F52D" w14:textId="05756AD8" w:rsidR="00881772" w:rsidRDefault="00881772" w:rsidP="00AA6423">
      <w:r>
        <w:t>Most of the patients in the clinical trials had mild/moderate renal impairment. There is insufficient evidence to support use in patients with eGFR&lt; 30</w:t>
      </w:r>
      <w:r w:rsidR="003458DF">
        <w:t>mL</w:t>
      </w:r>
      <w:r>
        <w:t xml:space="preserve">/min, presumable as patients with abnormal </w:t>
      </w:r>
      <w:r w:rsidR="003B40F2">
        <w:t>parathyroid hormone (</w:t>
      </w:r>
      <w:r>
        <w:t>PTH</w:t>
      </w:r>
      <w:r w:rsidR="003B40F2">
        <w:t>)</w:t>
      </w:r>
      <w:r>
        <w:t xml:space="preserve"> were excluded from clinical trials and most patients with renal failure would have renal </w:t>
      </w:r>
      <w:proofErr w:type="spellStart"/>
      <w:r>
        <w:t>osteodystrophy</w:t>
      </w:r>
      <w:proofErr w:type="spellEnd"/>
      <w:r>
        <w:t xml:space="preserve"> and hyper</w:t>
      </w:r>
      <w:r w:rsidR="0016114C">
        <w:noBreakHyphen/>
      </w:r>
      <w:proofErr w:type="spellStart"/>
      <w:r>
        <w:t>parathyroidism</w:t>
      </w:r>
      <w:proofErr w:type="spellEnd"/>
      <w:r>
        <w:t xml:space="preserve">. It is possible that efficacy may be different in this population group where bone disease is multifactorial due to the role of renal impairment, changes in calcium and phosphate balance, and the effects of excessive PTH. There was no subgroup analysis to determine if the efficacy in mild/moderate renal impairment was comparable </w:t>
      </w:r>
      <w:r w:rsidR="00AA6423">
        <w:t>to patients with eGFR</w:t>
      </w:r>
      <w:r w:rsidR="0016114C">
        <w:t xml:space="preserve"> </w:t>
      </w:r>
      <w:r w:rsidR="00AA6423">
        <w:t>&gt;</w:t>
      </w:r>
      <w:r w:rsidR="0016114C">
        <w:t xml:space="preserve"> </w:t>
      </w:r>
      <w:r w:rsidR="00AA6423">
        <w:t>90</w:t>
      </w:r>
      <w:r w:rsidR="0016114C">
        <w:t xml:space="preserve"> </w:t>
      </w:r>
      <w:r w:rsidR="003458DF">
        <w:t>mL</w:t>
      </w:r>
      <w:r w:rsidR="00AA6423">
        <w:t>/min.</w:t>
      </w:r>
    </w:p>
    <w:p w14:paraId="335054B1" w14:textId="197C8772" w:rsidR="00881772" w:rsidRPr="00AA6423" w:rsidRDefault="00881772" w:rsidP="00AA6423">
      <w:r w:rsidRPr="00121CA8">
        <w:t xml:space="preserve">In the </w:t>
      </w:r>
      <w:r>
        <w:t>pivotal</w:t>
      </w:r>
      <w:r w:rsidRPr="00121CA8">
        <w:t xml:space="preserve"> clinical studies, approximately 90% of the majority of the patient population were treatment naïve. There was a supportive study of romosozumab in 436 patients whom had been treated with </w:t>
      </w:r>
      <w:r>
        <w:t>alendronate</w:t>
      </w:r>
      <w:r w:rsidRPr="00121CA8">
        <w:t xml:space="preserve"> for over 3 years, this showed gains in BMD at the hip but was not powered for BMD at other sites</w:t>
      </w:r>
      <w:r w:rsidR="00AA6423">
        <w:t xml:space="preserve"> or fractures.</w:t>
      </w:r>
    </w:p>
    <w:p w14:paraId="2BCDD9BB" w14:textId="77777777" w:rsidR="00881772" w:rsidRPr="00121CA8" w:rsidRDefault="00881772" w:rsidP="00881772">
      <w:pPr>
        <w:spacing w:before="0" w:after="0" w:line="240" w:lineRule="auto"/>
        <w:rPr>
          <w:rFonts w:asciiTheme="minorHAnsi" w:hAnsiTheme="minorHAnsi"/>
        </w:rPr>
      </w:pPr>
      <w:r>
        <w:rPr>
          <w:rFonts w:asciiTheme="minorHAnsi" w:hAnsiTheme="minorHAnsi"/>
        </w:rPr>
        <w:t>G</w:t>
      </w:r>
      <w:r w:rsidRPr="00121CA8">
        <w:rPr>
          <w:rFonts w:asciiTheme="minorHAnsi" w:hAnsiTheme="minorHAnsi"/>
        </w:rPr>
        <w:t>ains in efficacy were studies for up to 24 months after treatment. Thus, long term benefits over other treatments are unknown.</w:t>
      </w:r>
    </w:p>
    <w:p w14:paraId="63AE2808" w14:textId="70AA0AD0" w:rsidR="003F09E4" w:rsidRDefault="003F09E4" w:rsidP="003F09E4">
      <w:r>
        <w:t xml:space="preserve">Efficacy in men was supported by clinical trials where </w:t>
      </w:r>
      <w:r w:rsidR="00881772">
        <w:t>BMD</w:t>
      </w:r>
      <w:r>
        <w:t xml:space="preserve"> was the primary outcome. The aim of managing osteoporosis is to prevent fracture. A number of other agents in indicated in men with osteoporosis on the basis of an improvement in </w:t>
      </w:r>
      <w:r w:rsidR="00881772">
        <w:t>BMD</w:t>
      </w:r>
      <w:r>
        <w:t>, and an extrapolation of reduced fracture risk in other populations where improved bone mass is correlated to fracture outcome. Although not ideal, it is reasonable to do the same for romosozumab. There is no reason to believe romosozumab would be less efficacious in men than women.</w:t>
      </w:r>
    </w:p>
    <w:p w14:paraId="2B429E1E" w14:textId="77777777" w:rsidR="00D75882" w:rsidRDefault="00D75882" w:rsidP="00D75882">
      <w:pPr>
        <w:pStyle w:val="Heading5"/>
      </w:pPr>
      <w:r>
        <w:t>Safety</w:t>
      </w:r>
    </w:p>
    <w:p w14:paraId="35B89BE6" w14:textId="2BFE7ED3" w:rsidR="008D74BF" w:rsidRDefault="00D75882" w:rsidP="00D75882">
      <w:r>
        <w:t>The clinical development program included over 11,000 patients, of these over 7</w:t>
      </w:r>
      <w:r w:rsidR="00071B80">
        <w:t>,</w:t>
      </w:r>
      <w:r>
        <w:t>000 were exposed to romosozumab. Of these, over 5</w:t>
      </w:r>
      <w:r w:rsidR="00071B80">
        <w:t>,</w:t>
      </w:r>
      <w:r>
        <w:t>000 women but only 151 men were exposed for &gt;</w:t>
      </w:r>
      <w:r w:rsidR="0016114C">
        <w:t> </w:t>
      </w:r>
      <w:r>
        <w:t>12</w:t>
      </w:r>
      <w:r w:rsidR="0016114C">
        <w:t> </w:t>
      </w:r>
      <w:r>
        <w:t>months</w:t>
      </w:r>
      <w:r w:rsidR="008D74BF">
        <w:t>.</w:t>
      </w:r>
    </w:p>
    <w:p w14:paraId="06418679" w14:textId="77777777" w:rsidR="00D75882" w:rsidRDefault="00D75882" w:rsidP="00D75882">
      <w:r>
        <w:t>No signals to suggest an increased risk of malignancy, osteoarthritis, bone marrow suppression.</w:t>
      </w:r>
    </w:p>
    <w:p w14:paraId="1AD0811D" w14:textId="7EE9E44A" w:rsidR="00D75882" w:rsidRDefault="003458DF" w:rsidP="00D75882">
      <w:r>
        <w:t>The adverse event</w:t>
      </w:r>
      <w:r w:rsidR="00D75882">
        <w:t xml:space="preserve"> reports in the clinical trials were similar to other agents in this class. Osteonecrosis of the jaw and atypical </w:t>
      </w:r>
      <w:r w:rsidR="00C85473">
        <w:t>femoral</w:t>
      </w:r>
      <w:r w:rsidR="00D75882">
        <w:t xml:space="preserve"> fractures were reported.</w:t>
      </w:r>
    </w:p>
    <w:p w14:paraId="4BF5EF01" w14:textId="29CAF332" w:rsidR="00D75882" w:rsidRDefault="00881772" w:rsidP="00D75882">
      <w:pPr>
        <w:pStyle w:val="Heading6"/>
      </w:pPr>
      <w:r>
        <w:t>Cardiovascular events</w:t>
      </w:r>
    </w:p>
    <w:p w14:paraId="34DEDF6B" w14:textId="77777777" w:rsidR="008D74BF" w:rsidRDefault="00D75882" w:rsidP="00D75882">
      <w:r>
        <w:t>Sclerostin is expressed in aortic vascular smooth muscle and upregulated at sites of vascular calcification. Blocking sclerostin may lead to vascular calcification, which could result in arterial stiffening and serious cardiovascular disease</w:t>
      </w:r>
      <w:r w:rsidR="008D74BF">
        <w:t>.</w:t>
      </w:r>
    </w:p>
    <w:p w14:paraId="652DCE7B" w14:textId="55532EB1" w:rsidR="00D75882" w:rsidRDefault="00D75882" w:rsidP="00D75882">
      <w:r>
        <w:t xml:space="preserve">An imbalance in positively-adjudicated cardiovascular SAEs between treatment groups in Study 20110142, which was not observed in the larger, </w:t>
      </w:r>
      <w:r w:rsidR="00566372">
        <w:t>placebo controlled</w:t>
      </w:r>
      <w:r w:rsidR="004F553A">
        <w:t xml:space="preserve"> Study </w:t>
      </w:r>
      <w:r>
        <w:t>20070337. An external, independent adjudication of cardiovascular SAEs occurred in the three pivotal Phase III studies (Studies 20070337, 20110142 and 20110174) and pre</w:t>
      </w:r>
      <w:r w:rsidR="003458DF">
        <w:t> </w:t>
      </w:r>
      <w:r>
        <w:t xml:space="preserve">specified in the respective protocols. Based on the totality of the evidence including nonclinical, clinical, and epidemiologic data, a causal relationship between romosozumab </w:t>
      </w:r>
      <w:r>
        <w:lastRenderedPageBreak/>
        <w:t xml:space="preserve">and positively-adjudicated cardiovascular SAEs has not been established. </w:t>
      </w:r>
      <w:r w:rsidR="004F553A">
        <w:t>However,</w:t>
      </w:r>
      <w:r>
        <w:t xml:space="preserve"> a true relationship to romosozumab has not been excluded; therefore, cardiovascular SAEs remain an important potential risk and will require ongoing monitoring and evaluation in pharmacovigilance activities. The sponsor has proposed a European post market study if romosozumab is registered in Europe.</w:t>
      </w:r>
    </w:p>
    <w:p w14:paraId="0C62AA6D" w14:textId="5472F22E" w:rsidR="00AA6423" w:rsidRPr="00AA6423" w:rsidRDefault="00AA6423" w:rsidP="00AA6423">
      <w:pPr>
        <w:pStyle w:val="Heading4"/>
      </w:pPr>
      <w:r w:rsidRPr="00AA6423">
        <w:t>Risk benefit analysis</w:t>
      </w:r>
    </w:p>
    <w:p w14:paraId="2A37F556" w14:textId="2C39FC94" w:rsidR="00AA6423" w:rsidRDefault="00AA6423" w:rsidP="00AA6423">
      <w:pPr>
        <w:pStyle w:val="Heading5"/>
      </w:pPr>
      <w:r>
        <w:t>Efficacy</w:t>
      </w:r>
    </w:p>
    <w:p w14:paraId="02542AD4" w14:textId="1E78A82E" w:rsidR="00AA6423" w:rsidRDefault="00AA6423" w:rsidP="00AA6423">
      <w:r w:rsidRPr="00913892">
        <w:t xml:space="preserve">The evidence for efficacy </w:t>
      </w:r>
      <w:r>
        <w:t xml:space="preserve">is primarily from clinical trials in post-menopausal women. These were large RCTs, with the primary outcome being fracture. There was a clinically and statistically significant reduction in vertebral fracture. From a clinical perspective, non-vertebral fractures-in particular hip fractures- are the major cause of morbidity and mortality in osteoporosis. There were numerically more non vertebral fractures and clinical fractures than vertebral fractures in the pivotal studies, these reduced in number with treatment but the difference was not statistically </w:t>
      </w:r>
      <w:r w:rsidRPr="008E3C6C">
        <w:t xml:space="preserve">significant (see </w:t>
      </w:r>
      <w:r w:rsidR="008E3C6C" w:rsidRPr="008E3C6C">
        <w:t>Tables 33 and 34</w:t>
      </w:r>
      <w:r w:rsidRPr="008E3C6C">
        <w:t>).</w:t>
      </w:r>
      <w:r>
        <w:t xml:space="preserve"> This lack of effect may be due to the lumbar spine being more sensitive to changes in bone turnover than other sites as it has more trabecular bone. Other bisphosphonates and teriparatide have been shown to reduce non-vertebral fractures (although these studies were generally longer in duration), denosumab appears to have less effect in a reduction in non-vertebral fractures.</w:t>
      </w:r>
    </w:p>
    <w:p w14:paraId="5DF84EDF" w14:textId="29FAA89E" w:rsidR="009922CA" w:rsidRDefault="008E3C6C" w:rsidP="009922CA">
      <w:pPr>
        <w:pStyle w:val="TableTitle"/>
      </w:pPr>
      <w:r>
        <w:t>Table 33:</w:t>
      </w:r>
      <w:r w:rsidR="009922CA">
        <w:t xml:space="preserve"> </w:t>
      </w:r>
      <w:r w:rsidR="009922CA" w:rsidRPr="009922CA">
        <w:t xml:space="preserve">Subject </w:t>
      </w:r>
      <w:r w:rsidRPr="009922CA">
        <w:t xml:space="preserve">incidence of new vertebral fracture through </w:t>
      </w:r>
      <w:r w:rsidR="009922CA" w:rsidRPr="009922CA">
        <w:t xml:space="preserve">Month 12 and </w:t>
      </w:r>
      <w:r>
        <w:t>t</w:t>
      </w:r>
      <w:r w:rsidR="009922CA" w:rsidRPr="009922CA">
        <w:t xml:space="preserve">hrough Month 24 </w:t>
      </w:r>
      <w:r w:rsidRPr="009922CA">
        <w:t>with inferen</w:t>
      </w:r>
      <w:r>
        <w:t>ce based on odds ratio</w:t>
      </w:r>
      <w:r w:rsidRPr="009922CA">
        <w:t xml:space="preserve"> </w:t>
      </w:r>
      <w:r w:rsidR="009922CA" w:rsidRPr="009922CA">
        <w:t xml:space="preserve">(Primary </w:t>
      </w:r>
      <w:r w:rsidR="0016114C" w:rsidRPr="009922CA">
        <w:t>effic</w:t>
      </w:r>
      <w:r w:rsidR="0016114C">
        <w:t xml:space="preserve">acy analysis set </w:t>
      </w:r>
      <w:r>
        <w:t>for vertebral f</w:t>
      </w:r>
      <w:r w:rsidR="009922CA" w:rsidRPr="009922CA">
        <w:t>ractures, LOCF Imputation)</w:t>
      </w:r>
    </w:p>
    <w:p w14:paraId="34468875" w14:textId="1C2E738F" w:rsidR="009922CA" w:rsidRDefault="009922CA" w:rsidP="00AA6423">
      <w:r>
        <w:rPr>
          <w:noProof/>
          <w:lang w:eastAsia="en-AU"/>
        </w:rPr>
        <w:drawing>
          <wp:inline distT="0" distB="0" distL="0" distR="0" wp14:anchorId="3EFD9E7C" wp14:editId="67FCA1A3">
            <wp:extent cx="5400040" cy="2522220"/>
            <wp:effectExtent l="0" t="0" r="0" b="0"/>
            <wp:docPr id="3" name="Picture 3" descr="Subject incidence of new vertebral fracture through Month 12 and through Month 24 with inference based on odds ratio (Primary Efficacy Analysis Set for vertebral fractures,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2522220"/>
                    </a:xfrm>
                    <a:prstGeom prst="rect">
                      <a:avLst/>
                    </a:prstGeom>
                  </pic:spPr>
                </pic:pic>
              </a:graphicData>
            </a:graphic>
          </wp:inline>
        </w:drawing>
      </w:r>
    </w:p>
    <w:p w14:paraId="3D13E92D" w14:textId="2C45E81E" w:rsidR="009922CA" w:rsidRDefault="008E3C6C" w:rsidP="009922CA">
      <w:pPr>
        <w:pStyle w:val="TableTitle"/>
      </w:pPr>
      <w:r>
        <w:lastRenderedPageBreak/>
        <w:t xml:space="preserve">Table 34: </w:t>
      </w:r>
      <w:r w:rsidR="009922CA" w:rsidRPr="009922CA">
        <w:t xml:space="preserve">Summary of </w:t>
      </w:r>
      <w:r w:rsidRPr="009922CA">
        <w:t xml:space="preserve">secondary fracture endpoints through </w:t>
      </w:r>
      <w:r w:rsidR="009922CA" w:rsidRPr="009922CA">
        <w:t xml:space="preserve">Month 12 </w:t>
      </w:r>
      <w:r w:rsidRPr="009922CA">
        <w:t>that were c</w:t>
      </w:r>
      <w:r>
        <w:t>ommon to both pivotal fracture S</w:t>
      </w:r>
      <w:r w:rsidRPr="009922CA">
        <w:t xml:space="preserve">tudies </w:t>
      </w:r>
      <w:r>
        <w:t>20070337 and 20110142</w:t>
      </w:r>
    </w:p>
    <w:p w14:paraId="6A508DB8" w14:textId="06A5F49A" w:rsidR="009922CA" w:rsidRPr="00AA6423" w:rsidRDefault="00BC6B20" w:rsidP="009922CA">
      <w:r>
        <w:rPr>
          <w:noProof/>
          <w:lang w:eastAsia="en-AU"/>
        </w:rPr>
        <w:drawing>
          <wp:inline distT="0" distB="0" distL="0" distR="0" wp14:anchorId="4C18637F" wp14:editId="77A63F9E">
            <wp:extent cx="4842662" cy="5963923"/>
            <wp:effectExtent l="0" t="0" r="0" b="0"/>
            <wp:docPr id="8" name="Picture 8" descr="Summary of secondary fracture endpoints through Month 12 that were common to both pivotal fracture Studies 20070337 and 2011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48713" cy="5971375"/>
                    </a:xfrm>
                    <a:prstGeom prst="rect">
                      <a:avLst/>
                    </a:prstGeom>
                  </pic:spPr>
                </pic:pic>
              </a:graphicData>
            </a:graphic>
          </wp:inline>
        </w:drawing>
      </w:r>
    </w:p>
    <w:p w14:paraId="600912A3" w14:textId="4A0E3C11" w:rsidR="00AA6423" w:rsidRPr="00AA6423" w:rsidRDefault="00AA6423" w:rsidP="00AA6423">
      <w:r>
        <w:t>The clinical development program shows benefits over placebo and active treatment with alendronate and teriparatide. There were no studies in direct comparison to denosumab.</w:t>
      </w:r>
    </w:p>
    <w:p w14:paraId="0AB1B38D" w14:textId="12630B2B" w:rsidR="00AA6423" w:rsidRDefault="00AA6423" w:rsidP="00AA6423">
      <w:r>
        <w:t xml:space="preserve">The patients in the clinical trials were generally representative of women with post-menopausal osteoporosis in the community, however the participants had relatively high FRAX scores and did not include patients with high PTH. In post-menopausal women, low BMD and increased fracture risk may be due a number of contributing factors such as age, family history, low BMI, oestrogen deficiency, chronic disease, diet, medications. </w:t>
      </w:r>
      <w:r w:rsidR="0093398A">
        <w:t xml:space="preserve">The Delegate </w:t>
      </w:r>
      <w:r>
        <w:t>disagree</w:t>
      </w:r>
      <w:r w:rsidR="0093398A">
        <w:t>s</w:t>
      </w:r>
      <w:r>
        <w:t xml:space="preserve"> with the evaluator that the indication needs to include the word primary.</w:t>
      </w:r>
    </w:p>
    <w:p w14:paraId="1F11F9A7" w14:textId="102372FE" w:rsidR="00AA6423" w:rsidRPr="0093398A" w:rsidRDefault="00AA6423" w:rsidP="0093398A">
      <w:r>
        <w:t>Most of the patients in the clinical trials had mild/moderate renal impairment. There is insufficient evidence to support use in patients with eGFR</w:t>
      </w:r>
      <w:r w:rsidR="0016114C">
        <w:t xml:space="preserve"> </w:t>
      </w:r>
      <w:r>
        <w:t>&lt; 30</w:t>
      </w:r>
      <w:r w:rsidR="003458DF">
        <w:t>mL</w:t>
      </w:r>
      <w:r>
        <w:t xml:space="preserve">/min, presumable as patients with abnormal PTH were excluded from clinical trials and most patients with renal failure would have renal </w:t>
      </w:r>
      <w:proofErr w:type="spellStart"/>
      <w:r>
        <w:t>osteodystrophy</w:t>
      </w:r>
      <w:proofErr w:type="spellEnd"/>
      <w:r>
        <w:t xml:space="preserve"> and hyper-</w:t>
      </w:r>
      <w:proofErr w:type="spellStart"/>
      <w:r>
        <w:t>parathyroidism</w:t>
      </w:r>
      <w:proofErr w:type="spellEnd"/>
      <w:r>
        <w:t xml:space="preserve">. It is possible that efficacy may be different in this population group where bone disease is multifactorial </w:t>
      </w:r>
      <w:r>
        <w:lastRenderedPageBreak/>
        <w:t>due to the role of renal impairment, changes in calcium and phosphate balance, and the effects of excessive PTH. There was no subgroup analysis to determine if the efficacy in mild/moderate renal impairment was comparable to patients with eGFR</w:t>
      </w:r>
      <w:r w:rsidR="0093398A">
        <w:t xml:space="preserve"> </w:t>
      </w:r>
      <w:r>
        <w:t>&gt;</w:t>
      </w:r>
      <w:r w:rsidR="0093398A">
        <w:t xml:space="preserve"> </w:t>
      </w:r>
      <w:r>
        <w:t>90</w:t>
      </w:r>
      <w:r w:rsidR="003458DF">
        <w:t xml:space="preserve"> mL</w:t>
      </w:r>
      <w:r>
        <w:t>/min.</w:t>
      </w:r>
    </w:p>
    <w:p w14:paraId="01ECF4C6" w14:textId="55247C9C" w:rsidR="00AA6423" w:rsidRDefault="00AA6423" w:rsidP="0093398A">
      <w:r w:rsidRPr="00121CA8">
        <w:t xml:space="preserve">In the </w:t>
      </w:r>
      <w:r>
        <w:t>pivotal</w:t>
      </w:r>
      <w:r w:rsidRPr="00121CA8">
        <w:t xml:space="preserve"> clinical studies, approximately 90% of the majority of the patient population were treatment naïve. There was a supportive study of romosozumab in 436 patients whom had been treated with </w:t>
      </w:r>
      <w:r>
        <w:t>alendronate</w:t>
      </w:r>
      <w:r w:rsidRPr="00121CA8">
        <w:t xml:space="preserve"> for over 3 years, this showed gains in BMD at the hip but was not powered for BMD at other sites or fractures.</w:t>
      </w:r>
      <w:r>
        <w:t xml:space="preserve"> From my calculations it appears that approximately 30 patients in the clinical development program received denosumab prior to romosozumab. </w:t>
      </w:r>
      <w:r w:rsidR="0016114C">
        <w:t>T</w:t>
      </w:r>
      <w:r>
        <w:t>he gains in BMD and reduction in fracture risk were lower when ro</w:t>
      </w:r>
      <w:r w:rsidR="0093398A">
        <w:t>mosozumab was used second line.</w:t>
      </w:r>
    </w:p>
    <w:p w14:paraId="41F5C807" w14:textId="2BC7F00B" w:rsidR="00AA6423" w:rsidRDefault="00AA6423" w:rsidP="0093398A">
      <w:r>
        <w:t>G</w:t>
      </w:r>
      <w:r w:rsidRPr="00121CA8">
        <w:t>ains in efficacy were studies for up to 24 months after treatment. Thus, long term benefits ove</w:t>
      </w:r>
      <w:r w:rsidR="0093398A">
        <w:t>r other treatments are unknown.</w:t>
      </w:r>
    </w:p>
    <w:p w14:paraId="211613A0" w14:textId="12AE3E77" w:rsidR="00AA6423" w:rsidRPr="0093398A" w:rsidRDefault="00AA6423" w:rsidP="0093398A">
      <w:r w:rsidRPr="00A275F2">
        <w:t xml:space="preserve">Efficacy in men was </w:t>
      </w:r>
      <w:r>
        <w:t>supported by clinical trials where BMD was the primary outcome. The aim of managing osteoporosis is to prevent fracture. A number of other agents in indicated in men with osteoporosis on the basis of an improvement in BMD, and an extrapolation of reduced fracture risk in other populations where improved bone mass is correlated to fracture outcome.  Although not ideal, it is reasonable to do the same for romosozumab. There is no reason to believe romosozumab would be less efficacious in men than women.</w:t>
      </w:r>
    </w:p>
    <w:p w14:paraId="5EC54F7E" w14:textId="79316131" w:rsidR="00AA6423" w:rsidRPr="0093398A" w:rsidRDefault="0093398A" w:rsidP="0093398A">
      <w:pPr>
        <w:pStyle w:val="Heading5"/>
      </w:pPr>
      <w:r>
        <w:t>Safety</w:t>
      </w:r>
    </w:p>
    <w:p w14:paraId="3254BB91" w14:textId="1B3DEEF9" w:rsidR="00AA6423" w:rsidRPr="0093398A" w:rsidRDefault="00AA6423" w:rsidP="0093398A">
      <w:r>
        <w:t xml:space="preserve">The clinical development program included over 11 000 patients, of these over 7000 were exposed to romosozumab. Of these, over 5000 women but only 151 men were </w:t>
      </w:r>
      <w:r w:rsidR="0093398A">
        <w:t>exposed for &gt;</w:t>
      </w:r>
      <w:r w:rsidR="0016114C">
        <w:t> </w:t>
      </w:r>
      <w:r w:rsidR="0093398A">
        <w:t>12</w:t>
      </w:r>
      <w:r w:rsidR="0016114C">
        <w:t> </w:t>
      </w:r>
      <w:r w:rsidR="0093398A">
        <w:t>months.</w:t>
      </w:r>
    </w:p>
    <w:p w14:paraId="30C26AAD" w14:textId="2D614B93" w:rsidR="00AA6423" w:rsidRPr="008320C8" w:rsidRDefault="00AA6423" w:rsidP="0093398A">
      <w:r w:rsidRPr="008320C8">
        <w:t>No signals to suggest an increased risk of malignancy, osteoarthritis, bone marrow suppression.</w:t>
      </w:r>
    </w:p>
    <w:p w14:paraId="20CD5682" w14:textId="2414B6B8" w:rsidR="00AA6423" w:rsidRPr="0093398A" w:rsidRDefault="003458DF" w:rsidP="0093398A">
      <w:r>
        <w:t>The adverse event</w:t>
      </w:r>
      <w:r w:rsidR="00AA6423">
        <w:t xml:space="preserve"> reports in the clinical trials were</w:t>
      </w:r>
      <w:r w:rsidR="00AA6423" w:rsidRPr="008320C8">
        <w:t xml:space="preserve"> similar to other agents in this class. Osteonecrosis of the jaw and atypical femoral fractures were reported</w:t>
      </w:r>
      <w:r w:rsidR="00AA6423">
        <w:t>.</w:t>
      </w:r>
    </w:p>
    <w:p w14:paraId="007C7C71" w14:textId="4699D84E" w:rsidR="00AA6423" w:rsidRPr="00913892" w:rsidRDefault="007710AA" w:rsidP="0093398A">
      <w:pPr>
        <w:pStyle w:val="Heading6"/>
      </w:pPr>
      <w:r>
        <w:t xml:space="preserve">Cardiovascular </w:t>
      </w:r>
      <w:r w:rsidR="0093398A">
        <w:t>events</w:t>
      </w:r>
    </w:p>
    <w:p w14:paraId="27D5A73F" w14:textId="279D4112" w:rsidR="00AA6423" w:rsidRPr="00121CA8" w:rsidRDefault="00AA6423" w:rsidP="0093398A">
      <w:r w:rsidRPr="00121CA8">
        <w:t>Sclerostin is expressed in aortic vascular smooth muscle and upregulated at sites of vascular calcification. Blocking sclerostin may lead to vascular calcification, which could result in arterial stiffening and serious cardiovascular disease.</w:t>
      </w:r>
    </w:p>
    <w:p w14:paraId="58C1C3E6" w14:textId="15C8DEC5" w:rsidR="00AA6423" w:rsidRPr="0093398A" w:rsidRDefault="00AA6423" w:rsidP="0093398A">
      <w:r w:rsidRPr="00121CA8">
        <w:t>An imbalance in positively-adjudicated cardiovascular SAEs between treatment groups in Study 20110142</w:t>
      </w:r>
      <w:r>
        <w:t xml:space="preserve">. </w:t>
      </w:r>
      <w:r w:rsidRPr="00121CA8">
        <w:t>An external, independent adjudication of cardiovascular SAEs occurred in the three pivotal phase 3 studies (Studies 20070337, 20110142 and 20110</w:t>
      </w:r>
      <w:r w:rsidR="00BC6B20">
        <w:t xml:space="preserve">174) and </w:t>
      </w:r>
      <w:r w:rsidRPr="00121CA8">
        <w:t>pre</w:t>
      </w:r>
      <w:r w:rsidR="003458DF">
        <w:t> </w:t>
      </w:r>
      <w:r w:rsidRPr="00121CA8">
        <w:t xml:space="preserve">specified in the respective protocols. Based on the totality of the evidence including nonclinical, clinical, and epidemiologic data, </w:t>
      </w:r>
      <w:r>
        <w:t xml:space="preserve">the sponsor has stated that </w:t>
      </w:r>
      <w:r w:rsidRPr="00121CA8">
        <w:t xml:space="preserve">a causal relationship between romosozumab and positively-adjudicated cardiovascular SAEs has not been established. </w:t>
      </w:r>
      <w:r w:rsidR="0093398A" w:rsidRPr="00121CA8">
        <w:t>However,</w:t>
      </w:r>
      <w:r w:rsidRPr="00121CA8">
        <w:t xml:space="preserve"> a true relationship to romosozumab has not been excluded; therefore, cardiovascular SAEs remain an important potential risk and will require ongoing monitoring and evaluation in pharmacovigilance activities. The sponsor has proposed a European post market study if romosozumab is registered in Europe.</w:t>
      </w:r>
    </w:p>
    <w:p w14:paraId="295730E2" w14:textId="46B3C39B" w:rsidR="00D23139" w:rsidRDefault="00AA6423" w:rsidP="00D23139">
      <w:pPr>
        <w:pStyle w:val="Heading4"/>
      </w:pPr>
      <w:r>
        <w:t>Conclusion</w:t>
      </w:r>
    </w:p>
    <w:p w14:paraId="10FB0CAB" w14:textId="2507C1FB" w:rsidR="008D74BF" w:rsidRDefault="00D26286" w:rsidP="003F09E4">
      <w:r>
        <w:t>The Delegate considers</w:t>
      </w:r>
      <w:r w:rsidR="003F09E4">
        <w:t xml:space="preserve"> that romosozumab has a beneficial impact on bone density and fracture. </w:t>
      </w:r>
      <w:r w:rsidR="004F553A">
        <w:t>However,</w:t>
      </w:r>
      <w:r w:rsidR="003F09E4">
        <w:t xml:space="preserve"> there are a number of important uncertainties. These include long term impact on non-vertebral fracture, efficacy relative to denosumab, cardiovascular risk and long term safety. At this point in time </w:t>
      </w:r>
      <w:r>
        <w:t>the Delegate is</w:t>
      </w:r>
      <w:r w:rsidR="003F09E4">
        <w:t xml:space="preserve"> reluctant to support registration until these issues are clarified</w:t>
      </w:r>
      <w:r w:rsidR="008D74BF">
        <w:t>.</w:t>
      </w:r>
    </w:p>
    <w:p w14:paraId="0A21C94D" w14:textId="57FC9715" w:rsidR="008D74BF" w:rsidRDefault="003F09E4" w:rsidP="003F09E4">
      <w:r>
        <w:lastRenderedPageBreak/>
        <w:t xml:space="preserve">The clinical trials submitted are more supportive of a first line indication than a second line indication. </w:t>
      </w:r>
      <w:r w:rsidR="00D26286">
        <w:t>The</w:t>
      </w:r>
      <w:r>
        <w:t xml:space="preserve"> main concern with a second line indication is the relatively small number of patients treated with romosozumab </w:t>
      </w:r>
      <w:r w:rsidR="00D26286">
        <w:t>after</w:t>
      </w:r>
      <w:r>
        <w:t xml:space="preserve"> other agents, and the unknown efficacy and safety in this context</w:t>
      </w:r>
      <w:r w:rsidR="008D74BF">
        <w:t>.</w:t>
      </w:r>
    </w:p>
    <w:p w14:paraId="103CEBB4" w14:textId="4EC34689" w:rsidR="0093398A" w:rsidRDefault="0093398A" w:rsidP="003F09E4">
      <w:r>
        <w:rPr>
          <w:rFonts w:asciiTheme="minorHAnsi" w:hAnsiTheme="minorHAnsi"/>
        </w:rPr>
        <w:t xml:space="preserve">In relation to the indications, the Delegate agrees with the evaluator that a reduction in non-vertebral fracture should not be included. The Delegate is of the opinion that ‘treatment of osteoporosis in post-menopausal women’ is acceptable alone without clarifying the type of fracture reductions seen (this is best in </w:t>
      </w:r>
      <w:r w:rsidRPr="00E550B7">
        <w:rPr>
          <w:rFonts w:asciiTheme="minorHAnsi" w:hAnsiTheme="minorHAnsi"/>
        </w:rPr>
        <w:t xml:space="preserve">the clinical trials section)- however </w:t>
      </w:r>
      <w:r>
        <w:rPr>
          <w:rFonts w:asciiTheme="minorHAnsi" w:hAnsiTheme="minorHAnsi"/>
        </w:rPr>
        <w:t>the Delegate</w:t>
      </w:r>
      <w:r w:rsidRPr="00E550B7">
        <w:rPr>
          <w:rFonts w:asciiTheme="minorHAnsi" w:hAnsiTheme="minorHAnsi"/>
        </w:rPr>
        <w:t xml:space="preserve"> note</w:t>
      </w:r>
      <w:r>
        <w:rPr>
          <w:rFonts w:asciiTheme="minorHAnsi" w:hAnsiTheme="minorHAnsi"/>
        </w:rPr>
        <w:t>s</w:t>
      </w:r>
      <w:r w:rsidRPr="00E550B7">
        <w:rPr>
          <w:rFonts w:asciiTheme="minorHAnsi" w:hAnsiTheme="minorHAnsi"/>
        </w:rPr>
        <w:t xml:space="preserve"> other anti-osteoporosis medications include this. In relation to use in men, other anti-osteoporosis medications approved in men where there is no fracture outcome </w:t>
      </w:r>
      <w:r>
        <w:rPr>
          <w:rFonts w:asciiTheme="minorHAnsi" w:hAnsiTheme="minorHAnsi"/>
        </w:rPr>
        <w:t xml:space="preserve">have an indication that states. </w:t>
      </w:r>
      <w:r w:rsidRPr="0093398A">
        <w:rPr>
          <w:rFonts w:asciiTheme="minorHAnsi" w:hAnsiTheme="minorHAnsi"/>
          <w:i/>
        </w:rPr>
        <w:t>‘</w:t>
      </w:r>
      <w:r w:rsidRPr="0093398A">
        <w:rPr>
          <w:rFonts w:asciiTheme="minorHAnsi" w:eastAsiaTheme="minorHAnsi" w:hAnsiTheme="minorHAnsi" w:cstheme="majorHAnsi"/>
          <w:i/>
          <w:color w:val="000000"/>
        </w:rPr>
        <w:t>Treatment to increase bone mass in men with osteoporosis at increased risk of fracture</w:t>
      </w:r>
      <w:r w:rsidRPr="00E550B7">
        <w:rPr>
          <w:rFonts w:asciiTheme="minorHAnsi" w:eastAsiaTheme="minorHAnsi" w:hAnsiTheme="minorHAnsi" w:cstheme="majorHAnsi"/>
          <w:color w:val="000000"/>
        </w:rPr>
        <w:t>’, this would also be more appropriate for romosozumab at this time.</w:t>
      </w:r>
    </w:p>
    <w:p w14:paraId="696A417F" w14:textId="455053B0" w:rsidR="003F09E4" w:rsidRDefault="003F09E4" w:rsidP="00D26286">
      <w:pPr>
        <w:pStyle w:val="Heading5"/>
      </w:pPr>
      <w:r>
        <w:t>Questions for the sponsor</w:t>
      </w:r>
    </w:p>
    <w:p w14:paraId="2C5FA724" w14:textId="77777777" w:rsidR="00C44BAA" w:rsidRDefault="003F09E4" w:rsidP="00D26286">
      <w:pPr>
        <w:pStyle w:val="Numberbullet0"/>
      </w:pPr>
      <w:r>
        <w:t xml:space="preserve">Please comment on how many patients in the clinical development program had taken alendronate, risedronate, </w:t>
      </w:r>
      <w:proofErr w:type="spellStart"/>
      <w:r>
        <w:t>denosumab</w:t>
      </w:r>
      <w:proofErr w:type="spellEnd"/>
      <w:r>
        <w:t xml:space="preserve">, </w:t>
      </w:r>
      <w:proofErr w:type="spellStart"/>
      <w:r>
        <w:t>teriparatide</w:t>
      </w:r>
      <w:proofErr w:type="spellEnd"/>
      <w:r>
        <w:t xml:space="preserve"> or </w:t>
      </w:r>
      <w:proofErr w:type="spellStart"/>
      <w:r>
        <w:t>raloxifene</w:t>
      </w:r>
      <w:proofErr w:type="spellEnd"/>
      <w:r>
        <w:t xml:space="preserve"> prior to </w:t>
      </w:r>
      <w:proofErr w:type="spellStart"/>
      <w:r>
        <w:t>romosozumab</w:t>
      </w:r>
      <w:proofErr w:type="spellEnd"/>
      <w:r>
        <w:t>?</w:t>
      </w:r>
    </w:p>
    <w:p w14:paraId="6C9BC92C" w14:textId="77777777" w:rsidR="003F09E4" w:rsidRDefault="003F09E4" w:rsidP="00D26286">
      <w:pPr>
        <w:pStyle w:val="Numberbullet0"/>
      </w:pPr>
      <w:r>
        <w:t>Did renal impairment (</w:t>
      </w:r>
      <w:proofErr w:type="spellStart"/>
      <w:r>
        <w:t>eGRF</w:t>
      </w:r>
      <w:proofErr w:type="spellEnd"/>
      <w:r>
        <w:t xml:space="preserve"> 30</w:t>
      </w:r>
      <w:r w:rsidR="00D26286">
        <w:t xml:space="preserve"> to </w:t>
      </w:r>
      <w:r>
        <w:t>60, 60</w:t>
      </w:r>
      <w:r w:rsidR="00D26286">
        <w:t xml:space="preserve"> to </w:t>
      </w:r>
      <w:r>
        <w:t>90 or &gt; 90</w:t>
      </w:r>
      <w:r w:rsidR="00D26286">
        <w:t xml:space="preserve"> </w:t>
      </w:r>
      <w:r>
        <w:t>m</w:t>
      </w:r>
      <w:r w:rsidR="00D26286">
        <w:t>L</w:t>
      </w:r>
      <w:r>
        <w:t>/min) have any impact on the efficacy of romosozumab?</w:t>
      </w:r>
    </w:p>
    <w:p w14:paraId="2F81868F" w14:textId="77777777" w:rsidR="008D74BF" w:rsidRDefault="003F09E4" w:rsidP="00D26286">
      <w:pPr>
        <w:pStyle w:val="Numberbullet0"/>
      </w:pPr>
      <w:r>
        <w:t>Describe efficacy and safety in the small number of patients with eGFR</w:t>
      </w:r>
      <w:r w:rsidR="00D26286">
        <w:t xml:space="preserve"> </w:t>
      </w:r>
      <w:r>
        <w:t>&lt; 30</w:t>
      </w:r>
      <w:r w:rsidR="00D26286">
        <w:t xml:space="preserve"> </w:t>
      </w:r>
      <w:r>
        <w:t>m</w:t>
      </w:r>
      <w:r w:rsidR="00D26286">
        <w:t>L</w:t>
      </w:r>
      <w:r>
        <w:t>/min in the clinical studies</w:t>
      </w:r>
      <w:r w:rsidR="008D74BF">
        <w:t>.</w:t>
      </w:r>
    </w:p>
    <w:p w14:paraId="1713F33E" w14:textId="77777777" w:rsidR="003F09E4" w:rsidRDefault="003F09E4" w:rsidP="00D26286">
      <w:pPr>
        <w:pStyle w:val="Numberbullet0"/>
      </w:pPr>
      <w:r>
        <w:t>Is a cardiovascular safety study planned, or will this only be performed if romo</w:t>
      </w:r>
      <w:r w:rsidR="0086711C">
        <w:t>sozumab is registered in Europe</w:t>
      </w:r>
      <w:r>
        <w:t>?</w:t>
      </w:r>
    </w:p>
    <w:p w14:paraId="73675C73" w14:textId="77777777" w:rsidR="00C44BAA" w:rsidRDefault="003F09E4" w:rsidP="00D26286">
      <w:pPr>
        <w:pStyle w:val="Numberbullet0"/>
      </w:pPr>
      <w:r>
        <w:t>Is there any information about whether romosozumab alters the healing of fractures?</w:t>
      </w:r>
    </w:p>
    <w:p w14:paraId="5F529A31" w14:textId="77777777" w:rsidR="003F09E4" w:rsidRDefault="003F09E4" w:rsidP="00D26286">
      <w:pPr>
        <w:pStyle w:val="Numberbullet0"/>
      </w:pPr>
      <w:r>
        <w:t>Has the use of romosozumab been associated with osteonecrosis at other sites? Is this a potential risk?</w:t>
      </w:r>
    </w:p>
    <w:p w14:paraId="7EF231B9" w14:textId="77777777" w:rsidR="003F09E4" w:rsidRDefault="003F09E4" w:rsidP="00D26286">
      <w:pPr>
        <w:pStyle w:val="Numberbullet0"/>
      </w:pPr>
      <w:r>
        <w:t>Please summarise the results of fractures from safety analysis in the study in men</w:t>
      </w:r>
      <w:r w:rsidR="0086711C">
        <w:t>.</w:t>
      </w:r>
    </w:p>
    <w:p w14:paraId="2C6A83F0" w14:textId="77777777" w:rsidR="003F09E4" w:rsidRDefault="003F09E4" w:rsidP="00D26286">
      <w:pPr>
        <w:pStyle w:val="Numberbullet0"/>
      </w:pPr>
      <w:r>
        <w:t xml:space="preserve">Please </w:t>
      </w:r>
      <w:r w:rsidR="00173EF3">
        <w:t>upda</w:t>
      </w:r>
      <w:r>
        <w:t>te the TGA on the outcome of the assessment in Europe</w:t>
      </w:r>
      <w:r w:rsidR="0086711C">
        <w:t>.</w:t>
      </w:r>
    </w:p>
    <w:p w14:paraId="0D54603D" w14:textId="547AEF9B" w:rsidR="003F09E4" w:rsidRDefault="003F09E4" w:rsidP="00D26286">
      <w:pPr>
        <w:pStyle w:val="Numberbullet0"/>
      </w:pPr>
      <w:r>
        <w:t>Are there further plans to perform a clinical trial with denosumab as an active comparator</w:t>
      </w:r>
      <w:r w:rsidR="0086711C">
        <w:t>?</w:t>
      </w:r>
    </w:p>
    <w:p w14:paraId="0B46E31B" w14:textId="6C6D1A0D" w:rsidR="00ED3A6B" w:rsidRDefault="00ED3A6B" w:rsidP="00ED3A6B">
      <w:pPr>
        <w:pStyle w:val="Heading4"/>
      </w:pPr>
      <w:r>
        <w:t>Summary of issues</w:t>
      </w:r>
    </w:p>
    <w:p w14:paraId="43165ACB" w14:textId="409D501A" w:rsidR="00ED3A6B" w:rsidRDefault="00ED3A6B" w:rsidP="00ED3A6B">
      <w:pPr>
        <w:pStyle w:val="ListBullet"/>
      </w:pPr>
      <w:r w:rsidRPr="005F6BA5">
        <w:t xml:space="preserve">The pivotal trials were performed in postmenopausal women. </w:t>
      </w:r>
      <w:r>
        <w:t>F</w:t>
      </w:r>
      <w:r w:rsidRPr="005F6BA5">
        <w:t xml:space="preserve">racture </w:t>
      </w:r>
      <w:r>
        <w:t>w</w:t>
      </w:r>
      <w:r w:rsidRPr="005F6BA5">
        <w:t xml:space="preserve">as the key primary endpoint. Most of the women in this study had </w:t>
      </w:r>
      <w:r w:rsidRPr="001377E9">
        <w:rPr>
          <w:i/>
        </w:rPr>
        <w:t>not been exposed</w:t>
      </w:r>
      <w:r w:rsidRPr="005F6BA5">
        <w:t xml:space="preserve"> to previous osteoporotic medications but were at high risk of fracture.</w:t>
      </w:r>
    </w:p>
    <w:p w14:paraId="4BA5E41A" w14:textId="23B63D3B" w:rsidR="00ED3A6B" w:rsidRPr="005F6BA5" w:rsidRDefault="00402558" w:rsidP="00ED3A6B">
      <w:pPr>
        <w:pStyle w:val="ListBullet"/>
      </w:pPr>
      <w:r>
        <w:t>E</w:t>
      </w:r>
      <w:r w:rsidR="00ED3A6B" w:rsidRPr="005F6BA5">
        <w:t xml:space="preserve">fficacy as second line agent is supported by </w:t>
      </w:r>
      <w:r w:rsidR="00ED3A6B">
        <w:t xml:space="preserve">the </w:t>
      </w:r>
      <w:r w:rsidR="00ED3A6B" w:rsidRPr="005F6BA5">
        <w:t>relatively small number patients (&lt;</w:t>
      </w:r>
      <w:r w:rsidR="003458DF">
        <w:t> </w:t>
      </w:r>
      <w:r w:rsidR="00ED3A6B" w:rsidRPr="005F6BA5">
        <w:t>10%) treated with other agents in pivotal studies and a supportive study as follow on from alendronate</w:t>
      </w:r>
      <w:r w:rsidR="00ED3A6B">
        <w:t xml:space="preserve">. </w:t>
      </w:r>
    </w:p>
    <w:p w14:paraId="362CA8CA" w14:textId="52ABC36B" w:rsidR="00ED3A6B" w:rsidRDefault="00402558" w:rsidP="00ED3A6B">
      <w:pPr>
        <w:pStyle w:val="ListBullet"/>
      </w:pPr>
      <w:r>
        <w:t>R</w:t>
      </w:r>
      <w:r w:rsidR="00ED3A6B">
        <w:t>omosozumab showed clinically and statistically significant improvements in rates of vertebral fracture and improvements in BMD, both compared to placebo and alendronate.</w:t>
      </w:r>
    </w:p>
    <w:p w14:paraId="6A542413" w14:textId="1AA406A1" w:rsidR="00ED3A6B" w:rsidRPr="001377E9" w:rsidRDefault="00402558" w:rsidP="00ED3A6B">
      <w:pPr>
        <w:pStyle w:val="ListBullet"/>
      </w:pPr>
      <w:r>
        <w:t>T</w:t>
      </w:r>
      <w:r w:rsidR="00ED3A6B" w:rsidRPr="001377E9">
        <w:t>here was no direct comparison between romosozumab and denosumab or zoledronic acid</w:t>
      </w:r>
      <w:r>
        <w:t>.</w:t>
      </w:r>
    </w:p>
    <w:p w14:paraId="79ED502F" w14:textId="2A7DA785" w:rsidR="00ED3A6B" w:rsidRDefault="00402558" w:rsidP="00ED3A6B">
      <w:pPr>
        <w:pStyle w:val="ListBullet"/>
      </w:pPr>
      <w:r>
        <w:t xml:space="preserve">Use </w:t>
      </w:r>
      <w:r w:rsidR="00ED3A6B">
        <w:t>in men supported by clinical study with BMD as primary endpoint</w:t>
      </w:r>
      <w:r>
        <w:t>.</w:t>
      </w:r>
    </w:p>
    <w:p w14:paraId="52F5C35F" w14:textId="62029209" w:rsidR="00ED3A6B" w:rsidRPr="000944BE" w:rsidRDefault="00402558" w:rsidP="00ED3A6B">
      <w:pPr>
        <w:pStyle w:val="ListBullet"/>
      </w:pPr>
      <w:r>
        <w:t>T</w:t>
      </w:r>
      <w:r w:rsidR="00ED3A6B">
        <w:t>here was an imbalance in cardiovascular events in one of the pivotal studies</w:t>
      </w:r>
      <w:r>
        <w:t>.</w:t>
      </w:r>
    </w:p>
    <w:p w14:paraId="38F8CCD0" w14:textId="01A1A4C7" w:rsidR="00ED3A6B" w:rsidRDefault="00402558" w:rsidP="00ED3A6B">
      <w:pPr>
        <w:pStyle w:val="ListBullet"/>
      </w:pPr>
      <w:r>
        <w:lastRenderedPageBreak/>
        <w:t>D</w:t>
      </w:r>
      <w:r w:rsidR="00ED3A6B">
        <w:t>ata on long term safety limited to 2 years follow up after treatment for 1 year</w:t>
      </w:r>
      <w:r>
        <w:t>.</w:t>
      </w:r>
    </w:p>
    <w:p w14:paraId="7FDF70A9" w14:textId="6713346D" w:rsidR="00ED3A6B" w:rsidRDefault="00ED3A6B" w:rsidP="00ED3A6B">
      <w:pPr>
        <w:pStyle w:val="Heading4"/>
      </w:pPr>
      <w:r w:rsidRPr="007F38DB">
        <w:t>Pre ACM preliminary assessment</w:t>
      </w:r>
    </w:p>
    <w:p w14:paraId="308D46BB" w14:textId="46EFDF1C" w:rsidR="00ED3A6B" w:rsidRPr="00ED3A6B" w:rsidRDefault="00ED3A6B" w:rsidP="00ED3A6B">
      <w:r>
        <w:t>At th</w:t>
      </w:r>
      <w:r w:rsidR="00402558">
        <w:t xml:space="preserve">e </w:t>
      </w:r>
      <w:r>
        <w:t>time, the Delegate was uncertain in romosozumab should be approved for registration. The Delegate’s concerns primarily relate to use as first line therapy without a comparison to denosumab, and the risk of cardiovascular events.</w:t>
      </w:r>
    </w:p>
    <w:p w14:paraId="78FCB3A9" w14:textId="77777777" w:rsidR="003F09E4" w:rsidRDefault="00A22D57" w:rsidP="00D23139">
      <w:pPr>
        <w:pStyle w:val="Heading4"/>
      </w:pPr>
      <w:r>
        <w:t>Request for AC</w:t>
      </w:r>
      <w:r w:rsidR="00D23139" w:rsidRPr="00D23139">
        <w:t>M advice</w:t>
      </w:r>
    </w:p>
    <w:p w14:paraId="118560BE" w14:textId="77777777" w:rsidR="003F09E4" w:rsidRDefault="003F09E4" w:rsidP="0086711C">
      <w:pPr>
        <w:pStyle w:val="Numberbullet0"/>
        <w:numPr>
          <w:ilvl w:val="0"/>
          <w:numId w:val="29"/>
        </w:numPr>
      </w:pPr>
      <w:r>
        <w:t>The sponsor’s proposed indication would allow first line therapy.</w:t>
      </w:r>
      <w:r w:rsidR="008D74BF">
        <w:t xml:space="preserve"> </w:t>
      </w:r>
      <w:r>
        <w:t>Is this appropriate in the context of not having a direct comparison to denosumab?</w:t>
      </w:r>
    </w:p>
    <w:p w14:paraId="44DD26B9" w14:textId="77777777" w:rsidR="00C44BAA" w:rsidRDefault="003F09E4" w:rsidP="0086711C">
      <w:pPr>
        <w:pStyle w:val="Numberbullet0"/>
        <w:numPr>
          <w:ilvl w:val="0"/>
          <w:numId w:val="29"/>
        </w:numPr>
      </w:pPr>
      <w:r>
        <w:t>Is there sufficient data to support a second line indication?</w:t>
      </w:r>
    </w:p>
    <w:p w14:paraId="73236EE8" w14:textId="77777777" w:rsidR="003F09E4" w:rsidRDefault="003F09E4" w:rsidP="0086711C">
      <w:pPr>
        <w:pStyle w:val="Numberbullet0"/>
        <w:numPr>
          <w:ilvl w:val="0"/>
          <w:numId w:val="29"/>
        </w:numPr>
      </w:pPr>
      <w:r>
        <w:t>What is the most appropriate fracture outcome measure to assess efficacy in osteoporosis (vertebral, all fractures, clinical fractures or non-ver</w:t>
      </w:r>
      <w:r w:rsidR="0086711C">
        <w:t>tebral fractures)</w:t>
      </w:r>
      <w:r>
        <w:t>?</w:t>
      </w:r>
    </w:p>
    <w:p w14:paraId="3162A31B" w14:textId="77777777" w:rsidR="003F09E4" w:rsidRPr="003F09E4" w:rsidRDefault="003F09E4" w:rsidP="0086711C">
      <w:pPr>
        <w:pStyle w:val="Numberbullet0"/>
        <w:numPr>
          <w:ilvl w:val="0"/>
          <w:numId w:val="29"/>
        </w:numPr>
      </w:pPr>
      <w:r>
        <w:t xml:space="preserve">Has safety been adequately established in relation to duration of follow up and the signal for </w:t>
      </w:r>
      <w:r w:rsidR="0086711C">
        <w:t>cardiovascular</w:t>
      </w:r>
      <w:r>
        <w:t xml:space="preserve"> events?</w:t>
      </w:r>
    </w:p>
    <w:p w14:paraId="30182125" w14:textId="77777777" w:rsidR="00D23139" w:rsidRDefault="00456765" w:rsidP="00D23139">
      <w:pPr>
        <w:pStyle w:val="Heading4"/>
      </w:pPr>
      <w:r>
        <w:t xml:space="preserve">Response from </w:t>
      </w:r>
      <w:r w:rsidR="003F6251">
        <w:t>sponsor</w:t>
      </w:r>
    </w:p>
    <w:p w14:paraId="28BC5638" w14:textId="0ED40D31" w:rsidR="00915314" w:rsidRDefault="00915314" w:rsidP="00ED3A6B">
      <w:r w:rsidRPr="00915314">
        <w:t>The indication proposed with the initial application was</w:t>
      </w:r>
      <w:r w:rsidR="00402558">
        <w:t>:</w:t>
      </w:r>
    </w:p>
    <w:p w14:paraId="5C446AA6" w14:textId="77777777" w:rsidR="00915314" w:rsidRPr="00915314" w:rsidRDefault="00915314" w:rsidP="00ED3A6B">
      <w:pPr>
        <w:ind w:left="720"/>
      </w:pPr>
      <w:r w:rsidRPr="00ED3A6B">
        <w:rPr>
          <w:i/>
        </w:rPr>
        <w:t xml:space="preserve">Evenity is indicated for the treatment of osteoporosis in postmenopausal women at increased risk of fracture. Evenity reduces the risk of vertebral, clinical and </w:t>
      </w:r>
      <w:r w:rsidR="00864D4D" w:rsidRPr="00ED3A6B">
        <w:rPr>
          <w:i/>
        </w:rPr>
        <w:t>non-vertebral</w:t>
      </w:r>
      <w:r w:rsidRPr="00ED3A6B">
        <w:rPr>
          <w:i/>
        </w:rPr>
        <w:t xml:space="preserve"> fractures. Evenity is indicated for the treatment of osteoporosis in men at increased risk of fracture. Evenity increases bone mass</w:t>
      </w:r>
      <w:r w:rsidRPr="00915314">
        <w:t>.”</w:t>
      </w:r>
    </w:p>
    <w:p w14:paraId="47BC4702" w14:textId="780AC134" w:rsidR="005579F3" w:rsidRDefault="00915314" w:rsidP="00ED3A6B">
      <w:r w:rsidRPr="00915314">
        <w:t>In response to comments in the clinical evaluation report and the Delegate’s Overview, Amgen proposes to amend the indication to</w:t>
      </w:r>
      <w:r w:rsidR="00402558">
        <w:t>:</w:t>
      </w:r>
    </w:p>
    <w:p w14:paraId="1CFCF65D" w14:textId="77777777" w:rsidR="00915314" w:rsidRPr="00ED3A6B" w:rsidRDefault="00915314" w:rsidP="00ED3A6B">
      <w:pPr>
        <w:ind w:left="720"/>
        <w:rPr>
          <w:i/>
        </w:rPr>
      </w:pPr>
      <w:r w:rsidRPr="00ED3A6B">
        <w:rPr>
          <w:i/>
        </w:rPr>
        <w:t>Evenity is indicated for the treatment of osteoporosis in postmenopausal women at high risk of fracture. Treatment to increase bone mass in men with osteoporosis at high risk of fracture.</w:t>
      </w:r>
    </w:p>
    <w:p w14:paraId="2F841112" w14:textId="39EA5D0A" w:rsidR="00915314" w:rsidRDefault="00915314" w:rsidP="00ED3A6B">
      <w:r w:rsidRPr="00915314">
        <w:t xml:space="preserve">The administration text has been revised to include ‘After completing </w:t>
      </w:r>
      <w:r>
        <w:t>Evenity</w:t>
      </w:r>
      <w:r w:rsidRPr="00915314">
        <w:t xml:space="preserve"> therapy, transition to an anti</w:t>
      </w:r>
      <w:r w:rsidR="003458DF">
        <w:t>-</w:t>
      </w:r>
      <w:proofErr w:type="spellStart"/>
      <w:r w:rsidRPr="00915314">
        <w:t>resorptive</w:t>
      </w:r>
      <w:proofErr w:type="spellEnd"/>
      <w:r w:rsidRPr="00915314">
        <w:t xml:space="preserve"> osteoporosis therapy is required to preserve bone mass’. In addition, text on lack of efficacy and safety for treatment for longer than 12 months and in combination with other osteoporosis treatments has been included.</w:t>
      </w:r>
    </w:p>
    <w:p w14:paraId="788FBDB9" w14:textId="2076E0AB" w:rsidR="00F159CA" w:rsidRDefault="00F159CA" w:rsidP="00F159CA">
      <w:pPr>
        <w:pStyle w:val="Heading5"/>
      </w:pPr>
      <w:r>
        <w:t>R</w:t>
      </w:r>
      <w:r w:rsidR="00ED3A6B">
        <w:t>esponse to Delegate’s questions</w:t>
      </w:r>
      <w:r w:rsidR="002E7EF6">
        <w:t xml:space="preserve"> to sponsor</w:t>
      </w:r>
    </w:p>
    <w:p w14:paraId="3D6E4869" w14:textId="4C24EAB9" w:rsidR="00F159CA" w:rsidRPr="00ED3A6B" w:rsidRDefault="00F159CA" w:rsidP="00ED3A6B">
      <w:pPr>
        <w:pStyle w:val="Numberbullet0"/>
        <w:numPr>
          <w:ilvl w:val="0"/>
          <w:numId w:val="35"/>
        </w:numPr>
        <w:rPr>
          <w:b/>
          <w:i/>
        </w:rPr>
      </w:pPr>
      <w:r w:rsidRPr="00ED3A6B">
        <w:rPr>
          <w:b/>
          <w:i/>
        </w:rPr>
        <w:t xml:space="preserve">Please comment on how many patients in the clinical development program had taken alendronate, risedronate, </w:t>
      </w:r>
      <w:proofErr w:type="spellStart"/>
      <w:r w:rsidRPr="00ED3A6B">
        <w:rPr>
          <w:b/>
          <w:i/>
        </w:rPr>
        <w:t>denosumab</w:t>
      </w:r>
      <w:proofErr w:type="spellEnd"/>
      <w:r w:rsidRPr="00ED3A6B">
        <w:rPr>
          <w:b/>
          <w:i/>
        </w:rPr>
        <w:t xml:space="preserve">, </w:t>
      </w:r>
      <w:proofErr w:type="spellStart"/>
      <w:r w:rsidRPr="00ED3A6B">
        <w:rPr>
          <w:b/>
          <w:i/>
        </w:rPr>
        <w:t>teriparatide</w:t>
      </w:r>
      <w:proofErr w:type="spellEnd"/>
      <w:r w:rsidRPr="00ED3A6B">
        <w:rPr>
          <w:b/>
          <w:i/>
        </w:rPr>
        <w:t xml:space="preserve"> or </w:t>
      </w:r>
      <w:proofErr w:type="spellStart"/>
      <w:r w:rsidRPr="00ED3A6B">
        <w:rPr>
          <w:b/>
          <w:i/>
        </w:rPr>
        <w:t>raloxifene</w:t>
      </w:r>
      <w:proofErr w:type="spellEnd"/>
      <w:r w:rsidRPr="00ED3A6B">
        <w:rPr>
          <w:b/>
          <w:i/>
        </w:rPr>
        <w:t xml:space="preserve"> prior to </w:t>
      </w:r>
      <w:proofErr w:type="spellStart"/>
      <w:r w:rsidRPr="00ED3A6B">
        <w:rPr>
          <w:b/>
          <w:i/>
        </w:rPr>
        <w:t>romosozumab</w:t>
      </w:r>
      <w:proofErr w:type="spellEnd"/>
      <w:r w:rsidRPr="00ED3A6B">
        <w:rPr>
          <w:b/>
          <w:i/>
        </w:rPr>
        <w:t>?</w:t>
      </w:r>
    </w:p>
    <w:p w14:paraId="5CF87D8E" w14:textId="77777777" w:rsidR="00ED3A6B" w:rsidRDefault="00ED3A6B" w:rsidP="00ED3A6B">
      <w:pPr>
        <w:pStyle w:val="Heading6"/>
      </w:pPr>
      <w:r>
        <w:t>Sponsor’s response</w:t>
      </w:r>
    </w:p>
    <w:p w14:paraId="4ADCB4B1" w14:textId="05237735" w:rsidR="00F159CA" w:rsidRDefault="00F159CA" w:rsidP="00ED3A6B">
      <w:pPr>
        <w:pStyle w:val="Numberbullet0"/>
        <w:numPr>
          <w:ilvl w:val="0"/>
          <w:numId w:val="0"/>
        </w:numPr>
      </w:pPr>
      <w:r w:rsidRPr="00F159CA">
        <w:t>The number of subjects who had taken prior osteoporosis therapies across the clinical development program prior to initiating romosozumab therapy is summarised in Table</w:t>
      </w:r>
      <w:r w:rsidR="008E3C6C">
        <w:t> 35</w:t>
      </w:r>
      <w:r w:rsidR="003D64C5">
        <w:t>.</w:t>
      </w:r>
    </w:p>
    <w:p w14:paraId="100CCE42" w14:textId="41A567C6" w:rsidR="00F159CA" w:rsidRDefault="008E3C6C" w:rsidP="00F159CA">
      <w:pPr>
        <w:pStyle w:val="TableTitle"/>
      </w:pPr>
      <w:r>
        <w:lastRenderedPageBreak/>
        <w:t>Table 35</w:t>
      </w:r>
      <w:r w:rsidR="00F159CA">
        <w:t>: P</w:t>
      </w:r>
      <w:r w:rsidR="00F159CA" w:rsidRPr="00F159CA">
        <w:t xml:space="preserve">rior </w:t>
      </w:r>
      <w:r w:rsidRPr="00F159CA">
        <w:t xml:space="preserve">use of osteoporosis medication </w:t>
      </w:r>
      <w:r w:rsidR="00F159CA" w:rsidRPr="00F159CA">
        <w:t xml:space="preserve">(Full </w:t>
      </w:r>
      <w:r w:rsidR="00402558" w:rsidRPr="00F159CA">
        <w:t>analysis set)</w:t>
      </w:r>
    </w:p>
    <w:p w14:paraId="5651794A" w14:textId="77777777" w:rsidR="00F159CA" w:rsidRDefault="00F159CA" w:rsidP="00F159CA">
      <w:pPr>
        <w:pStyle w:val="Numberbullet0"/>
        <w:numPr>
          <w:ilvl w:val="0"/>
          <w:numId w:val="0"/>
        </w:numPr>
      </w:pPr>
      <w:r>
        <w:rPr>
          <w:noProof/>
          <w:lang w:eastAsia="en-AU"/>
        </w:rPr>
        <w:drawing>
          <wp:inline distT="0" distB="0" distL="0" distR="0" wp14:anchorId="5F2F8786" wp14:editId="3D6EF7A5">
            <wp:extent cx="5400040" cy="2837329"/>
            <wp:effectExtent l="0" t="0" r="0" b="1270"/>
            <wp:docPr id="12" name="Picture 12" descr="Prior Use of Osteoporosis Medicatio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00040" cy="2837329"/>
                    </a:xfrm>
                    <a:prstGeom prst="rect">
                      <a:avLst/>
                    </a:prstGeom>
                  </pic:spPr>
                </pic:pic>
              </a:graphicData>
            </a:graphic>
          </wp:inline>
        </w:drawing>
      </w:r>
    </w:p>
    <w:p w14:paraId="0EA6F862" w14:textId="6BE99EFE" w:rsidR="00F159CA" w:rsidRPr="00ED3A6B" w:rsidRDefault="00F159CA" w:rsidP="00ED3A6B">
      <w:pPr>
        <w:pStyle w:val="Numberbullet0"/>
        <w:rPr>
          <w:b/>
          <w:i/>
        </w:rPr>
      </w:pPr>
      <w:r w:rsidRPr="00ED3A6B">
        <w:rPr>
          <w:b/>
          <w:i/>
        </w:rPr>
        <w:t>Did renal impairment (</w:t>
      </w:r>
      <w:proofErr w:type="spellStart"/>
      <w:r w:rsidRPr="00ED3A6B">
        <w:rPr>
          <w:b/>
          <w:i/>
        </w:rPr>
        <w:t>eGRF</w:t>
      </w:r>
      <w:proofErr w:type="spellEnd"/>
      <w:r w:rsidRPr="00ED3A6B">
        <w:rPr>
          <w:b/>
          <w:i/>
        </w:rPr>
        <w:t xml:space="preserve"> 30 to 60, 60 to 90 or &gt; 90 mL/min) have any impact on the efficacy of romosozumab?</w:t>
      </w:r>
    </w:p>
    <w:p w14:paraId="0C4654C7" w14:textId="77777777" w:rsidR="00ED3A6B" w:rsidRDefault="00ED3A6B" w:rsidP="00ED3A6B">
      <w:pPr>
        <w:pStyle w:val="Heading6"/>
      </w:pPr>
      <w:r>
        <w:t>Sponsor’s response</w:t>
      </w:r>
    </w:p>
    <w:p w14:paraId="36937BAD" w14:textId="0C286C53" w:rsidR="003D64C5" w:rsidRDefault="003D64C5" w:rsidP="00ED3A6B">
      <w:pPr>
        <w:pStyle w:val="Numberbullet0"/>
        <w:numPr>
          <w:ilvl w:val="0"/>
          <w:numId w:val="0"/>
        </w:numPr>
      </w:pPr>
      <w:r>
        <w:t>There was no impact of renal impairment on the efficacy of romosozumab.</w:t>
      </w:r>
    </w:p>
    <w:p w14:paraId="52FC7EE7" w14:textId="1CBB6F08" w:rsidR="003D64C5" w:rsidRDefault="003D64C5" w:rsidP="003D64C5">
      <w:pPr>
        <w:pStyle w:val="Numberbullet0"/>
        <w:numPr>
          <w:ilvl w:val="0"/>
          <w:numId w:val="0"/>
        </w:numPr>
      </w:pPr>
      <w:r>
        <w:t>The primary efficacy endpoints of new vertebral fracture at Months 12 and 24 in Study</w:t>
      </w:r>
      <w:r w:rsidR="00402558">
        <w:t> </w:t>
      </w:r>
      <w:r>
        <w:t>20070337 and of new vertebral fracture at month 24 and clinical fracture at primary analysis in Study 20110142 and pe</w:t>
      </w:r>
      <w:r w:rsidR="00C2628B">
        <w:t xml:space="preserve">rcent change from baseline in </w:t>
      </w:r>
      <w:r w:rsidR="00881772">
        <w:t>BMD</w:t>
      </w:r>
      <w:r>
        <w:t xml:space="preserve"> at the lumbar spine, total hip, and femoral neck for all Phase II and III studies are provided by baseline eGFR categories of 15 to &lt; 30, 30 to &lt; 60, 60 to &lt; 90, and ≥ 90 mL/min/1.73 m</w:t>
      </w:r>
      <w:r w:rsidRPr="003D64C5">
        <w:rPr>
          <w:vertAlign w:val="superscript"/>
        </w:rPr>
        <w:t>2</w:t>
      </w:r>
      <w:r w:rsidR="008E3C6C">
        <w:t xml:space="preserve"> (Table 36</w:t>
      </w:r>
      <w:r>
        <w:t>).</w:t>
      </w:r>
    </w:p>
    <w:p w14:paraId="3B9D42B4" w14:textId="7B27E199" w:rsidR="003D64C5" w:rsidRDefault="008E3C6C" w:rsidP="003D64C5">
      <w:pPr>
        <w:pStyle w:val="TableTitle"/>
      </w:pPr>
      <w:r>
        <w:t>Table 36</w:t>
      </w:r>
      <w:r w:rsidR="003D64C5">
        <w:t>: Efficacy results to eGFR group</w:t>
      </w:r>
    </w:p>
    <w:p w14:paraId="1B14C49E" w14:textId="77777777" w:rsidR="003D64C5" w:rsidRDefault="003D64C5" w:rsidP="003D64C5">
      <w:pPr>
        <w:pStyle w:val="Numberbullet0"/>
        <w:numPr>
          <w:ilvl w:val="0"/>
          <w:numId w:val="0"/>
        </w:numPr>
      </w:pPr>
      <w:r>
        <w:rPr>
          <w:noProof/>
          <w:lang w:eastAsia="en-AU"/>
        </w:rPr>
        <w:drawing>
          <wp:inline distT="0" distB="0" distL="0" distR="0" wp14:anchorId="651F5838" wp14:editId="7E885008">
            <wp:extent cx="5400040" cy="1640204"/>
            <wp:effectExtent l="0" t="0" r="0" b="0"/>
            <wp:docPr id="20" name="Picture 20" descr="Efficacy results to eGF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00040" cy="1640204"/>
                    </a:xfrm>
                    <a:prstGeom prst="rect">
                      <a:avLst/>
                    </a:prstGeom>
                  </pic:spPr>
                </pic:pic>
              </a:graphicData>
            </a:graphic>
          </wp:inline>
        </w:drawing>
      </w:r>
    </w:p>
    <w:p w14:paraId="06C790FB" w14:textId="556986C8" w:rsidR="005579F3" w:rsidRDefault="003D64C5" w:rsidP="003D64C5">
      <w:pPr>
        <w:pStyle w:val="Numberbullet0"/>
        <w:numPr>
          <w:ilvl w:val="0"/>
          <w:numId w:val="0"/>
        </w:numPr>
      </w:pPr>
      <w:r>
        <w:t xml:space="preserve">Efficacy results suggest that baseline eGFR has no impact on the effect of romosozumab to increase BMD, with the effect being similar in all groups in all studies. Minor numeric differences between some subgroups are not considered clinically meaningful. Additionally, for Study 20070337, baseline eGFR did not seem to impact the relative risk reduction (RRR) with romosozumab compared with placebo to reduce the incidence of new vertebral fractures through 12 months (relative risk reduction range: 70% to 84% </w:t>
      </w:r>
      <w:r w:rsidR="008E3C6C">
        <w:t>across eGFR categories (Table 37</w:t>
      </w:r>
      <w:r>
        <w:t>) and through 24 months (relative risk reduction range: 73% to 82%, Tabl</w:t>
      </w:r>
      <w:r w:rsidR="008E3C6C">
        <w:t>e 38</w:t>
      </w:r>
      <w:r>
        <w:t>) with no trend associated with the lower eGFR status.</w:t>
      </w:r>
    </w:p>
    <w:p w14:paraId="3111ADC6" w14:textId="07EE47A0" w:rsidR="003D64C5" w:rsidRDefault="008E3C6C" w:rsidP="00CF368A">
      <w:pPr>
        <w:pStyle w:val="TableTitle"/>
      </w:pPr>
      <w:r>
        <w:lastRenderedPageBreak/>
        <w:t>Table 37</w:t>
      </w:r>
      <w:r w:rsidR="00CF368A">
        <w:t xml:space="preserve">: </w:t>
      </w:r>
      <w:r w:rsidR="003D64C5" w:rsidRPr="003D64C5">
        <w:t xml:space="preserve">Subject </w:t>
      </w:r>
      <w:r w:rsidRPr="003D64C5">
        <w:t xml:space="preserve">incidence of new vertebral fracture through </w:t>
      </w:r>
      <w:r w:rsidR="003D64C5" w:rsidRPr="003D64C5">
        <w:t xml:space="preserve">Month 12 by Baseline eGFR </w:t>
      </w:r>
      <w:r w:rsidR="00402558">
        <w:t>g</w:t>
      </w:r>
      <w:r w:rsidR="00402558" w:rsidRPr="003D64C5">
        <w:t xml:space="preserve">roup </w:t>
      </w:r>
      <w:r w:rsidR="003D64C5" w:rsidRPr="003D64C5">
        <w:t>(</w:t>
      </w:r>
      <w:r w:rsidR="00CF368A">
        <w:t xml:space="preserve">Study </w:t>
      </w:r>
      <w:r w:rsidR="003D64C5" w:rsidRPr="003D64C5">
        <w:t xml:space="preserve">20070337, Primary </w:t>
      </w:r>
      <w:r w:rsidR="00402558" w:rsidRPr="003D64C5">
        <w:t>analysis set for vertebral fractures</w:t>
      </w:r>
      <w:r w:rsidR="003D64C5" w:rsidRPr="003D64C5">
        <w:t xml:space="preserve">, LOCF </w:t>
      </w:r>
      <w:r w:rsidR="00402558">
        <w:t>i</w:t>
      </w:r>
      <w:r w:rsidR="003D64C5" w:rsidRPr="003D64C5">
        <w:t>mputation</w:t>
      </w:r>
      <w:r w:rsidR="00CF368A">
        <w:t>)</w:t>
      </w:r>
    </w:p>
    <w:p w14:paraId="0E4670F2" w14:textId="77777777" w:rsidR="008E3C6C" w:rsidRDefault="00CF368A" w:rsidP="008E3C6C">
      <w:r>
        <w:rPr>
          <w:noProof/>
          <w:lang w:eastAsia="en-AU"/>
        </w:rPr>
        <w:drawing>
          <wp:inline distT="0" distB="0" distL="0" distR="0" wp14:anchorId="4E732E21" wp14:editId="33BD7F22">
            <wp:extent cx="5400040" cy="1714051"/>
            <wp:effectExtent l="0" t="0" r="0" b="635"/>
            <wp:docPr id="23" name="Picture 23" descr="Subject Incidence of New Vertebral Fracture Through Month 12 by Baseline eGFR Group (20070337, Primary Analysis Set for Vertebral Fractures,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00040" cy="1714051"/>
                    </a:xfrm>
                    <a:prstGeom prst="rect">
                      <a:avLst/>
                    </a:prstGeom>
                  </pic:spPr>
                </pic:pic>
              </a:graphicData>
            </a:graphic>
          </wp:inline>
        </w:drawing>
      </w:r>
    </w:p>
    <w:p w14:paraId="0E444E70" w14:textId="4226DCDB" w:rsidR="00CF368A" w:rsidRDefault="008E3C6C" w:rsidP="008E3C6C">
      <w:pPr>
        <w:pStyle w:val="TableTitle"/>
      </w:pPr>
      <w:r>
        <w:t>Table 38</w:t>
      </w:r>
      <w:r w:rsidR="00CF368A">
        <w:t xml:space="preserve">: Subject </w:t>
      </w:r>
      <w:r>
        <w:t xml:space="preserve">incidence of new vertebral fracture through </w:t>
      </w:r>
      <w:r w:rsidR="00CF368A">
        <w:t xml:space="preserve">Month 24 by Baseline eGFR </w:t>
      </w:r>
      <w:r w:rsidR="00402558">
        <w:t>g</w:t>
      </w:r>
      <w:r w:rsidR="00CF368A">
        <w:t xml:space="preserve">roup (Study 20070337, Primary </w:t>
      </w:r>
      <w:r w:rsidR="00402558">
        <w:t>analysis set for vertebral fractures</w:t>
      </w:r>
      <w:r w:rsidR="00CF368A">
        <w:t xml:space="preserve">, LOCF </w:t>
      </w:r>
      <w:r w:rsidR="00402558">
        <w:t>i</w:t>
      </w:r>
      <w:r w:rsidR="00CF368A">
        <w:t>mputation)</w:t>
      </w:r>
    </w:p>
    <w:p w14:paraId="6D81D96E" w14:textId="77777777" w:rsidR="00CF368A" w:rsidRDefault="00CF368A" w:rsidP="00CF368A">
      <w:pPr>
        <w:pStyle w:val="Numberbullet0"/>
        <w:numPr>
          <w:ilvl w:val="0"/>
          <w:numId w:val="0"/>
        </w:numPr>
      </w:pPr>
      <w:r>
        <w:rPr>
          <w:noProof/>
          <w:lang w:eastAsia="en-AU"/>
        </w:rPr>
        <w:drawing>
          <wp:inline distT="0" distB="0" distL="0" distR="0" wp14:anchorId="07C2F859" wp14:editId="5DBE1C43">
            <wp:extent cx="5400040" cy="1831167"/>
            <wp:effectExtent l="0" t="0" r="0" b="0"/>
            <wp:docPr id="24" name="Picture 24" descr="Subject Incidence of New Vertebral Fracture Through Month 24 by Baseline eGFR Group (Study 20070337, Primary Analysis Set for Vertebral Fractures,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00040" cy="1831167"/>
                    </a:xfrm>
                    <a:prstGeom prst="rect">
                      <a:avLst/>
                    </a:prstGeom>
                  </pic:spPr>
                </pic:pic>
              </a:graphicData>
            </a:graphic>
          </wp:inline>
        </w:drawing>
      </w:r>
    </w:p>
    <w:p w14:paraId="297F3A63" w14:textId="45F27488" w:rsidR="005579F3" w:rsidRDefault="003D64C5" w:rsidP="003D64C5">
      <w:pPr>
        <w:pStyle w:val="Numberbullet0"/>
        <w:numPr>
          <w:ilvl w:val="0"/>
          <w:numId w:val="0"/>
        </w:numPr>
      </w:pPr>
      <w:r>
        <w:t xml:space="preserve">For Study 20110142, baseline eGFR did not impact the relative risk reduction with romosozumab compared with alendronate on new vertebral fractures through </w:t>
      </w:r>
      <w:r w:rsidR="00CF368A">
        <w:t>M</w:t>
      </w:r>
      <w:r>
        <w:t xml:space="preserve">onth 24 (relative risk reduction range: 45% to 58% across groups) (Table </w:t>
      </w:r>
      <w:r w:rsidR="008E3C6C">
        <w:t>39</w:t>
      </w:r>
      <w:r>
        <w:t>).</w:t>
      </w:r>
    </w:p>
    <w:p w14:paraId="7E57CDAB" w14:textId="462095B4" w:rsidR="00CF368A" w:rsidRDefault="008E3C6C" w:rsidP="00DD0C6F">
      <w:pPr>
        <w:pStyle w:val="TableTitle"/>
      </w:pPr>
      <w:r>
        <w:t>Table 39</w:t>
      </w:r>
      <w:r w:rsidR="00CF368A">
        <w:t xml:space="preserve">: </w:t>
      </w:r>
      <w:r w:rsidR="00CF368A" w:rsidRPr="00CF368A">
        <w:t xml:space="preserve">Subject </w:t>
      </w:r>
      <w:r w:rsidRPr="00CF368A">
        <w:t xml:space="preserve">incidence of new vertebral fracture through </w:t>
      </w:r>
      <w:r w:rsidR="00CF368A" w:rsidRPr="00CF368A">
        <w:t xml:space="preserve">Month 24 by Baseline eGFR </w:t>
      </w:r>
      <w:r w:rsidR="00402558">
        <w:t>g</w:t>
      </w:r>
      <w:r w:rsidR="00CF368A" w:rsidRPr="00CF368A">
        <w:t>roup (</w:t>
      </w:r>
      <w:r w:rsidR="00CF368A">
        <w:t xml:space="preserve">Study </w:t>
      </w:r>
      <w:r w:rsidR="00CF368A" w:rsidRPr="00CF368A">
        <w:t xml:space="preserve">20110142, Primary </w:t>
      </w:r>
      <w:r w:rsidR="00402558" w:rsidRPr="00CF368A">
        <w:t xml:space="preserve">analysis set </w:t>
      </w:r>
      <w:r w:rsidR="00CF368A" w:rsidRPr="00CF368A">
        <w:t xml:space="preserve">for </w:t>
      </w:r>
      <w:r w:rsidRPr="00CF368A">
        <w:t>vertebral f</w:t>
      </w:r>
      <w:r w:rsidR="00CF368A" w:rsidRPr="00CF368A">
        <w:t xml:space="preserve">ractures, LOCF </w:t>
      </w:r>
      <w:r w:rsidR="00402558">
        <w:t>i</w:t>
      </w:r>
      <w:r w:rsidR="00CF368A" w:rsidRPr="00CF368A">
        <w:t>mputation)</w:t>
      </w:r>
      <w:r w:rsidR="00CF368A">
        <w:rPr>
          <w:noProof/>
          <w:lang w:eastAsia="en-AU"/>
        </w:rPr>
        <w:drawing>
          <wp:inline distT="0" distB="0" distL="0" distR="0" wp14:anchorId="614F1D71" wp14:editId="33294F7E">
            <wp:extent cx="5400040" cy="2503865"/>
            <wp:effectExtent l="0" t="0" r="0" b="0"/>
            <wp:docPr id="25" name="Picture 25" descr="Subject Incidence of New Vertebral Fracture Through Month 24 by Baseline eGFR Group (Study 20110142, Primary Analysis Set for Vertebral Fractures,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00040" cy="2503865"/>
                    </a:xfrm>
                    <a:prstGeom prst="rect">
                      <a:avLst/>
                    </a:prstGeom>
                  </pic:spPr>
                </pic:pic>
              </a:graphicData>
            </a:graphic>
          </wp:inline>
        </w:drawing>
      </w:r>
    </w:p>
    <w:p w14:paraId="097A0805" w14:textId="1356280C" w:rsidR="003D64C5" w:rsidRDefault="003D64C5" w:rsidP="003D64C5">
      <w:pPr>
        <w:pStyle w:val="Numberbullet0"/>
        <w:numPr>
          <w:ilvl w:val="0"/>
          <w:numId w:val="0"/>
        </w:numPr>
      </w:pPr>
      <w:r>
        <w:t>For clinical fractures through the primary analysis, in subjects with baseline eGFR 15 to &lt;</w:t>
      </w:r>
      <w:r w:rsidR="002B457C">
        <w:t> </w:t>
      </w:r>
      <w:r>
        <w:t xml:space="preserve">30, the numbers of fractures were too small to estimate the relative risk reduction </w:t>
      </w:r>
      <w:r>
        <w:lastRenderedPageBreak/>
        <w:t>(2</w:t>
      </w:r>
      <w:r w:rsidR="00402558">
        <w:t> </w:t>
      </w:r>
      <w:r>
        <w:t>versus 1); for subjects in the other eGFR categories, the relative risk ratio</w:t>
      </w:r>
      <w:r w:rsidR="008E3C6C">
        <w:t xml:space="preserve"> </w:t>
      </w:r>
      <w:r>
        <w:t xml:space="preserve">ranged from 17% to 38% and there was no treatment-by-subgroup interaction (Table </w:t>
      </w:r>
      <w:r w:rsidR="008E3C6C">
        <w:t>40</w:t>
      </w:r>
      <w:r>
        <w:t>).</w:t>
      </w:r>
    </w:p>
    <w:p w14:paraId="299254B3" w14:textId="29262E02" w:rsidR="00CF368A" w:rsidRDefault="00CF368A" w:rsidP="000D3FC2">
      <w:pPr>
        <w:pStyle w:val="TableTitle"/>
      </w:pPr>
      <w:r>
        <w:t xml:space="preserve">Table </w:t>
      </w:r>
      <w:r w:rsidR="008E3C6C">
        <w:t>40</w:t>
      </w:r>
      <w:r>
        <w:t xml:space="preserve">: </w:t>
      </w:r>
      <w:r w:rsidRPr="00CF368A">
        <w:t xml:space="preserve">Subject </w:t>
      </w:r>
      <w:r w:rsidR="008E3C6C" w:rsidRPr="00CF368A">
        <w:t xml:space="preserve">incidence of clinical fracture through primary analysis </w:t>
      </w:r>
      <w:r w:rsidRPr="00CF368A">
        <w:t xml:space="preserve">by Baseline eGFR </w:t>
      </w:r>
      <w:r w:rsidR="00402558">
        <w:t>g</w:t>
      </w:r>
      <w:r w:rsidRPr="00CF368A">
        <w:t xml:space="preserve">roup (Full </w:t>
      </w:r>
      <w:r w:rsidR="00402558" w:rsidRPr="00CF368A">
        <w:t>analysis set</w:t>
      </w:r>
      <w:r w:rsidRPr="00CF368A">
        <w:t xml:space="preserve">, LOCF </w:t>
      </w:r>
      <w:r w:rsidR="00402558">
        <w:t>i</w:t>
      </w:r>
      <w:r w:rsidRPr="00CF368A">
        <w:t>mputation) (</w:t>
      </w:r>
      <w:r>
        <w:t xml:space="preserve">Study </w:t>
      </w:r>
      <w:r w:rsidRPr="00CF368A">
        <w:t xml:space="preserve">20110142 Primary </w:t>
      </w:r>
      <w:r w:rsidR="00402558">
        <w:t>a</w:t>
      </w:r>
      <w:r w:rsidR="00402558" w:rsidRPr="00CF368A">
        <w:t>nalysis</w:t>
      </w:r>
      <w:r w:rsidRPr="00CF368A">
        <w:t>)</w:t>
      </w:r>
    </w:p>
    <w:p w14:paraId="08FCEDD2" w14:textId="020AC6BC" w:rsidR="001D4BB9" w:rsidRDefault="001D4BB9" w:rsidP="001D4BB9">
      <w:r>
        <w:rPr>
          <w:noProof/>
          <w:lang w:eastAsia="en-AU"/>
        </w:rPr>
        <w:drawing>
          <wp:inline distT="0" distB="0" distL="0" distR="0" wp14:anchorId="7276BE56" wp14:editId="558AC000">
            <wp:extent cx="5400040" cy="7793990"/>
            <wp:effectExtent l="0" t="0" r="0" b="0"/>
            <wp:docPr id="4" name="Picture 4" descr="Subject incidence of clinical fracture through primary analysis by Baseline eGFR Group (Full Analysis Set, LOCF Imputation) (Study 20110142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0040" cy="7793990"/>
                    </a:xfrm>
                    <a:prstGeom prst="rect">
                      <a:avLst/>
                    </a:prstGeom>
                  </pic:spPr>
                </pic:pic>
              </a:graphicData>
            </a:graphic>
          </wp:inline>
        </w:drawing>
      </w:r>
    </w:p>
    <w:p w14:paraId="77FEF78F" w14:textId="6797E57E" w:rsidR="005579F3" w:rsidRDefault="000D3FC2" w:rsidP="003D64C5">
      <w:pPr>
        <w:pStyle w:val="Numberbullet0"/>
        <w:numPr>
          <w:ilvl w:val="0"/>
          <w:numId w:val="0"/>
        </w:numPr>
      </w:pPr>
      <w:r>
        <w:lastRenderedPageBreak/>
        <w:t xml:space="preserve">In addition, </w:t>
      </w:r>
      <w:r w:rsidR="001D4BB9">
        <w:t>the</w:t>
      </w:r>
      <w:r>
        <w:t xml:space="preserve"> population pharmacokinetics</w:t>
      </w:r>
      <w:r w:rsidR="003D64C5">
        <w:t xml:space="preserve"> analysis included data from 463 subjects with normal renal function (eGFR &lt; 90 mL/min/1.73 m</w:t>
      </w:r>
      <w:r w:rsidR="003D64C5" w:rsidRPr="000D3FC2">
        <w:rPr>
          <w:vertAlign w:val="superscript"/>
        </w:rPr>
        <w:t>2</w:t>
      </w:r>
      <w:r w:rsidR="003D64C5">
        <w:t>), 843 with mild renal impairment (60 to &lt; 90 mL/min/1.73</w:t>
      </w:r>
      <w:r w:rsidR="00CF368A">
        <w:t> </w:t>
      </w:r>
      <w:r w:rsidR="003D64C5">
        <w:t>m</w:t>
      </w:r>
      <w:r w:rsidR="003D64C5" w:rsidRPr="003D64C5">
        <w:rPr>
          <w:vertAlign w:val="superscript"/>
        </w:rPr>
        <w:t>2</w:t>
      </w:r>
      <w:r w:rsidR="003D64C5">
        <w:t>), 137 with moderate renal impairment (30 to &lt; 60 mL/min/1.73 m</w:t>
      </w:r>
      <w:r w:rsidR="003D64C5" w:rsidRPr="003D64C5">
        <w:rPr>
          <w:vertAlign w:val="superscript"/>
        </w:rPr>
        <w:t>2</w:t>
      </w:r>
      <w:r w:rsidR="003D64C5">
        <w:t>), 8 with severe renal impairment (15 to &lt; 30 mL/min/1.73 m</w:t>
      </w:r>
      <w:r w:rsidR="003D64C5" w:rsidRPr="003D64C5">
        <w:rPr>
          <w:vertAlign w:val="superscript"/>
        </w:rPr>
        <w:t>2</w:t>
      </w:r>
      <w:r w:rsidR="003D64C5">
        <w:t xml:space="preserve">), and 8 with </w:t>
      </w:r>
      <w:r w:rsidR="007710AA">
        <w:t>end stage renal disease (</w:t>
      </w:r>
      <w:r w:rsidR="003D64C5">
        <w:t>ESRD</w:t>
      </w:r>
      <w:r w:rsidR="007710AA">
        <w:t>)</w:t>
      </w:r>
      <w:r w:rsidR="003D64C5">
        <w:t xml:space="preserve"> requiring h</w:t>
      </w:r>
      <w:r w:rsidR="00BD6FCF">
        <w:t>a</w:t>
      </w:r>
      <w:r w:rsidR="003D64C5">
        <w:t>emodialysis (5 to &lt;</w:t>
      </w:r>
      <w:r w:rsidR="00BD6FCF">
        <w:t> </w:t>
      </w:r>
      <w:r w:rsidR="003D64C5">
        <w:t>15</w:t>
      </w:r>
      <w:r w:rsidR="00BD6FCF">
        <w:t> </w:t>
      </w:r>
      <w:r w:rsidR="003D64C5">
        <w:t>mL/min/1.73</w:t>
      </w:r>
      <w:r w:rsidR="00BD6FCF">
        <w:t> </w:t>
      </w:r>
      <w:r w:rsidR="003D64C5">
        <w:t>m</w:t>
      </w:r>
      <w:r w:rsidR="003D64C5" w:rsidRPr="003D64C5">
        <w:rPr>
          <w:vertAlign w:val="superscript"/>
        </w:rPr>
        <w:t>2</w:t>
      </w:r>
      <w:r w:rsidR="003D64C5">
        <w:t xml:space="preserve">). Based on </w:t>
      </w:r>
      <w:r w:rsidR="00BD6FCF">
        <w:t xml:space="preserve">population pharmacokinetic </w:t>
      </w:r>
      <w:r w:rsidR="003D64C5">
        <w:t>analysis, when compared to a healthy subject with normal renal function, subjects with ESRD (eGFR &lt; 5 to15 mL/min/1.73 m</w:t>
      </w:r>
      <w:r w:rsidR="003D64C5" w:rsidRPr="003D64C5">
        <w:rPr>
          <w:vertAlign w:val="superscript"/>
        </w:rPr>
        <w:t>2</w:t>
      </w:r>
      <w:r w:rsidR="003D64C5">
        <w:t xml:space="preserve"> and assuming no h</w:t>
      </w:r>
      <w:r w:rsidR="00BD6FCF">
        <w:t>a</w:t>
      </w:r>
      <w:r w:rsidR="003D64C5">
        <w:t>emodialysis during romosozumab treatment) had a median fold increase of 1.58 (95% CI 1.39 to 1.84) in predicted AUC at steady state.</w:t>
      </w:r>
    </w:p>
    <w:p w14:paraId="0B6C252F" w14:textId="28359AD0" w:rsidR="00F159CA" w:rsidRPr="00ED3A6B" w:rsidRDefault="003D64C5" w:rsidP="00ED3A6B">
      <w:pPr>
        <w:pStyle w:val="Numberbullet0"/>
        <w:rPr>
          <w:b/>
          <w:i/>
        </w:rPr>
      </w:pPr>
      <w:r w:rsidRPr="00ED3A6B">
        <w:rPr>
          <w:b/>
          <w:i/>
        </w:rPr>
        <w:t>D</w:t>
      </w:r>
      <w:r w:rsidR="00F159CA" w:rsidRPr="00ED3A6B">
        <w:rPr>
          <w:b/>
          <w:i/>
        </w:rPr>
        <w:t>escribe efficacy and safety in the small number of patients with eGFR &lt;</w:t>
      </w:r>
      <w:r w:rsidR="007F2501" w:rsidRPr="00ED3A6B">
        <w:rPr>
          <w:b/>
          <w:i/>
        </w:rPr>
        <w:t> </w:t>
      </w:r>
      <w:r w:rsidR="00F159CA" w:rsidRPr="00ED3A6B">
        <w:rPr>
          <w:b/>
          <w:i/>
        </w:rPr>
        <w:t>30</w:t>
      </w:r>
      <w:r w:rsidR="00BD6FCF">
        <w:rPr>
          <w:b/>
          <w:i/>
        </w:rPr>
        <w:t> </w:t>
      </w:r>
      <w:r w:rsidR="00F159CA" w:rsidRPr="00ED3A6B">
        <w:rPr>
          <w:b/>
          <w:i/>
        </w:rPr>
        <w:t>mL/min in the clinical studies.</w:t>
      </w:r>
    </w:p>
    <w:p w14:paraId="390C3045" w14:textId="77777777" w:rsidR="00ED3A6B" w:rsidRDefault="00ED3A6B" w:rsidP="00ED3A6B">
      <w:pPr>
        <w:pStyle w:val="Heading6"/>
      </w:pPr>
      <w:r>
        <w:t>Sponsor’s response</w:t>
      </w:r>
    </w:p>
    <w:p w14:paraId="4EDB35D8" w14:textId="7F6579D1" w:rsidR="002B457C" w:rsidRDefault="003D7E26" w:rsidP="00ED3A6B">
      <w:r>
        <w:t>A Phase I Study 20110227</w:t>
      </w:r>
      <w:r w:rsidR="002B457C">
        <w:t xml:space="preserve"> evaluated the safety, tolerability, and immunogenicity profile of romosozumab after a single 210 mg subcutaneous dose in healthy subjects and subjects with stage 4 renal impairment or end-stage renal disease requiring haemodialysis. Twenty-four subjects were enrolled into three treatment groups: 8 subjects in group 1 (subjects with stage 4 renal impairment), 8 subjects in group 2 (subjects with end-stage renal disease), and 8 subjects in group 3 (healthy subjects). There were no efficacy endpoints in this study. Pharmacokinetic results showed that most of the subjects with stage 4 renal impairment and end-stage renal disease requiring haemodialysis had pharmacokinetic values that were within the range of healthy subjects.</w:t>
      </w:r>
    </w:p>
    <w:p w14:paraId="4AAD7B08" w14:textId="3CF30C3C" w:rsidR="005579F3" w:rsidRDefault="002B457C" w:rsidP="002B457C">
      <w:r>
        <w:t>In the Phase III studies, the BMD results for the small number of subjects with eGFR &lt; 30 mL/min/1.73m</w:t>
      </w:r>
      <w:r w:rsidRPr="002B457C">
        <w:rPr>
          <w:vertAlign w:val="superscript"/>
        </w:rPr>
        <w:t>2</w:t>
      </w:r>
      <w:r>
        <w:t xml:space="preserve"> were similar to the </w:t>
      </w:r>
      <w:r w:rsidR="00881772">
        <w:t>BMD</w:t>
      </w:r>
      <w:r>
        <w:t xml:space="preserve"> results in patients with eGFR values of 30 to &lt; 60, 60 to &lt; 90 and ≥ 90 mL/min/1.73m</w:t>
      </w:r>
      <w:r w:rsidRPr="002B457C">
        <w:rPr>
          <w:vertAlign w:val="superscript"/>
        </w:rPr>
        <w:t>2</w:t>
      </w:r>
      <w:r>
        <w:t xml:space="preserve"> (Table </w:t>
      </w:r>
      <w:r w:rsidR="001D4BB9">
        <w:t>41</w:t>
      </w:r>
      <w:r>
        <w:t xml:space="preserve"> to Table </w:t>
      </w:r>
      <w:r w:rsidR="001D4BB9">
        <w:t>42</w:t>
      </w:r>
      <w:r>
        <w:t>).</w:t>
      </w:r>
    </w:p>
    <w:p w14:paraId="7C55BA65" w14:textId="3D73CCBE" w:rsidR="002B457C" w:rsidRDefault="001D4BB9" w:rsidP="002B457C">
      <w:pPr>
        <w:pStyle w:val="TableTitle"/>
      </w:pPr>
      <w:r>
        <w:t>Table 41</w:t>
      </w:r>
      <w:r w:rsidR="002B457C">
        <w:t xml:space="preserve">: </w:t>
      </w:r>
      <w:r w:rsidR="002B457C" w:rsidRPr="002B457C">
        <w:t xml:space="preserve">Lumbar </w:t>
      </w:r>
      <w:r w:rsidRPr="002B457C">
        <w:t>spin</w:t>
      </w:r>
      <w:r w:rsidR="002B457C" w:rsidRPr="002B457C">
        <w:t xml:space="preserve">e </w:t>
      </w:r>
      <w:r>
        <w:t>BMD</w:t>
      </w:r>
      <w:r w:rsidR="002B457C" w:rsidRPr="002B457C">
        <w:t xml:space="preserve"> </w:t>
      </w:r>
      <w:r w:rsidRPr="002B457C">
        <w:t xml:space="preserve">percent change from </w:t>
      </w:r>
      <w:r w:rsidR="002B457C" w:rsidRPr="002B457C">
        <w:t xml:space="preserve">Baseline at Month 12 by Baseline eGFR </w:t>
      </w:r>
      <w:r w:rsidR="00BD6FCF">
        <w:t>g</w:t>
      </w:r>
      <w:r w:rsidR="002B457C" w:rsidRPr="002B457C">
        <w:t>roup (</w:t>
      </w:r>
      <w:r w:rsidR="002B457C">
        <w:t xml:space="preserve">Study </w:t>
      </w:r>
      <w:r w:rsidR="002B457C" w:rsidRPr="002B457C">
        <w:t xml:space="preserve">20070337, Primary </w:t>
      </w:r>
      <w:r w:rsidR="00BD6FCF" w:rsidRPr="002B457C">
        <w:t xml:space="preserve">analysis set </w:t>
      </w:r>
      <w:r w:rsidR="002B457C" w:rsidRPr="002B457C">
        <w:t xml:space="preserve">for </w:t>
      </w:r>
      <w:r w:rsidR="00881772">
        <w:t>BMD</w:t>
      </w:r>
      <w:r w:rsidR="00BD6FCF" w:rsidRPr="002B457C">
        <w:t>, observed data</w:t>
      </w:r>
      <w:r w:rsidR="002B457C" w:rsidRPr="002B457C">
        <w:t>)</w:t>
      </w:r>
    </w:p>
    <w:p w14:paraId="7FDCA262" w14:textId="77777777" w:rsidR="002B457C" w:rsidRDefault="002B457C" w:rsidP="002B457C">
      <w:r>
        <w:rPr>
          <w:noProof/>
          <w:lang w:eastAsia="en-AU"/>
        </w:rPr>
        <w:drawing>
          <wp:inline distT="0" distB="0" distL="0" distR="0" wp14:anchorId="3C0767D0" wp14:editId="7CA12EB4">
            <wp:extent cx="5400040" cy="1190778"/>
            <wp:effectExtent l="0" t="0" r="0" b="9525"/>
            <wp:docPr id="451" name="Picture 451" descr="Lumbar spine BMD percent change from Baseline at Month 12 by Baseline eGFR Group (Study 20070337, Primary Analysis Set for BMD, Observed Data)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00040" cy="1190778"/>
                    </a:xfrm>
                    <a:prstGeom prst="rect">
                      <a:avLst/>
                    </a:prstGeom>
                  </pic:spPr>
                </pic:pic>
              </a:graphicData>
            </a:graphic>
          </wp:inline>
        </w:drawing>
      </w:r>
    </w:p>
    <w:p w14:paraId="4E4E86CE" w14:textId="5EAF2901" w:rsidR="00496269" w:rsidRDefault="001D4BB9" w:rsidP="00496269">
      <w:pPr>
        <w:pStyle w:val="TableTitle"/>
      </w:pPr>
      <w:r>
        <w:t>Table 42</w:t>
      </w:r>
      <w:r w:rsidR="00496269">
        <w:t xml:space="preserve">: </w:t>
      </w:r>
      <w:r w:rsidR="00496269" w:rsidRPr="00496269">
        <w:t xml:space="preserve">Femoral </w:t>
      </w:r>
      <w:r>
        <w:t>n</w:t>
      </w:r>
      <w:r w:rsidR="00496269" w:rsidRPr="00496269">
        <w:t xml:space="preserve">eck </w:t>
      </w:r>
      <w:r>
        <w:t>BMD</w:t>
      </w:r>
      <w:r w:rsidR="00496269" w:rsidRPr="00496269">
        <w:t xml:space="preserve"> </w:t>
      </w:r>
      <w:r w:rsidRPr="00496269">
        <w:t xml:space="preserve">percent change from </w:t>
      </w:r>
      <w:r w:rsidR="00496269" w:rsidRPr="00496269">
        <w:t>Baseline at Month 24 by Baseline eGFR Group (</w:t>
      </w:r>
      <w:r w:rsidR="00496269">
        <w:t xml:space="preserve">Study </w:t>
      </w:r>
      <w:r w:rsidR="00496269" w:rsidRPr="00496269">
        <w:t xml:space="preserve">20110142, Primary Analysis Set for </w:t>
      </w:r>
      <w:r w:rsidR="00881772">
        <w:t>BMD</w:t>
      </w:r>
      <w:r w:rsidR="00496269" w:rsidRPr="00496269">
        <w:t>, Observed Data)</w:t>
      </w:r>
    </w:p>
    <w:p w14:paraId="35967AC2" w14:textId="77777777" w:rsidR="00496269" w:rsidRDefault="00496269" w:rsidP="002B457C">
      <w:r>
        <w:rPr>
          <w:noProof/>
          <w:lang w:eastAsia="en-AU"/>
        </w:rPr>
        <w:drawing>
          <wp:inline distT="0" distB="0" distL="0" distR="0" wp14:anchorId="7123BA15" wp14:editId="02A6B969">
            <wp:extent cx="5400040" cy="1427318"/>
            <wp:effectExtent l="0" t="0" r="0" b="1905"/>
            <wp:docPr id="452" name="Picture 452" descr="Femoral Neck Bone Mineral Density Percent Change From Baseline at Month 24 by Baseline eGFR Group (Study 20110142, Primary Analysis Set for bone mineral density, Observ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00040" cy="1427318"/>
                    </a:xfrm>
                    <a:prstGeom prst="rect">
                      <a:avLst/>
                    </a:prstGeom>
                  </pic:spPr>
                </pic:pic>
              </a:graphicData>
            </a:graphic>
          </wp:inline>
        </w:drawing>
      </w:r>
    </w:p>
    <w:p w14:paraId="68F029DC" w14:textId="77777777" w:rsidR="00496269" w:rsidRDefault="002B457C" w:rsidP="002B457C">
      <w:r>
        <w:t>Clinical fractures in Study 20110142 in subjects with eGFR &lt; 30 mL/min/1.73m</w:t>
      </w:r>
      <w:r w:rsidRPr="002B457C">
        <w:rPr>
          <w:vertAlign w:val="superscript"/>
        </w:rPr>
        <w:t>2</w:t>
      </w:r>
      <w:r>
        <w:t xml:space="preserve"> were too few to make conclusions (0 to 2 fractures p</w:t>
      </w:r>
      <w:r w:rsidR="007F2501">
        <w:t>er group).</w:t>
      </w:r>
    </w:p>
    <w:p w14:paraId="6082BE67" w14:textId="77777777" w:rsidR="000D3FC2" w:rsidRDefault="002B457C" w:rsidP="007F2501">
      <w:r>
        <w:t>Safety results from Phase I Study 20110227 showed that romosozumab resulted in a greater decrease in serum calcium in subjects with stage 4 renal impairment and end stage renal disease requiring h</w:t>
      </w:r>
      <w:r w:rsidR="007F2501">
        <w:t>a</w:t>
      </w:r>
      <w:r>
        <w:t>emodialysis than in healthy subjects.</w:t>
      </w:r>
      <w:r w:rsidR="007F2501">
        <w:t> </w:t>
      </w:r>
      <w:r>
        <w:t>30</w:t>
      </w:r>
      <w:r w:rsidR="007F2501">
        <w:t> </w:t>
      </w:r>
      <w:r>
        <w:t>mL/min/1.73m</w:t>
      </w:r>
      <w:r w:rsidRPr="00496269">
        <w:rPr>
          <w:vertAlign w:val="superscript"/>
        </w:rPr>
        <w:t>2</w:t>
      </w:r>
      <w:r>
        <w:t xml:space="preserve"> were </w:t>
      </w:r>
      <w:r>
        <w:lastRenderedPageBreak/>
        <w:t>comparable between treatment groups and the types of adverse events reported were consistent with those reported in the global osteoporosis population.</w:t>
      </w:r>
    </w:p>
    <w:p w14:paraId="12CF5B53" w14:textId="2CF18D95" w:rsidR="007F2501" w:rsidRPr="00ED3A6B" w:rsidRDefault="007F2501" w:rsidP="00ED3A6B">
      <w:pPr>
        <w:pStyle w:val="Numberbullet0"/>
        <w:rPr>
          <w:b/>
          <w:i/>
        </w:rPr>
      </w:pPr>
      <w:r w:rsidRPr="00ED3A6B">
        <w:rPr>
          <w:b/>
          <w:i/>
        </w:rPr>
        <w:t>Is a cardiovascular safety study planned, or will this only be performed if romosozumab is registered in Europe?</w:t>
      </w:r>
    </w:p>
    <w:p w14:paraId="72607DAC" w14:textId="77777777" w:rsidR="00ED3A6B" w:rsidRDefault="00ED3A6B" w:rsidP="00ED3A6B">
      <w:pPr>
        <w:pStyle w:val="Heading6"/>
      </w:pPr>
      <w:r>
        <w:t>Sponsor’s response</w:t>
      </w:r>
    </w:p>
    <w:p w14:paraId="37EF33D4" w14:textId="464D58F0" w:rsidR="007F2501" w:rsidRDefault="00ED3A6B" w:rsidP="00ED3A6B">
      <w:pPr>
        <w:pStyle w:val="Numberbullet0"/>
        <w:numPr>
          <w:ilvl w:val="0"/>
          <w:numId w:val="0"/>
        </w:numPr>
      </w:pPr>
      <w:r>
        <w:t>A pos</w:t>
      </w:r>
      <w:r w:rsidR="007F2501" w:rsidRPr="007F2501">
        <w:t>t</w:t>
      </w:r>
      <w:r>
        <w:t xml:space="preserve"> </w:t>
      </w:r>
      <w:r w:rsidR="007F2501" w:rsidRPr="007F2501">
        <w:t>marketing cardiovascular safety study has been proposed in the EU and in the US; the nature of the planned prospective observational study is currently under review as part of the filing procedure. Details of the draft EU protocol summary are provided in EU RMP Annex 3</w:t>
      </w:r>
      <w:r w:rsidR="00BD6FCF">
        <w:t xml:space="preserve"> [not included in this document].</w:t>
      </w:r>
    </w:p>
    <w:p w14:paraId="6EA41A17" w14:textId="57FE96BF" w:rsidR="00F159CA" w:rsidRPr="00ED3A6B" w:rsidRDefault="00F159CA" w:rsidP="00ED3A6B">
      <w:pPr>
        <w:pStyle w:val="Numberbullet0"/>
        <w:rPr>
          <w:b/>
          <w:i/>
        </w:rPr>
      </w:pPr>
      <w:r w:rsidRPr="00ED3A6B">
        <w:rPr>
          <w:b/>
          <w:i/>
        </w:rPr>
        <w:t>Is there any information about whether romosozumab alters the healing of fractures?</w:t>
      </w:r>
    </w:p>
    <w:p w14:paraId="524CDAD4" w14:textId="77777777" w:rsidR="00ED3A6B" w:rsidRDefault="00ED3A6B" w:rsidP="00ED3A6B">
      <w:pPr>
        <w:pStyle w:val="Heading6"/>
      </w:pPr>
      <w:r>
        <w:t>Sponsor’s response</w:t>
      </w:r>
    </w:p>
    <w:p w14:paraId="2889C889" w14:textId="3F8FFB90" w:rsidR="007F2501" w:rsidRDefault="007F2501" w:rsidP="00ED3A6B">
      <w:pPr>
        <w:pStyle w:val="Numberbullet0"/>
        <w:numPr>
          <w:ilvl w:val="0"/>
          <w:numId w:val="0"/>
        </w:numPr>
      </w:pPr>
      <w:r w:rsidRPr="007F2501">
        <w:t>Romosozumab does not appear to alter the healing of fractures based upon review of the adverse event data. There were no reported events of fracture delayed union, mal</w:t>
      </w:r>
      <w:r w:rsidR="00E61C13">
        <w:t>-</w:t>
      </w:r>
      <w:r w:rsidRPr="007F2501">
        <w:t>union, or non</w:t>
      </w:r>
      <w:r w:rsidR="00E61C13">
        <w:t>-</w:t>
      </w:r>
      <w:r w:rsidRPr="007F2501">
        <w:t>union, and no reports of excessive bone callus, decreased bone formation, or delayed callus formation.</w:t>
      </w:r>
    </w:p>
    <w:p w14:paraId="48DF0410" w14:textId="37116F5A" w:rsidR="00F159CA" w:rsidRPr="00ED3A6B" w:rsidRDefault="00F159CA" w:rsidP="00ED3A6B">
      <w:pPr>
        <w:pStyle w:val="Numberbullet0"/>
        <w:rPr>
          <w:b/>
          <w:i/>
        </w:rPr>
      </w:pPr>
      <w:r w:rsidRPr="00ED3A6B">
        <w:rPr>
          <w:b/>
          <w:i/>
        </w:rPr>
        <w:t>Has the use of romosozumab been associated with osteonecrosis at other sites? Is this a potential risk?</w:t>
      </w:r>
    </w:p>
    <w:p w14:paraId="7926C926" w14:textId="77777777" w:rsidR="00ED3A6B" w:rsidRDefault="00ED3A6B" w:rsidP="00ED3A6B">
      <w:pPr>
        <w:pStyle w:val="Heading6"/>
      </w:pPr>
      <w:r>
        <w:t>Sponsor’s response</w:t>
      </w:r>
    </w:p>
    <w:p w14:paraId="2EABC0EA" w14:textId="46A13A82" w:rsidR="007F2501" w:rsidRDefault="007F2501" w:rsidP="00ED3A6B">
      <w:pPr>
        <w:pStyle w:val="Numberbullet0"/>
        <w:numPr>
          <w:ilvl w:val="0"/>
          <w:numId w:val="0"/>
        </w:numPr>
      </w:pPr>
      <w:r w:rsidRPr="007F2501">
        <w:t>Based upon adverse event data review, there was not an association of osteonecrosis outside the jaw with romosozumab administration.</w:t>
      </w:r>
    </w:p>
    <w:p w14:paraId="0E14A874" w14:textId="40E15868" w:rsidR="00F159CA" w:rsidRPr="00ED3A6B" w:rsidRDefault="00F159CA" w:rsidP="00ED3A6B">
      <w:pPr>
        <w:pStyle w:val="Numberbullet0"/>
        <w:rPr>
          <w:b/>
          <w:i/>
        </w:rPr>
      </w:pPr>
      <w:r w:rsidRPr="00ED3A6B">
        <w:rPr>
          <w:b/>
          <w:i/>
        </w:rPr>
        <w:t>Please summarise the results of fractures from safety analysis in the study in men.</w:t>
      </w:r>
    </w:p>
    <w:p w14:paraId="1203CDB8" w14:textId="77777777" w:rsidR="00ED3A6B" w:rsidRDefault="00ED3A6B" w:rsidP="00ED3A6B">
      <w:pPr>
        <w:pStyle w:val="Heading6"/>
      </w:pPr>
      <w:r>
        <w:t>Sponsor’s response</w:t>
      </w:r>
    </w:p>
    <w:p w14:paraId="498F1CA4" w14:textId="3BCC489F" w:rsidR="007F2501" w:rsidRDefault="007F2501" w:rsidP="00ED3A6B">
      <w:pPr>
        <w:pStyle w:val="Numberbullet0"/>
        <w:numPr>
          <w:ilvl w:val="0"/>
          <w:numId w:val="0"/>
        </w:numPr>
      </w:pPr>
      <w:r w:rsidRPr="007F2501">
        <w:t>The incidence of treatment-emergent fracture adverse events by preferred term in the 12-month double</w:t>
      </w:r>
      <w:r w:rsidR="00C2628B">
        <w:t xml:space="preserve"> </w:t>
      </w:r>
      <w:r w:rsidRPr="007F2501">
        <w:t xml:space="preserve">blind study period of Study 20110174 is presented in Table </w:t>
      </w:r>
      <w:r w:rsidR="001D4BB9">
        <w:t>43</w:t>
      </w:r>
      <w:r w:rsidRPr="007F2501">
        <w:t>. The rates of fracture adverse events were similar between the two groups.</w:t>
      </w:r>
    </w:p>
    <w:p w14:paraId="124AA9C1" w14:textId="008F1D9B" w:rsidR="007F2501" w:rsidRDefault="001D4BB9" w:rsidP="007F2501">
      <w:pPr>
        <w:pStyle w:val="TableTitle"/>
      </w:pPr>
      <w:r>
        <w:t>Table 43</w:t>
      </w:r>
      <w:r w:rsidR="007F2501">
        <w:t xml:space="preserve">: </w:t>
      </w:r>
      <w:r w:rsidR="007F2501" w:rsidRPr="007F2501">
        <w:t xml:space="preserve">Subject </w:t>
      </w:r>
      <w:r w:rsidRPr="007F2501">
        <w:t>incidence of treatment emergent fra</w:t>
      </w:r>
      <w:r w:rsidR="007F2501" w:rsidRPr="007F2501">
        <w:t xml:space="preserve">cture </w:t>
      </w:r>
      <w:r>
        <w:t>AEs</w:t>
      </w:r>
      <w:r w:rsidR="007F2501" w:rsidRPr="007F2501">
        <w:t xml:space="preserve"> by Preferred Term in the 12</w:t>
      </w:r>
      <w:r w:rsidR="007F2501">
        <w:t xml:space="preserve"> </w:t>
      </w:r>
      <w:r w:rsidR="007F2501" w:rsidRPr="007F2501">
        <w:t xml:space="preserve">month </w:t>
      </w:r>
      <w:r>
        <w:t>d</w:t>
      </w:r>
      <w:r w:rsidR="007F2501" w:rsidRPr="007F2501">
        <w:t>ouble</w:t>
      </w:r>
      <w:r w:rsidR="007F2501">
        <w:t xml:space="preserve"> </w:t>
      </w:r>
      <w:r w:rsidR="007F2501" w:rsidRPr="007F2501">
        <w:t xml:space="preserve">blind </w:t>
      </w:r>
      <w:r w:rsidR="00BD6FCF" w:rsidRPr="007F2501">
        <w:t xml:space="preserve">study period </w:t>
      </w:r>
      <w:r w:rsidR="007F2501" w:rsidRPr="007F2501">
        <w:t xml:space="preserve">(Safety </w:t>
      </w:r>
      <w:r w:rsidR="00BD6FCF" w:rsidRPr="007F2501">
        <w:t>analysis set) (</w:t>
      </w:r>
      <w:r w:rsidR="007F2501">
        <w:t xml:space="preserve">Study </w:t>
      </w:r>
      <w:r w:rsidR="007F2501" w:rsidRPr="007F2501">
        <w:t xml:space="preserve">20110174 Month 15 </w:t>
      </w:r>
      <w:r w:rsidR="00BD6FCF" w:rsidRPr="007F2501">
        <w:t>final analysis</w:t>
      </w:r>
      <w:r w:rsidR="007F2501" w:rsidRPr="007F2501">
        <w:t>)</w:t>
      </w:r>
    </w:p>
    <w:p w14:paraId="555F1359" w14:textId="77777777" w:rsidR="007F2501" w:rsidRDefault="007F2501" w:rsidP="0003631B">
      <w:pPr>
        <w:pStyle w:val="Numberbullet0"/>
        <w:numPr>
          <w:ilvl w:val="0"/>
          <w:numId w:val="0"/>
        </w:numPr>
      </w:pPr>
      <w:r>
        <w:rPr>
          <w:noProof/>
          <w:lang w:eastAsia="en-AU"/>
        </w:rPr>
        <w:drawing>
          <wp:inline distT="0" distB="0" distL="0" distR="0" wp14:anchorId="5123AC69" wp14:editId="609A2BFC">
            <wp:extent cx="4528868" cy="1797999"/>
            <wp:effectExtent l="0" t="0" r="5080" b="0"/>
            <wp:docPr id="460" name="Picture 460" descr="Subject Incidence of Treatment Emergent Fracture Adverse Events by Preferred Term in the 12 month Double blind Study Period (Safety Analysis Set) (Study 20110174 Month 15 Fin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544647" cy="1804263"/>
                    </a:xfrm>
                    <a:prstGeom prst="rect">
                      <a:avLst/>
                    </a:prstGeom>
                  </pic:spPr>
                </pic:pic>
              </a:graphicData>
            </a:graphic>
          </wp:inline>
        </w:drawing>
      </w:r>
    </w:p>
    <w:p w14:paraId="3B762D0D" w14:textId="66B535BA" w:rsidR="00F159CA" w:rsidRPr="00ED3A6B" w:rsidRDefault="00F159CA" w:rsidP="00ED3A6B">
      <w:pPr>
        <w:pStyle w:val="Numberbullet0"/>
        <w:rPr>
          <w:b/>
          <w:i/>
        </w:rPr>
      </w:pPr>
      <w:r w:rsidRPr="00ED3A6B">
        <w:rPr>
          <w:b/>
          <w:i/>
        </w:rPr>
        <w:t>Please update the TGA on the outcome of the assessment in Europe</w:t>
      </w:r>
    </w:p>
    <w:p w14:paraId="1AC3FAE8" w14:textId="77777777" w:rsidR="00ED3A6B" w:rsidRDefault="00ED3A6B" w:rsidP="00ED3A6B">
      <w:pPr>
        <w:pStyle w:val="Heading6"/>
      </w:pPr>
      <w:r>
        <w:t>Sponsor’s response</w:t>
      </w:r>
    </w:p>
    <w:p w14:paraId="3FAB1EE5" w14:textId="649B980E" w:rsidR="007F2501" w:rsidRDefault="007F2501" w:rsidP="00ED3A6B">
      <w:pPr>
        <w:pStyle w:val="Numberbullet0"/>
        <w:numPr>
          <w:ilvl w:val="0"/>
          <w:numId w:val="0"/>
        </w:numPr>
      </w:pPr>
      <w:r w:rsidRPr="007F2501">
        <w:t>The assessment of E</w:t>
      </w:r>
      <w:r w:rsidR="00F623F9">
        <w:t>venity</w:t>
      </w:r>
      <w:r w:rsidRPr="007F2501">
        <w:t xml:space="preserve"> in Europe is ongoing. Day 180 q</w:t>
      </w:r>
      <w:r w:rsidR="00ED3A6B">
        <w:t>uestions are anticipated on 20</w:t>
      </w:r>
      <w:r w:rsidR="001D4BB9">
        <w:t> </w:t>
      </w:r>
      <w:r w:rsidRPr="007F2501">
        <w:t>September 2018. The CHMP Opinion (Day 210</w:t>
      </w:r>
      <w:r w:rsidR="00ED3A6B">
        <w:t xml:space="preserve">) is not anticipated until 16 </w:t>
      </w:r>
      <w:r w:rsidRPr="007F2501">
        <w:t>November 2018 at the earliest.</w:t>
      </w:r>
    </w:p>
    <w:p w14:paraId="22CD027F" w14:textId="29A72480" w:rsidR="00F159CA" w:rsidRPr="002E7EF6" w:rsidRDefault="00F159CA" w:rsidP="002E7EF6">
      <w:pPr>
        <w:pStyle w:val="Numberbullet0"/>
        <w:rPr>
          <w:b/>
          <w:i/>
        </w:rPr>
      </w:pPr>
      <w:r w:rsidRPr="002E7EF6">
        <w:rPr>
          <w:b/>
          <w:i/>
        </w:rPr>
        <w:lastRenderedPageBreak/>
        <w:t>Are there further plans to perform a clinical trial with denosumab as an active comparator?</w:t>
      </w:r>
    </w:p>
    <w:p w14:paraId="76A2D333" w14:textId="77777777" w:rsidR="002E7EF6" w:rsidRDefault="002E7EF6" w:rsidP="002E7EF6">
      <w:pPr>
        <w:pStyle w:val="Heading6"/>
      </w:pPr>
      <w:r>
        <w:t>Sponsor’s response</w:t>
      </w:r>
    </w:p>
    <w:p w14:paraId="2DE58AAB" w14:textId="49FA5168" w:rsidR="007F2501" w:rsidRDefault="007F2501" w:rsidP="002E7EF6">
      <w:pPr>
        <w:pStyle w:val="Numberbullet0"/>
        <w:numPr>
          <w:ilvl w:val="0"/>
          <w:numId w:val="0"/>
        </w:numPr>
      </w:pPr>
      <w:r w:rsidRPr="007F2501">
        <w:t>There are currently no plans to perform a romosozumab clinical trial with denosumab as an active comparator.</w:t>
      </w:r>
    </w:p>
    <w:p w14:paraId="5A05955D" w14:textId="31C9E4F9" w:rsidR="00F159CA" w:rsidRPr="00915314" w:rsidRDefault="00F159CA" w:rsidP="002E7EF6">
      <w:pPr>
        <w:pStyle w:val="Heading5"/>
      </w:pPr>
      <w:r>
        <w:t xml:space="preserve">Response to </w:t>
      </w:r>
      <w:r w:rsidR="009A2699">
        <w:t>d</w:t>
      </w:r>
      <w:r>
        <w:t xml:space="preserve">elegate’s request for </w:t>
      </w:r>
      <w:r w:rsidR="002E7EF6">
        <w:t>advice</w:t>
      </w:r>
      <w:r>
        <w:t xml:space="preserve"> to ACM</w:t>
      </w:r>
    </w:p>
    <w:p w14:paraId="2340096C" w14:textId="6C4E295D" w:rsidR="00915314" w:rsidRPr="002E7EF6" w:rsidRDefault="00915314" w:rsidP="00915314">
      <w:r w:rsidRPr="002E7EF6">
        <w:t xml:space="preserve">The Delegate posed four questions to the ACM. </w:t>
      </w:r>
      <w:r w:rsidR="00BD6FCF">
        <w:t xml:space="preserve">The sponsor’s </w:t>
      </w:r>
      <w:r w:rsidRPr="002E7EF6">
        <w:t>responses to these questions are provided below.</w:t>
      </w:r>
    </w:p>
    <w:p w14:paraId="6AB638A4" w14:textId="2C1B86F0" w:rsidR="00915314" w:rsidRPr="002E7EF6" w:rsidRDefault="00915314" w:rsidP="002E7EF6">
      <w:pPr>
        <w:pStyle w:val="Numberbullet0"/>
        <w:numPr>
          <w:ilvl w:val="0"/>
          <w:numId w:val="36"/>
        </w:numPr>
        <w:rPr>
          <w:b/>
          <w:i/>
        </w:rPr>
      </w:pPr>
      <w:r w:rsidRPr="002E7EF6">
        <w:rPr>
          <w:b/>
          <w:i/>
        </w:rPr>
        <w:t>The sponsor’s proposed indication would allow first line therapy. Is this appropriate in the context of not having a direct comparison to denosumab?</w:t>
      </w:r>
    </w:p>
    <w:p w14:paraId="6BA7E58F" w14:textId="4C8DA516" w:rsidR="00915314" w:rsidRPr="002E7EF6" w:rsidRDefault="002E7EF6" w:rsidP="00915314">
      <w:r>
        <w:t>The sponsor’s</w:t>
      </w:r>
      <w:r w:rsidR="00915314" w:rsidRPr="002E7EF6">
        <w:t xml:space="preserve"> position is that the prop</w:t>
      </w:r>
      <w:r>
        <w:t xml:space="preserve">osed indication of romosozumab </w:t>
      </w:r>
      <w:r w:rsidR="00915314" w:rsidRPr="002E7EF6">
        <w:t>is appropriate based on</w:t>
      </w:r>
      <w:r>
        <w:t>:</w:t>
      </w:r>
    </w:p>
    <w:p w14:paraId="231E9410" w14:textId="77777777" w:rsidR="005579F3" w:rsidRDefault="00915314" w:rsidP="00915314">
      <w:pPr>
        <w:pStyle w:val="ListBullet"/>
      </w:pPr>
      <w:r w:rsidRPr="00915314">
        <w:t>the need for an agent that reduces fracture risk quickly and substantially, particularly for the patients at high risk for fracture in the next 1 to 2</w:t>
      </w:r>
      <w:r>
        <w:t xml:space="preserve"> </w:t>
      </w:r>
      <w:r w:rsidRPr="00915314">
        <w:t>years, a time frame when current therapies may be insufficiently effective</w:t>
      </w:r>
      <w:r>
        <w:t xml:space="preserve"> </w:t>
      </w:r>
      <w:r w:rsidRPr="00915314">
        <w:t>including denosumab; and</w:t>
      </w:r>
    </w:p>
    <w:p w14:paraId="6723000E" w14:textId="20D1BB71" w:rsidR="00915314" w:rsidRPr="00915314" w:rsidRDefault="00915314" w:rsidP="00915314">
      <w:pPr>
        <w:pStyle w:val="ListBullet"/>
      </w:pPr>
      <w:r w:rsidRPr="00915314">
        <w:t>it</w:t>
      </w:r>
      <w:r w:rsidR="00BD6FCF">
        <w:t>’</w:t>
      </w:r>
      <w:r w:rsidRPr="00915314">
        <w:t>s mechanism uniquely having dual effects on bone</w:t>
      </w:r>
      <w:r>
        <w:t xml:space="preserve"> </w:t>
      </w:r>
      <w:r w:rsidRPr="00915314">
        <w:t xml:space="preserve">– increasing bone formation and decreasing bone resorption, producing a significant and clinically meaningful benefit on </w:t>
      </w:r>
      <w:r w:rsidR="00881772">
        <w:t>BMD</w:t>
      </w:r>
      <w:r w:rsidRPr="00915314">
        <w:t xml:space="preserve"> compared with several other standard of care osteoporosis medications. </w:t>
      </w:r>
      <w:r w:rsidR="00086452">
        <w:t>romosozumab</w:t>
      </w:r>
      <w:r w:rsidRPr="00915314">
        <w:t xml:space="preserve"> should be first line therapy followed by an an</w:t>
      </w:r>
      <w:r w:rsidR="00086452">
        <w:t>ti</w:t>
      </w:r>
      <w:r w:rsidR="003458DF">
        <w:t>-</w:t>
      </w:r>
      <w:proofErr w:type="spellStart"/>
      <w:r w:rsidR="00086452">
        <w:t>resorptive</w:t>
      </w:r>
      <w:proofErr w:type="spellEnd"/>
      <w:r w:rsidR="00086452">
        <w:t xml:space="preserve"> agent (alendronate</w:t>
      </w:r>
      <w:r w:rsidRPr="00915314">
        <w:t xml:space="preserve"> or denosumab) to rapidly lower the likelihood of fracture in patients at high risk for fracture, where the benefit persists beyond the 12</w:t>
      </w:r>
      <w:r w:rsidR="00086452">
        <w:t> </w:t>
      </w:r>
      <w:r w:rsidRPr="00915314">
        <w:t xml:space="preserve">months of initial </w:t>
      </w:r>
      <w:r w:rsidR="00086452">
        <w:t>romosozumab</w:t>
      </w:r>
      <w:r w:rsidRPr="00915314">
        <w:t xml:space="preserve"> treatment.</w:t>
      </w:r>
    </w:p>
    <w:p w14:paraId="44C5F58C" w14:textId="70162C37" w:rsidR="00915314" w:rsidRPr="002E7EF6" w:rsidRDefault="00915314" w:rsidP="00915314">
      <w:r w:rsidRPr="002E7EF6">
        <w:t>Despite availability of bone-forming and anti</w:t>
      </w:r>
      <w:r w:rsidR="003458DF">
        <w:t>-</w:t>
      </w:r>
      <w:proofErr w:type="spellStart"/>
      <w:r w:rsidRPr="002E7EF6">
        <w:t>resorptive</w:t>
      </w:r>
      <w:proofErr w:type="spellEnd"/>
      <w:r w:rsidRPr="002E7EF6">
        <w:t xml:space="preserve"> agents for osteoporosis; patients may remain at an unacceptably high fracture risk, especially in the near term, defined as the next 1 to 2 years.</w:t>
      </w:r>
    </w:p>
    <w:p w14:paraId="7969DB3D" w14:textId="2910950D" w:rsidR="00915314" w:rsidRPr="002E7EF6" w:rsidRDefault="002E7EF6" w:rsidP="00915314">
      <w:r w:rsidRPr="002E7EF6">
        <w:t xml:space="preserve">Romosozumab </w:t>
      </w:r>
      <w:r w:rsidR="00915314" w:rsidRPr="002E7EF6">
        <w:t>was studied as a first line treatment for postmenopausal osteo</w:t>
      </w:r>
      <w:r w:rsidR="00173EF3" w:rsidRPr="002E7EF6">
        <w:t>porosis</w:t>
      </w:r>
      <w:r w:rsidR="00915314" w:rsidRPr="002E7EF6">
        <w:t xml:space="preserve"> in the pivotal fracture trials </w:t>
      </w:r>
      <w:r w:rsidR="00086452" w:rsidRPr="002E7EF6">
        <w:t xml:space="preserve">Study </w:t>
      </w:r>
      <w:r w:rsidR="00915314" w:rsidRPr="002E7EF6">
        <w:t xml:space="preserve">20070337 and </w:t>
      </w:r>
      <w:r w:rsidR="00086452" w:rsidRPr="002E7EF6">
        <w:t xml:space="preserve">Study </w:t>
      </w:r>
      <w:r w:rsidR="00915314" w:rsidRPr="002E7EF6">
        <w:t xml:space="preserve">20110142, which studied treatment naïve patients. Both trials evaluated sequential therapy of </w:t>
      </w:r>
      <w:r w:rsidR="00086452" w:rsidRPr="002E7EF6">
        <w:t>romosozumab</w:t>
      </w:r>
      <w:r w:rsidR="00915314" w:rsidRPr="002E7EF6">
        <w:t>, followed by an anti</w:t>
      </w:r>
      <w:r w:rsidR="003458DF">
        <w:t>-</w:t>
      </w:r>
      <w:proofErr w:type="spellStart"/>
      <w:r w:rsidR="00915314" w:rsidRPr="002E7EF6">
        <w:t>resorptive</w:t>
      </w:r>
      <w:proofErr w:type="spellEnd"/>
      <w:r w:rsidR="00915314" w:rsidRPr="002E7EF6">
        <w:t xml:space="preserve">, either </w:t>
      </w:r>
      <w:proofErr w:type="spellStart"/>
      <w:r w:rsidR="00915314" w:rsidRPr="002E7EF6">
        <w:t>denosumab</w:t>
      </w:r>
      <w:proofErr w:type="spellEnd"/>
      <w:r w:rsidR="00915314" w:rsidRPr="002E7EF6">
        <w:t xml:space="preserve"> (</w:t>
      </w:r>
      <w:r w:rsidR="00086452" w:rsidRPr="002E7EF6">
        <w:t xml:space="preserve">Study </w:t>
      </w:r>
      <w:r w:rsidR="00915314" w:rsidRPr="002E7EF6">
        <w:t xml:space="preserve">20070337) or </w:t>
      </w:r>
      <w:r w:rsidR="00086452" w:rsidRPr="002E7EF6">
        <w:t>alendronate</w:t>
      </w:r>
      <w:r w:rsidR="00915314" w:rsidRPr="002E7EF6">
        <w:t xml:space="preserve"> (</w:t>
      </w:r>
      <w:r w:rsidR="00086452" w:rsidRPr="002E7EF6">
        <w:t xml:space="preserve">Study </w:t>
      </w:r>
      <w:r w:rsidR="00915314" w:rsidRPr="002E7EF6">
        <w:t>20110142). The sequence of treatment of a bone forming agent followed by an anti</w:t>
      </w:r>
      <w:r w:rsidR="003458DF">
        <w:t>-</w:t>
      </w:r>
      <w:proofErr w:type="spellStart"/>
      <w:r w:rsidR="00915314" w:rsidRPr="002E7EF6">
        <w:t>resorptive</w:t>
      </w:r>
      <w:proofErr w:type="spellEnd"/>
      <w:r w:rsidR="00915314" w:rsidRPr="002E7EF6">
        <w:t xml:space="preserve"> aligns with current perspective in the scientific community</w:t>
      </w:r>
      <w:r w:rsidR="00BD6FCF">
        <w:t>;</w:t>
      </w:r>
      <w:r w:rsidR="00915314" w:rsidRPr="002E7EF6">
        <w:rPr>
          <w:rStyle w:val="FootnoteReference"/>
        </w:rPr>
        <w:footnoteReference w:id="55"/>
      </w:r>
      <w:r w:rsidR="005579F3" w:rsidRPr="002E7EF6">
        <w:t xml:space="preserve"> </w:t>
      </w:r>
      <w:r w:rsidR="00915314" w:rsidRPr="002E7EF6">
        <w:t>as well as Osteoporosis Australia therapeutic management guidelines</w:t>
      </w:r>
      <w:r w:rsidR="003458DF">
        <w:t>.</w:t>
      </w:r>
      <w:r w:rsidR="00915314" w:rsidRPr="002E7EF6">
        <w:rPr>
          <w:rStyle w:val="FootnoteReference"/>
        </w:rPr>
        <w:footnoteReference w:id="56"/>
      </w:r>
      <w:r w:rsidR="00915314" w:rsidRPr="002E7EF6">
        <w:t xml:space="preserve"> The evidence suggests that denosumab is an appropriate option for follow-on therapy with </w:t>
      </w:r>
      <w:r w:rsidR="00086452" w:rsidRPr="002E7EF6">
        <w:t>romosozumab</w:t>
      </w:r>
      <w:r w:rsidR="00915314" w:rsidRPr="002E7EF6">
        <w:t xml:space="preserve"> treatment.</w:t>
      </w:r>
    </w:p>
    <w:p w14:paraId="6D0CBC20" w14:textId="72C91F5E" w:rsidR="00915314" w:rsidRPr="002E7EF6" w:rsidRDefault="00173EF3" w:rsidP="00915314">
      <w:r w:rsidRPr="002E7EF6">
        <w:t>Romosozumab</w:t>
      </w:r>
      <w:r w:rsidR="00915314" w:rsidRPr="002E7EF6">
        <w:t xml:space="preserve"> led to significant gains in lumbar spine and proximal femur (total hip and femoral neck) BMD from as early as 6 months and within 12 months, resulting in rapid fracture risk reduction at 12 months. The gains achieved in the first 12 months of treatment laid the foundation for a persistent benefit on fracture risk even when both treatment groups were receiving follow-on treatment with the same anti</w:t>
      </w:r>
      <w:r w:rsidR="003458DF">
        <w:t>-</w:t>
      </w:r>
      <w:proofErr w:type="spellStart"/>
      <w:r w:rsidR="00915314" w:rsidRPr="002E7EF6">
        <w:t>resorptive</w:t>
      </w:r>
      <w:proofErr w:type="spellEnd"/>
      <w:r w:rsidR="00915314" w:rsidRPr="002E7EF6">
        <w:t xml:space="preserve"> agent. With the completion of the </w:t>
      </w:r>
      <w:r w:rsidR="00086452" w:rsidRPr="002E7EF6">
        <w:t>alendronate</w:t>
      </w:r>
      <w:r w:rsidR="00915314" w:rsidRPr="002E7EF6">
        <w:t>-controlled</w:t>
      </w:r>
    </w:p>
    <w:p w14:paraId="1C9A1954" w14:textId="77777777" w:rsidR="00915314" w:rsidRPr="002E7EF6" w:rsidRDefault="00915314" w:rsidP="00915314">
      <w:r w:rsidRPr="002E7EF6">
        <w:t xml:space="preserve">Phase </w:t>
      </w:r>
      <w:r w:rsidR="006B3465" w:rsidRPr="002E7EF6">
        <w:t>III</w:t>
      </w:r>
      <w:r w:rsidRPr="002E7EF6">
        <w:t xml:space="preserve"> fracture </w:t>
      </w:r>
      <w:r w:rsidR="006B3465" w:rsidRPr="002E7EF6">
        <w:t xml:space="preserve">Study </w:t>
      </w:r>
      <w:r w:rsidRPr="002E7EF6">
        <w:t xml:space="preserve">20110142, the benefits of </w:t>
      </w:r>
      <w:r w:rsidR="00086452" w:rsidRPr="002E7EF6">
        <w:t>romosozumab</w:t>
      </w:r>
      <w:r w:rsidRPr="002E7EF6">
        <w:t xml:space="preserve"> demonstrated an important therapeutic advantage over </w:t>
      </w:r>
      <w:r w:rsidR="00086452" w:rsidRPr="002E7EF6">
        <w:t>alendronate</w:t>
      </w:r>
      <w:r w:rsidRPr="002E7EF6">
        <w:t xml:space="preserve"> with superior anti-fracture efficacy at vertebral, </w:t>
      </w:r>
      <w:r w:rsidR="00864D4D" w:rsidRPr="002E7EF6">
        <w:t>non-vertebral</w:t>
      </w:r>
      <w:r w:rsidRPr="002E7EF6">
        <w:t>, and hip sites.</w:t>
      </w:r>
    </w:p>
    <w:p w14:paraId="5ECA6F2D" w14:textId="77777777" w:rsidR="00915314" w:rsidRPr="002E7EF6" w:rsidRDefault="00915314" w:rsidP="00915314">
      <w:r w:rsidRPr="002E7EF6">
        <w:lastRenderedPageBreak/>
        <w:t xml:space="preserve">First-line treatment designation is appropriate for </w:t>
      </w:r>
      <w:r w:rsidR="00086452" w:rsidRPr="002E7EF6">
        <w:t>romosozumab</w:t>
      </w:r>
      <w:r w:rsidRPr="002E7EF6">
        <w:t>. These benefits were achieved in a patient population at greatest risk for fracture and in the most need of treatment.</w:t>
      </w:r>
    </w:p>
    <w:p w14:paraId="1717EC04" w14:textId="000DBBD1" w:rsidR="00915314" w:rsidRPr="002E7EF6" w:rsidRDefault="00915314" w:rsidP="002E7EF6">
      <w:pPr>
        <w:pStyle w:val="Numberbullet0"/>
        <w:rPr>
          <w:b/>
          <w:i/>
        </w:rPr>
      </w:pPr>
      <w:r w:rsidRPr="002E7EF6">
        <w:rPr>
          <w:b/>
          <w:i/>
        </w:rPr>
        <w:t>Is there sufficient data to support a second line indication?</w:t>
      </w:r>
    </w:p>
    <w:p w14:paraId="0BC600B1" w14:textId="58109DCB" w:rsidR="00915314" w:rsidRPr="002E7EF6" w:rsidRDefault="00173EF3" w:rsidP="00915314">
      <w:r w:rsidRPr="002E7EF6">
        <w:t>Romosozumab</w:t>
      </w:r>
      <w:r w:rsidR="00915314" w:rsidRPr="002E7EF6">
        <w:t xml:space="preserve"> should be used in clinical scenarios where a rapidly acting intervention is needed to build bone in patients at high risk for fracture. The pivotal fracture trials demonstrated efficacy where </w:t>
      </w:r>
      <w:r w:rsidR="00086452" w:rsidRPr="002E7EF6">
        <w:t>romosozumab</w:t>
      </w:r>
      <w:r w:rsidR="00915314" w:rsidRPr="002E7EF6">
        <w:t xml:space="preserve"> (bone building therapy) was used to achieve rapid </w:t>
      </w:r>
      <w:r w:rsidR="00881772" w:rsidRPr="002E7EF6">
        <w:t>BMD</w:t>
      </w:r>
      <w:r w:rsidR="00915314" w:rsidRPr="002E7EF6">
        <w:t xml:space="preserve"> gains and was followed by </w:t>
      </w:r>
      <w:proofErr w:type="spellStart"/>
      <w:r w:rsidR="00915314" w:rsidRPr="002E7EF6">
        <w:t>denosumab</w:t>
      </w:r>
      <w:proofErr w:type="spellEnd"/>
      <w:r w:rsidR="00915314" w:rsidRPr="002E7EF6">
        <w:t xml:space="preserve"> or </w:t>
      </w:r>
      <w:r w:rsidR="00086452" w:rsidRPr="002E7EF6">
        <w:t>alendronate</w:t>
      </w:r>
      <w:r w:rsidR="00915314" w:rsidRPr="002E7EF6">
        <w:t xml:space="preserve"> (anti</w:t>
      </w:r>
      <w:r w:rsidR="003458DF">
        <w:t>-</w:t>
      </w:r>
      <w:proofErr w:type="spellStart"/>
      <w:r w:rsidR="00915314" w:rsidRPr="002E7EF6">
        <w:t>resorptive</w:t>
      </w:r>
      <w:proofErr w:type="spellEnd"/>
      <w:r w:rsidR="00915314" w:rsidRPr="002E7EF6">
        <w:t xml:space="preserve"> therapy) to maintain these BMD gains.</w:t>
      </w:r>
    </w:p>
    <w:p w14:paraId="4615325C" w14:textId="66427379" w:rsidR="00915314" w:rsidRPr="002E7EF6" w:rsidRDefault="00915314" w:rsidP="00915314">
      <w:r w:rsidRPr="002E7EF6">
        <w:t>This sequence leads to long-term anti-fracture efficacy in treatment naïve patients at high risk for fracture (see Q</w:t>
      </w:r>
      <w:r w:rsidR="002E7EF6">
        <w:t xml:space="preserve">uestion </w:t>
      </w:r>
      <w:r w:rsidRPr="002E7EF6">
        <w:t>1 response, first-line therapy).</w:t>
      </w:r>
    </w:p>
    <w:p w14:paraId="3639C5C5" w14:textId="77777777" w:rsidR="00915314" w:rsidRPr="002E7EF6" w:rsidRDefault="00915314" w:rsidP="00915314">
      <w:r w:rsidRPr="002E7EF6">
        <w:t xml:space="preserve">Another commonly encountered clinical situation where </w:t>
      </w:r>
      <w:r w:rsidR="00086452" w:rsidRPr="002E7EF6">
        <w:t>romosozumab</w:t>
      </w:r>
      <w:r w:rsidRPr="002E7EF6">
        <w:t xml:space="preserve"> could be used is where patients remain at increased risk for fracture despite previous treatment with bisphosphonates, a widely used class of osteoporosis therapy. There are clinical trial data to support </w:t>
      </w:r>
      <w:r w:rsidR="00086452" w:rsidRPr="002E7EF6">
        <w:t>romosozumab</w:t>
      </w:r>
      <w:r w:rsidRPr="002E7EF6">
        <w:t xml:space="preserve"> use after transition from bisphosphonate.</w:t>
      </w:r>
    </w:p>
    <w:p w14:paraId="6164E1F1" w14:textId="254FF942" w:rsidR="00915314" w:rsidRPr="002E7EF6" w:rsidRDefault="00173EF3" w:rsidP="00915314">
      <w:r w:rsidRPr="002E7EF6">
        <w:t>Romosozumab</w:t>
      </w:r>
      <w:r w:rsidR="00915314" w:rsidRPr="002E7EF6">
        <w:t xml:space="preserve"> was studied in a Phase </w:t>
      </w:r>
      <w:proofErr w:type="spellStart"/>
      <w:r w:rsidR="006B3465" w:rsidRPr="002E7EF6">
        <w:t>III</w:t>
      </w:r>
      <w:r w:rsidR="00915314" w:rsidRPr="002E7EF6">
        <w:t>b</w:t>
      </w:r>
      <w:proofErr w:type="spellEnd"/>
      <w:r w:rsidR="00915314" w:rsidRPr="002E7EF6">
        <w:t xml:space="preserve"> </w:t>
      </w:r>
      <w:r w:rsidR="006B3465" w:rsidRPr="002E7EF6">
        <w:t>Study 20080289</w:t>
      </w:r>
      <w:r w:rsidR="00915314" w:rsidRPr="002E7EF6">
        <w:t>, where subjects were required to have received bisphosphonate therapy for</w:t>
      </w:r>
      <w:r w:rsidR="006B3465" w:rsidRPr="002E7EF6">
        <w:t xml:space="preserve"> at least 3 years prior to enro</w:t>
      </w:r>
      <w:r w:rsidR="00915314" w:rsidRPr="002E7EF6">
        <w:t xml:space="preserve">lment. In this trial, which enrolled more than 400 subjects, </w:t>
      </w:r>
      <w:r w:rsidR="00086452" w:rsidRPr="002E7EF6">
        <w:t>romosozumab</w:t>
      </w:r>
      <w:r w:rsidR="00915314" w:rsidRPr="002E7EF6">
        <w:t xml:space="preserve"> demonstrated superior BMD gains compared with teriparatide, an active comparator and bone building agent, as well as superior bone strength as measured by </w:t>
      </w:r>
      <w:r w:rsidR="00BD6FCF" w:rsidRPr="002E7EF6">
        <w:t>finite element analysis</w:t>
      </w:r>
      <w:r w:rsidR="00915314" w:rsidRPr="002E7EF6">
        <w:t>. Findings on primary and key secondar</w:t>
      </w:r>
      <w:r w:rsidR="001D4BB9">
        <w:t>y endpoints are shown in Table 44</w:t>
      </w:r>
      <w:r w:rsidR="00915314" w:rsidRPr="002E7EF6">
        <w:t>. In addition to the evidence supporting a first line indication, these findings support a second line indication.</w:t>
      </w:r>
    </w:p>
    <w:p w14:paraId="763CD069" w14:textId="77777777" w:rsidR="00915314" w:rsidRPr="002E7EF6" w:rsidRDefault="00915314" w:rsidP="00915314">
      <w:r w:rsidRPr="002E7EF6">
        <w:t>Safety in this population where subjects were previously treated with bisphosphonates was generally consistent to that seen in other clinical studies.</w:t>
      </w:r>
    </w:p>
    <w:p w14:paraId="161441A3" w14:textId="2DF2D2FE" w:rsidR="00915314" w:rsidRPr="00915314" w:rsidRDefault="00915314" w:rsidP="007F2501">
      <w:pPr>
        <w:pStyle w:val="TableTitle"/>
      </w:pPr>
      <w:r w:rsidRPr="00915314">
        <w:t xml:space="preserve">Table </w:t>
      </w:r>
      <w:r w:rsidR="001D4BB9">
        <w:t>44</w:t>
      </w:r>
      <w:r w:rsidR="007F2501">
        <w:t>:</w:t>
      </w:r>
      <w:r w:rsidRPr="00915314">
        <w:t xml:space="preserve"> Primary </w:t>
      </w:r>
      <w:r w:rsidR="001D4BB9" w:rsidRPr="00915314">
        <w:t xml:space="preserve">and key secondary endpoints </w:t>
      </w:r>
      <w:r w:rsidRPr="00915314">
        <w:t>for Study 20080289</w:t>
      </w:r>
    </w:p>
    <w:tbl>
      <w:tblPr>
        <w:tblStyle w:val="TableTGAblue"/>
        <w:tblW w:w="0" w:type="auto"/>
        <w:tblLayout w:type="fixed"/>
        <w:tblLook w:val="01E0" w:firstRow="1" w:lastRow="1" w:firstColumn="1" w:lastColumn="1" w:noHBand="0" w:noVBand="0"/>
      </w:tblPr>
      <w:tblGrid>
        <w:gridCol w:w="3085"/>
        <w:gridCol w:w="1751"/>
        <w:gridCol w:w="1792"/>
        <w:gridCol w:w="1581"/>
      </w:tblGrid>
      <w:tr w:rsidR="006B3465" w14:paraId="7744ED1D" w14:textId="77777777" w:rsidTr="007F2501">
        <w:trPr>
          <w:cnfStyle w:val="100000000000" w:firstRow="1" w:lastRow="0" w:firstColumn="0" w:lastColumn="0" w:oddVBand="0" w:evenVBand="0" w:oddHBand="0" w:evenHBand="0" w:firstRowFirstColumn="0" w:firstRowLastColumn="0" w:lastRowFirstColumn="0" w:lastRowLastColumn="0"/>
          <w:trHeight w:val="1019"/>
        </w:trPr>
        <w:tc>
          <w:tcPr>
            <w:tcW w:w="3085" w:type="dxa"/>
          </w:tcPr>
          <w:p w14:paraId="61F27457" w14:textId="4262057B" w:rsidR="006B3465" w:rsidRPr="006F4610" w:rsidRDefault="006B3465" w:rsidP="001D4BB9">
            <w:pPr>
              <w:ind w:left="0"/>
              <w:rPr>
                <w:sz w:val="20"/>
              </w:rPr>
            </w:pPr>
            <w:r w:rsidRPr="006F4610">
              <w:rPr>
                <w:w w:val="105"/>
                <w:sz w:val="20"/>
              </w:rPr>
              <w:t>Percent change from Baseline at the Total Hip</w:t>
            </w:r>
          </w:p>
        </w:tc>
        <w:tc>
          <w:tcPr>
            <w:tcW w:w="1751" w:type="dxa"/>
          </w:tcPr>
          <w:p w14:paraId="277C76DA" w14:textId="75DF69C7" w:rsidR="006B3465" w:rsidRPr="005D2539" w:rsidRDefault="006B3465" w:rsidP="006F4610">
            <w:pPr>
              <w:ind w:left="34" w:right="0"/>
              <w:rPr>
                <w:sz w:val="20"/>
              </w:rPr>
            </w:pPr>
            <w:proofErr w:type="spellStart"/>
            <w:r w:rsidRPr="006F4610">
              <w:rPr>
                <w:w w:val="105"/>
                <w:sz w:val="20"/>
              </w:rPr>
              <w:t>T</w:t>
            </w:r>
            <w:r w:rsidR="00086452" w:rsidRPr="006F4610">
              <w:rPr>
                <w:w w:val="105"/>
                <w:sz w:val="20"/>
              </w:rPr>
              <w:t>eriparitide</w:t>
            </w:r>
            <w:proofErr w:type="spellEnd"/>
            <w:r w:rsidR="006F4610">
              <w:rPr>
                <w:w w:val="105"/>
                <w:sz w:val="20"/>
              </w:rPr>
              <w:t xml:space="preserve"> </w:t>
            </w:r>
            <w:r w:rsidRPr="006F4610">
              <w:rPr>
                <w:w w:val="105"/>
                <w:sz w:val="20"/>
              </w:rPr>
              <w:t>20</w:t>
            </w:r>
            <w:r w:rsidR="006F4610">
              <w:rPr>
                <w:w w:val="105"/>
                <w:sz w:val="20"/>
              </w:rPr>
              <w:t> </w:t>
            </w:r>
            <w:r w:rsidRPr="006F4610">
              <w:rPr>
                <w:rFonts w:ascii="Symbol" w:hAnsi="Symbol"/>
                <w:w w:val="105"/>
                <w:sz w:val="20"/>
              </w:rPr>
              <w:t></w:t>
            </w:r>
            <w:r w:rsidRPr="006F4610">
              <w:rPr>
                <w:w w:val="105"/>
                <w:sz w:val="20"/>
              </w:rPr>
              <w:t xml:space="preserve">g SC </w:t>
            </w:r>
            <w:r w:rsidR="00086452" w:rsidRPr="006F4610">
              <w:rPr>
                <w:w w:val="105"/>
                <w:sz w:val="20"/>
              </w:rPr>
              <w:t>daily</w:t>
            </w:r>
            <w:r w:rsidR="006F4610">
              <w:rPr>
                <w:w w:val="105"/>
                <w:sz w:val="20"/>
              </w:rPr>
              <w:t xml:space="preserve"> </w:t>
            </w:r>
            <w:r w:rsidRPr="005D2539">
              <w:rPr>
                <w:w w:val="105"/>
                <w:sz w:val="20"/>
              </w:rPr>
              <w:t>(N</w:t>
            </w:r>
            <w:r w:rsidR="006F4610">
              <w:rPr>
                <w:w w:val="105"/>
                <w:sz w:val="20"/>
              </w:rPr>
              <w:t> </w:t>
            </w:r>
            <w:r w:rsidRPr="005D2539">
              <w:rPr>
                <w:w w:val="105"/>
                <w:sz w:val="20"/>
              </w:rPr>
              <w:t>=</w:t>
            </w:r>
            <w:r w:rsidR="006F4610">
              <w:rPr>
                <w:w w:val="105"/>
                <w:sz w:val="20"/>
              </w:rPr>
              <w:t> </w:t>
            </w:r>
            <w:r w:rsidRPr="005D2539">
              <w:rPr>
                <w:w w:val="105"/>
                <w:sz w:val="20"/>
              </w:rPr>
              <w:t>209)</w:t>
            </w:r>
          </w:p>
          <w:p w14:paraId="2746834F" w14:textId="43F0917C" w:rsidR="006B3465" w:rsidRPr="005D2539" w:rsidRDefault="006B3465" w:rsidP="005D2539">
            <w:pPr>
              <w:ind w:left="34"/>
              <w:rPr>
                <w:sz w:val="20"/>
              </w:rPr>
            </w:pPr>
            <w:r w:rsidRPr="005D2539">
              <w:rPr>
                <w:w w:val="105"/>
                <w:sz w:val="20"/>
              </w:rPr>
              <w:t>LS Mean</w:t>
            </w:r>
            <w:r w:rsidR="006F4610">
              <w:rPr>
                <w:w w:val="105"/>
                <w:sz w:val="20"/>
              </w:rPr>
              <w:t xml:space="preserve"> </w:t>
            </w:r>
            <w:r w:rsidRPr="005D2539">
              <w:rPr>
                <w:w w:val="105"/>
                <w:sz w:val="20"/>
              </w:rPr>
              <w:t>(95%</w:t>
            </w:r>
            <w:r w:rsidR="006F4610">
              <w:rPr>
                <w:w w:val="105"/>
                <w:sz w:val="20"/>
              </w:rPr>
              <w:t> </w:t>
            </w:r>
            <w:r w:rsidRPr="005D2539">
              <w:rPr>
                <w:w w:val="105"/>
                <w:sz w:val="20"/>
              </w:rPr>
              <w:t>CI)</w:t>
            </w:r>
          </w:p>
        </w:tc>
        <w:tc>
          <w:tcPr>
            <w:tcW w:w="1792" w:type="dxa"/>
          </w:tcPr>
          <w:p w14:paraId="3D985E76" w14:textId="7055153B" w:rsidR="006B3465" w:rsidRPr="005D2539" w:rsidRDefault="006F4610" w:rsidP="006F4610">
            <w:pPr>
              <w:ind w:left="34" w:right="0"/>
              <w:rPr>
                <w:sz w:val="20"/>
              </w:rPr>
            </w:pPr>
            <w:r>
              <w:rPr>
                <w:sz w:val="20"/>
              </w:rPr>
              <w:t>R</w:t>
            </w:r>
            <w:r w:rsidRPr="005D2539">
              <w:rPr>
                <w:sz w:val="20"/>
              </w:rPr>
              <w:t xml:space="preserve">omosozumab </w:t>
            </w:r>
            <w:r w:rsidR="006B3465" w:rsidRPr="005D2539">
              <w:rPr>
                <w:w w:val="105"/>
                <w:sz w:val="20"/>
              </w:rPr>
              <w:t xml:space="preserve">210 mg </w:t>
            </w:r>
            <w:r w:rsidR="00086452" w:rsidRPr="005D2539">
              <w:rPr>
                <w:w w:val="105"/>
                <w:sz w:val="20"/>
              </w:rPr>
              <w:t>monthly</w:t>
            </w:r>
            <w:r>
              <w:rPr>
                <w:w w:val="105"/>
                <w:sz w:val="20"/>
              </w:rPr>
              <w:t xml:space="preserve"> </w:t>
            </w:r>
            <w:r w:rsidR="006B3465" w:rsidRPr="005D2539">
              <w:rPr>
                <w:w w:val="105"/>
                <w:sz w:val="20"/>
              </w:rPr>
              <w:t>(N</w:t>
            </w:r>
            <w:r>
              <w:rPr>
                <w:w w:val="105"/>
                <w:sz w:val="20"/>
              </w:rPr>
              <w:t> </w:t>
            </w:r>
            <w:r w:rsidR="006B3465" w:rsidRPr="005D2539">
              <w:rPr>
                <w:w w:val="105"/>
                <w:sz w:val="20"/>
              </w:rPr>
              <w:t>=</w:t>
            </w:r>
            <w:r>
              <w:rPr>
                <w:w w:val="105"/>
                <w:sz w:val="20"/>
              </w:rPr>
              <w:t> </w:t>
            </w:r>
            <w:r w:rsidR="006B3465" w:rsidRPr="005D2539">
              <w:rPr>
                <w:w w:val="105"/>
                <w:sz w:val="20"/>
              </w:rPr>
              <w:t>206)</w:t>
            </w:r>
          </w:p>
          <w:p w14:paraId="7B48D279" w14:textId="047304D9" w:rsidR="006B3465" w:rsidRPr="005D2539" w:rsidRDefault="006B3465" w:rsidP="005D2539">
            <w:pPr>
              <w:ind w:left="34"/>
              <w:rPr>
                <w:sz w:val="20"/>
              </w:rPr>
            </w:pPr>
            <w:r w:rsidRPr="005D2539">
              <w:rPr>
                <w:w w:val="105"/>
                <w:sz w:val="20"/>
              </w:rPr>
              <w:t>LS Mean</w:t>
            </w:r>
            <w:r w:rsidR="006F4610">
              <w:rPr>
                <w:w w:val="105"/>
                <w:sz w:val="20"/>
              </w:rPr>
              <w:t xml:space="preserve"> </w:t>
            </w:r>
            <w:r w:rsidRPr="005D2539">
              <w:rPr>
                <w:w w:val="105"/>
                <w:sz w:val="20"/>
              </w:rPr>
              <w:t>(95% CI)</w:t>
            </w:r>
          </w:p>
        </w:tc>
        <w:tc>
          <w:tcPr>
            <w:tcW w:w="1581" w:type="dxa"/>
          </w:tcPr>
          <w:p w14:paraId="33BF5C47" w14:textId="04083E04" w:rsidR="006B3465" w:rsidRPr="005D2539" w:rsidRDefault="006B3465" w:rsidP="00086452">
            <w:pPr>
              <w:ind w:left="34" w:right="0"/>
              <w:rPr>
                <w:sz w:val="20"/>
              </w:rPr>
            </w:pPr>
            <w:r w:rsidRPr="005D2539">
              <w:rPr>
                <w:w w:val="105"/>
                <w:sz w:val="20"/>
              </w:rPr>
              <w:t>Difference from</w:t>
            </w:r>
            <w:r w:rsidR="006F4610">
              <w:rPr>
                <w:w w:val="105"/>
                <w:sz w:val="20"/>
              </w:rPr>
              <w:t xml:space="preserve"> </w:t>
            </w:r>
            <w:proofErr w:type="spellStart"/>
            <w:r w:rsidR="00086452" w:rsidRPr="005D2539">
              <w:rPr>
                <w:w w:val="105"/>
                <w:sz w:val="20"/>
              </w:rPr>
              <w:t>teriparitide</w:t>
            </w:r>
            <w:proofErr w:type="spellEnd"/>
            <w:r w:rsidRPr="005D2539">
              <w:rPr>
                <w:w w:val="105"/>
                <w:position w:val="6"/>
                <w:sz w:val="20"/>
                <w:vertAlign w:val="superscript"/>
              </w:rPr>
              <w:t>a</w:t>
            </w:r>
          </w:p>
          <w:p w14:paraId="4F43CE0F" w14:textId="77777777" w:rsidR="006B3465" w:rsidRPr="005D2539" w:rsidRDefault="006B3465" w:rsidP="00086452">
            <w:pPr>
              <w:ind w:left="34" w:right="0"/>
              <w:rPr>
                <w:sz w:val="20"/>
              </w:rPr>
            </w:pPr>
            <w:r w:rsidRPr="005D2539">
              <w:rPr>
                <w:w w:val="105"/>
                <w:sz w:val="20"/>
              </w:rPr>
              <w:t>LS mean (95% CI)</w:t>
            </w:r>
          </w:p>
        </w:tc>
      </w:tr>
      <w:tr w:rsidR="006B3465" w14:paraId="25EA906E" w14:textId="77777777" w:rsidTr="007F2501">
        <w:trPr>
          <w:trHeight w:val="289"/>
        </w:trPr>
        <w:tc>
          <w:tcPr>
            <w:tcW w:w="3085" w:type="dxa"/>
          </w:tcPr>
          <w:p w14:paraId="2A495F4F" w14:textId="267288A2" w:rsidR="006B3465" w:rsidRPr="005D2539" w:rsidRDefault="006B3465" w:rsidP="005D2539">
            <w:pPr>
              <w:rPr>
                <w:sz w:val="20"/>
              </w:rPr>
            </w:pPr>
            <w:r w:rsidRPr="005D2539">
              <w:rPr>
                <w:sz w:val="20"/>
              </w:rPr>
              <w:t xml:space="preserve">Primary </w:t>
            </w:r>
            <w:r w:rsidR="006F4610">
              <w:rPr>
                <w:sz w:val="20"/>
              </w:rPr>
              <w:t>e</w:t>
            </w:r>
            <w:r w:rsidRPr="005D2539">
              <w:rPr>
                <w:sz w:val="20"/>
              </w:rPr>
              <w:t>ndpoint</w:t>
            </w:r>
          </w:p>
        </w:tc>
        <w:tc>
          <w:tcPr>
            <w:tcW w:w="1751" w:type="dxa"/>
          </w:tcPr>
          <w:p w14:paraId="5BDA1138" w14:textId="77777777" w:rsidR="006B3465" w:rsidRPr="006B3465" w:rsidRDefault="006B3465" w:rsidP="006B3465">
            <w:pPr>
              <w:ind w:left="0" w:right="0"/>
              <w:rPr>
                <w:sz w:val="20"/>
              </w:rPr>
            </w:pPr>
            <w:r w:rsidRPr="006B3465">
              <w:rPr>
                <w:color w:val="231F20"/>
                <w:w w:val="105"/>
                <w:sz w:val="20"/>
              </w:rPr>
              <w:t>-0.6 (-1.0, -0.2)</w:t>
            </w:r>
          </w:p>
        </w:tc>
        <w:tc>
          <w:tcPr>
            <w:tcW w:w="1792" w:type="dxa"/>
          </w:tcPr>
          <w:p w14:paraId="57D38209" w14:textId="77777777" w:rsidR="006B3465" w:rsidRPr="006B3465" w:rsidRDefault="006B3465" w:rsidP="006B3465">
            <w:pPr>
              <w:ind w:left="0" w:right="0"/>
              <w:rPr>
                <w:sz w:val="20"/>
              </w:rPr>
            </w:pPr>
            <w:r w:rsidRPr="006B3465">
              <w:rPr>
                <w:color w:val="231F20"/>
                <w:w w:val="105"/>
                <w:sz w:val="20"/>
              </w:rPr>
              <w:t>2.6 (2.2, 3.0)</w:t>
            </w:r>
          </w:p>
        </w:tc>
        <w:tc>
          <w:tcPr>
            <w:tcW w:w="1581" w:type="dxa"/>
          </w:tcPr>
          <w:p w14:paraId="6830744D" w14:textId="77777777" w:rsidR="006B3465" w:rsidRPr="006B3465" w:rsidRDefault="006B3465" w:rsidP="006B3465">
            <w:pPr>
              <w:ind w:left="0" w:right="0"/>
              <w:rPr>
                <w:sz w:val="20"/>
              </w:rPr>
            </w:pPr>
            <w:r w:rsidRPr="006B3465">
              <w:rPr>
                <w:color w:val="231F20"/>
                <w:w w:val="105"/>
                <w:sz w:val="20"/>
              </w:rPr>
              <w:t>3.2 (2.7, 3.8)</w:t>
            </w:r>
          </w:p>
        </w:tc>
      </w:tr>
      <w:tr w:rsidR="006B3465" w14:paraId="58887EF5" w14:textId="77777777" w:rsidTr="007F2501">
        <w:trPr>
          <w:trHeight w:val="337"/>
        </w:trPr>
        <w:tc>
          <w:tcPr>
            <w:tcW w:w="3085" w:type="dxa"/>
          </w:tcPr>
          <w:p w14:paraId="32B3995D" w14:textId="77777777" w:rsidR="006B3465" w:rsidRPr="005D2539" w:rsidRDefault="006B3465" w:rsidP="005D2539">
            <w:pPr>
              <w:rPr>
                <w:sz w:val="20"/>
              </w:rPr>
            </w:pPr>
            <w:r w:rsidRPr="005D2539">
              <w:rPr>
                <w:sz w:val="20"/>
              </w:rPr>
              <w:t>BMD by DXA through M</w:t>
            </w:r>
            <w:r w:rsidR="00086452" w:rsidRPr="005D2539">
              <w:rPr>
                <w:sz w:val="20"/>
              </w:rPr>
              <w:t xml:space="preserve">onth </w:t>
            </w:r>
            <w:r w:rsidRPr="005D2539">
              <w:rPr>
                <w:sz w:val="20"/>
              </w:rPr>
              <w:t>12</w:t>
            </w:r>
          </w:p>
        </w:tc>
        <w:tc>
          <w:tcPr>
            <w:tcW w:w="1751" w:type="dxa"/>
          </w:tcPr>
          <w:p w14:paraId="2F0F509D" w14:textId="77777777" w:rsidR="006B3465" w:rsidRPr="006B3465" w:rsidRDefault="006B3465" w:rsidP="006B3465">
            <w:pPr>
              <w:ind w:left="0" w:right="0"/>
              <w:rPr>
                <w:rFonts w:ascii="Times New Roman"/>
                <w:sz w:val="20"/>
              </w:rPr>
            </w:pPr>
          </w:p>
        </w:tc>
        <w:tc>
          <w:tcPr>
            <w:tcW w:w="1792" w:type="dxa"/>
          </w:tcPr>
          <w:p w14:paraId="799469FA" w14:textId="77777777" w:rsidR="006B3465" w:rsidRPr="006B3465" w:rsidRDefault="006B3465" w:rsidP="006B3465">
            <w:pPr>
              <w:ind w:left="0" w:right="0"/>
              <w:rPr>
                <w:rFonts w:ascii="Times New Roman"/>
                <w:sz w:val="20"/>
              </w:rPr>
            </w:pPr>
          </w:p>
        </w:tc>
        <w:tc>
          <w:tcPr>
            <w:tcW w:w="1581" w:type="dxa"/>
          </w:tcPr>
          <w:p w14:paraId="4DB29EF2" w14:textId="77777777" w:rsidR="006B3465" w:rsidRPr="006B3465" w:rsidRDefault="006B3465" w:rsidP="006B3465">
            <w:pPr>
              <w:ind w:left="0" w:right="0"/>
              <w:rPr>
                <w:rFonts w:ascii="Times New Roman"/>
                <w:sz w:val="20"/>
              </w:rPr>
            </w:pPr>
          </w:p>
        </w:tc>
      </w:tr>
      <w:tr w:rsidR="006B3465" w14:paraId="091CF0AC" w14:textId="77777777" w:rsidTr="007F2501">
        <w:trPr>
          <w:trHeight w:val="338"/>
        </w:trPr>
        <w:tc>
          <w:tcPr>
            <w:tcW w:w="3085" w:type="dxa"/>
          </w:tcPr>
          <w:p w14:paraId="077B5D11" w14:textId="59E277D8" w:rsidR="006B3465" w:rsidRPr="005D2539" w:rsidRDefault="006B3465" w:rsidP="005D2539">
            <w:pPr>
              <w:rPr>
                <w:sz w:val="20"/>
              </w:rPr>
            </w:pPr>
            <w:r w:rsidRPr="005D2539">
              <w:rPr>
                <w:sz w:val="20"/>
              </w:rPr>
              <w:t xml:space="preserve">Secondary </w:t>
            </w:r>
            <w:r w:rsidR="006F4610">
              <w:rPr>
                <w:sz w:val="20"/>
              </w:rPr>
              <w:t>e</w:t>
            </w:r>
            <w:r w:rsidRPr="005D2539">
              <w:rPr>
                <w:sz w:val="20"/>
              </w:rPr>
              <w:t>ndpoint</w:t>
            </w:r>
          </w:p>
        </w:tc>
        <w:tc>
          <w:tcPr>
            <w:tcW w:w="1751" w:type="dxa"/>
          </w:tcPr>
          <w:p w14:paraId="22AE0369" w14:textId="77777777" w:rsidR="006B3465" w:rsidRPr="006B3465" w:rsidRDefault="006B3465" w:rsidP="006B3465">
            <w:pPr>
              <w:ind w:left="0" w:right="0"/>
              <w:rPr>
                <w:rFonts w:ascii="Times New Roman"/>
                <w:sz w:val="20"/>
              </w:rPr>
            </w:pPr>
          </w:p>
        </w:tc>
        <w:tc>
          <w:tcPr>
            <w:tcW w:w="1792" w:type="dxa"/>
          </w:tcPr>
          <w:p w14:paraId="08C58965" w14:textId="77777777" w:rsidR="006B3465" w:rsidRPr="006B3465" w:rsidRDefault="006B3465" w:rsidP="006B3465">
            <w:pPr>
              <w:ind w:left="0" w:right="0"/>
              <w:rPr>
                <w:rFonts w:ascii="Times New Roman"/>
                <w:sz w:val="20"/>
              </w:rPr>
            </w:pPr>
          </w:p>
        </w:tc>
        <w:tc>
          <w:tcPr>
            <w:tcW w:w="1581" w:type="dxa"/>
          </w:tcPr>
          <w:p w14:paraId="1D34AEA7" w14:textId="77777777" w:rsidR="006B3465" w:rsidRPr="006B3465" w:rsidRDefault="006B3465" w:rsidP="006B3465">
            <w:pPr>
              <w:ind w:left="0" w:right="0"/>
              <w:rPr>
                <w:rFonts w:ascii="Times New Roman"/>
                <w:sz w:val="20"/>
              </w:rPr>
            </w:pPr>
          </w:p>
        </w:tc>
      </w:tr>
      <w:tr w:rsidR="006B3465" w14:paraId="2673479B" w14:textId="77777777" w:rsidTr="007F2501">
        <w:trPr>
          <w:trHeight w:val="339"/>
        </w:trPr>
        <w:tc>
          <w:tcPr>
            <w:tcW w:w="3085" w:type="dxa"/>
          </w:tcPr>
          <w:p w14:paraId="3649AC35" w14:textId="77777777" w:rsidR="006B3465" w:rsidRPr="005D2539" w:rsidRDefault="006B3465" w:rsidP="005D2539">
            <w:pPr>
              <w:rPr>
                <w:sz w:val="20"/>
              </w:rPr>
            </w:pPr>
            <w:r w:rsidRPr="005D2539">
              <w:rPr>
                <w:sz w:val="20"/>
              </w:rPr>
              <w:t>BMD by DXA at M</w:t>
            </w:r>
            <w:r w:rsidR="00086452" w:rsidRPr="005D2539">
              <w:rPr>
                <w:sz w:val="20"/>
              </w:rPr>
              <w:t xml:space="preserve">onth </w:t>
            </w:r>
            <w:r w:rsidRPr="005D2539">
              <w:rPr>
                <w:sz w:val="20"/>
              </w:rPr>
              <w:t>6</w:t>
            </w:r>
          </w:p>
        </w:tc>
        <w:tc>
          <w:tcPr>
            <w:tcW w:w="1751" w:type="dxa"/>
          </w:tcPr>
          <w:p w14:paraId="43605029" w14:textId="77777777" w:rsidR="006B3465" w:rsidRPr="006B3465" w:rsidRDefault="006B3465" w:rsidP="006B3465">
            <w:pPr>
              <w:ind w:left="0" w:right="0"/>
              <w:rPr>
                <w:sz w:val="20"/>
              </w:rPr>
            </w:pPr>
            <w:r w:rsidRPr="006B3465">
              <w:rPr>
                <w:color w:val="231F20"/>
                <w:w w:val="105"/>
                <w:sz w:val="20"/>
              </w:rPr>
              <w:t>-0.8 (-1.2, -0.4)</w:t>
            </w:r>
          </w:p>
        </w:tc>
        <w:tc>
          <w:tcPr>
            <w:tcW w:w="1792" w:type="dxa"/>
          </w:tcPr>
          <w:p w14:paraId="60F005BE" w14:textId="77777777" w:rsidR="006B3465" w:rsidRPr="006B3465" w:rsidRDefault="006B3465" w:rsidP="006B3465">
            <w:pPr>
              <w:ind w:left="0" w:right="0"/>
              <w:rPr>
                <w:sz w:val="20"/>
              </w:rPr>
            </w:pPr>
            <w:r w:rsidRPr="006B3465">
              <w:rPr>
                <w:color w:val="231F20"/>
                <w:w w:val="105"/>
                <w:sz w:val="20"/>
              </w:rPr>
              <w:t>2.3 (1.9, 2.7)</w:t>
            </w:r>
          </w:p>
        </w:tc>
        <w:tc>
          <w:tcPr>
            <w:tcW w:w="1581" w:type="dxa"/>
          </w:tcPr>
          <w:p w14:paraId="7319237C" w14:textId="77777777" w:rsidR="006B3465" w:rsidRPr="006B3465" w:rsidRDefault="006B3465" w:rsidP="006B3465">
            <w:pPr>
              <w:ind w:left="0" w:right="0"/>
              <w:rPr>
                <w:sz w:val="20"/>
              </w:rPr>
            </w:pPr>
            <w:r w:rsidRPr="006B3465">
              <w:rPr>
                <w:color w:val="231F20"/>
                <w:w w:val="105"/>
                <w:sz w:val="20"/>
              </w:rPr>
              <w:t>3.1 (2.5, 3.7)</w:t>
            </w:r>
          </w:p>
        </w:tc>
      </w:tr>
      <w:tr w:rsidR="006B3465" w14:paraId="33752F6D" w14:textId="77777777" w:rsidTr="007F2501">
        <w:trPr>
          <w:trHeight w:val="338"/>
        </w:trPr>
        <w:tc>
          <w:tcPr>
            <w:tcW w:w="3085" w:type="dxa"/>
          </w:tcPr>
          <w:p w14:paraId="2F8ECD04" w14:textId="77777777" w:rsidR="006B3465" w:rsidRPr="005D2539" w:rsidRDefault="006B3465" w:rsidP="005D2539">
            <w:pPr>
              <w:rPr>
                <w:sz w:val="20"/>
              </w:rPr>
            </w:pPr>
            <w:r w:rsidRPr="005D2539">
              <w:rPr>
                <w:sz w:val="20"/>
              </w:rPr>
              <w:t>BMD by DXA at M</w:t>
            </w:r>
            <w:r w:rsidR="00086452" w:rsidRPr="005D2539">
              <w:rPr>
                <w:sz w:val="20"/>
              </w:rPr>
              <w:t xml:space="preserve">onth </w:t>
            </w:r>
            <w:r w:rsidRPr="005D2539">
              <w:rPr>
                <w:sz w:val="20"/>
              </w:rPr>
              <w:t>12</w:t>
            </w:r>
          </w:p>
        </w:tc>
        <w:tc>
          <w:tcPr>
            <w:tcW w:w="1751" w:type="dxa"/>
          </w:tcPr>
          <w:p w14:paraId="145BE5C7" w14:textId="77777777" w:rsidR="006B3465" w:rsidRPr="006B3465" w:rsidRDefault="006B3465" w:rsidP="006B3465">
            <w:pPr>
              <w:ind w:left="0" w:right="0"/>
              <w:rPr>
                <w:sz w:val="20"/>
              </w:rPr>
            </w:pPr>
            <w:r w:rsidRPr="006B3465">
              <w:rPr>
                <w:color w:val="231F20"/>
                <w:w w:val="105"/>
                <w:sz w:val="20"/>
              </w:rPr>
              <w:t>-0.5 (-0.9, -0.0)</w:t>
            </w:r>
          </w:p>
        </w:tc>
        <w:tc>
          <w:tcPr>
            <w:tcW w:w="1792" w:type="dxa"/>
          </w:tcPr>
          <w:p w14:paraId="248AB62C" w14:textId="77777777" w:rsidR="006B3465" w:rsidRPr="006B3465" w:rsidRDefault="006B3465" w:rsidP="006B3465">
            <w:pPr>
              <w:ind w:left="0" w:right="0"/>
              <w:rPr>
                <w:sz w:val="20"/>
              </w:rPr>
            </w:pPr>
            <w:r w:rsidRPr="006B3465">
              <w:rPr>
                <w:color w:val="231F20"/>
                <w:w w:val="105"/>
                <w:sz w:val="20"/>
              </w:rPr>
              <w:t>2.9 (2.5, 3.4)</w:t>
            </w:r>
          </w:p>
        </w:tc>
        <w:tc>
          <w:tcPr>
            <w:tcW w:w="1581" w:type="dxa"/>
          </w:tcPr>
          <w:p w14:paraId="787B7645" w14:textId="77777777" w:rsidR="006B3465" w:rsidRPr="006B3465" w:rsidRDefault="006B3465" w:rsidP="006B3465">
            <w:pPr>
              <w:ind w:left="0" w:right="0"/>
              <w:rPr>
                <w:sz w:val="20"/>
              </w:rPr>
            </w:pPr>
            <w:r w:rsidRPr="006B3465">
              <w:rPr>
                <w:color w:val="231F20"/>
                <w:w w:val="105"/>
                <w:sz w:val="20"/>
              </w:rPr>
              <w:t>3.4 (2.8, 4.0)</w:t>
            </w:r>
          </w:p>
        </w:tc>
      </w:tr>
      <w:tr w:rsidR="006B3465" w14:paraId="455B66B3" w14:textId="77777777" w:rsidTr="007F2501">
        <w:trPr>
          <w:trHeight w:val="338"/>
        </w:trPr>
        <w:tc>
          <w:tcPr>
            <w:tcW w:w="3085" w:type="dxa"/>
          </w:tcPr>
          <w:p w14:paraId="31A933E7" w14:textId="77777777" w:rsidR="006B3465" w:rsidRPr="005D2539" w:rsidRDefault="006B3465" w:rsidP="005D2539">
            <w:pPr>
              <w:rPr>
                <w:sz w:val="20"/>
              </w:rPr>
            </w:pPr>
            <w:r w:rsidRPr="005D2539">
              <w:rPr>
                <w:sz w:val="20"/>
              </w:rPr>
              <w:t>Estimated strength by FEA at M</w:t>
            </w:r>
            <w:r w:rsidR="00086452" w:rsidRPr="005D2539">
              <w:rPr>
                <w:sz w:val="20"/>
              </w:rPr>
              <w:t xml:space="preserve">onth </w:t>
            </w:r>
            <w:r w:rsidRPr="005D2539">
              <w:rPr>
                <w:sz w:val="20"/>
              </w:rPr>
              <w:t>6</w:t>
            </w:r>
          </w:p>
        </w:tc>
        <w:tc>
          <w:tcPr>
            <w:tcW w:w="1751" w:type="dxa"/>
          </w:tcPr>
          <w:p w14:paraId="4338ED73" w14:textId="77777777" w:rsidR="006B3465" w:rsidRPr="006B3465" w:rsidRDefault="006B3465" w:rsidP="006B3465">
            <w:pPr>
              <w:ind w:left="0" w:right="0"/>
              <w:rPr>
                <w:sz w:val="20"/>
              </w:rPr>
            </w:pPr>
            <w:r w:rsidRPr="006B3465">
              <w:rPr>
                <w:color w:val="231F20"/>
                <w:w w:val="105"/>
                <w:sz w:val="20"/>
              </w:rPr>
              <w:t>-1.0 (-1.5, -0.6)</w:t>
            </w:r>
          </w:p>
        </w:tc>
        <w:tc>
          <w:tcPr>
            <w:tcW w:w="1792" w:type="dxa"/>
          </w:tcPr>
          <w:p w14:paraId="79FA2805" w14:textId="77777777" w:rsidR="006B3465" w:rsidRPr="006B3465" w:rsidRDefault="006B3465" w:rsidP="006B3465">
            <w:pPr>
              <w:ind w:left="0" w:right="0"/>
              <w:rPr>
                <w:sz w:val="20"/>
              </w:rPr>
            </w:pPr>
            <w:r w:rsidRPr="006B3465">
              <w:rPr>
                <w:color w:val="231F20"/>
                <w:w w:val="105"/>
                <w:sz w:val="20"/>
              </w:rPr>
              <w:t>2.1 (1.6, 2.5)</w:t>
            </w:r>
          </w:p>
        </w:tc>
        <w:tc>
          <w:tcPr>
            <w:tcW w:w="1581" w:type="dxa"/>
          </w:tcPr>
          <w:p w14:paraId="0CDE4074" w14:textId="77777777" w:rsidR="006B3465" w:rsidRPr="006B3465" w:rsidRDefault="006B3465" w:rsidP="006B3465">
            <w:pPr>
              <w:ind w:left="0" w:right="0"/>
              <w:rPr>
                <w:sz w:val="20"/>
              </w:rPr>
            </w:pPr>
            <w:r w:rsidRPr="006B3465">
              <w:rPr>
                <w:color w:val="231F20"/>
                <w:w w:val="105"/>
                <w:sz w:val="20"/>
              </w:rPr>
              <w:t>3.1 (2.4, 3.8)</w:t>
            </w:r>
          </w:p>
        </w:tc>
      </w:tr>
      <w:tr w:rsidR="006B3465" w14:paraId="7041D705" w14:textId="77777777" w:rsidTr="007F2501">
        <w:trPr>
          <w:trHeight w:val="389"/>
        </w:trPr>
        <w:tc>
          <w:tcPr>
            <w:tcW w:w="3085" w:type="dxa"/>
          </w:tcPr>
          <w:p w14:paraId="5E7FC295" w14:textId="77777777" w:rsidR="006B3465" w:rsidRPr="005D2539" w:rsidRDefault="006B3465" w:rsidP="005D2539">
            <w:pPr>
              <w:rPr>
                <w:sz w:val="20"/>
              </w:rPr>
            </w:pPr>
            <w:r w:rsidRPr="005D2539">
              <w:rPr>
                <w:sz w:val="20"/>
              </w:rPr>
              <w:t>Estimated strength by FEA at M</w:t>
            </w:r>
            <w:r w:rsidR="00086452" w:rsidRPr="005D2539">
              <w:rPr>
                <w:sz w:val="20"/>
              </w:rPr>
              <w:t xml:space="preserve">onth </w:t>
            </w:r>
            <w:r w:rsidRPr="005D2539">
              <w:rPr>
                <w:sz w:val="20"/>
              </w:rPr>
              <w:t>12</w:t>
            </w:r>
          </w:p>
        </w:tc>
        <w:tc>
          <w:tcPr>
            <w:tcW w:w="1751" w:type="dxa"/>
          </w:tcPr>
          <w:p w14:paraId="6658BAFF" w14:textId="77777777" w:rsidR="006B3465" w:rsidRPr="006B3465" w:rsidRDefault="006B3465" w:rsidP="006B3465">
            <w:pPr>
              <w:ind w:left="0" w:right="0"/>
              <w:rPr>
                <w:sz w:val="20"/>
              </w:rPr>
            </w:pPr>
            <w:r w:rsidRPr="006B3465">
              <w:rPr>
                <w:color w:val="231F20"/>
                <w:w w:val="105"/>
                <w:sz w:val="20"/>
              </w:rPr>
              <w:t>-0.7 (-1.5, 0.1)</w:t>
            </w:r>
          </w:p>
        </w:tc>
        <w:tc>
          <w:tcPr>
            <w:tcW w:w="1792" w:type="dxa"/>
          </w:tcPr>
          <w:p w14:paraId="750AC5EA" w14:textId="77777777" w:rsidR="006B3465" w:rsidRPr="006B3465" w:rsidRDefault="006B3465" w:rsidP="006B3465">
            <w:pPr>
              <w:ind w:left="0" w:right="0"/>
              <w:rPr>
                <w:sz w:val="20"/>
              </w:rPr>
            </w:pPr>
            <w:r w:rsidRPr="006B3465">
              <w:rPr>
                <w:color w:val="231F20"/>
                <w:w w:val="105"/>
                <w:sz w:val="20"/>
              </w:rPr>
              <w:t>2.5 (1.7, 3.2)</w:t>
            </w:r>
          </w:p>
        </w:tc>
        <w:tc>
          <w:tcPr>
            <w:tcW w:w="1581" w:type="dxa"/>
          </w:tcPr>
          <w:p w14:paraId="395796D2" w14:textId="77777777" w:rsidR="006B3465" w:rsidRPr="006B3465" w:rsidRDefault="006B3465" w:rsidP="006B3465">
            <w:pPr>
              <w:ind w:left="0" w:right="0"/>
              <w:rPr>
                <w:sz w:val="20"/>
              </w:rPr>
            </w:pPr>
            <w:r w:rsidRPr="006B3465">
              <w:rPr>
                <w:color w:val="231F20"/>
                <w:w w:val="105"/>
                <w:sz w:val="20"/>
              </w:rPr>
              <w:t>3.2 (2.1, 4.3)</w:t>
            </w:r>
          </w:p>
        </w:tc>
      </w:tr>
    </w:tbl>
    <w:p w14:paraId="28E2C7C4" w14:textId="48CA1A11" w:rsidR="00915314" w:rsidRPr="00915314" w:rsidRDefault="00915314" w:rsidP="007F2501">
      <w:pPr>
        <w:pStyle w:val="TableCaption"/>
      </w:pPr>
      <w:r w:rsidRPr="00915314">
        <w:t>a</w:t>
      </w:r>
      <w:r w:rsidR="006F4610">
        <w:t>)</w:t>
      </w:r>
      <w:r w:rsidRPr="00915314">
        <w:t xml:space="preserve"> Based on a repeated measures model adjusting for treatment, visit, baseline serum type 1 collagen</w:t>
      </w:r>
      <w:r w:rsidR="006B3465">
        <w:t xml:space="preserve"> </w:t>
      </w:r>
      <w:r w:rsidRPr="00915314">
        <w:t>C-</w:t>
      </w:r>
      <w:proofErr w:type="spellStart"/>
      <w:r w:rsidRPr="00915314">
        <w:t>telopeptide</w:t>
      </w:r>
      <w:proofErr w:type="spellEnd"/>
      <w:r w:rsidRPr="00915314">
        <w:t xml:space="preserve"> value, baseline BMD value, machine type, baseline BMD value</w:t>
      </w:r>
      <w:r w:rsidR="006B3465">
        <w:t xml:space="preserve"> </w:t>
      </w:r>
      <w:r w:rsidRPr="00915314">
        <w:t xml:space="preserve">by machine type interaction, and </w:t>
      </w:r>
      <w:r w:rsidRPr="00915314">
        <w:lastRenderedPageBreak/>
        <w:t xml:space="preserve">using an unstructured variance covariance structure. The test through </w:t>
      </w:r>
      <w:r w:rsidR="006B3465">
        <w:t>M</w:t>
      </w:r>
      <w:r w:rsidRPr="00915314">
        <w:t xml:space="preserve">onth 12 was based on the main effect of treatment and represents the average treatment effect at </w:t>
      </w:r>
      <w:r w:rsidR="006B3465">
        <w:t>M</w:t>
      </w:r>
      <w:r w:rsidRPr="00915314">
        <w:t>onths 6 and 12.</w:t>
      </w:r>
    </w:p>
    <w:p w14:paraId="1F1661E1" w14:textId="53BDC968" w:rsidR="00915314" w:rsidRPr="002E7EF6" w:rsidRDefault="00915314" w:rsidP="002E7EF6">
      <w:pPr>
        <w:pStyle w:val="Numberbullet0"/>
        <w:rPr>
          <w:b/>
          <w:i/>
        </w:rPr>
      </w:pPr>
      <w:r w:rsidRPr="002E7EF6">
        <w:rPr>
          <w:b/>
          <w:i/>
        </w:rPr>
        <w:t xml:space="preserve">What is the most appropriate fracture outcome measure to assess efficacy in osteoporosis (vertebral, all fractures, clinical or </w:t>
      </w:r>
      <w:r w:rsidR="00864D4D" w:rsidRPr="002E7EF6">
        <w:rPr>
          <w:b/>
          <w:i/>
        </w:rPr>
        <w:t>non-vertebral</w:t>
      </w:r>
      <w:r w:rsidRPr="002E7EF6">
        <w:rPr>
          <w:b/>
          <w:i/>
        </w:rPr>
        <w:t xml:space="preserve"> fractures)?</w:t>
      </w:r>
    </w:p>
    <w:p w14:paraId="38B5A6A4" w14:textId="7D1CABF6" w:rsidR="00915314" w:rsidRPr="002E7EF6" w:rsidRDefault="00915314" w:rsidP="00915314">
      <w:r w:rsidRPr="002E7EF6">
        <w:t xml:space="preserve">The aim of a pharmacological intervention is to decrease the incidence of fractures. From the regulatory viewpoint, both the </w:t>
      </w:r>
      <w:r w:rsidR="006F4610">
        <w:t>US FDA</w:t>
      </w:r>
      <w:r w:rsidRPr="002E7EF6">
        <w:t xml:space="preserve"> and </w:t>
      </w:r>
      <w:r w:rsidR="006F4610">
        <w:t>EU</w:t>
      </w:r>
      <w:r w:rsidRPr="002E7EF6">
        <w:t xml:space="preserve"> CHMP have provided guidance on the types of fractures that could support approval</w:t>
      </w:r>
      <w:bookmarkStart w:id="134" w:name="_Ref3751964"/>
      <w:r w:rsidR="006F4610">
        <w:t>.</w:t>
      </w:r>
      <w:r w:rsidR="006B3465" w:rsidRPr="006F4610">
        <w:rPr>
          <w:rStyle w:val="FootnoteReference"/>
        </w:rPr>
        <w:footnoteReference w:id="57"/>
      </w:r>
      <w:bookmarkEnd w:id="134"/>
      <w:r w:rsidR="006B3465" w:rsidRPr="005D2539">
        <w:rPr>
          <w:vertAlign w:val="superscript"/>
        </w:rPr>
        <w:t>,</w:t>
      </w:r>
      <w:r w:rsidR="006B3465" w:rsidRPr="006F4610">
        <w:rPr>
          <w:rStyle w:val="FootnoteReference"/>
        </w:rPr>
        <w:footnoteReference w:id="58"/>
      </w:r>
      <w:r w:rsidR="00173EF3" w:rsidRPr="002E7EF6">
        <w:t xml:space="preserve"> </w:t>
      </w:r>
      <w:r w:rsidRPr="002E7EF6">
        <w:t>In the US, efficacy on morphometric vertebral fract</w:t>
      </w:r>
      <w:r w:rsidR="006B3465" w:rsidRPr="002E7EF6">
        <w:t>ures</w:t>
      </w:r>
      <w:r w:rsidR="006B3465" w:rsidRPr="002E7EF6">
        <w:rPr>
          <w:vertAlign w:val="superscript"/>
        </w:rPr>
        <w:fldChar w:fldCharType="begin"/>
      </w:r>
      <w:r w:rsidR="006B3465" w:rsidRPr="002E7EF6">
        <w:rPr>
          <w:vertAlign w:val="superscript"/>
        </w:rPr>
        <w:instrText xml:space="preserve"> NOTEREF _Ref3751964 \h  \* MERGEFORMAT </w:instrText>
      </w:r>
      <w:r w:rsidR="006B3465" w:rsidRPr="002E7EF6">
        <w:rPr>
          <w:vertAlign w:val="superscript"/>
        </w:rPr>
      </w:r>
      <w:r w:rsidR="006B3465" w:rsidRPr="002E7EF6">
        <w:rPr>
          <w:vertAlign w:val="superscript"/>
        </w:rPr>
        <w:fldChar w:fldCharType="separate"/>
      </w:r>
      <w:r w:rsidR="006B3465" w:rsidRPr="002E7EF6">
        <w:rPr>
          <w:vertAlign w:val="superscript"/>
        </w:rPr>
        <w:t>14</w:t>
      </w:r>
      <w:r w:rsidR="006B3465" w:rsidRPr="002E7EF6">
        <w:rPr>
          <w:vertAlign w:val="superscript"/>
        </w:rPr>
        <w:fldChar w:fldCharType="end"/>
      </w:r>
      <w:r w:rsidR="006B3465" w:rsidRPr="002E7EF6">
        <w:t xml:space="preserve"> </w:t>
      </w:r>
      <w:r w:rsidRPr="002E7EF6">
        <w:t>can support approval; in the EU, the CHMP guideline on osteoporosis states that efficacy should be demonstrated on both vertebral and non-vertebral fractures. Major non-vertebral fractures that are considered meaningful in terms of supporting a registration include combinations of pelvis, distal femur, proximal tibia, ribs, proximal humer</w:t>
      </w:r>
      <w:r w:rsidR="00086452" w:rsidRPr="002E7EF6">
        <w:t>u</w:t>
      </w:r>
      <w:r w:rsidRPr="002E7EF6">
        <w:t>s, forearm, and hip. Indeed, therapies approved in the last 10 years have been supported by primary endpoints that assessed the reduction in vertebral fracture.</w:t>
      </w:r>
    </w:p>
    <w:p w14:paraId="2BC6BA5F" w14:textId="77777777" w:rsidR="00915314" w:rsidRPr="002E7EF6" w:rsidRDefault="00915314" w:rsidP="00915314">
      <w:r w:rsidRPr="002E7EF6">
        <w:t>Fracture efficacy endpoints used in osteoporosis registration trials reflect clinically meaningful outcomes and are consistent with regulatory guidance.</w:t>
      </w:r>
    </w:p>
    <w:p w14:paraId="01E88B5C" w14:textId="2C1F693C" w:rsidR="00915314" w:rsidRPr="00915314" w:rsidRDefault="00915314" w:rsidP="006B3465">
      <w:pPr>
        <w:pStyle w:val="ListBullet"/>
      </w:pPr>
      <w:r w:rsidRPr="00915314">
        <w:t>Vertebral fractures are the most common osteoporosis-related fracture in postmenopausal women</w:t>
      </w:r>
      <w:r w:rsidR="006B3465">
        <w:rPr>
          <w:rStyle w:val="FootnoteReference"/>
        </w:rPr>
        <w:footnoteReference w:id="59"/>
      </w:r>
      <w:r w:rsidRPr="00915314">
        <w:t xml:space="preserve"> and lead to significant morbidity, such as reduced ability to perform Activities of Daily Living (ADLs) and decreased mobility</w:t>
      </w:r>
      <w:r w:rsidR="003458DF">
        <w:t>.</w:t>
      </w:r>
      <w:r w:rsidR="002D2230" w:rsidRPr="006F4610">
        <w:rPr>
          <w:rStyle w:val="FootnoteReference"/>
        </w:rPr>
        <w:footnoteReference w:id="60"/>
      </w:r>
      <w:r w:rsidR="002D2230" w:rsidRPr="005D2539">
        <w:rPr>
          <w:vertAlign w:val="superscript"/>
        </w:rPr>
        <w:t>,</w:t>
      </w:r>
      <w:r w:rsidR="002D2230" w:rsidRPr="006F4610">
        <w:rPr>
          <w:rStyle w:val="FootnoteReference"/>
        </w:rPr>
        <w:footnoteReference w:id="61"/>
      </w:r>
      <w:r w:rsidR="002D2230" w:rsidRPr="005D2539">
        <w:rPr>
          <w:vertAlign w:val="superscript"/>
        </w:rPr>
        <w:t>,</w:t>
      </w:r>
      <w:r w:rsidR="002D2230" w:rsidRPr="006F4610">
        <w:rPr>
          <w:rStyle w:val="FootnoteReference"/>
        </w:rPr>
        <w:footnoteReference w:id="62"/>
      </w:r>
      <w:r w:rsidR="002D2230" w:rsidRPr="005D2539">
        <w:rPr>
          <w:vertAlign w:val="superscript"/>
        </w:rPr>
        <w:t>,</w:t>
      </w:r>
      <w:r w:rsidR="002D2230" w:rsidRPr="006F4610">
        <w:rPr>
          <w:rStyle w:val="FootnoteReference"/>
        </w:rPr>
        <w:footnoteReference w:id="63"/>
      </w:r>
      <w:r w:rsidR="002D2230" w:rsidRPr="005D2539">
        <w:rPr>
          <w:vertAlign w:val="superscript"/>
        </w:rPr>
        <w:t>,</w:t>
      </w:r>
      <w:r w:rsidR="002D2230" w:rsidRPr="006F4610">
        <w:rPr>
          <w:rStyle w:val="FootnoteReference"/>
        </w:rPr>
        <w:footnoteReference w:id="64"/>
      </w:r>
      <w:r w:rsidR="002D2230" w:rsidRPr="005D2539">
        <w:rPr>
          <w:vertAlign w:val="superscript"/>
        </w:rPr>
        <w:t>,</w:t>
      </w:r>
      <w:r w:rsidR="002D2230" w:rsidRPr="006F4610">
        <w:rPr>
          <w:rStyle w:val="FootnoteReference"/>
        </w:rPr>
        <w:footnoteReference w:id="65"/>
      </w:r>
      <w:r w:rsidR="002D2230" w:rsidRPr="005D2539">
        <w:rPr>
          <w:vertAlign w:val="superscript"/>
        </w:rPr>
        <w:t>,</w:t>
      </w:r>
      <w:r w:rsidR="002D2230" w:rsidRPr="006F4610">
        <w:rPr>
          <w:rStyle w:val="FootnoteReference"/>
        </w:rPr>
        <w:footnoteReference w:id="66"/>
      </w:r>
      <w:r w:rsidR="002D2230" w:rsidRPr="005D2539">
        <w:rPr>
          <w:vertAlign w:val="superscript"/>
        </w:rPr>
        <w:t>,</w:t>
      </w:r>
      <w:r w:rsidR="002D2230" w:rsidRPr="006F4610">
        <w:rPr>
          <w:rStyle w:val="FootnoteReference"/>
        </w:rPr>
        <w:footnoteReference w:id="67"/>
      </w:r>
      <w:r w:rsidRPr="005D2539">
        <w:rPr>
          <w:vertAlign w:val="superscript"/>
        </w:rPr>
        <w:t xml:space="preserve"> </w:t>
      </w:r>
      <w:r w:rsidRPr="00915314">
        <w:t>Therefore, vertebral fractures are key in regulatory guidance for the establishment of efficacy.</w:t>
      </w:r>
    </w:p>
    <w:p w14:paraId="5136E86A" w14:textId="5E77E902" w:rsidR="00915314" w:rsidRPr="002E7EF6" w:rsidRDefault="00915314" w:rsidP="00915314">
      <w:pPr>
        <w:pStyle w:val="ListBullet"/>
      </w:pPr>
      <w:r w:rsidRPr="002E7EF6">
        <w:t>Clinical fractures, are a composite endpoint of symptomatic clinical vertebral fractures and non-vertebral fractures. They account for much of the morbidity</w:t>
      </w:r>
      <w:r w:rsidR="00173EF3" w:rsidRPr="002E7EF6">
        <w:t xml:space="preserve"> </w:t>
      </w:r>
      <w:r w:rsidRPr="002E7EF6">
        <w:t>and mortality associated with osteoporosis and are an important endpoint that has been used as a primary or key secondary endpoint in a number of major osteoporosis clinical trial programs</w:t>
      </w:r>
      <w:r w:rsidR="003458DF">
        <w:t>.</w:t>
      </w:r>
      <w:r w:rsidR="002D2230" w:rsidRPr="006F4610">
        <w:rPr>
          <w:rStyle w:val="FootnoteReference"/>
        </w:rPr>
        <w:footnoteReference w:id="68"/>
      </w:r>
      <w:r w:rsidR="002D2230" w:rsidRPr="005D2539">
        <w:rPr>
          <w:vertAlign w:val="superscript"/>
        </w:rPr>
        <w:t>,</w:t>
      </w:r>
      <w:r w:rsidR="002D2230" w:rsidRPr="006F4610">
        <w:rPr>
          <w:rStyle w:val="FootnoteReference"/>
        </w:rPr>
        <w:footnoteReference w:id="69"/>
      </w:r>
    </w:p>
    <w:p w14:paraId="427F19DB" w14:textId="7792EAAF" w:rsidR="00915314" w:rsidRPr="002E7EF6" w:rsidRDefault="00915314" w:rsidP="002D2230">
      <w:pPr>
        <w:pStyle w:val="ListBullet"/>
      </w:pPr>
      <w:r w:rsidRPr="002E7EF6">
        <w:t xml:space="preserve">Hip fracture, the most devastating type of </w:t>
      </w:r>
      <w:r w:rsidR="00864D4D" w:rsidRPr="002E7EF6">
        <w:t>non-vertebral</w:t>
      </w:r>
      <w:r w:rsidRPr="002E7EF6">
        <w:t xml:space="preserve"> fracture is well recognized as a life-altering event that leads to debilitation, loss of independence and is linked to an </w:t>
      </w:r>
      <w:r w:rsidRPr="002E7EF6">
        <w:lastRenderedPageBreak/>
        <w:t>increased risk of death</w:t>
      </w:r>
      <w:r w:rsidR="003458DF">
        <w:t>.</w:t>
      </w:r>
      <w:r w:rsidR="005446B1" w:rsidRPr="002E7EF6">
        <w:rPr>
          <w:rStyle w:val="FootnoteReference"/>
        </w:rPr>
        <w:footnoteReference w:id="70"/>
      </w:r>
      <w:r w:rsidR="005446B1" w:rsidRPr="002E7EF6">
        <w:t>,</w:t>
      </w:r>
      <w:r w:rsidR="005446B1" w:rsidRPr="002E7EF6">
        <w:rPr>
          <w:rStyle w:val="FootnoteReference"/>
        </w:rPr>
        <w:footnoteReference w:id="71"/>
      </w:r>
      <w:r w:rsidR="005446B1" w:rsidRPr="002E7EF6">
        <w:t>,</w:t>
      </w:r>
      <w:r w:rsidR="005446B1" w:rsidRPr="002E7EF6">
        <w:rPr>
          <w:rStyle w:val="FootnoteReference"/>
        </w:rPr>
        <w:footnoteReference w:id="72"/>
      </w:r>
      <w:r w:rsidRPr="002E7EF6">
        <w:t xml:space="preserve"> </w:t>
      </w:r>
      <w:r w:rsidR="00864D4D" w:rsidRPr="002E7EF6">
        <w:t>Non-vertebral</w:t>
      </w:r>
      <w:r w:rsidRPr="002E7EF6">
        <w:t xml:space="preserve"> and hip fractures are therefore included as endpoints in the trials.</w:t>
      </w:r>
    </w:p>
    <w:p w14:paraId="210FADE4" w14:textId="2753FE95" w:rsidR="00915314" w:rsidRPr="002E7EF6" w:rsidRDefault="00915314" w:rsidP="00915314">
      <w:r w:rsidRPr="002E7EF6">
        <w:t xml:space="preserve">Consistent with regulatory guidance and precedence in osteoporosis trials, pivotal </w:t>
      </w:r>
      <w:r w:rsidR="005446B1" w:rsidRPr="002E7EF6">
        <w:t>S</w:t>
      </w:r>
      <w:r w:rsidRPr="002E7EF6">
        <w:t>tudies</w:t>
      </w:r>
      <w:r w:rsidR="006F4610">
        <w:t> </w:t>
      </w:r>
      <w:r w:rsidRPr="002E7EF6">
        <w:t>20070337 and 20110142 assessed the most clinically meaningful fracture outcomes as described above in osteoporosis populations at increasing fracture risk as primary or secondary endpoints.</w:t>
      </w:r>
    </w:p>
    <w:p w14:paraId="718EDAAB" w14:textId="77777777" w:rsidR="00915314" w:rsidRPr="002E7EF6" w:rsidRDefault="00915314" w:rsidP="00915314">
      <w:r w:rsidRPr="002E7EF6">
        <w:t>The co-primary endpoints of</w:t>
      </w:r>
      <w:r w:rsidR="00086452" w:rsidRPr="002E7EF6">
        <w:t xml:space="preserve"> Study</w:t>
      </w:r>
      <w:r w:rsidRPr="002E7EF6">
        <w:t xml:space="preserve"> 20070337 were subject incidence of new vertebral fracture through </w:t>
      </w:r>
      <w:r w:rsidR="005446B1" w:rsidRPr="002E7EF6">
        <w:t>M</w:t>
      </w:r>
      <w:r w:rsidRPr="002E7EF6">
        <w:t xml:space="preserve">onths 12 and 24; the </w:t>
      </w:r>
      <w:r w:rsidR="005446B1" w:rsidRPr="002E7EF6">
        <w:t>two</w:t>
      </w:r>
      <w:r w:rsidRPr="002E7EF6">
        <w:t xml:space="preserve"> primary endpoints o</w:t>
      </w:r>
      <w:r w:rsidR="005446B1" w:rsidRPr="002E7EF6">
        <w:t xml:space="preserve">f Study </w:t>
      </w:r>
      <w:r w:rsidRPr="002E7EF6">
        <w:t xml:space="preserve">20110142 were the subject incidence of new vertebral fracture through </w:t>
      </w:r>
      <w:r w:rsidR="005446B1" w:rsidRPr="002E7EF6">
        <w:t>M</w:t>
      </w:r>
      <w:r w:rsidRPr="002E7EF6">
        <w:t>onth 24 and the subject incidence of clinical fracture (</w:t>
      </w:r>
      <w:r w:rsidR="00864D4D" w:rsidRPr="002E7EF6">
        <w:t>non-vertebral</w:t>
      </w:r>
      <w:r w:rsidRPr="002E7EF6">
        <w:t xml:space="preserve"> and clinical vertebral fracture) through the primary analysis (occurred after a median follow-up of 33 months). Both studies have demonstrated a clinically meaningful benefit on fra</w:t>
      </w:r>
      <w:r w:rsidR="005446B1" w:rsidRPr="002E7EF6">
        <w:t xml:space="preserve">cture risk reduction from </w:t>
      </w:r>
      <w:r w:rsidR="00086452" w:rsidRPr="002E7EF6">
        <w:t>romosozumab</w:t>
      </w:r>
      <w:r w:rsidR="005446B1" w:rsidRPr="002E7EF6">
        <w:t>.</w:t>
      </w:r>
    </w:p>
    <w:p w14:paraId="1067BFF8" w14:textId="3C1C44BD" w:rsidR="00915314" w:rsidRPr="002E7EF6" w:rsidRDefault="00915314" w:rsidP="002E7EF6">
      <w:pPr>
        <w:pStyle w:val="Numberbullet0"/>
        <w:rPr>
          <w:b/>
          <w:i/>
        </w:rPr>
      </w:pPr>
      <w:r w:rsidRPr="002E7EF6">
        <w:rPr>
          <w:b/>
          <w:i/>
        </w:rPr>
        <w:t xml:space="preserve">Has safety been adequately established in relation to duration of follow up and the signal for </w:t>
      </w:r>
      <w:r w:rsidR="005446B1" w:rsidRPr="002E7EF6">
        <w:rPr>
          <w:b/>
          <w:i/>
        </w:rPr>
        <w:t>cardiovascular</w:t>
      </w:r>
      <w:r w:rsidRPr="002E7EF6">
        <w:rPr>
          <w:b/>
          <w:i/>
        </w:rPr>
        <w:t xml:space="preserve"> events?</w:t>
      </w:r>
    </w:p>
    <w:p w14:paraId="773C4BA8" w14:textId="5E8B3ED6" w:rsidR="00915314" w:rsidRPr="002E7EF6" w:rsidRDefault="00915314" w:rsidP="00915314">
      <w:r w:rsidRPr="002E7EF6">
        <w:t xml:space="preserve">Two large, pivotal, controlled studies were conducted to establish the efficacy and safety of </w:t>
      </w:r>
      <w:r w:rsidR="00086452" w:rsidRPr="002E7EF6">
        <w:t>romosozumab</w:t>
      </w:r>
      <w:r w:rsidRPr="002E7EF6">
        <w:t xml:space="preserve"> for the treatment of </w:t>
      </w:r>
      <w:r w:rsidR="005446B1" w:rsidRPr="002E7EF6">
        <w:t>postmenopausal osteoporosis</w:t>
      </w:r>
      <w:r w:rsidRPr="002E7EF6">
        <w:t xml:space="preserve">. In </w:t>
      </w:r>
      <w:r w:rsidR="005446B1" w:rsidRPr="002E7EF6">
        <w:t xml:space="preserve">Study </w:t>
      </w:r>
      <w:r w:rsidRPr="002E7EF6">
        <w:t>20070337, there was no evidence of an imbalance in cardiovascular serious adverse events. In the active</w:t>
      </w:r>
      <w:r w:rsidR="005446B1" w:rsidRPr="002E7EF6">
        <w:t xml:space="preserve"> </w:t>
      </w:r>
      <w:r w:rsidRPr="002E7EF6">
        <w:t xml:space="preserve">controlled </w:t>
      </w:r>
      <w:r w:rsidR="005446B1" w:rsidRPr="002E7EF6">
        <w:t xml:space="preserve">Study </w:t>
      </w:r>
      <w:r w:rsidRPr="002E7EF6">
        <w:t xml:space="preserve">20110142, clinically relevant and statistically significant reductions of vertebral, clinical, </w:t>
      </w:r>
      <w:r w:rsidR="00864D4D" w:rsidRPr="002E7EF6">
        <w:t>non-vertebral</w:t>
      </w:r>
      <w:r w:rsidRPr="002E7EF6">
        <w:t xml:space="preserve">, and hip fractures were observed compared with </w:t>
      </w:r>
      <w:r w:rsidR="00086452" w:rsidRPr="002E7EF6">
        <w:t>alendronate</w:t>
      </w:r>
      <w:r w:rsidRPr="002E7EF6">
        <w:t xml:space="preserve"> alone, establishing a foundation of improved skeletal mass before transitioning to anti</w:t>
      </w:r>
      <w:r w:rsidR="003458DF">
        <w:t>-</w:t>
      </w:r>
      <w:proofErr w:type="spellStart"/>
      <w:r w:rsidRPr="002E7EF6">
        <w:t>resorptive</w:t>
      </w:r>
      <w:proofErr w:type="spellEnd"/>
      <w:r w:rsidRPr="002E7EF6">
        <w:t xml:space="preserve"> therapy and an imbalance in positively-adjudicated </w:t>
      </w:r>
      <w:r w:rsidR="005446B1" w:rsidRPr="002E7EF6">
        <w:t>cardiovascular</w:t>
      </w:r>
      <w:r w:rsidRPr="002E7EF6">
        <w:t xml:space="preserve"> SAEs was observed in the first year between the arms. The hazard ratio (95% CI) for MACE (composite of cardiovascular death, nonfatal myocardial infarction, and nonfatal stroke) was 1.87 (</w:t>
      </w:r>
      <w:r w:rsidR="005446B1" w:rsidRPr="002E7EF6">
        <w:t xml:space="preserve">CI </w:t>
      </w:r>
      <w:r w:rsidRPr="002E7EF6">
        <w:t>1.11</w:t>
      </w:r>
      <w:r w:rsidR="005446B1" w:rsidRPr="002E7EF6">
        <w:t xml:space="preserve"> to</w:t>
      </w:r>
      <w:r w:rsidRPr="002E7EF6">
        <w:t xml:space="preserve"> 3.14) based on 41 (2.0%) subjects in the </w:t>
      </w:r>
      <w:r w:rsidR="00086452" w:rsidRPr="002E7EF6">
        <w:t>romosozumab</w:t>
      </w:r>
      <w:r w:rsidRPr="002E7EF6">
        <w:t xml:space="preserve"> group and 22 (1.1%) subjects in the </w:t>
      </w:r>
      <w:r w:rsidR="00086452" w:rsidRPr="002E7EF6">
        <w:t>alendronate</w:t>
      </w:r>
      <w:r w:rsidRPr="002E7EF6">
        <w:t xml:space="preserve"> group with a MACE. The risk of MACE was driven by a small nu</w:t>
      </w:r>
      <w:r w:rsidR="005446B1" w:rsidRPr="002E7EF6">
        <w:t>mber of subjects with serious myocardial infarction</w:t>
      </w:r>
      <w:r w:rsidRPr="002E7EF6">
        <w:t xml:space="preserve"> (16 </w:t>
      </w:r>
      <w:r w:rsidR="00654353">
        <w:t>(</w:t>
      </w:r>
      <w:r w:rsidRPr="002E7EF6">
        <w:t>0.8%</w:t>
      </w:r>
      <w:r w:rsidR="00654353">
        <w:t>)</w:t>
      </w:r>
      <w:r w:rsidRPr="002E7EF6">
        <w:t xml:space="preserve"> </w:t>
      </w:r>
      <w:r w:rsidR="00086452" w:rsidRPr="002E7EF6">
        <w:t>romosozumab</w:t>
      </w:r>
      <w:r w:rsidRPr="002E7EF6">
        <w:t xml:space="preserve"> versus 5 </w:t>
      </w:r>
      <w:r w:rsidR="00654353">
        <w:t>(</w:t>
      </w:r>
      <w:r w:rsidRPr="002E7EF6">
        <w:t>0.2%</w:t>
      </w:r>
      <w:r w:rsidR="00654353">
        <w:t>)</w:t>
      </w:r>
      <w:r w:rsidRPr="002E7EF6">
        <w:t xml:space="preserve"> </w:t>
      </w:r>
      <w:r w:rsidR="00086452" w:rsidRPr="002E7EF6">
        <w:t>alendronate</w:t>
      </w:r>
      <w:r w:rsidRPr="002E7EF6">
        <w:t>) or serious stroke</w:t>
      </w:r>
      <w:r w:rsidR="005446B1" w:rsidRPr="002E7EF6">
        <w:t xml:space="preserve"> </w:t>
      </w:r>
      <w:r w:rsidRPr="002E7EF6">
        <w:t xml:space="preserve">(13 </w:t>
      </w:r>
      <w:r w:rsidR="00654353">
        <w:t>(</w:t>
      </w:r>
      <w:r w:rsidRPr="002E7EF6">
        <w:t>0.6%</w:t>
      </w:r>
      <w:r w:rsidR="00654353">
        <w:t>)</w:t>
      </w:r>
      <w:r w:rsidRPr="002E7EF6">
        <w:t xml:space="preserve"> </w:t>
      </w:r>
      <w:r w:rsidR="00086452" w:rsidRPr="002E7EF6">
        <w:t>romosozumab</w:t>
      </w:r>
      <w:r w:rsidRPr="002E7EF6">
        <w:t xml:space="preserve"> versus 7 </w:t>
      </w:r>
      <w:r w:rsidR="00654353">
        <w:t>(</w:t>
      </w:r>
      <w:r w:rsidRPr="002E7EF6">
        <w:t>0.3%</w:t>
      </w:r>
      <w:r w:rsidR="00654353">
        <w:t>)</w:t>
      </w:r>
      <w:r w:rsidRPr="002E7EF6">
        <w:t xml:space="preserve"> </w:t>
      </w:r>
      <w:r w:rsidR="00086452" w:rsidRPr="002E7EF6">
        <w:t>alendronate</w:t>
      </w:r>
      <w:r w:rsidRPr="002E7EF6">
        <w:t xml:space="preserve">) during the first year. An imbalance in MACE was not observed after the first year. A numerical imbalance in positively-adjudicated </w:t>
      </w:r>
      <w:r w:rsidR="005446B1" w:rsidRPr="002E7EF6">
        <w:t>cardiovascular</w:t>
      </w:r>
      <w:r w:rsidRPr="002E7EF6">
        <w:t xml:space="preserve"> SAEs (8 </w:t>
      </w:r>
      <w:r w:rsidR="00654353">
        <w:t>(</w:t>
      </w:r>
      <w:r w:rsidRPr="002E7EF6">
        <w:t>4.9%</w:t>
      </w:r>
      <w:r w:rsidR="00654353">
        <w:t>)</w:t>
      </w:r>
      <w:r w:rsidRPr="002E7EF6">
        <w:t xml:space="preserve"> </w:t>
      </w:r>
      <w:r w:rsidR="00086452" w:rsidRPr="002E7EF6">
        <w:t>romosozumab</w:t>
      </w:r>
      <w:r w:rsidRPr="002E7EF6">
        <w:t xml:space="preserve"> and 2 </w:t>
      </w:r>
      <w:r w:rsidR="00654353">
        <w:t>(</w:t>
      </w:r>
      <w:r w:rsidRPr="002E7EF6">
        <w:t>2.5%</w:t>
      </w:r>
      <w:r w:rsidR="00654353">
        <w:t>)</w:t>
      </w:r>
      <w:r w:rsidRPr="002E7EF6">
        <w:t xml:space="preserve"> placebo) was observed in the small bridging study in men with osteoporosis </w:t>
      </w:r>
      <w:r w:rsidR="00173EF3" w:rsidRPr="002E7EF6">
        <w:t xml:space="preserve">(Study </w:t>
      </w:r>
      <w:r w:rsidRPr="002E7EF6">
        <w:t>20110174).</w:t>
      </w:r>
    </w:p>
    <w:p w14:paraId="5F2F5F92" w14:textId="77777777" w:rsidR="00915314" w:rsidRPr="002E7EF6" w:rsidRDefault="00915314" w:rsidP="00915314">
      <w:r w:rsidRPr="002E7EF6">
        <w:t xml:space="preserve">In addition, incidences of </w:t>
      </w:r>
      <w:r w:rsidR="005446B1" w:rsidRPr="002E7EF6">
        <w:t>cardiovascular</w:t>
      </w:r>
      <w:r w:rsidRPr="002E7EF6">
        <w:t xml:space="preserve"> SAEs were consistent between analyses based on </w:t>
      </w:r>
      <w:r w:rsidR="005446B1" w:rsidRPr="002E7EF6">
        <w:t xml:space="preserve">treatment emergent </w:t>
      </w:r>
      <w:r w:rsidRPr="002E7EF6">
        <w:t xml:space="preserve">AE reporting and the adjudicated </w:t>
      </w:r>
      <w:r w:rsidR="005446B1" w:rsidRPr="002E7EF6">
        <w:t>cardiovascular</w:t>
      </w:r>
      <w:r w:rsidRPr="002E7EF6">
        <w:t xml:space="preserve"> AEs, providing further assurance regarding the comprehensiveness of the adjudication process. Subgroup analyses did not identify a population at increased relative risk of </w:t>
      </w:r>
      <w:r w:rsidR="005446B1" w:rsidRPr="002E7EF6">
        <w:t>cardiovascular</w:t>
      </w:r>
      <w:r w:rsidRPr="002E7EF6">
        <w:t xml:space="preserve"> SAEs of MACE with administration of </w:t>
      </w:r>
      <w:r w:rsidR="00086452" w:rsidRPr="002E7EF6">
        <w:t>romosozumab</w:t>
      </w:r>
      <w:r w:rsidRPr="002E7EF6">
        <w:t>, including no difference in relative risk among subjects with and without</w:t>
      </w:r>
      <w:r w:rsidR="005446B1" w:rsidRPr="002E7EF6">
        <w:t xml:space="preserve"> a history of prior cardiovascular disease.</w:t>
      </w:r>
    </w:p>
    <w:p w14:paraId="3772417A" w14:textId="77777777" w:rsidR="00915314" w:rsidRPr="002E7EF6" w:rsidRDefault="00915314" w:rsidP="00915314">
      <w:r w:rsidRPr="002E7EF6">
        <w:t>Additional exploration into plausible mechanisms were undertaken and no clear mechanistic explanation was identified:</w:t>
      </w:r>
    </w:p>
    <w:p w14:paraId="3546AC34" w14:textId="77777777" w:rsidR="00915314" w:rsidRPr="002E7EF6" w:rsidRDefault="00915314" w:rsidP="005446B1">
      <w:pPr>
        <w:pStyle w:val="ListBullet"/>
      </w:pPr>
      <w:r w:rsidRPr="002E7EF6">
        <w:t xml:space="preserve">Genetic evidence of reduced sclerostin expression did not suggest a detrimental effect on </w:t>
      </w:r>
      <w:r w:rsidR="005446B1" w:rsidRPr="002E7EF6">
        <w:t>cardiovascular</w:t>
      </w:r>
      <w:r w:rsidRPr="002E7EF6">
        <w:t xml:space="preserve"> health.</w:t>
      </w:r>
    </w:p>
    <w:p w14:paraId="73491A48" w14:textId="5AFEE5B2" w:rsidR="00915314" w:rsidRPr="002E7EF6" w:rsidRDefault="00915314" w:rsidP="005446B1">
      <w:pPr>
        <w:pStyle w:val="ListBullet"/>
      </w:pPr>
      <w:r w:rsidRPr="002E7EF6">
        <w:t>Nonclinical models exploring h</w:t>
      </w:r>
      <w:r w:rsidR="00D62AEE">
        <w:t>a</w:t>
      </w:r>
      <w:r w:rsidRPr="002E7EF6">
        <w:t xml:space="preserve">emostasis/coagulation, platelet activation, vasoconstriction, sclerostin expression in human atherosclerotic plaques, </w:t>
      </w:r>
      <w:proofErr w:type="spellStart"/>
      <w:r w:rsidRPr="002E7EF6">
        <w:t>sclerostin</w:t>
      </w:r>
      <w:proofErr w:type="spellEnd"/>
      <w:r w:rsidRPr="002E7EF6">
        <w:t xml:space="preserve"> </w:t>
      </w:r>
      <w:r w:rsidRPr="002E7EF6">
        <w:lastRenderedPageBreak/>
        <w:t xml:space="preserve">inhibition in </w:t>
      </w:r>
      <w:proofErr w:type="spellStart"/>
      <w:r w:rsidR="006F4610">
        <w:t>a</w:t>
      </w:r>
      <w:r w:rsidR="006F4610" w:rsidRPr="002E7EF6">
        <w:t>polipoprotein</w:t>
      </w:r>
      <w:proofErr w:type="spellEnd"/>
      <w:r w:rsidR="006F4610" w:rsidRPr="002E7EF6">
        <w:t xml:space="preserve"> </w:t>
      </w:r>
      <w:r w:rsidRPr="002E7EF6">
        <w:t>E (</w:t>
      </w:r>
      <w:proofErr w:type="spellStart"/>
      <w:r w:rsidRPr="002E7EF6">
        <w:t>ApoE</w:t>
      </w:r>
      <w:proofErr w:type="spellEnd"/>
      <w:r w:rsidRPr="002E7EF6">
        <w:t xml:space="preserve">)-/- mice, and </w:t>
      </w:r>
      <w:r w:rsidR="003458DF" w:rsidRPr="002E7EF6">
        <w:t>unfavourable</w:t>
      </w:r>
      <w:r w:rsidRPr="002E7EF6">
        <w:t xml:space="preserve"> changes associated with plaque rupture, plaque erosion, or vasospasm did not identify a biologically plausible mechanism for the imbalance.</w:t>
      </w:r>
    </w:p>
    <w:p w14:paraId="568242BA" w14:textId="77777777" w:rsidR="00915314" w:rsidRPr="002E7EF6" w:rsidRDefault="00915314" w:rsidP="005446B1">
      <w:pPr>
        <w:pStyle w:val="ListBullet"/>
      </w:pPr>
      <w:r w:rsidRPr="002E7EF6">
        <w:t xml:space="preserve">Differences between </w:t>
      </w:r>
      <w:r w:rsidR="005446B1" w:rsidRPr="002E7EF6">
        <w:t xml:space="preserve">Study </w:t>
      </w:r>
      <w:r w:rsidRPr="002E7EF6">
        <w:t>20110142 and</w:t>
      </w:r>
      <w:r w:rsidR="005579F3" w:rsidRPr="002E7EF6">
        <w:t xml:space="preserve"> </w:t>
      </w:r>
      <w:r w:rsidR="005446B1" w:rsidRPr="002E7EF6">
        <w:t xml:space="preserve">Study </w:t>
      </w:r>
      <w:r w:rsidRPr="002E7EF6">
        <w:t xml:space="preserve">20070337 within subgroups did not suggest a common mechanism for exacerbation of underlying </w:t>
      </w:r>
      <w:r w:rsidR="005446B1" w:rsidRPr="002E7EF6">
        <w:t>cardiovascular</w:t>
      </w:r>
      <w:r w:rsidRPr="002E7EF6">
        <w:t xml:space="preserve"> disease with </w:t>
      </w:r>
      <w:r w:rsidR="00086452" w:rsidRPr="002E7EF6">
        <w:t>romosozumab</w:t>
      </w:r>
      <w:r w:rsidRPr="002E7EF6">
        <w:t>.</w:t>
      </w:r>
    </w:p>
    <w:p w14:paraId="5E46BC19" w14:textId="77777777" w:rsidR="00915314" w:rsidRPr="002E7EF6" w:rsidRDefault="00915314" w:rsidP="005446B1">
      <w:pPr>
        <w:pStyle w:val="ListBullet"/>
      </w:pPr>
      <w:r w:rsidRPr="002E7EF6">
        <w:t xml:space="preserve">Rates for </w:t>
      </w:r>
      <w:r w:rsidR="005446B1" w:rsidRPr="002E7EF6">
        <w:t>myocardial infarction</w:t>
      </w:r>
      <w:r w:rsidRPr="002E7EF6">
        <w:t xml:space="preserve"> and stroke in </w:t>
      </w:r>
      <w:r w:rsidR="005446B1" w:rsidRPr="002E7EF6">
        <w:t xml:space="preserve">Study </w:t>
      </w:r>
      <w:r w:rsidRPr="002E7EF6">
        <w:t>20110142 were similar to rates reported in population-based studies for similarly aged cohorts of women.</w:t>
      </w:r>
    </w:p>
    <w:p w14:paraId="5AAB05D0" w14:textId="640EAF05" w:rsidR="00915314" w:rsidRPr="002E7EF6" w:rsidRDefault="00915314" w:rsidP="00915314">
      <w:r w:rsidRPr="002E7EF6">
        <w:t xml:space="preserve">In the </w:t>
      </w:r>
      <w:r w:rsidR="005446B1" w:rsidRPr="002E7EF6">
        <w:t>two</w:t>
      </w:r>
      <w:r w:rsidRPr="002E7EF6">
        <w:t xml:space="preserve"> pivotal </w:t>
      </w:r>
      <w:r w:rsidR="003458DF">
        <w:t>post</w:t>
      </w:r>
      <w:r w:rsidR="005446B1" w:rsidRPr="002E7EF6">
        <w:t xml:space="preserve">menopausal osteoporosis </w:t>
      </w:r>
      <w:r w:rsidRPr="002E7EF6">
        <w:t xml:space="preserve">studies, the </w:t>
      </w:r>
      <w:r w:rsidR="005446B1" w:rsidRPr="002E7EF6">
        <w:t>cardiovascular</w:t>
      </w:r>
      <w:r w:rsidRPr="002E7EF6">
        <w:t xml:space="preserve"> imbalance was observed in the active</w:t>
      </w:r>
      <w:r w:rsidR="00086452" w:rsidRPr="002E7EF6">
        <w:t xml:space="preserve"> </w:t>
      </w:r>
      <w:r w:rsidRPr="002E7EF6">
        <w:t>comparator trial (</w:t>
      </w:r>
      <w:r w:rsidR="00086452" w:rsidRPr="002E7EF6">
        <w:t xml:space="preserve">Study </w:t>
      </w:r>
      <w:r w:rsidRPr="002E7EF6">
        <w:t>20110142) and not in the placebo</w:t>
      </w:r>
      <w:r w:rsidR="00086452" w:rsidRPr="002E7EF6">
        <w:t xml:space="preserve"> </w:t>
      </w:r>
      <w:r w:rsidRPr="002E7EF6">
        <w:t>controlled trial</w:t>
      </w:r>
      <w:r w:rsidR="005446B1" w:rsidRPr="002E7EF6">
        <w:t xml:space="preserve"> Study </w:t>
      </w:r>
      <w:r w:rsidRPr="002E7EF6">
        <w:t xml:space="preserve">20070337. Over the study duration, it is not expected that the rate of </w:t>
      </w:r>
      <w:r w:rsidR="005446B1" w:rsidRPr="002E7EF6">
        <w:t>cardiovascular</w:t>
      </w:r>
      <w:r w:rsidRPr="002E7EF6">
        <w:t xml:space="preserve"> events would increase over time. This was observed in the </w:t>
      </w:r>
      <w:r w:rsidR="00086452" w:rsidRPr="002E7EF6">
        <w:t>romosozumab</w:t>
      </w:r>
      <w:r w:rsidRPr="002E7EF6">
        <w:t xml:space="preserve"> arm of </w:t>
      </w:r>
      <w:r w:rsidR="00086452" w:rsidRPr="002E7EF6">
        <w:t xml:space="preserve">Study </w:t>
      </w:r>
      <w:r w:rsidRPr="002E7EF6">
        <w:t>20110142 where the annual rate of events were generally constant. This linear behavio</w:t>
      </w:r>
      <w:r w:rsidR="00086452" w:rsidRPr="002E7EF6">
        <w:t>u</w:t>
      </w:r>
      <w:r w:rsidRPr="002E7EF6">
        <w:t xml:space="preserve">r was not observed in the </w:t>
      </w:r>
      <w:r w:rsidR="00086452" w:rsidRPr="002E7EF6">
        <w:t>alendronate</w:t>
      </w:r>
      <w:r w:rsidRPr="002E7EF6">
        <w:t xml:space="preserve"> group, where the rate of events the first year was lowest compared to </w:t>
      </w:r>
      <w:r w:rsidR="005446B1" w:rsidRPr="002E7EF6">
        <w:t>Y</w:t>
      </w:r>
      <w:r w:rsidRPr="002E7EF6">
        <w:t xml:space="preserve">ears 2 and 3, despite continued treatment with </w:t>
      </w:r>
      <w:r w:rsidR="00086452" w:rsidRPr="00074F84">
        <w:t>alendronate</w:t>
      </w:r>
      <w:r w:rsidRPr="00074F84">
        <w:t>.</w:t>
      </w:r>
    </w:p>
    <w:p w14:paraId="6E0AEAA1" w14:textId="77777777" w:rsidR="00915314" w:rsidRPr="002E7EF6" w:rsidRDefault="00915314" w:rsidP="00915314">
      <w:r w:rsidRPr="002E7EF6">
        <w:t xml:space="preserve">Not having been able to either rule in or rule out a causal association between </w:t>
      </w:r>
      <w:r w:rsidR="00086452" w:rsidRPr="002E7EF6">
        <w:t>romosozumab</w:t>
      </w:r>
      <w:r w:rsidRPr="002E7EF6">
        <w:t xml:space="preserve"> and </w:t>
      </w:r>
      <w:r w:rsidR="005446B1" w:rsidRPr="002E7EF6">
        <w:t>cardiovascular</w:t>
      </w:r>
      <w:r w:rsidRPr="002E7EF6">
        <w:t xml:space="preserve"> SAEs at this time, the assessment by the sponsor is that there is an important potential risk of </w:t>
      </w:r>
      <w:r w:rsidR="005446B1" w:rsidRPr="002E7EF6">
        <w:t>cardiovascular</w:t>
      </w:r>
      <w:r w:rsidRPr="002E7EF6">
        <w:t xml:space="preserve"> SAEs of </w:t>
      </w:r>
      <w:r w:rsidR="005446B1" w:rsidRPr="002E7EF6">
        <w:t>myocardial infarction</w:t>
      </w:r>
      <w:r w:rsidRPr="002E7EF6">
        <w:t xml:space="preserve"> and stroke. The </w:t>
      </w:r>
      <w:r w:rsidR="005446B1" w:rsidRPr="002E7EF6">
        <w:t>cardiovascular</w:t>
      </w:r>
      <w:r w:rsidRPr="002E7EF6">
        <w:t xml:space="preserve"> risk is driven by a small number of events, with the imbalance being observed in only one of the </w:t>
      </w:r>
      <w:r w:rsidR="00086452" w:rsidRPr="002E7EF6">
        <w:t>two</w:t>
      </w:r>
      <w:r w:rsidRPr="002E7EF6">
        <w:t xml:space="preserve"> large pivotal studies and mostly in the first 3</w:t>
      </w:r>
      <w:r w:rsidR="00173EF3" w:rsidRPr="002E7EF6">
        <w:t> </w:t>
      </w:r>
      <w:r w:rsidRPr="002E7EF6">
        <w:t xml:space="preserve">months. As outlined above, there is no convincing biological explanation for such findings, and given </w:t>
      </w:r>
      <w:r w:rsidR="00086452" w:rsidRPr="002E7EF6">
        <w:t>the ob</w:t>
      </w:r>
      <w:r w:rsidR="00173EF3" w:rsidRPr="002E7EF6">
        <w:t>served early imbalance (that is</w:t>
      </w:r>
      <w:r w:rsidRPr="002E7EF6">
        <w:t>, greatest within the first 3</w:t>
      </w:r>
      <w:r w:rsidR="00173EF3" w:rsidRPr="002E7EF6">
        <w:t> </w:t>
      </w:r>
      <w:r w:rsidRPr="002E7EF6">
        <w:t xml:space="preserve">months), it is unlikely that a chronic mechanism of vascular calcification would be a contributing factor. While sclerostin is expressed in the vasculature, current nonclinical data do not provide a mechanism to support biological plausibility for a causal relationship between </w:t>
      </w:r>
      <w:r w:rsidR="00086452" w:rsidRPr="002E7EF6">
        <w:t>romosozumab</w:t>
      </w:r>
      <w:r w:rsidRPr="002E7EF6">
        <w:t xml:space="preserve"> treatment and </w:t>
      </w:r>
      <w:r w:rsidR="005446B1" w:rsidRPr="002E7EF6">
        <w:t>myocardial infarction</w:t>
      </w:r>
      <w:r w:rsidRPr="002E7EF6">
        <w:t xml:space="preserve"> or stroke.</w:t>
      </w:r>
    </w:p>
    <w:p w14:paraId="33D81C2C" w14:textId="766C2F17" w:rsidR="00915314" w:rsidRPr="002E7EF6" w:rsidRDefault="00915314" w:rsidP="00915314">
      <w:r w:rsidRPr="002E7EF6">
        <w:t xml:space="preserve">Given the expected age and associated background of </w:t>
      </w:r>
      <w:r w:rsidR="005446B1" w:rsidRPr="002E7EF6">
        <w:t>cardiovascular</w:t>
      </w:r>
      <w:r w:rsidRPr="002E7EF6">
        <w:t xml:space="preserve"> risk within the osteoporosis population, benefit/risk should be assessed on an individual patient basis, particularly for those patients at increased risk for MACE. The potential </w:t>
      </w:r>
      <w:r w:rsidR="005446B1" w:rsidRPr="002E7EF6">
        <w:t>cardiovascular</w:t>
      </w:r>
      <w:r w:rsidRPr="002E7EF6">
        <w:t xml:space="preserve"> risk will be communicated through the ‘Special warnings and precautions for use’ section of the proposed </w:t>
      </w:r>
      <w:r w:rsidR="006F4610">
        <w:t>PI</w:t>
      </w:r>
      <w:r w:rsidRPr="002E7EF6">
        <w:t xml:space="preserve">, and also, the </w:t>
      </w:r>
      <w:r w:rsidR="006F4610">
        <w:t>CMI</w:t>
      </w:r>
      <w:r w:rsidRPr="002E7EF6">
        <w:t>, to ensure that both patients and physicians are informed when making prescribing decisions.</w:t>
      </w:r>
    </w:p>
    <w:p w14:paraId="04BD9D3A" w14:textId="77777777" w:rsidR="00915314" w:rsidRPr="002E7EF6" w:rsidRDefault="00915314" w:rsidP="00915314">
      <w:r w:rsidRPr="002E7EF6">
        <w:t xml:space="preserve">These analyses support that safety has been adequately established with assessment of both the </w:t>
      </w:r>
      <w:r w:rsidR="00086452" w:rsidRPr="002E7EF6">
        <w:t>romosozumab</w:t>
      </w:r>
      <w:r w:rsidRPr="002E7EF6">
        <w:t xml:space="preserve"> treatment period and the longer follow-up period and that the benefits are thought to outweigh the risks.</w:t>
      </w:r>
    </w:p>
    <w:p w14:paraId="79457A5B" w14:textId="77777777" w:rsidR="005579F3" w:rsidRPr="002E7EF6" w:rsidRDefault="00915314" w:rsidP="00915314">
      <w:r w:rsidRPr="002E7EF6">
        <w:t>Amgen has revised the indication statement with consideration of the comments</w:t>
      </w:r>
      <w:r w:rsidR="005446B1" w:rsidRPr="002E7EF6">
        <w:t xml:space="preserve"> </w:t>
      </w:r>
      <w:r w:rsidRPr="002E7EF6">
        <w:t>r</w:t>
      </w:r>
      <w:r w:rsidR="00086452" w:rsidRPr="002E7EF6">
        <w:t>aised in both the second round c</w:t>
      </w:r>
      <w:r w:rsidRPr="002E7EF6">
        <w:t xml:space="preserve">linical </w:t>
      </w:r>
      <w:r w:rsidR="00086452" w:rsidRPr="002E7EF6">
        <w:t>evaluation r</w:t>
      </w:r>
      <w:r w:rsidRPr="002E7EF6">
        <w:t>eport and the Delegate’s Overview. Amgen proposes use of ‘at high risk of fracture’ rather than ‘at increased risk of fracture’ to define the target population more clearly. The revised indication is</w:t>
      </w:r>
    </w:p>
    <w:p w14:paraId="7973EF6A" w14:textId="17FB8B72" w:rsidR="00915314" w:rsidRPr="00074F84" w:rsidRDefault="00915314" w:rsidP="00086452">
      <w:pPr>
        <w:ind w:left="720"/>
        <w:rPr>
          <w:i/>
        </w:rPr>
      </w:pPr>
      <w:r w:rsidRPr="00074F84">
        <w:rPr>
          <w:i/>
        </w:rPr>
        <w:t>E</w:t>
      </w:r>
      <w:r w:rsidR="00086452" w:rsidRPr="00074F84">
        <w:rPr>
          <w:i/>
        </w:rPr>
        <w:t>venity</w:t>
      </w:r>
      <w:r w:rsidRPr="00074F84">
        <w:rPr>
          <w:i/>
        </w:rPr>
        <w:t xml:space="preserve"> is indicated for the treatment of osteoporosis in postmenopausal women at high risk of fracture. Treatment to increase bone mass in men with osteoporosis at high risk of fracture.</w:t>
      </w:r>
    </w:p>
    <w:p w14:paraId="6FB4A72C" w14:textId="5248DC9C" w:rsidR="00915314" w:rsidRDefault="00074F84" w:rsidP="00915314">
      <w:r>
        <w:t>The sponsor</w:t>
      </w:r>
      <w:r w:rsidR="00915314" w:rsidRPr="002E7EF6">
        <w:t xml:space="preserve"> believes that the be</w:t>
      </w:r>
      <w:r>
        <w:t>nefit-</w:t>
      </w:r>
      <w:r w:rsidR="00915314" w:rsidRPr="002E7EF6">
        <w:t>risk established for E</w:t>
      </w:r>
      <w:r w:rsidR="005446B1" w:rsidRPr="002E7EF6">
        <w:t>venity</w:t>
      </w:r>
      <w:r w:rsidR="00915314" w:rsidRPr="002E7EF6">
        <w:t xml:space="preserve"> supports approval</w:t>
      </w:r>
      <w:r w:rsidR="005446B1" w:rsidRPr="002E7EF6">
        <w:t xml:space="preserve"> </w:t>
      </w:r>
      <w:r w:rsidR="00915314" w:rsidRPr="002E7EF6">
        <w:t>of Evenity for the proposed indication.</w:t>
      </w:r>
    </w:p>
    <w:p w14:paraId="007E31F5" w14:textId="77777777" w:rsidR="008E7846" w:rsidRDefault="008E7846" w:rsidP="008E7846">
      <w:pPr>
        <w:pStyle w:val="Heading4"/>
      </w:pPr>
      <w:r>
        <w:lastRenderedPageBreak/>
        <w:t>Advisory Committee Considerations</w:t>
      </w:r>
      <w:r w:rsidR="00456765">
        <w:rPr>
          <w:rStyle w:val="FootnoteReference"/>
        </w:rPr>
        <w:footnoteReference w:id="73"/>
      </w:r>
    </w:p>
    <w:p w14:paraId="044F37EF" w14:textId="53222ED3" w:rsidR="008E7846" w:rsidRDefault="00456765" w:rsidP="008E7846">
      <w:pPr>
        <w:rPr>
          <w:bCs/>
        </w:rPr>
      </w:pPr>
      <w:r w:rsidRPr="00456765">
        <w:rPr>
          <w:bCs/>
        </w:rPr>
        <w:t>The Advisory Committee on Medicines (ACM), having considered the evaluations and the Delegate’s overview, as well as the sponsor’s response to these documents, advised the following:</w:t>
      </w:r>
    </w:p>
    <w:p w14:paraId="7809D5AA" w14:textId="6CDFF649" w:rsidR="0096025A" w:rsidRDefault="0096025A" w:rsidP="0096025A">
      <w:r w:rsidRPr="0096025A">
        <w:t>The ACM taking into account the submitted evidence of efficacy, safety and quality, considered E</w:t>
      </w:r>
      <w:r w:rsidR="00C97F66" w:rsidRPr="0096025A">
        <w:t>venity</w:t>
      </w:r>
      <w:r w:rsidRPr="0096025A">
        <w:t xml:space="preserve"> solution for injection containing 105 mg in 1.17 mL of romosozumab to have an overall positive benefit-risk profile for t</w:t>
      </w:r>
      <w:r>
        <w:t>he proposed amended indication:</w:t>
      </w:r>
    </w:p>
    <w:p w14:paraId="03DF065C" w14:textId="6A92AD7A" w:rsidR="0096025A" w:rsidRPr="0096025A" w:rsidRDefault="0096025A" w:rsidP="0096025A">
      <w:pPr>
        <w:ind w:left="720"/>
        <w:rPr>
          <w:i/>
        </w:rPr>
      </w:pPr>
      <w:r w:rsidRPr="0096025A">
        <w:rPr>
          <w:i/>
        </w:rPr>
        <w:t>E</w:t>
      </w:r>
      <w:r w:rsidR="00C97F66" w:rsidRPr="0096025A">
        <w:rPr>
          <w:i/>
        </w:rPr>
        <w:t>venity</w:t>
      </w:r>
      <w:r w:rsidRPr="0096025A">
        <w:rPr>
          <w:i/>
        </w:rPr>
        <w:t xml:space="preserve"> is indicated for the treatment of osteoporosis in postmenopausal women at high risk of fracture. Treatment to increase bone mass in men with osteoporosis at high risk of frac</w:t>
      </w:r>
      <w:r>
        <w:rPr>
          <w:i/>
        </w:rPr>
        <w:t>ture.</w:t>
      </w:r>
    </w:p>
    <w:p w14:paraId="1D1334C7" w14:textId="77777777" w:rsidR="0096025A" w:rsidRDefault="0096025A" w:rsidP="0096025A">
      <w:r w:rsidRPr="0096025A">
        <w:t>In providing this advice the ACM noted the following:</w:t>
      </w:r>
    </w:p>
    <w:p w14:paraId="09A0AE44" w14:textId="77777777" w:rsidR="0096025A" w:rsidRDefault="0096025A" w:rsidP="0096025A">
      <w:pPr>
        <w:pStyle w:val="ListBullet"/>
      </w:pPr>
      <w:r w:rsidRPr="0096025A">
        <w:t>Outcomes of the applications for registration in overseas jurisdictions, includi</w:t>
      </w:r>
      <w:r>
        <w:t>ng the US and EU, were pending.</w:t>
      </w:r>
    </w:p>
    <w:p w14:paraId="657357CC" w14:textId="5B172534" w:rsidR="0096025A" w:rsidRDefault="0096025A" w:rsidP="0096025A">
      <w:pPr>
        <w:pStyle w:val="ListBullet"/>
      </w:pPr>
      <w:r w:rsidRPr="0096025A">
        <w:t>The pivotal trials, FRAME (study 20070337) and ARCH (20110142), and BRIDGE (20110174), all demonstrated that romosozumab significantly increas</w:t>
      </w:r>
      <w:r>
        <w:t>e</w:t>
      </w:r>
      <w:r w:rsidR="006F4610">
        <w:t>s BMD.</w:t>
      </w:r>
    </w:p>
    <w:p w14:paraId="597F69AC" w14:textId="2B9A2E89" w:rsidR="0096025A" w:rsidRDefault="006F4610" w:rsidP="0096025A">
      <w:pPr>
        <w:pStyle w:val="ListBullet"/>
      </w:pPr>
      <w:r>
        <w:t xml:space="preserve">The </w:t>
      </w:r>
      <w:r w:rsidR="0096025A" w:rsidRPr="0096025A">
        <w:t xml:space="preserve">FRAME </w:t>
      </w:r>
      <w:r>
        <w:t xml:space="preserve">trial </w:t>
      </w:r>
      <w:r w:rsidR="0096025A" w:rsidRPr="0096025A">
        <w:t xml:space="preserve">was conducted in 7180 postmenopausal women with osteoporosis. Romosozumab significantly reduced the risk of new vertebral fractures compared with placebo through month 12 (romosozumab </w:t>
      </w:r>
      <w:r w:rsidR="003458DF">
        <w:t>versus</w:t>
      </w:r>
      <w:r w:rsidR="0096025A" w:rsidRPr="0096025A">
        <w:t xml:space="preserve"> placebo: 0.5% </w:t>
      </w:r>
      <w:r w:rsidR="003458DF">
        <w:t>versus</w:t>
      </w:r>
      <w:r w:rsidR="0096025A" w:rsidRPr="0096025A">
        <w:t xml:space="preserve"> 1.8%; odds ratio = 0.27, p &lt; 0.001), with an absolute risk reduction of 1.30% (95% CI: 0.79, 1.80) and a relative risk reduction of 73% (risk rat</w:t>
      </w:r>
      <w:r w:rsidR="0096025A">
        <w:t>io = 0.27; 95% CI: 0.16, 0.47).</w:t>
      </w:r>
    </w:p>
    <w:p w14:paraId="5B64FC23" w14:textId="4A4A48E4" w:rsidR="0096025A" w:rsidRDefault="006F4610" w:rsidP="0096025A">
      <w:pPr>
        <w:pStyle w:val="ListBullet"/>
      </w:pPr>
      <w:r>
        <w:t xml:space="preserve">The </w:t>
      </w:r>
      <w:r w:rsidR="0096025A" w:rsidRPr="0096025A">
        <w:t xml:space="preserve">ARCH </w:t>
      </w:r>
      <w:r>
        <w:t xml:space="preserve">trial </w:t>
      </w:r>
      <w:r w:rsidR="0096025A" w:rsidRPr="0096025A">
        <w:t>was conducted in 4090 post-menopausal women with osteoporosis and prevalent fractures. Romosozumab 210 mg every month for 12 months followed by alendronate once weekly for 12 months significantly reduced the risk of new vertebral fracture by 50%</w:t>
      </w:r>
      <w:r w:rsidR="0096025A">
        <w:t xml:space="preserve"> compared to alendronate alone.</w:t>
      </w:r>
    </w:p>
    <w:p w14:paraId="616B487D" w14:textId="068B0399" w:rsidR="0096025A" w:rsidRDefault="0096025A" w:rsidP="0096025A">
      <w:pPr>
        <w:pStyle w:val="ListBullet"/>
      </w:pPr>
      <w:r w:rsidRPr="0096025A">
        <w:t xml:space="preserve">The BRIDGE trial was conducted in 245 men with osteoporosis. No data on fractures was captured. The mean percent increase in BMD at the lumbar spine (primary outcome) was significantly greater in the romosozumab group compared with placebo (12.1% </w:t>
      </w:r>
      <w:r w:rsidR="003458DF">
        <w:t>versus</w:t>
      </w:r>
      <w:r w:rsidRPr="0096025A">
        <w:t xml:space="preserve"> 1.2%, p</w:t>
      </w:r>
      <w:r w:rsidR="003458DF">
        <w:t xml:space="preserve"> </w:t>
      </w:r>
      <w:r w:rsidRPr="0096025A">
        <w:t>&lt;</w:t>
      </w:r>
      <w:r w:rsidR="003458DF">
        <w:t xml:space="preserve"> </w:t>
      </w:r>
      <w:r w:rsidRPr="0096025A">
        <w:t>0.0001).</w:t>
      </w:r>
    </w:p>
    <w:p w14:paraId="2BB2CCE9" w14:textId="5E755F3F" w:rsidR="0096025A" w:rsidRDefault="0096025A" w:rsidP="0096025A">
      <w:pPr>
        <w:pStyle w:val="Heading5"/>
      </w:pPr>
      <w:r w:rsidRPr="0096025A">
        <w:t>Prop</w:t>
      </w:r>
      <w:r>
        <w:t>osed conditions of registration</w:t>
      </w:r>
    </w:p>
    <w:p w14:paraId="07F75996" w14:textId="21C4BB19" w:rsidR="0096025A" w:rsidRPr="0096025A" w:rsidRDefault="0096025A" w:rsidP="0096025A">
      <w:pPr>
        <w:rPr>
          <w:bCs/>
        </w:rPr>
      </w:pPr>
      <w:r w:rsidRPr="0096025A">
        <w:rPr>
          <w:bCs/>
        </w:rPr>
        <w:t>The ACM was of the opinion that a long term safety study to assess cardiovascular risk b</w:t>
      </w:r>
      <w:r>
        <w:rPr>
          <w:bCs/>
        </w:rPr>
        <w:t>e a condition of registration.</w:t>
      </w:r>
    </w:p>
    <w:p w14:paraId="6CC9170D" w14:textId="77777777" w:rsidR="0096025A" w:rsidRDefault="0096025A" w:rsidP="0096025A">
      <w:pPr>
        <w:pStyle w:val="Heading5"/>
      </w:pPr>
      <w:r w:rsidRPr="0096025A">
        <w:t>Proposed Product Information (PI)/ Consumer Medici</w:t>
      </w:r>
      <w:r>
        <w:t>ne Information (CMI) amendments</w:t>
      </w:r>
    </w:p>
    <w:p w14:paraId="14A91C11" w14:textId="5A97095C" w:rsidR="0096025A" w:rsidRDefault="0096025A" w:rsidP="0096025A">
      <w:pPr>
        <w:rPr>
          <w:bCs/>
        </w:rPr>
      </w:pPr>
      <w:r w:rsidRPr="0096025A">
        <w:rPr>
          <w:bCs/>
        </w:rPr>
        <w:t xml:space="preserve">The ACM agreed with the delegate to the proposed amendments to the Product Information (PI) and Consumer Medicine information (CMI) and specifically advised on </w:t>
      </w:r>
      <w:r>
        <w:rPr>
          <w:bCs/>
        </w:rPr>
        <w:t>the inclusion of the following:</w:t>
      </w:r>
    </w:p>
    <w:p w14:paraId="05DF726C" w14:textId="134CEF27" w:rsidR="0096025A" w:rsidRDefault="0096025A" w:rsidP="002517E9">
      <w:pPr>
        <w:pStyle w:val="ListBullet"/>
      </w:pPr>
      <w:r w:rsidRPr="0096025A">
        <w:lastRenderedPageBreak/>
        <w:t>Consideration given to including the following as part of the indication: the time restriction of 12 months of use; and mentioning the need to consolidate the effect with an anti-</w:t>
      </w:r>
      <w:proofErr w:type="spellStart"/>
      <w:r w:rsidRPr="0096025A">
        <w:t>resorpti</w:t>
      </w:r>
      <w:r>
        <w:t>ve</w:t>
      </w:r>
      <w:proofErr w:type="spellEnd"/>
      <w:r>
        <w:t xml:space="preserve"> agent after 12 months use.</w:t>
      </w:r>
    </w:p>
    <w:p w14:paraId="37347D93" w14:textId="3EC607BB" w:rsidR="0096025A" w:rsidRPr="0096025A" w:rsidRDefault="0096025A" w:rsidP="002517E9">
      <w:pPr>
        <w:pStyle w:val="ListBullet"/>
      </w:pPr>
      <w:r w:rsidRPr="0096025A">
        <w:t>More comprehensive information provided for patients in the CMI r</w:t>
      </w:r>
      <w:r w:rsidR="002517E9">
        <w:t>egarding cardiovascular safety.</w:t>
      </w:r>
    </w:p>
    <w:p w14:paraId="4AFE1551" w14:textId="5D53DC3C" w:rsidR="002517E9" w:rsidRDefault="0096025A" w:rsidP="002517E9">
      <w:pPr>
        <w:pStyle w:val="Heading5"/>
      </w:pPr>
      <w:r w:rsidRPr="0096025A">
        <w:t>Specif</w:t>
      </w:r>
      <w:r w:rsidR="002517E9">
        <w:t xml:space="preserve">ic </w:t>
      </w:r>
      <w:r w:rsidR="009A2699">
        <w:t>a</w:t>
      </w:r>
      <w:r w:rsidR="002517E9">
        <w:t>dvice</w:t>
      </w:r>
    </w:p>
    <w:p w14:paraId="22BDF504" w14:textId="5EDC75F7" w:rsidR="002517E9" w:rsidRDefault="0096025A" w:rsidP="0096025A">
      <w:pPr>
        <w:rPr>
          <w:bCs/>
        </w:rPr>
      </w:pPr>
      <w:r w:rsidRPr="0096025A">
        <w:rPr>
          <w:bCs/>
        </w:rPr>
        <w:t>The ACM advised the following in response to the delegate’s specif</w:t>
      </w:r>
      <w:r w:rsidR="002517E9">
        <w:rPr>
          <w:bCs/>
        </w:rPr>
        <w:t>ic questions on the submission:</w:t>
      </w:r>
    </w:p>
    <w:p w14:paraId="4F890E2C" w14:textId="69C5457F" w:rsidR="0096025A" w:rsidRPr="0014358D" w:rsidRDefault="0096025A" w:rsidP="0014358D">
      <w:pPr>
        <w:pStyle w:val="Numberbullet0"/>
        <w:numPr>
          <w:ilvl w:val="0"/>
          <w:numId w:val="38"/>
        </w:numPr>
        <w:rPr>
          <w:b/>
          <w:i/>
        </w:rPr>
      </w:pPr>
      <w:r w:rsidRPr="0014358D">
        <w:rPr>
          <w:b/>
          <w:i/>
        </w:rPr>
        <w:t>The sponsor’s proposed indication would allow first line therapy.  Is this appropriate in the context of not having a direct comparison to denosumab?</w:t>
      </w:r>
    </w:p>
    <w:p w14:paraId="55F35AF7" w14:textId="1EDB27A6" w:rsidR="002517E9" w:rsidRPr="002517E9" w:rsidRDefault="002517E9" w:rsidP="002517E9">
      <w:pPr>
        <w:rPr>
          <w:bCs/>
        </w:rPr>
      </w:pPr>
      <w:r w:rsidRPr="002517E9">
        <w:rPr>
          <w:bCs/>
        </w:rPr>
        <w:t>The ACM considered that there was sufficient clinical data in the submission to support the use of romosozumab as a first-line therapy. The data was robust and consistent in showing a substantial increase in bone density. In the pivotal trials in post-menopausal women (FRAME and ARCH</w:t>
      </w:r>
      <w:r w:rsidR="006F4610">
        <w:rPr>
          <w:bCs/>
        </w:rPr>
        <w:t xml:space="preserve"> trials</w:t>
      </w:r>
      <w:r w:rsidRPr="002517E9">
        <w:rPr>
          <w:bCs/>
        </w:rPr>
        <w:t>), romosozumab was shown to significantly reduce vertebral fractures. The Committee considered that a direct comparison with denosumab may not be clinically relevant given that the clinical effect and the onset of action ar</w:t>
      </w:r>
      <w:r w:rsidR="0014358D">
        <w:rPr>
          <w:bCs/>
        </w:rPr>
        <w:t>e different for both drugs.</w:t>
      </w:r>
    </w:p>
    <w:p w14:paraId="1D8405F1" w14:textId="66C10C36" w:rsidR="0014358D" w:rsidRPr="0014358D" w:rsidRDefault="002517E9" w:rsidP="0014358D">
      <w:pPr>
        <w:pStyle w:val="Numberbullet0"/>
        <w:numPr>
          <w:ilvl w:val="0"/>
          <w:numId w:val="38"/>
        </w:numPr>
        <w:rPr>
          <w:b/>
          <w:bCs/>
          <w:i/>
        </w:rPr>
      </w:pPr>
      <w:r w:rsidRPr="0014358D">
        <w:rPr>
          <w:b/>
          <w:bCs/>
          <w:i/>
        </w:rPr>
        <w:t>Is there sufficient data to su</w:t>
      </w:r>
      <w:r w:rsidR="0014358D" w:rsidRPr="0014358D">
        <w:rPr>
          <w:b/>
          <w:bCs/>
          <w:i/>
        </w:rPr>
        <w:t>pport a second line indication?</w:t>
      </w:r>
    </w:p>
    <w:p w14:paraId="313AE710" w14:textId="5518B9FF" w:rsidR="002517E9" w:rsidRPr="0014358D" w:rsidRDefault="002517E9" w:rsidP="002517E9">
      <w:r w:rsidRPr="0014358D">
        <w:t>The ACM noted that a relatively small number of patients have been treated with romosozumab after use of other agents. The ACM noted that based on available data, including that from a single, open-label small study (STRUCTURE</w:t>
      </w:r>
      <w:r w:rsidR="006F4610">
        <w:t xml:space="preserve"> trial</w:t>
      </w:r>
      <w:r w:rsidRPr="0014358D">
        <w:t>) evaluating the effect of romosozumab (compared to teriparatide) in postmenopausal women with osteoporosis previously treated with bisphosphonate therapy, romosozumab appears to be effective and safe in the second-line context after alendronate. The ACM considered that rather than restrict romosozumab to a line of therapy, use should be allowed where fracture risk remains high after other therap</w:t>
      </w:r>
      <w:r w:rsidR="006F4610">
        <w:t>ies</w:t>
      </w:r>
      <w:r w:rsidRPr="0014358D">
        <w:t xml:space="preserve">, however the committee advised that it would welcome further data to support </w:t>
      </w:r>
      <w:r w:rsidR="0014358D">
        <w:t>use in the second-line setting.</w:t>
      </w:r>
    </w:p>
    <w:p w14:paraId="3C0D86CB" w14:textId="4DF01525" w:rsidR="0014358D" w:rsidRPr="0014358D" w:rsidRDefault="002517E9" w:rsidP="0014358D">
      <w:pPr>
        <w:pStyle w:val="Numberbullet0"/>
        <w:numPr>
          <w:ilvl w:val="0"/>
          <w:numId w:val="38"/>
        </w:numPr>
        <w:rPr>
          <w:b/>
          <w:bCs/>
          <w:i/>
        </w:rPr>
      </w:pPr>
      <w:r w:rsidRPr="0014358D">
        <w:rPr>
          <w:b/>
          <w:bCs/>
          <w:i/>
        </w:rPr>
        <w:t>What is the most appropriate fracture outcome measure to assess efficacy in osteoporosis (vertebral, all fractures, clinical fractur</w:t>
      </w:r>
      <w:r w:rsidR="0014358D" w:rsidRPr="0014358D">
        <w:rPr>
          <w:b/>
          <w:bCs/>
          <w:i/>
        </w:rPr>
        <w:t>es or non-vertebral fractures)?</w:t>
      </w:r>
    </w:p>
    <w:p w14:paraId="483119B7" w14:textId="550FBC2F" w:rsidR="0096025A" w:rsidRPr="0014358D" w:rsidRDefault="002517E9" w:rsidP="008E7846">
      <w:r w:rsidRPr="0014358D">
        <w:t>The ACM considered that vertebral fractures were an important fracture outcome in clinical osteoporosis trials. It was noted that other fracture groups are notable for heterogeneity and regional differences in incidence. For instance, baseline risk of non</w:t>
      </w:r>
      <w:r w:rsidR="006F4610">
        <w:noBreakHyphen/>
      </w:r>
      <w:r w:rsidRPr="0014358D">
        <w:t>vertebral fracture in Latin America is lower compared to the rest of the world. 43% of study participants in</w:t>
      </w:r>
      <w:r w:rsidR="006F4610">
        <w:t xml:space="preserve"> the</w:t>
      </w:r>
      <w:r w:rsidRPr="0014358D">
        <w:t xml:space="preserve"> FRAME</w:t>
      </w:r>
      <w:r w:rsidR="006F4610">
        <w:t xml:space="preserve"> trial</w:t>
      </w:r>
      <w:r w:rsidRPr="0014358D">
        <w:t xml:space="preserve"> were from Latin America, and a </w:t>
      </w:r>
      <w:r w:rsidRPr="00D62AEE">
        <w:rPr>
          <w:i/>
        </w:rPr>
        <w:t>post-hoc</w:t>
      </w:r>
      <w:r w:rsidRPr="0014358D">
        <w:t xml:space="preserve"> analysis shows differences in treatment effect between Latin Amer</w:t>
      </w:r>
      <w:r w:rsidR="0014358D">
        <w:t>ican and rest-of-world subjects</w:t>
      </w:r>
      <w:r w:rsidR="006F4610">
        <w:t>;</w:t>
      </w:r>
      <w:r w:rsidR="0014358D">
        <w:rPr>
          <w:rStyle w:val="FootnoteReference"/>
        </w:rPr>
        <w:footnoteReference w:id="74"/>
      </w:r>
      <w:r w:rsidRPr="0014358D">
        <w:t xml:space="preserve"> especially with respect to non</w:t>
      </w:r>
      <w:r w:rsidR="003458DF">
        <w:t>-</w:t>
      </w:r>
      <w:r w:rsidRPr="0014358D">
        <w:t>v</w:t>
      </w:r>
      <w:r w:rsidR="0014358D">
        <w:t>ertebral and clinical fracture.</w:t>
      </w:r>
    </w:p>
    <w:p w14:paraId="40E73236" w14:textId="2A2CC2D7" w:rsidR="0014358D" w:rsidRPr="0014358D" w:rsidRDefault="0014358D" w:rsidP="0014358D">
      <w:pPr>
        <w:pStyle w:val="Numberbullet0"/>
        <w:rPr>
          <w:b/>
          <w:i/>
        </w:rPr>
      </w:pPr>
      <w:r w:rsidRPr="0014358D">
        <w:rPr>
          <w:b/>
          <w:i/>
        </w:rPr>
        <w:t>Has safety been adequately established in relation to duration of follow u</w:t>
      </w:r>
      <w:r>
        <w:rPr>
          <w:b/>
          <w:i/>
        </w:rPr>
        <w:t xml:space="preserve">p and the signal for </w:t>
      </w:r>
      <w:r w:rsidR="007710AA">
        <w:rPr>
          <w:b/>
          <w:i/>
        </w:rPr>
        <w:t xml:space="preserve">cardiovascular </w:t>
      </w:r>
      <w:r>
        <w:rPr>
          <w:b/>
          <w:i/>
        </w:rPr>
        <w:t>events?</w:t>
      </w:r>
    </w:p>
    <w:p w14:paraId="3BEADC48" w14:textId="77777777" w:rsidR="0014358D" w:rsidRDefault="0014358D" w:rsidP="008E7846">
      <w:pPr>
        <w:rPr>
          <w:bCs/>
        </w:rPr>
      </w:pPr>
      <w:r w:rsidRPr="0014358D">
        <w:rPr>
          <w:bCs/>
        </w:rPr>
        <w:t xml:space="preserve">The ACM noted that long-term safety data of romosozumab beyond four years was not available, and experience with the drug is predominantly with just one year of use. </w:t>
      </w:r>
    </w:p>
    <w:p w14:paraId="336019F7" w14:textId="116E401D" w:rsidR="0014358D" w:rsidRDefault="0014358D" w:rsidP="008E7846">
      <w:pPr>
        <w:rPr>
          <w:bCs/>
        </w:rPr>
      </w:pPr>
      <w:r w:rsidRPr="0014358D">
        <w:rPr>
          <w:bCs/>
        </w:rPr>
        <w:t>The overall safety profile of romosozumab was considered to be generally comparable to placebo and the active trial comparators (alendronate and teriparatide), apart from the higher incidence of injection site reactions and cardiovascular events in pat</w:t>
      </w:r>
      <w:r w:rsidR="003458DF">
        <w:rPr>
          <w:bCs/>
        </w:rPr>
        <w:t>ients treated with romosozumab.</w:t>
      </w:r>
    </w:p>
    <w:p w14:paraId="2B3C43F7" w14:textId="4D00D109" w:rsidR="0096025A" w:rsidRDefault="0014358D" w:rsidP="008E7846">
      <w:pPr>
        <w:rPr>
          <w:bCs/>
        </w:rPr>
      </w:pPr>
      <w:r w:rsidRPr="0014358D">
        <w:rPr>
          <w:bCs/>
        </w:rPr>
        <w:lastRenderedPageBreak/>
        <w:t>The ACM was of the view that the cardiovascular signal would require further assessment, and advised that a condition of registration should include provision of long-term cardiovascular safety information when available.</w:t>
      </w:r>
    </w:p>
    <w:p w14:paraId="7C2288DB" w14:textId="5BFC7DE4" w:rsidR="0096025A" w:rsidRDefault="0014358D" w:rsidP="008E7846">
      <w:pPr>
        <w:rPr>
          <w:bCs/>
        </w:rPr>
      </w:pPr>
      <w:r w:rsidRPr="0014358D">
        <w:rPr>
          <w:bCs/>
        </w:rPr>
        <w:t>The ACM advised that implementation by the sponsor of the recommendations outlined above to the satisfaction of the TGA, in addition to the evidence of efficacy and safety provided would support the safe and effective use of this product.</w:t>
      </w:r>
    </w:p>
    <w:p w14:paraId="62F55879" w14:textId="77777777" w:rsidR="008E7846" w:rsidRPr="002E238E" w:rsidRDefault="008E7846" w:rsidP="008E7846">
      <w:pPr>
        <w:pStyle w:val="Heading3"/>
      </w:pPr>
      <w:bookmarkStart w:id="135" w:name="_Toc247691532"/>
      <w:bookmarkStart w:id="136" w:name="_Toc314842516"/>
      <w:bookmarkStart w:id="137" w:name="_Toc32481929"/>
      <w:bookmarkEnd w:id="104"/>
      <w:bookmarkEnd w:id="131"/>
      <w:bookmarkEnd w:id="132"/>
      <w:r>
        <w:t>Outcome</w:t>
      </w:r>
      <w:bookmarkEnd w:id="135"/>
      <w:bookmarkEnd w:id="136"/>
      <w:bookmarkEnd w:id="137"/>
    </w:p>
    <w:p w14:paraId="795000C1" w14:textId="18195A97" w:rsidR="00D23139" w:rsidRDefault="00D23139" w:rsidP="00D23139">
      <w:bookmarkStart w:id="138" w:name="_Toc247691533"/>
      <w:bookmarkStart w:id="139" w:name="_Toc314842517"/>
      <w:r w:rsidRPr="00D23139">
        <w:t xml:space="preserve">Based on a review of quality, safety and efficacy, </w:t>
      </w:r>
      <w:r w:rsidR="006F4610">
        <w:t xml:space="preserve">the </w:t>
      </w:r>
      <w:r w:rsidRPr="00D23139">
        <w:t xml:space="preserve">TGA approved the registration of </w:t>
      </w:r>
      <w:r w:rsidR="003A0E58">
        <w:t>Evenity romosozumab 105 mg / 1.17 mL injection solution</w:t>
      </w:r>
      <w:r w:rsidRPr="00D23139">
        <w:t>, indicated for:</w:t>
      </w:r>
    </w:p>
    <w:p w14:paraId="1C71F058" w14:textId="77777777" w:rsidR="003A0E58" w:rsidRPr="00D672B8" w:rsidRDefault="003A0E58" w:rsidP="003A0E58">
      <w:pPr>
        <w:ind w:left="567"/>
        <w:rPr>
          <w:rFonts w:asciiTheme="minorHAnsi" w:hAnsiTheme="minorHAnsi" w:cs="Arial"/>
          <w:i/>
          <w:iCs/>
        </w:rPr>
      </w:pPr>
      <w:r w:rsidRPr="00D672B8">
        <w:rPr>
          <w:rFonts w:asciiTheme="minorHAnsi" w:hAnsiTheme="minorHAnsi" w:cs="Arial"/>
          <w:i/>
          <w:iCs/>
        </w:rPr>
        <w:t>Evenity is indicated for:</w:t>
      </w:r>
    </w:p>
    <w:p w14:paraId="5A1E1431" w14:textId="1FB4FF84" w:rsidR="003A0E58" w:rsidRPr="00D672B8" w:rsidRDefault="003A0E58" w:rsidP="003A0E58">
      <w:pPr>
        <w:pStyle w:val="ListBullet"/>
        <w:numPr>
          <w:ilvl w:val="0"/>
          <w:numId w:val="3"/>
        </w:numPr>
        <w:ind w:left="567"/>
        <w:rPr>
          <w:i/>
        </w:rPr>
      </w:pPr>
      <w:r w:rsidRPr="00D672B8">
        <w:rPr>
          <w:i/>
        </w:rPr>
        <w:t>The treatment of osteoporosis in postmenopausal women at high risk of fracture (see Section 5.1</w:t>
      </w:r>
      <w:r w:rsidR="006F4610">
        <w:rPr>
          <w:i/>
        </w:rPr>
        <w:t xml:space="preserve"> </w:t>
      </w:r>
      <w:r w:rsidRPr="00D672B8">
        <w:rPr>
          <w:i/>
        </w:rPr>
        <w:t>Pharmacodynamic properties, Clinical trials).</w:t>
      </w:r>
    </w:p>
    <w:p w14:paraId="03622336" w14:textId="4EB75646" w:rsidR="003F09E4" w:rsidRDefault="003A0E58" w:rsidP="003A0E58">
      <w:pPr>
        <w:ind w:left="567"/>
      </w:pPr>
      <w:r w:rsidRPr="00D672B8">
        <w:rPr>
          <w:i/>
        </w:rPr>
        <w:t xml:space="preserve">Treatment </w:t>
      </w:r>
      <w:r w:rsidR="00C444BF">
        <w:rPr>
          <w:i/>
        </w:rPr>
        <w:t>to increase bone mass</w:t>
      </w:r>
      <w:r w:rsidRPr="00D672B8">
        <w:rPr>
          <w:i/>
        </w:rPr>
        <w:t xml:space="preserve"> in men with osteoporosis at high risk of fracture.</w:t>
      </w:r>
    </w:p>
    <w:p w14:paraId="3E2960F9" w14:textId="119EA99E" w:rsidR="00D23139" w:rsidRDefault="00D23139" w:rsidP="00D23139">
      <w:pPr>
        <w:pStyle w:val="Heading4"/>
      </w:pPr>
      <w:r w:rsidRPr="00D23139">
        <w:t>Specific conditions of registration applying to these goods</w:t>
      </w:r>
    </w:p>
    <w:p w14:paraId="0EDDCC79" w14:textId="3244A554" w:rsidR="003A0E58" w:rsidRDefault="003A0E58" w:rsidP="003A0E58">
      <w:pPr>
        <w:pStyle w:val="ListBullet"/>
      </w:pPr>
      <w:r>
        <w:t>Evenity (romosozumab) is to be included in the Black Triangle Scheme. The PI and CMI for Evenity must include the black triangle symbol and mandatory accompanying test for five years, which starts from the date the sponsor notifies the TGA of supply of the products.</w:t>
      </w:r>
    </w:p>
    <w:p w14:paraId="2401A50E" w14:textId="77777777" w:rsidR="00D13FD3" w:rsidRDefault="00D13FD3" w:rsidP="00D13FD3">
      <w:pPr>
        <w:pStyle w:val="ListBullet"/>
        <w:rPr>
          <w:lang w:eastAsia="en-AU"/>
        </w:rPr>
      </w:pPr>
      <w:r>
        <w:rPr>
          <w:lang w:eastAsia="en-AU"/>
        </w:rPr>
        <w:t>Any changes to which the sponsor has agreed should be included in a revised RMP and ASA. However, irrespective of whether or not they are included in the currently available version of the RMP document, the agreed changes become part of the risk management system.</w:t>
      </w:r>
    </w:p>
    <w:p w14:paraId="390E4D2D" w14:textId="1311EE6D" w:rsidR="00D13FD3" w:rsidRDefault="00D13FD3" w:rsidP="00D13FD3">
      <w:pPr>
        <w:ind w:left="454"/>
        <w:rPr>
          <w:lang w:eastAsia="en-AU"/>
        </w:rPr>
      </w:pPr>
      <w:r>
        <w:rPr>
          <w:lang w:eastAsia="en-AU"/>
        </w:rPr>
        <w:t>The Evenity EU-Risk Management Plan (RMP) version 0.2 (dated 13 July 2018; DLP 22 May 2018), with Australian Specific Annex version 4.0 (dated 13 May 2019), included with submission PM-2017-04339-1-5 and any subsequent revisions, as agreed with the TGA will be implemented in Australia.</w:t>
      </w:r>
    </w:p>
    <w:p w14:paraId="18636701" w14:textId="77777777" w:rsidR="00D13FD3" w:rsidRDefault="00D13FD3" w:rsidP="00D13FD3">
      <w:pPr>
        <w:ind w:left="454"/>
        <w:rPr>
          <w:lang w:eastAsia="en-AU"/>
        </w:rPr>
      </w:pPr>
      <w:r>
        <w:rPr>
          <w:lang w:eastAsia="en-AU"/>
        </w:rPr>
        <w:t>An obligatory component of risk management plans is routine pharmacovigilance. Routine pharmacovigilance includes the submission of Periodic Safety Update Reports (PSURs).</w:t>
      </w:r>
    </w:p>
    <w:p w14:paraId="38734BBC" w14:textId="77777777" w:rsidR="00D13FD3" w:rsidRDefault="00D13FD3" w:rsidP="00D13FD3">
      <w:pPr>
        <w:ind w:left="454"/>
        <w:rPr>
          <w:lang w:eastAsia="en-AU"/>
        </w:rPr>
      </w:pPr>
      <w:r>
        <w:rPr>
          <w:lang w:eastAsia="en-AU"/>
        </w:rPr>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six monthly reports may be submitted separately as they become available.</w:t>
      </w:r>
    </w:p>
    <w:p w14:paraId="3A2D31E1" w14:textId="77777777" w:rsidR="00D13FD3" w:rsidRDefault="00D13FD3" w:rsidP="00D13FD3">
      <w:pPr>
        <w:ind w:left="454"/>
        <w:rPr>
          <w:lang w:eastAsia="en-AU"/>
        </w:rPr>
      </w:pPr>
      <w:r>
        <w:rPr>
          <w:lang w:eastAsia="en-AU"/>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0E87512C" w14:textId="60D0E709" w:rsidR="003A0E58" w:rsidRDefault="00D13FD3" w:rsidP="003A0E58">
      <w:pPr>
        <w:pStyle w:val="ListBullet"/>
      </w:pPr>
      <w:r>
        <w:lastRenderedPageBreak/>
        <w:t>You must submit to the TGA annual reports of the progress of the post market cardiovascular studies that are underway in other international jurisdictions. This may be included with the PSURs.</w:t>
      </w:r>
    </w:p>
    <w:p w14:paraId="493C27ED" w14:textId="2355FC0C" w:rsidR="00D13FD3" w:rsidRDefault="00D13FD3" w:rsidP="003A0E58">
      <w:pPr>
        <w:pStyle w:val="ListBullet"/>
      </w:pPr>
      <w:r>
        <w:t>You must commit to providing to the TGA the protocol and study reports for the comparative safety study, if required by the FDA, with timeframes for submission to be determined.</w:t>
      </w:r>
    </w:p>
    <w:p w14:paraId="34B31F05" w14:textId="2ACE60CF" w:rsidR="00D13FD3" w:rsidRDefault="00D13FD3" w:rsidP="003A0E58">
      <w:pPr>
        <w:pStyle w:val="ListBullet"/>
      </w:pPr>
      <w:r>
        <w:t>Batch release testing and compliance with Certified Product Details (CPD)</w:t>
      </w:r>
    </w:p>
    <w:p w14:paraId="226BAF8D" w14:textId="77777777" w:rsidR="00D13FD3" w:rsidRPr="006038E3" w:rsidRDefault="00D13FD3" w:rsidP="0096025A">
      <w:pPr>
        <w:ind w:left="454"/>
        <w:rPr>
          <w:lang w:eastAsia="en-AU"/>
        </w:rPr>
      </w:pPr>
      <w:r w:rsidRPr="006038E3">
        <w:rPr>
          <w:lang w:eastAsia="en-AU"/>
        </w:rPr>
        <w:t xml:space="preserve">All batches of </w:t>
      </w:r>
      <w:r w:rsidRPr="006038E3">
        <w:rPr>
          <w:bCs/>
          <w:lang w:eastAsia="en-AU"/>
        </w:rPr>
        <w:t xml:space="preserve">EVENITY romosozumab </w:t>
      </w:r>
      <w:r w:rsidRPr="006038E3">
        <w:rPr>
          <w:lang w:eastAsia="en-AU"/>
        </w:rPr>
        <w:t>imported into/manufactured in Australia must comply with the product details and specifications approved during evaluation and detailed in the Certified Product Details (CPD).</w:t>
      </w:r>
    </w:p>
    <w:p w14:paraId="183A6DEC" w14:textId="6D760ED4" w:rsidR="00D13FD3" w:rsidRPr="006038E3" w:rsidRDefault="00D13FD3" w:rsidP="0096025A">
      <w:pPr>
        <w:ind w:left="454"/>
        <w:rPr>
          <w:lang w:eastAsia="en-AU"/>
        </w:rPr>
      </w:pPr>
      <w:r w:rsidRPr="006038E3">
        <w:rPr>
          <w:lang w:eastAsia="en-AU"/>
        </w:rPr>
        <w:t xml:space="preserve">Each batch of </w:t>
      </w:r>
      <w:r w:rsidRPr="006038E3">
        <w:rPr>
          <w:bCs/>
          <w:lang w:eastAsia="en-AU"/>
        </w:rPr>
        <w:t>EVENITY romosozumab</w:t>
      </w:r>
      <w:r w:rsidRPr="006038E3">
        <w:rPr>
          <w:lang w:eastAsia="en-AU"/>
        </w:rPr>
        <w:t xml:space="preserve"> imported into/manufactured in Australia is not released for sale until samples and/or the manufacturer’s release data have been assessed and endorsed for release by the TGA Laboratories Branch. Outcomes of laboratory testing are published biannually in the TGA Database of Laboratory Testing Results </w:t>
      </w:r>
      <w:r w:rsidRPr="0014358D">
        <w:rPr>
          <w:rFonts w:eastAsia="Times New Roman"/>
          <w:lang w:eastAsia="en-AU"/>
        </w:rPr>
        <w:t>http://www.tga.gov.au/ws-labs-index</w:t>
      </w:r>
      <w:r w:rsidRPr="006038E3">
        <w:rPr>
          <w:lang w:eastAsia="en-AU"/>
        </w:rPr>
        <w:t>.</w:t>
      </w:r>
    </w:p>
    <w:p w14:paraId="18A07458" w14:textId="1DF41FB0" w:rsidR="00D13FD3" w:rsidRPr="0096025A" w:rsidRDefault="00D13FD3" w:rsidP="0096025A">
      <w:pPr>
        <w:ind w:left="454"/>
        <w:rPr>
          <w:lang w:eastAsia="en-AU"/>
        </w:rPr>
      </w:pPr>
      <w:r w:rsidRPr="006038E3">
        <w:rPr>
          <w:lang w:eastAsia="en-AU"/>
        </w:rPr>
        <w:t xml:space="preserve">The sponsor should be prepared to provide product samples, reference materials and documentary evidence as defined by the TGA Laboratories branch. The sponsor must contact </w:t>
      </w:r>
      <w:r w:rsidRPr="0014358D">
        <w:rPr>
          <w:rFonts w:eastAsia="Times New Roman"/>
          <w:lang w:eastAsia="en-AU"/>
        </w:rPr>
        <w:t>Biochemistry.Testing@health.gov.au</w:t>
      </w:r>
      <w:r w:rsidRPr="006038E3">
        <w:rPr>
          <w:lang w:eastAsia="en-AU"/>
        </w:rPr>
        <w:t xml:space="preserve"> for specific material requirements related to the batch release testing/assessment of the products. More information on TGA testing of biological medicines is available at </w:t>
      </w:r>
      <w:r w:rsidR="0096025A" w:rsidRPr="0014358D">
        <w:rPr>
          <w:rFonts w:eastAsia="Times New Roman"/>
          <w:lang w:eastAsia="en-AU"/>
        </w:rPr>
        <w:t>https://www.tga.gov.au/publication/testing-biological-medicines</w:t>
      </w:r>
      <w:r w:rsidRPr="006038E3">
        <w:rPr>
          <w:lang w:eastAsia="en-AU"/>
        </w:rPr>
        <w:t>.</w:t>
      </w:r>
    </w:p>
    <w:p w14:paraId="4A64B11A" w14:textId="29BC3BAF" w:rsidR="00D13FD3" w:rsidRPr="0096025A" w:rsidRDefault="00D13FD3" w:rsidP="0096025A">
      <w:pPr>
        <w:ind w:left="454"/>
        <w:rPr>
          <w:rFonts w:eastAsia="Times New Roman"/>
          <w:lang w:eastAsia="en-AU"/>
        </w:rPr>
      </w:pPr>
      <w:r w:rsidRPr="006038E3">
        <w:rPr>
          <w:rFonts w:eastAsia="Times New Roman"/>
          <w:lang w:eastAsia="en-AU"/>
        </w:rPr>
        <w:t xml:space="preserve">This batch release condition will be reviewed and may be modified on the basis of actual batch quality and consistency. </w:t>
      </w:r>
      <w:r w:rsidRPr="0096025A">
        <w:rPr>
          <w:rFonts w:eastAsia="Times New Roman"/>
          <w:lang w:eastAsia="en-AU"/>
        </w:rPr>
        <w:t>This condition remains in place until you are notified in writing of any variation.</w:t>
      </w:r>
    </w:p>
    <w:p w14:paraId="43236986" w14:textId="77777777" w:rsidR="008E7846" w:rsidRDefault="00A80B5B" w:rsidP="00D23139">
      <w:pPr>
        <w:pStyle w:val="Heading2"/>
      </w:pPr>
      <w:bookmarkStart w:id="140" w:name="_Toc32481930"/>
      <w:r>
        <w:t xml:space="preserve">Attachment 1. </w:t>
      </w:r>
      <w:r w:rsidR="008E7846">
        <w:t xml:space="preserve">Product </w:t>
      </w:r>
      <w:r w:rsidR="00AA0ED0">
        <w:t>I</w:t>
      </w:r>
      <w:r w:rsidR="008E7846">
        <w:t>nformation</w:t>
      </w:r>
      <w:bookmarkEnd w:id="138"/>
      <w:bookmarkEnd w:id="139"/>
      <w:bookmarkEnd w:id="140"/>
    </w:p>
    <w:p w14:paraId="409409F7" w14:textId="1A74812D" w:rsidR="00C44BAA" w:rsidRDefault="006136D7" w:rsidP="00C80137">
      <w:r w:rsidRPr="002B3624">
        <w:t xml:space="preserve">The </w:t>
      </w:r>
      <w:r>
        <w:t>PI</w:t>
      </w:r>
      <w:r w:rsidRPr="002B3624">
        <w:t xml:space="preserve"> for </w:t>
      </w:r>
      <w:r w:rsidR="003A0E58">
        <w:t>Evenity</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51" w:history="1">
        <w:r w:rsidR="007C6B9B" w:rsidRPr="007C6B9B">
          <w:rPr>
            <w:rStyle w:val="Hyperlink"/>
          </w:rPr>
          <w:t>https://www.tga.gov.au/product-information-pi</w:t>
        </w:r>
      </w:hyperlink>
      <w:r w:rsidR="007C6B9B" w:rsidRPr="007C6B9B">
        <w:t>&gt;.</w:t>
      </w:r>
    </w:p>
    <w:p w14:paraId="0A4F2772" w14:textId="77777777" w:rsidR="00C80137" w:rsidRPr="001D043B" w:rsidRDefault="002B688A" w:rsidP="003A7F6C">
      <w:pPr>
        <w:pStyle w:val="TableTitle"/>
        <w:sectPr w:rsidR="00C80137" w:rsidRPr="001D043B" w:rsidSect="00B452CE">
          <w:headerReference w:type="even" r:id="rId52"/>
          <w:headerReference w:type="default" r:id="rId53"/>
          <w:headerReference w:type="first" r:id="rId54"/>
          <w:footerReference w:type="first" r:id="rId55"/>
          <w:pgSz w:w="11906" w:h="16838" w:code="9"/>
          <w:pgMar w:top="834" w:right="1701" w:bottom="1191" w:left="1701" w:header="907" w:footer="216" w:gutter="0"/>
          <w:cols w:space="708"/>
          <w:docGrid w:linePitch="360"/>
        </w:sectPr>
      </w:pPr>
      <w:r w:rsidRPr="001D043B">
        <w:t xml:space="preserve"> </w:t>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7F4B5E65" w14:textId="77777777" w:rsidTr="00A05FA4">
        <w:trPr>
          <w:trHeight w:hRule="exact" w:val="704"/>
        </w:trPr>
        <w:tc>
          <w:tcPr>
            <w:tcW w:w="9175" w:type="dxa"/>
          </w:tcPr>
          <w:p w14:paraId="19A8E44F" w14:textId="77777777" w:rsidR="001C32CD" w:rsidRPr="00487162" w:rsidRDefault="001C32CD" w:rsidP="00A05FA4">
            <w:pPr>
              <w:pStyle w:val="TGASignoff"/>
            </w:pPr>
            <w:r w:rsidRPr="00487162">
              <w:lastRenderedPageBreak/>
              <w:t>Therapeutic Goods Administration</w:t>
            </w:r>
          </w:p>
        </w:tc>
      </w:tr>
      <w:tr w:rsidR="001C32CD" w:rsidRPr="004C239D" w14:paraId="76093C6E" w14:textId="77777777" w:rsidTr="00A05FA4">
        <w:trPr>
          <w:trHeight w:val="1221"/>
        </w:trPr>
        <w:tc>
          <w:tcPr>
            <w:tcW w:w="9175" w:type="dxa"/>
            <w:tcMar>
              <w:top w:w="28" w:type="dxa"/>
            </w:tcMar>
          </w:tcPr>
          <w:p w14:paraId="097155A3" w14:textId="77777777" w:rsidR="001C32CD" w:rsidRPr="00487162" w:rsidRDefault="001C32CD" w:rsidP="00A05FA4">
            <w:pPr>
              <w:pStyle w:val="Address"/>
            </w:pPr>
            <w:r w:rsidRPr="00487162">
              <w:t>PO Box 100 Woden ACT 2606 Australia</w:t>
            </w:r>
          </w:p>
          <w:p w14:paraId="5BEEF4F4" w14:textId="77777777" w:rsidR="001C32CD" w:rsidRPr="00487162" w:rsidRDefault="001C32CD" w:rsidP="00A05FA4">
            <w:pPr>
              <w:pStyle w:val="Address"/>
            </w:pPr>
            <w:r w:rsidRPr="00487162">
              <w:t xml:space="preserve">Email: </w:t>
            </w:r>
            <w:hyperlink r:id="rId56" w:history="1">
              <w:r w:rsidRPr="004C239D">
                <w:rPr>
                  <w:rStyle w:val="Hyperlink"/>
                </w:rPr>
                <w:t>info@tga.gov.au</w:t>
              </w:r>
            </w:hyperlink>
            <w:r w:rsidR="003F09E4">
              <w:t xml:space="preserve"> </w:t>
            </w:r>
            <w:r w:rsidRPr="00487162">
              <w:t>Phone: 1800 020 653</w:t>
            </w:r>
            <w:r w:rsidR="003F09E4">
              <w:t xml:space="preserve"> </w:t>
            </w:r>
            <w:r w:rsidRPr="00487162">
              <w:t>Fax: 02 6232 8605</w:t>
            </w:r>
          </w:p>
          <w:p w14:paraId="79380AF4" w14:textId="77777777" w:rsidR="001C32CD" w:rsidRPr="004C239D" w:rsidRDefault="00675A1D" w:rsidP="00A05FA4">
            <w:pPr>
              <w:pStyle w:val="Address"/>
              <w:spacing w:line="260" w:lineRule="atLeast"/>
              <w:rPr>
                <w:b/>
                <w:color w:val="0000FF"/>
                <w:u w:val="single"/>
              </w:rPr>
            </w:pPr>
            <w:hyperlink r:id="rId57" w:history="1">
              <w:r w:rsidR="007C6B9B" w:rsidRPr="007C6B9B">
                <w:rPr>
                  <w:rStyle w:val="Hyperlink"/>
                  <w:b/>
                </w:rPr>
                <w:t>https://www.tga.gov.au</w:t>
              </w:r>
            </w:hyperlink>
          </w:p>
        </w:tc>
      </w:tr>
    </w:tbl>
    <w:p w14:paraId="5B6049A9" w14:textId="77777777" w:rsidR="00774E1D" w:rsidRPr="008A5E0B" w:rsidRDefault="00774E1D" w:rsidP="004C239D"/>
    <w:sectPr w:rsidR="00774E1D" w:rsidRPr="008A5E0B" w:rsidSect="001C32CD">
      <w:headerReference w:type="even" r:id="rId58"/>
      <w:headerReference w:type="default" r:id="rId59"/>
      <w:footerReference w:type="default" r:id="rId60"/>
      <w:headerReference w:type="first" r:id="rId61"/>
      <w:footerReference w:type="first" r:id="rId62"/>
      <w:pgSz w:w="11906" w:h="16838" w:code="9"/>
      <w:pgMar w:top="13467" w:right="1701" w:bottom="426" w:left="1701" w:header="907"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3D7015" w16cid:durableId="2177AC71"/>
  <w16cid:commentId w16cid:paraId="4D9253E0" w16cid:durableId="2177AD75"/>
  <w16cid:commentId w16cid:paraId="67E4A0EE" w16cid:durableId="2177B5EC"/>
  <w16cid:commentId w16cid:paraId="4CD7A9FE" w16cid:durableId="2177B61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53ED80" w14:textId="77777777" w:rsidR="00675A1D" w:rsidRDefault="00675A1D" w:rsidP="00C40A36">
      <w:pPr>
        <w:spacing w:after="0"/>
      </w:pPr>
      <w:r>
        <w:separator/>
      </w:r>
    </w:p>
  </w:endnote>
  <w:endnote w:type="continuationSeparator" w:id="0">
    <w:p w14:paraId="0FE4603F" w14:textId="77777777" w:rsidR="00675A1D" w:rsidRDefault="00675A1D"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A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Calibri Bold 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89869" w14:textId="77777777" w:rsidR="00675A1D" w:rsidRDefault="00675A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675A1D" w:rsidRPr="00487162" w14:paraId="617637AA" w14:textId="77777777" w:rsidTr="00DB750B">
      <w:trPr>
        <w:trHeight w:val="269"/>
      </w:trPr>
      <w:tc>
        <w:tcPr>
          <w:tcW w:w="7371" w:type="dxa"/>
          <w:tcMar>
            <w:top w:w="142" w:type="dxa"/>
            <w:bottom w:w="0" w:type="dxa"/>
          </w:tcMar>
        </w:tcPr>
        <w:p w14:paraId="046C6A84" w14:textId="1A418C8E" w:rsidR="00675A1D" w:rsidRPr="00487162" w:rsidRDefault="00675A1D" w:rsidP="00EF4879">
          <w:pPr>
            <w:pStyle w:val="Footer"/>
          </w:pPr>
          <w:r w:rsidRPr="00487162">
            <w:t>AusPA</w:t>
          </w:r>
          <w:r>
            <w:t>R Evenity romosozumab Amgen Australia Pty. Ltd. PM-</w:t>
          </w:r>
          <w:r w:rsidRPr="00780D66">
            <w:t>2017-04339-1-5</w:t>
          </w:r>
          <w:r>
            <w:t xml:space="preserve"> FINAL 20 January 2020</w:t>
          </w:r>
        </w:p>
      </w:tc>
      <w:tc>
        <w:tcPr>
          <w:tcW w:w="1490" w:type="dxa"/>
          <w:tcMar>
            <w:top w:w="142" w:type="dxa"/>
            <w:bottom w:w="0" w:type="dxa"/>
          </w:tcMar>
        </w:tcPr>
        <w:p w14:paraId="4E3EFCD4" w14:textId="314CB26C" w:rsidR="00675A1D" w:rsidRPr="00487162" w:rsidRDefault="00675A1D" w:rsidP="00DB750B">
          <w:pPr>
            <w:pStyle w:val="Footer"/>
            <w:jc w:val="right"/>
          </w:pPr>
          <w:r w:rsidRPr="00487162">
            <w:t xml:space="preserve">Page </w:t>
          </w:r>
          <w:r>
            <w:fldChar w:fldCharType="begin"/>
          </w:r>
          <w:r>
            <w:instrText xml:space="preserve"> PAGE  \* Arabic </w:instrText>
          </w:r>
          <w:r>
            <w:fldChar w:fldCharType="separate"/>
          </w:r>
          <w:r w:rsidR="009A2699">
            <w:rPr>
              <w:noProof/>
            </w:rPr>
            <w:t>21</w:t>
          </w:r>
          <w:r>
            <w:fldChar w:fldCharType="end"/>
          </w:r>
          <w:r w:rsidRPr="00487162">
            <w:t xml:space="preserve"> of </w:t>
          </w:r>
          <w:r>
            <w:rPr>
              <w:noProof/>
            </w:rPr>
            <w:fldChar w:fldCharType="begin"/>
          </w:r>
          <w:r>
            <w:rPr>
              <w:noProof/>
            </w:rPr>
            <w:instrText xml:space="preserve"> NUMPAGES  \* Arabic </w:instrText>
          </w:r>
          <w:r>
            <w:rPr>
              <w:noProof/>
            </w:rPr>
            <w:fldChar w:fldCharType="separate"/>
          </w:r>
          <w:r w:rsidR="009A2699">
            <w:rPr>
              <w:noProof/>
            </w:rPr>
            <w:t>114</w:t>
          </w:r>
          <w:r>
            <w:rPr>
              <w:noProof/>
            </w:rPr>
            <w:fldChar w:fldCharType="end"/>
          </w:r>
        </w:p>
      </w:tc>
    </w:tr>
  </w:tbl>
  <w:p w14:paraId="0F426F1E" w14:textId="77777777" w:rsidR="00675A1D" w:rsidRDefault="00675A1D"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4135E" w14:textId="77777777" w:rsidR="00675A1D" w:rsidRDefault="00675A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75A1D" w:rsidRPr="00487162" w14:paraId="02E71147" w14:textId="77777777" w:rsidTr="00E45619">
      <w:trPr>
        <w:trHeight w:val="269"/>
      </w:trPr>
      <w:tc>
        <w:tcPr>
          <w:tcW w:w="4519" w:type="dxa"/>
          <w:tcBorders>
            <w:top w:val="single" w:sz="4" w:space="0" w:color="auto"/>
          </w:tcBorders>
          <w:tcMar>
            <w:top w:w="142" w:type="dxa"/>
            <w:bottom w:w="0" w:type="dxa"/>
          </w:tcMar>
        </w:tcPr>
        <w:p w14:paraId="53310F73" w14:textId="77777777" w:rsidR="00675A1D" w:rsidRPr="00487162" w:rsidRDefault="00675A1D" w:rsidP="00FE1DEE">
          <w:pPr>
            <w:pStyle w:val="Footer"/>
          </w:pPr>
          <w:r w:rsidRPr="00487162">
            <w:t>Document title, Part #, Section # - Section title</w:t>
          </w:r>
        </w:p>
        <w:p w14:paraId="1C2A9C36" w14:textId="77777777" w:rsidR="00675A1D" w:rsidRPr="00487162" w:rsidRDefault="00675A1D" w:rsidP="00FE1DEE">
          <w:pPr>
            <w:pStyle w:val="Footer"/>
          </w:pPr>
          <w:r w:rsidRPr="00487162">
            <w:t>V1.0 October 2010</w:t>
          </w:r>
        </w:p>
      </w:tc>
      <w:tc>
        <w:tcPr>
          <w:tcW w:w="4342" w:type="dxa"/>
          <w:tcBorders>
            <w:top w:val="single" w:sz="4" w:space="0" w:color="auto"/>
          </w:tcBorders>
          <w:tcMar>
            <w:top w:w="142" w:type="dxa"/>
            <w:bottom w:w="0" w:type="dxa"/>
          </w:tcMar>
        </w:tcPr>
        <w:p w14:paraId="29B7954A" w14:textId="77777777" w:rsidR="00675A1D" w:rsidRPr="00487162" w:rsidRDefault="00675A1D"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Pr>
              <w:noProof/>
            </w:rPr>
            <w:fldChar w:fldCharType="begin"/>
          </w:r>
          <w:r>
            <w:rPr>
              <w:noProof/>
            </w:rPr>
            <w:instrText xml:space="preserve"> NUMPAGES  </w:instrText>
          </w:r>
          <w:r>
            <w:rPr>
              <w:noProof/>
            </w:rPr>
            <w:fldChar w:fldCharType="separate"/>
          </w:r>
          <w:r>
            <w:rPr>
              <w:noProof/>
            </w:rPr>
            <w:t>3</w:t>
          </w:r>
          <w:r>
            <w:rPr>
              <w:noProof/>
            </w:rPr>
            <w:fldChar w:fldCharType="end"/>
          </w:r>
        </w:p>
      </w:tc>
    </w:tr>
  </w:tbl>
  <w:p w14:paraId="758E78A7" w14:textId="77777777" w:rsidR="00675A1D" w:rsidRDefault="00675A1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D4188" w14:textId="77777777" w:rsidR="00675A1D" w:rsidRPr="001C32CD" w:rsidRDefault="00675A1D"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75A1D" w14:paraId="1204B69F" w14:textId="77777777" w:rsidTr="0010601F">
      <w:trPr>
        <w:trHeight w:val="108"/>
      </w:trPr>
      <w:tc>
        <w:tcPr>
          <w:tcW w:w="8875" w:type="dxa"/>
          <w:gridSpan w:val="2"/>
          <w:tcBorders>
            <w:bottom w:val="single" w:sz="4" w:space="0" w:color="auto"/>
          </w:tcBorders>
          <w:tcMar>
            <w:right w:w="284" w:type="dxa"/>
          </w:tcMar>
        </w:tcPr>
        <w:p w14:paraId="7D66DFE4" w14:textId="77777777" w:rsidR="00675A1D" w:rsidRDefault="00675A1D" w:rsidP="006E08B3">
          <w:pPr>
            <w:pStyle w:val="Heading3"/>
          </w:pPr>
          <w:r>
            <w:t>Copyright</w:t>
          </w:r>
        </w:p>
        <w:p w14:paraId="6EA8385E" w14:textId="04816630" w:rsidR="00675A1D" w:rsidRDefault="00675A1D" w:rsidP="006E08B3">
          <w:r>
            <w:rPr>
              <w:rFonts w:cs="Arial"/>
            </w:rPr>
            <w:t>©</w:t>
          </w:r>
          <w:r>
            <w:t xml:space="preserve"> Commonwealth of Australia (add year)</w:t>
          </w:r>
        </w:p>
        <w:p w14:paraId="468768CE" w14:textId="77777777" w:rsidR="00675A1D" w:rsidRDefault="00675A1D"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3CC8E03" w14:textId="77777777" w:rsidR="00675A1D" w:rsidRDefault="00675A1D" w:rsidP="006E08B3">
          <w:pPr>
            <w:pStyle w:val="Heading3"/>
          </w:pPr>
          <w:r>
            <w:t>Confidentiality</w:t>
          </w:r>
        </w:p>
        <w:p w14:paraId="6970E77F" w14:textId="77777777" w:rsidR="00675A1D" w:rsidRDefault="00675A1D"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B6DEE3F" w14:textId="77777777" w:rsidR="00675A1D" w:rsidRDefault="00675A1D" w:rsidP="006E08B3">
          <w:r>
            <w:t>For submission made by individuals, all personal details, other than your name, will be removed from your submission before it is published on the TGA’s Internet site.</w:t>
          </w:r>
        </w:p>
        <w:p w14:paraId="3359AB13" w14:textId="77777777" w:rsidR="00675A1D" w:rsidRDefault="00675A1D"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675A1D" w14:paraId="4DF6713D" w14:textId="77777777" w:rsidTr="0010601F">
      <w:trPr>
        <w:trHeight w:val="417"/>
      </w:trPr>
      <w:tc>
        <w:tcPr>
          <w:tcW w:w="4519" w:type="dxa"/>
          <w:tcBorders>
            <w:top w:val="single" w:sz="4" w:space="0" w:color="auto"/>
          </w:tcBorders>
          <w:tcMar>
            <w:top w:w="142" w:type="dxa"/>
            <w:bottom w:w="0" w:type="dxa"/>
          </w:tcMar>
        </w:tcPr>
        <w:p w14:paraId="59DEA683" w14:textId="77777777" w:rsidR="00675A1D" w:rsidRDefault="00675A1D" w:rsidP="006E08B3">
          <w:r>
            <w:t>Document title, Part #, Section # - Section title</w:t>
          </w:r>
        </w:p>
        <w:p w14:paraId="4DA6C4A2" w14:textId="77777777" w:rsidR="00675A1D" w:rsidRDefault="00675A1D" w:rsidP="006E08B3">
          <w:r>
            <w:t>V1.0 October 2010</w:t>
          </w:r>
        </w:p>
      </w:tc>
      <w:tc>
        <w:tcPr>
          <w:tcW w:w="4356" w:type="dxa"/>
          <w:tcBorders>
            <w:top w:val="single" w:sz="4" w:space="0" w:color="auto"/>
          </w:tcBorders>
          <w:tcMar>
            <w:top w:w="142" w:type="dxa"/>
            <w:bottom w:w="0" w:type="dxa"/>
          </w:tcMar>
        </w:tcPr>
        <w:p w14:paraId="11D25AEA" w14:textId="77777777" w:rsidR="00675A1D" w:rsidRDefault="00675A1D"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Pr>
              <w:noProof/>
            </w:rPr>
            <w:fldChar w:fldCharType="begin"/>
          </w:r>
          <w:r>
            <w:rPr>
              <w:noProof/>
            </w:rPr>
            <w:instrText xml:space="preserve"> NUMPAGES  \* Arabic </w:instrText>
          </w:r>
          <w:r>
            <w:rPr>
              <w:noProof/>
            </w:rPr>
            <w:fldChar w:fldCharType="separate"/>
          </w:r>
          <w:r>
            <w:rPr>
              <w:noProof/>
            </w:rPr>
            <w:t>3</w:t>
          </w:r>
          <w:r>
            <w:rPr>
              <w:noProof/>
            </w:rPr>
            <w:fldChar w:fldCharType="end"/>
          </w:r>
          <w:r>
            <w:t xml:space="preserve"> </w:t>
          </w:r>
        </w:p>
      </w:tc>
    </w:tr>
  </w:tbl>
  <w:p w14:paraId="02630DC7" w14:textId="77777777" w:rsidR="00675A1D" w:rsidRDefault="00675A1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4FAB3A" w14:textId="77777777" w:rsidR="00675A1D" w:rsidRDefault="00675A1D" w:rsidP="00C40A36">
      <w:pPr>
        <w:spacing w:after="0"/>
      </w:pPr>
      <w:r>
        <w:separator/>
      </w:r>
    </w:p>
  </w:footnote>
  <w:footnote w:type="continuationSeparator" w:id="0">
    <w:p w14:paraId="54872794" w14:textId="77777777" w:rsidR="00675A1D" w:rsidRDefault="00675A1D" w:rsidP="00C40A36">
      <w:pPr>
        <w:spacing w:after="0"/>
      </w:pPr>
      <w:r>
        <w:continuationSeparator/>
      </w:r>
    </w:p>
  </w:footnote>
  <w:footnote w:id="1">
    <w:p w14:paraId="339188B3" w14:textId="0D19CDF9" w:rsidR="00675A1D" w:rsidRPr="00A808F5" w:rsidRDefault="00675A1D">
      <w:pPr>
        <w:pStyle w:val="FootnoteText"/>
      </w:pPr>
      <w:r>
        <w:rPr>
          <w:rStyle w:val="FootnoteReference"/>
        </w:rPr>
        <w:footnoteRef/>
      </w:r>
      <w:r>
        <w:t xml:space="preserve"> </w:t>
      </w:r>
      <w:r w:rsidRPr="00A808F5">
        <w:t>CPMP/</w:t>
      </w:r>
      <w:hyperlink r:id="rId1" w:tgtFrame="_blank" w:tooltip="The International Council for Harmonisation of Technical Requirements for Registration of Pharmaceuticals for Human Use (ICH) brings together regulatory authorities and the pharmaceutical industry. It makes recommendations towards achieving greater harmonisati" w:history="1">
        <w:r w:rsidRPr="00A808F5">
          <w:t>ICH</w:t>
        </w:r>
      </w:hyperlink>
      <w:r w:rsidRPr="00A808F5">
        <w:t>/139/95 ICH Q5B Analysis of the expression construct in cell lines used for production of rDNA-derived protein products </w:t>
      </w:r>
    </w:p>
  </w:footnote>
  <w:footnote w:id="2">
    <w:p w14:paraId="46F7E684" w14:textId="4217474F" w:rsidR="00675A1D" w:rsidRDefault="00675A1D">
      <w:pPr>
        <w:pStyle w:val="FootnoteText"/>
      </w:pPr>
      <w:r>
        <w:rPr>
          <w:rStyle w:val="FootnoteReference"/>
        </w:rPr>
        <w:footnoteRef/>
      </w:r>
      <w:r w:rsidRPr="00A808F5">
        <w:t xml:space="preserve"> 3AB1a Production and quality control of medicinal products derived by recombinant DNA technology</w:t>
      </w:r>
    </w:p>
  </w:footnote>
  <w:footnote w:id="3">
    <w:p w14:paraId="689B58EA" w14:textId="77777777" w:rsidR="00675A1D" w:rsidRDefault="00675A1D" w:rsidP="007D2934">
      <w:pPr>
        <w:pStyle w:val="FootnoteText"/>
      </w:pPr>
      <w:r>
        <w:rPr>
          <w:rStyle w:val="FootnoteReference"/>
        </w:rPr>
        <w:footnoteRef/>
      </w:r>
      <w:r>
        <w:t xml:space="preserve"> ICH Q6B; Note for guidance on specifications: test procedures and acceptance criteria for biotechnological/biological products (CPMP/ICH/365/96)</w:t>
      </w:r>
    </w:p>
  </w:footnote>
  <w:footnote w:id="4">
    <w:p w14:paraId="2AAF0218" w14:textId="77777777" w:rsidR="00675A1D" w:rsidRDefault="00675A1D">
      <w:pPr>
        <w:pStyle w:val="FootnoteText"/>
      </w:pPr>
      <w:r>
        <w:rPr>
          <w:rStyle w:val="FootnoteReference"/>
        </w:rPr>
        <w:footnoteRef/>
      </w:r>
      <w:r>
        <w:t xml:space="preserve"> </w:t>
      </w:r>
      <w:r w:rsidRPr="0095765C">
        <w:t>ICH Harmonized Tripartite</w:t>
      </w:r>
      <w:r>
        <w:t xml:space="preserve"> </w:t>
      </w:r>
      <w:r w:rsidRPr="007D2934">
        <w:t xml:space="preserve">Guide </w:t>
      </w:r>
      <w:r w:rsidRPr="007D2934">
        <w:rPr>
          <w:iCs/>
        </w:rPr>
        <w:t>Validation of Analytical Procedures: Text and Methodology (Q2(R1)</w:t>
      </w:r>
    </w:p>
  </w:footnote>
  <w:footnote w:id="5">
    <w:p w14:paraId="76060B08" w14:textId="1B0A6530" w:rsidR="00675A1D" w:rsidRPr="00D62AEE" w:rsidRDefault="00675A1D">
      <w:pPr>
        <w:pStyle w:val="FootnoteText"/>
        <w:rPr>
          <w:lang w:val="en-GB"/>
        </w:rPr>
      </w:pPr>
      <w:r>
        <w:rPr>
          <w:rStyle w:val="FootnoteReference"/>
        </w:rPr>
        <w:footnoteRef/>
      </w:r>
      <w:r>
        <w:t xml:space="preserve"> </w:t>
      </w:r>
      <w:r w:rsidRPr="00466840">
        <w:t>ICH guideline S6 (R1); preclinical safety evaluation of biotechnology-derived pharmaceuticals. EMA/CHMP/ICH/731268/1998</w:t>
      </w:r>
    </w:p>
  </w:footnote>
  <w:footnote w:id="6">
    <w:p w14:paraId="70416BD8" w14:textId="23826116" w:rsidR="00675A1D" w:rsidRPr="00D62AEE" w:rsidRDefault="00675A1D">
      <w:pPr>
        <w:pStyle w:val="FootnoteText"/>
        <w:rPr>
          <w:lang w:val="en-GB"/>
        </w:rPr>
      </w:pPr>
      <w:r>
        <w:rPr>
          <w:rStyle w:val="FootnoteReference"/>
        </w:rPr>
        <w:footnoteRef/>
      </w:r>
      <w:r>
        <w:t xml:space="preserve"> </w:t>
      </w:r>
      <w:r w:rsidRPr="00466840">
        <w:t>Committee for Medicinal Products for Human Use (CHMP) 2006 Guideline on the Evaluation of Medicinal Products in the Treatment of Primary Osteoporosis (EU: CPMP/EWP/552/95 rev. 2)</w:t>
      </w:r>
    </w:p>
  </w:footnote>
  <w:footnote w:id="7">
    <w:p w14:paraId="16F01A94" w14:textId="77777777" w:rsidR="00675A1D" w:rsidRDefault="00675A1D">
      <w:pPr>
        <w:pStyle w:val="FootnoteText"/>
      </w:pPr>
      <w:r>
        <w:rPr>
          <w:rStyle w:val="FootnoteReference"/>
        </w:rPr>
        <w:footnoteRef/>
      </w:r>
      <w:r>
        <w:t xml:space="preserve"> </w:t>
      </w:r>
      <w:r w:rsidRPr="009944A1">
        <w:t>Delgado-</w:t>
      </w:r>
      <w:proofErr w:type="spellStart"/>
      <w:r w:rsidRPr="009944A1">
        <w:t>Calle</w:t>
      </w:r>
      <w:proofErr w:type="spellEnd"/>
      <w:r w:rsidRPr="009944A1">
        <w:t xml:space="preserve"> J., Sato A.Y. and </w:t>
      </w:r>
      <w:proofErr w:type="spellStart"/>
      <w:r w:rsidRPr="009944A1">
        <w:t>Bellido</w:t>
      </w:r>
      <w:proofErr w:type="spellEnd"/>
      <w:r w:rsidRPr="009944A1">
        <w:t xml:space="preserve"> T. (2017) Role and mechanism of action of sclerostin in bone. </w:t>
      </w:r>
      <w:r w:rsidRPr="007B4630">
        <w:rPr>
          <w:i/>
        </w:rPr>
        <w:t>Bone</w:t>
      </w:r>
      <w:r w:rsidRPr="009944A1">
        <w:t>. 96: 29–37</w:t>
      </w:r>
    </w:p>
  </w:footnote>
  <w:footnote w:id="8">
    <w:p w14:paraId="14385AAA" w14:textId="77777777" w:rsidR="00675A1D" w:rsidRDefault="00675A1D">
      <w:pPr>
        <w:pStyle w:val="FootnoteText"/>
      </w:pPr>
      <w:r>
        <w:rPr>
          <w:rStyle w:val="FootnoteReference"/>
        </w:rPr>
        <w:footnoteRef/>
      </w:r>
      <w:r>
        <w:t xml:space="preserve"> </w:t>
      </w:r>
      <w:proofErr w:type="spellStart"/>
      <w:r w:rsidRPr="009944A1">
        <w:t>Balemans</w:t>
      </w:r>
      <w:proofErr w:type="spellEnd"/>
      <w:r w:rsidRPr="009944A1">
        <w:t xml:space="preserve"> W. </w:t>
      </w:r>
      <w:r>
        <w:t>et al.</w:t>
      </w:r>
      <w:r w:rsidRPr="009944A1">
        <w:t xml:space="preserve"> (2001) Increased bone density in </w:t>
      </w:r>
      <w:proofErr w:type="spellStart"/>
      <w:r w:rsidRPr="009944A1">
        <w:t>sclerosteosis</w:t>
      </w:r>
      <w:proofErr w:type="spellEnd"/>
      <w:r w:rsidRPr="009944A1">
        <w:t xml:space="preserve"> is due to the deficiency of a novel secreted protein (SOST). </w:t>
      </w:r>
      <w:r w:rsidRPr="007B4630">
        <w:rPr>
          <w:i/>
        </w:rPr>
        <w:t>Hum. Mol. Genet</w:t>
      </w:r>
      <w:r w:rsidRPr="009944A1">
        <w:t>. 10: 537–543</w:t>
      </w:r>
    </w:p>
  </w:footnote>
  <w:footnote w:id="9">
    <w:p w14:paraId="50FAD664" w14:textId="77777777" w:rsidR="00675A1D" w:rsidRDefault="00675A1D">
      <w:pPr>
        <w:pStyle w:val="FootnoteText"/>
      </w:pPr>
      <w:r>
        <w:rPr>
          <w:rStyle w:val="FootnoteReference"/>
        </w:rPr>
        <w:footnoteRef/>
      </w:r>
      <w:r>
        <w:t xml:space="preserve"> </w:t>
      </w:r>
      <w:proofErr w:type="spellStart"/>
      <w:r w:rsidRPr="009944A1">
        <w:t>Brunkow</w:t>
      </w:r>
      <w:proofErr w:type="spellEnd"/>
      <w:r w:rsidRPr="009944A1">
        <w:t xml:space="preserve"> M.E. </w:t>
      </w:r>
      <w:r>
        <w:t>et al.</w:t>
      </w:r>
      <w:r w:rsidRPr="009944A1">
        <w:t xml:space="preserve"> (2001) Bone dysplasia </w:t>
      </w:r>
      <w:proofErr w:type="spellStart"/>
      <w:r w:rsidRPr="009944A1">
        <w:t>sclerosteosis</w:t>
      </w:r>
      <w:proofErr w:type="spellEnd"/>
      <w:r w:rsidRPr="009944A1">
        <w:t xml:space="preserve"> results from loss of the SOST gene product, a novel </w:t>
      </w:r>
      <w:proofErr w:type="spellStart"/>
      <w:r w:rsidRPr="009944A1">
        <w:t>cystine</w:t>
      </w:r>
      <w:proofErr w:type="spellEnd"/>
      <w:r w:rsidRPr="009944A1">
        <w:t xml:space="preserve"> knot-containing protein. </w:t>
      </w:r>
      <w:r w:rsidRPr="007B4630">
        <w:rPr>
          <w:i/>
        </w:rPr>
        <w:t>Am. J. Hum. Genet</w:t>
      </w:r>
      <w:r w:rsidRPr="009944A1">
        <w:t>. 68: 577–589</w:t>
      </w:r>
    </w:p>
  </w:footnote>
  <w:footnote w:id="10">
    <w:p w14:paraId="41FFA1BB" w14:textId="77777777" w:rsidR="00675A1D" w:rsidRDefault="00675A1D">
      <w:pPr>
        <w:pStyle w:val="FootnoteText"/>
      </w:pPr>
      <w:r>
        <w:rPr>
          <w:rStyle w:val="FootnoteReference"/>
        </w:rPr>
        <w:footnoteRef/>
      </w:r>
      <w:r>
        <w:t xml:space="preserve"> </w:t>
      </w:r>
      <w:r w:rsidRPr="009944A1">
        <w:t xml:space="preserve">Hernandez P. </w:t>
      </w:r>
      <w:r>
        <w:t>et al</w:t>
      </w:r>
      <w:r w:rsidRPr="009944A1">
        <w:t xml:space="preserve">. (2014) New insights into the location and form of sclerostin. </w:t>
      </w:r>
      <w:proofErr w:type="spellStart"/>
      <w:r w:rsidRPr="007B4630">
        <w:rPr>
          <w:i/>
        </w:rPr>
        <w:t>Biochem</w:t>
      </w:r>
      <w:proofErr w:type="spellEnd"/>
      <w:r w:rsidRPr="007B4630">
        <w:rPr>
          <w:i/>
        </w:rPr>
        <w:t xml:space="preserve">. </w:t>
      </w:r>
      <w:proofErr w:type="spellStart"/>
      <w:r w:rsidRPr="007B4630">
        <w:rPr>
          <w:i/>
        </w:rPr>
        <w:t>Biophys</w:t>
      </w:r>
      <w:proofErr w:type="spellEnd"/>
      <w:r w:rsidRPr="007B4630">
        <w:rPr>
          <w:i/>
        </w:rPr>
        <w:t xml:space="preserve">. Res. </w:t>
      </w:r>
      <w:proofErr w:type="spellStart"/>
      <w:r w:rsidRPr="007B4630">
        <w:rPr>
          <w:i/>
        </w:rPr>
        <w:t>Commun</w:t>
      </w:r>
      <w:proofErr w:type="spellEnd"/>
      <w:r w:rsidRPr="007B4630">
        <w:rPr>
          <w:i/>
        </w:rPr>
        <w:t>.</w:t>
      </w:r>
      <w:r w:rsidRPr="009944A1">
        <w:t xml:space="preserve"> 446: 1108–1113.</w:t>
      </w:r>
    </w:p>
  </w:footnote>
  <w:footnote w:id="11">
    <w:p w14:paraId="06EC4FE4" w14:textId="63C99A7A" w:rsidR="00675A1D" w:rsidRDefault="00675A1D">
      <w:pPr>
        <w:pStyle w:val="FootnoteText"/>
      </w:pPr>
      <w:r>
        <w:rPr>
          <w:rStyle w:val="FootnoteReference"/>
        </w:rPr>
        <w:footnoteRef/>
      </w:r>
      <w:r>
        <w:t xml:space="preserve"> ICH Guideline S6 (R1); preclinical safety evaluation of biotechnology-derived pharmaceuticals.</w:t>
      </w:r>
      <w:r w:rsidRPr="003F6251">
        <w:t xml:space="preserve"> </w:t>
      </w:r>
      <w:r>
        <w:t>EMA/CHMP/ICH/731268/1998</w:t>
      </w:r>
    </w:p>
  </w:footnote>
  <w:footnote w:id="12">
    <w:p w14:paraId="32C17FD9" w14:textId="77777777" w:rsidR="00675A1D" w:rsidRDefault="00675A1D">
      <w:pPr>
        <w:pStyle w:val="FootnoteText"/>
      </w:pPr>
      <w:r>
        <w:rPr>
          <w:rStyle w:val="FootnoteReference"/>
        </w:rPr>
        <w:footnoteRef/>
      </w:r>
      <w:r>
        <w:t xml:space="preserve"> </w:t>
      </w:r>
      <w:r w:rsidRPr="009944A1">
        <w:t xml:space="preserve">Collette N.M. </w:t>
      </w:r>
      <w:r>
        <w:t>et al.</w:t>
      </w:r>
      <w:r w:rsidRPr="009944A1">
        <w:t xml:space="preserve">(2013) </w:t>
      </w:r>
      <w:proofErr w:type="spellStart"/>
      <w:r w:rsidRPr="009944A1">
        <w:t>Sost</w:t>
      </w:r>
      <w:proofErr w:type="spellEnd"/>
      <w:r w:rsidRPr="009944A1">
        <w:t xml:space="preserve"> and its paralog Sostdc1 coordinate digit number in a Gli3-dependent manner. </w:t>
      </w:r>
      <w:r w:rsidRPr="007B4630">
        <w:rPr>
          <w:i/>
        </w:rPr>
        <w:t>Dev. Biol.</w:t>
      </w:r>
      <w:r w:rsidRPr="009944A1">
        <w:t xml:space="preserve"> 383: 90–105</w:t>
      </w:r>
    </w:p>
  </w:footnote>
  <w:footnote w:id="13">
    <w:p w14:paraId="44526D24" w14:textId="77777777" w:rsidR="00675A1D" w:rsidRDefault="00675A1D">
      <w:pPr>
        <w:pStyle w:val="FootnoteText"/>
      </w:pPr>
      <w:r>
        <w:rPr>
          <w:rStyle w:val="FootnoteReference"/>
        </w:rPr>
        <w:footnoteRef/>
      </w:r>
      <w:r>
        <w:t xml:space="preserve"> </w:t>
      </w:r>
      <w:r w:rsidRPr="002B688A">
        <w:t xml:space="preserve">Sebastian A. and Loots G.G. (2018) Genetics of </w:t>
      </w:r>
      <w:proofErr w:type="spellStart"/>
      <w:r w:rsidRPr="002B688A">
        <w:t>Sost</w:t>
      </w:r>
      <w:proofErr w:type="spellEnd"/>
      <w:r w:rsidRPr="002B688A">
        <w:t xml:space="preserve">/SOST in </w:t>
      </w:r>
      <w:proofErr w:type="spellStart"/>
      <w:r w:rsidRPr="002B688A">
        <w:t>sclerosteosis</w:t>
      </w:r>
      <w:proofErr w:type="spellEnd"/>
      <w:r w:rsidRPr="002B688A">
        <w:t xml:space="preserve"> and van </w:t>
      </w:r>
      <w:proofErr w:type="spellStart"/>
      <w:r w:rsidRPr="002B688A">
        <w:t>Buchem</w:t>
      </w:r>
      <w:proofErr w:type="spellEnd"/>
      <w:r w:rsidRPr="002B688A">
        <w:t xml:space="preserve"> disease animal models. </w:t>
      </w:r>
      <w:proofErr w:type="spellStart"/>
      <w:r w:rsidRPr="007B4630">
        <w:rPr>
          <w:i/>
        </w:rPr>
        <w:t>Metab</w:t>
      </w:r>
      <w:proofErr w:type="spellEnd"/>
      <w:r w:rsidRPr="007B4630">
        <w:rPr>
          <w:i/>
        </w:rPr>
        <w:t xml:space="preserve">. </w:t>
      </w:r>
      <w:proofErr w:type="spellStart"/>
      <w:r w:rsidRPr="007B4630">
        <w:rPr>
          <w:i/>
        </w:rPr>
        <w:t>Clin</w:t>
      </w:r>
      <w:proofErr w:type="spellEnd"/>
      <w:r w:rsidRPr="007B4630">
        <w:rPr>
          <w:i/>
        </w:rPr>
        <w:t>. Exp.</w:t>
      </w:r>
      <w:r w:rsidRPr="002B688A">
        <w:t xml:space="preserve"> 80: 38–47.</w:t>
      </w:r>
    </w:p>
  </w:footnote>
  <w:footnote w:id="14">
    <w:p w14:paraId="2931D898" w14:textId="77777777" w:rsidR="00675A1D" w:rsidRDefault="00675A1D" w:rsidP="002B688A">
      <w:pPr>
        <w:pStyle w:val="FootnoteText"/>
      </w:pPr>
      <w:r>
        <w:rPr>
          <w:rStyle w:val="FootnoteReference"/>
        </w:rPr>
        <w:footnoteRef/>
      </w:r>
      <w:r>
        <w:t xml:space="preserve"> Category B3: Drugs which have been taken by only a limited number of pregnant women and women of childbearing age, without an increase in the frequency of malformation or other direct or indirect harmful effects on the human foetus having been observed. Studies in animals have shown evidence of an increased occurrence of foetal damage, the significance of which is considered uncertain in humans.</w:t>
      </w:r>
    </w:p>
  </w:footnote>
  <w:footnote w:id="15">
    <w:p w14:paraId="784F02E0" w14:textId="77777777" w:rsidR="00675A1D" w:rsidRDefault="00675A1D" w:rsidP="002B688A">
      <w:pPr>
        <w:pStyle w:val="FootnoteText"/>
      </w:pPr>
      <w:r>
        <w:rPr>
          <w:rStyle w:val="FootnoteReference"/>
        </w:rPr>
        <w:footnoteRef/>
      </w:r>
      <w:r>
        <w:t xml:space="preserve"> Category D: Drugs which have caused, are suspected to have caused or may be expected to cause, an increased incidence of human foetal malformations or irreversible damage. These drugs may also have adverse pharmacological effects. Accompanying texts should be consulted for further details.</w:t>
      </w:r>
    </w:p>
  </w:footnote>
  <w:footnote w:id="16">
    <w:p w14:paraId="60033D62" w14:textId="77777777" w:rsidR="00675A1D" w:rsidRDefault="00675A1D" w:rsidP="00EC19F9">
      <w:pPr>
        <w:pStyle w:val="FootnoteText"/>
      </w:pPr>
      <w:r>
        <w:rPr>
          <w:rStyle w:val="FootnoteReference"/>
        </w:rPr>
        <w:footnoteRef/>
      </w:r>
      <w:r>
        <w:t xml:space="preserve"> Category C: Drugs which, owing to their pharmacological effects, have caused or may be suspected of causing, harmful effects on the human foetus or neonate without causing malformations. These effects may be reversible. Accompanying texts should be consulted for further details.</w:t>
      </w:r>
    </w:p>
  </w:footnote>
  <w:footnote w:id="17">
    <w:p w14:paraId="2D35DD2B" w14:textId="77777777" w:rsidR="00675A1D" w:rsidRDefault="00675A1D">
      <w:pPr>
        <w:pStyle w:val="FootnoteText"/>
      </w:pPr>
      <w:r>
        <w:rPr>
          <w:rStyle w:val="FootnoteReference"/>
        </w:rPr>
        <w:footnoteRef/>
      </w:r>
      <w:r>
        <w:t xml:space="preserve"> ICH guideline S10 Guidance on </w:t>
      </w:r>
      <w:proofErr w:type="spellStart"/>
      <w:r>
        <w:t>photosafety</w:t>
      </w:r>
      <w:proofErr w:type="spellEnd"/>
      <w:r>
        <w:t xml:space="preserve"> evaluation of pharmaceuticals Step 3 EMA/CHMP/ICH/752211/2012</w:t>
      </w:r>
    </w:p>
  </w:footnote>
  <w:footnote w:id="18">
    <w:p w14:paraId="6854A3E4" w14:textId="002C4199" w:rsidR="00675A1D" w:rsidRPr="001370AA" w:rsidRDefault="00675A1D" w:rsidP="001370AA">
      <w:pPr>
        <w:pStyle w:val="FootnoteText"/>
      </w:pPr>
      <w:r>
        <w:rPr>
          <w:rStyle w:val="FootnoteReference"/>
        </w:rPr>
        <w:footnoteRef/>
      </w:r>
      <w:r>
        <w:t xml:space="preserve"> World Health </w:t>
      </w:r>
      <w:proofErr w:type="spellStart"/>
      <w:r>
        <w:t>OrganizationL</w:t>
      </w:r>
      <w:proofErr w:type="spellEnd"/>
      <w:r>
        <w:t xml:space="preserve"> WHO scientific group on the assessment of osteoporosis at primary health care level. WHO Press, World Health Organization. Geneva, Switzerland; 2007.</w:t>
      </w:r>
    </w:p>
  </w:footnote>
  <w:footnote w:id="19">
    <w:p w14:paraId="1BB6F07C" w14:textId="38298BB5" w:rsidR="00675A1D" w:rsidRPr="001370AA" w:rsidRDefault="00675A1D" w:rsidP="002C5A53">
      <w:pPr>
        <w:pStyle w:val="FootnoteText"/>
      </w:pPr>
      <w:r>
        <w:rPr>
          <w:rStyle w:val="FootnoteReference"/>
        </w:rPr>
        <w:footnoteRef/>
      </w:r>
      <w:r>
        <w:t xml:space="preserve"> </w:t>
      </w:r>
      <w:r w:rsidRPr="002C5A53">
        <w:t>Off</w:t>
      </w:r>
      <w:r>
        <w:t>ice of the Surgeon General (US). Bone Health and Osteoporosis: A Report of the Surgeon General; Rockville (MD) USA: Office of the Surgeon General (US); 2004.</w:t>
      </w:r>
    </w:p>
  </w:footnote>
  <w:footnote w:id="20">
    <w:p w14:paraId="714B7F49" w14:textId="34E6D0B8" w:rsidR="00675A1D" w:rsidRPr="00D62AEE" w:rsidRDefault="00675A1D">
      <w:pPr>
        <w:pStyle w:val="FootnoteText"/>
        <w:rPr>
          <w:lang w:val="en-GB"/>
        </w:rPr>
      </w:pPr>
      <w:r>
        <w:rPr>
          <w:rStyle w:val="FootnoteReference"/>
        </w:rPr>
        <w:footnoteRef/>
      </w:r>
      <w:r>
        <w:t xml:space="preserve"> </w:t>
      </w:r>
      <w:proofErr w:type="spellStart"/>
      <w:r>
        <w:t>Cosman</w:t>
      </w:r>
      <w:proofErr w:type="spellEnd"/>
      <w:r>
        <w:t xml:space="preserve"> F et al. </w:t>
      </w:r>
      <w:r w:rsidRPr="001370AA">
        <w:t>Clinician’s Guide to Prevention and Treatment of Osteoporosis</w:t>
      </w:r>
      <w:r>
        <w:t xml:space="preserve">. </w:t>
      </w:r>
      <w:proofErr w:type="spellStart"/>
      <w:r>
        <w:t>Osteopo</w:t>
      </w:r>
      <w:r w:rsidRPr="001370AA">
        <w:t>ros</w:t>
      </w:r>
      <w:proofErr w:type="spellEnd"/>
      <w:r w:rsidRPr="001370AA">
        <w:t xml:space="preserve"> Int. 2014; 25(10): 2359–2381</w:t>
      </w:r>
    </w:p>
  </w:footnote>
  <w:footnote w:id="21">
    <w:p w14:paraId="0672749F" w14:textId="77777777" w:rsidR="00675A1D" w:rsidRDefault="00675A1D">
      <w:pPr>
        <w:pStyle w:val="FootnoteText"/>
      </w:pPr>
      <w:r>
        <w:rPr>
          <w:rStyle w:val="FootnoteReference"/>
        </w:rPr>
        <w:footnoteRef/>
      </w:r>
      <w:r>
        <w:t xml:space="preserve"> </w:t>
      </w:r>
      <w:r w:rsidRPr="00A43FC2">
        <w:t xml:space="preserve">Wade SW, </w:t>
      </w:r>
      <w:proofErr w:type="spellStart"/>
      <w:r w:rsidRPr="00A43FC2">
        <w:t>Strader</w:t>
      </w:r>
      <w:proofErr w:type="spellEnd"/>
      <w:r w:rsidRPr="00A43FC2">
        <w:t xml:space="preserve"> C, Fitzpatrick LA, et al. Estimating prevalence of osteoporosis: examples from industrialized countries. </w:t>
      </w:r>
      <w:r w:rsidRPr="00A43FC2">
        <w:rPr>
          <w:i/>
        </w:rPr>
        <w:t xml:space="preserve">Arch </w:t>
      </w:r>
      <w:proofErr w:type="spellStart"/>
      <w:r w:rsidRPr="00A43FC2">
        <w:rPr>
          <w:i/>
        </w:rPr>
        <w:t>Osteoporos</w:t>
      </w:r>
      <w:proofErr w:type="spellEnd"/>
      <w:r w:rsidRPr="00A43FC2">
        <w:t>. 2014; 9: 182</w:t>
      </w:r>
    </w:p>
  </w:footnote>
  <w:footnote w:id="22">
    <w:p w14:paraId="6FF09B80" w14:textId="12CAF6F4" w:rsidR="00675A1D" w:rsidRDefault="00675A1D">
      <w:pPr>
        <w:pStyle w:val="FootnoteText"/>
      </w:pPr>
      <w:r>
        <w:rPr>
          <w:rStyle w:val="FootnoteReference"/>
        </w:rPr>
        <w:footnoteRef/>
      </w:r>
      <w:r>
        <w:t xml:space="preserve"> </w:t>
      </w:r>
      <w:r w:rsidRPr="00A43FC2">
        <w:t xml:space="preserve">Wright NC, Looker AC, </w:t>
      </w:r>
      <w:proofErr w:type="spellStart"/>
      <w:r w:rsidRPr="00A43FC2">
        <w:t>Saag</w:t>
      </w:r>
      <w:proofErr w:type="spellEnd"/>
      <w:r w:rsidRPr="00A43FC2">
        <w:t xml:space="preserve"> KG, et al. The recent prevalence of osteoporosis and low bone mass in the United States based on bone mineral density at the femoral neck or lumbar spine</w:t>
      </w:r>
      <w:r w:rsidRPr="00A43FC2">
        <w:rPr>
          <w:i/>
        </w:rPr>
        <w:t>. J Bone Miner Res</w:t>
      </w:r>
      <w:r w:rsidRPr="00A43FC2">
        <w:t>. 2014;</w:t>
      </w:r>
      <w:r>
        <w:t xml:space="preserve"> </w:t>
      </w:r>
      <w:r w:rsidRPr="00A43FC2">
        <w:t>29:</w:t>
      </w:r>
      <w:r>
        <w:t xml:space="preserve"> </w:t>
      </w:r>
      <w:r w:rsidRPr="00A43FC2">
        <w:t>2520-</w:t>
      </w:r>
      <w:r>
        <w:t>252</w:t>
      </w:r>
      <w:r w:rsidRPr="00A43FC2">
        <w:t>6</w:t>
      </w:r>
    </w:p>
  </w:footnote>
  <w:footnote w:id="23">
    <w:p w14:paraId="7C8A6FFD" w14:textId="36F8F331" w:rsidR="00675A1D" w:rsidRDefault="00675A1D">
      <w:pPr>
        <w:pStyle w:val="FootnoteText"/>
      </w:pPr>
      <w:r>
        <w:rPr>
          <w:rStyle w:val="FootnoteReference"/>
        </w:rPr>
        <w:footnoteRef/>
      </w:r>
      <w:r>
        <w:t xml:space="preserve"> </w:t>
      </w:r>
      <w:proofErr w:type="spellStart"/>
      <w:r w:rsidRPr="00A43FC2">
        <w:t>Hernlund</w:t>
      </w:r>
      <w:proofErr w:type="spellEnd"/>
      <w:r w:rsidRPr="00A43FC2">
        <w:t xml:space="preserve"> E, </w:t>
      </w:r>
      <w:proofErr w:type="spellStart"/>
      <w:r w:rsidRPr="00A43FC2">
        <w:t>Svedbom</w:t>
      </w:r>
      <w:proofErr w:type="spellEnd"/>
      <w:r w:rsidRPr="00A43FC2">
        <w:t xml:space="preserve"> A, </w:t>
      </w:r>
      <w:proofErr w:type="spellStart"/>
      <w:r w:rsidRPr="00A43FC2">
        <w:t>Ivergard</w:t>
      </w:r>
      <w:proofErr w:type="spellEnd"/>
      <w:r w:rsidRPr="00A43FC2">
        <w:t xml:space="preserve"> M, et al. Osteoporosis in the European Union: medical management, epidemiology and economic burden. A report prepared in collaboration with the International Osteoporosis Foundation (IOF) and the European Federation of Pharmaceutical Industry Associations (EFPIA). </w:t>
      </w:r>
      <w:r w:rsidRPr="00A43FC2">
        <w:rPr>
          <w:i/>
        </w:rPr>
        <w:t xml:space="preserve">Arch </w:t>
      </w:r>
      <w:proofErr w:type="spellStart"/>
      <w:r w:rsidRPr="00A43FC2">
        <w:rPr>
          <w:i/>
        </w:rPr>
        <w:t>Osteoporos</w:t>
      </w:r>
      <w:proofErr w:type="spellEnd"/>
      <w:r w:rsidRPr="00A43FC2">
        <w:t>. 2013;</w:t>
      </w:r>
      <w:r>
        <w:t xml:space="preserve"> </w:t>
      </w:r>
      <w:r w:rsidRPr="00A43FC2">
        <w:t>8:</w:t>
      </w:r>
      <w:r>
        <w:t xml:space="preserve"> </w:t>
      </w:r>
      <w:r w:rsidRPr="00A43FC2">
        <w:t>136</w:t>
      </w:r>
    </w:p>
  </w:footnote>
  <w:footnote w:id="24">
    <w:p w14:paraId="65F72BBA" w14:textId="77777777" w:rsidR="00675A1D" w:rsidRDefault="00675A1D">
      <w:pPr>
        <w:pStyle w:val="FootnoteText"/>
      </w:pPr>
      <w:r>
        <w:rPr>
          <w:rStyle w:val="FootnoteReference"/>
        </w:rPr>
        <w:footnoteRef/>
      </w:r>
      <w:r>
        <w:t xml:space="preserve"> </w:t>
      </w:r>
      <w:r w:rsidRPr="00A43FC2">
        <w:t xml:space="preserve">Wade SW, </w:t>
      </w:r>
      <w:proofErr w:type="spellStart"/>
      <w:r w:rsidRPr="00A43FC2">
        <w:t>Strader</w:t>
      </w:r>
      <w:proofErr w:type="spellEnd"/>
      <w:r w:rsidRPr="00A43FC2">
        <w:t xml:space="preserve"> C, Fitzpatrick LA, Anthony MS. Sex- and age-specific incidence of non-traumatic fractures in selected industrialized countries. </w:t>
      </w:r>
      <w:r w:rsidRPr="00A43FC2">
        <w:rPr>
          <w:i/>
        </w:rPr>
        <w:t xml:space="preserve">Arch </w:t>
      </w:r>
      <w:proofErr w:type="spellStart"/>
      <w:r w:rsidRPr="00A43FC2">
        <w:rPr>
          <w:i/>
        </w:rPr>
        <w:t>Osteoporos</w:t>
      </w:r>
      <w:proofErr w:type="spellEnd"/>
      <w:r w:rsidRPr="00A43FC2">
        <w:t>. 2012;7: 219-227</w:t>
      </w:r>
    </w:p>
  </w:footnote>
  <w:footnote w:id="25">
    <w:p w14:paraId="56557149" w14:textId="77777777" w:rsidR="00675A1D" w:rsidRDefault="00675A1D">
      <w:pPr>
        <w:pStyle w:val="FootnoteText"/>
      </w:pPr>
      <w:r>
        <w:rPr>
          <w:rStyle w:val="FootnoteReference"/>
        </w:rPr>
        <w:footnoteRef/>
      </w:r>
      <w:r>
        <w:t xml:space="preserve"> </w:t>
      </w:r>
      <w:r w:rsidRPr="00A43FC2">
        <w:t xml:space="preserve">Burge R, Dawson-Hughes B, Solomon DH, et al. Incidence and economic burden of osteoporosis-related fractures in the United States, 2005-2025. </w:t>
      </w:r>
      <w:r w:rsidRPr="00A43FC2">
        <w:rPr>
          <w:i/>
        </w:rPr>
        <w:t xml:space="preserve">J Bone Miner Res. </w:t>
      </w:r>
      <w:r w:rsidRPr="00A43FC2">
        <w:t>2007;22: 465-475</w:t>
      </w:r>
    </w:p>
  </w:footnote>
  <w:footnote w:id="26">
    <w:p w14:paraId="26E7DAE2" w14:textId="2DCB706F" w:rsidR="00675A1D" w:rsidRDefault="00675A1D">
      <w:pPr>
        <w:pStyle w:val="FootnoteText"/>
      </w:pPr>
      <w:r>
        <w:rPr>
          <w:rStyle w:val="FootnoteReference"/>
        </w:rPr>
        <w:footnoteRef/>
      </w:r>
      <w:r>
        <w:t xml:space="preserve"> </w:t>
      </w:r>
      <w:proofErr w:type="spellStart"/>
      <w:r w:rsidRPr="00A43FC2">
        <w:t>Balasubramanian</w:t>
      </w:r>
      <w:proofErr w:type="spellEnd"/>
      <w:r w:rsidRPr="00A43FC2">
        <w:t xml:space="preserve"> A, Tosi LL, Lane JM, et al. Declining rates of osteoporosis management following fragility fractures in the U.S., 2000 through 2009</w:t>
      </w:r>
      <w:r w:rsidRPr="00A43FC2">
        <w:rPr>
          <w:i/>
        </w:rPr>
        <w:t>.</w:t>
      </w:r>
      <w:r>
        <w:rPr>
          <w:i/>
        </w:rPr>
        <w:t xml:space="preserve"> </w:t>
      </w:r>
      <w:r w:rsidRPr="00A43FC2">
        <w:rPr>
          <w:i/>
        </w:rPr>
        <w:t xml:space="preserve">J Bone Joint </w:t>
      </w:r>
      <w:proofErr w:type="spellStart"/>
      <w:r w:rsidRPr="00A43FC2">
        <w:rPr>
          <w:i/>
        </w:rPr>
        <w:t>Surg</w:t>
      </w:r>
      <w:proofErr w:type="spellEnd"/>
      <w:r w:rsidRPr="00A43FC2">
        <w:rPr>
          <w:i/>
        </w:rPr>
        <w:t xml:space="preserve"> Am.</w:t>
      </w:r>
      <w:r w:rsidRPr="00A43FC2">
        <w:t xml:space="preserve"> 2014; 96:</w:t>
      </w:r>
      <w:r>
        <w:t xml:space="preserve"> </w:t>
      </w:r>
      <w:r w:rsidRPr="00A43FC2">
        <w:t>e52</w:t>
      </w:r>
    </w:p>
  </w:footnote>
  <w:footnote w:id="27">
    <w:p w14:paraId="27C4D004" w14:textId="76519678" w:rsidR="00675A1D" w:rsidRDefault="00675A1D">
      <w:pPr>
        <w:pStyle w:val="FootnoteText"/>
      </w:pPr>
      <w:r>
        <w:rPr>
          <w:rStyle w:val="FootnoteReference"/>
        </w:rPr>
        <w:footnoteRef/>
      </w:r>
      <w:r>
        <w:t xml:space="preserve"> </w:t>
      </w:r>
      <w:proofErr w:type="spellStart"/>
      <w:r w:rsidRPr="0025627F">
        <w:t>Kanis</w:t>
      </w:r>
      <w:proofErr w:type="spellEnd"/>
      <w:r w:rsidRPr="0025627F">
        <w:t xml:space="preserve"> JA, McCloskey EV, Johansson H, et al. European guidance for the diagnosis and management of osteoporosis in postmenopausal women. </w:t>
      </w:r>
      <w:proofErr w:type="spellStart"/>
      <w:r w:rsidRPr="0025627F">
        <w:rPr>
          <w:i/>
        </w:rPr>
        <w:t>Osteoporos</w:t>
      </w:r>
      <w:proofErr w:type="spellEnd"/>
      <w:r w:rsidRPr="0025627F">
        <w:rPr>
          <w:i/>
        </w:rPr>
        <w:t xml:space="preserve"> Int</w:t>
      </w:r>
      <w:r w:rsidRPr="0025627F">
        <w:t>. 2013;</w:t>
      </w:r>
      <w:r>
        <w:t xml:space="preserve"> </w:t>
      </w:r>
      <w:r w:rsidRPr="0025627F">
        <w:t>24:</w:t>
      </w:r>
      <w:r>
        <w:t xml:space="preserve"> </w:t>
      </w:r>
      <w:r w:rsidRPr="0025627F">
        <w:t>23-57</w:t>
      </w:r>
    </w:p>
  </w:footnote>
  <w:footnote w:id="28">
    <w:p w14:paraId="446D00F8" w14:textId="6AF34C5E" w:rsidR="00675A1D" w:rsidRDefault="00675A1D">
      <w:pPr>
        <w:pStyle w:val="FootnoteText"/>
      </w:pPr>
      <w:r>
        <w:rPr>
          <w:rStyle w:val="FootnoteReference"/>
        </w:rPr>
        <w:footnoteRef/>
      </w:r>
      <w:r>
        <w:t xml:space="preserve"> </w:t>
      </w:r>
      <w:r w:rsidRPr="0025627F">
        <w:t xml:space="preserve">Cummings SR, San Martin J, McClung MR, et al. Denosumab for prevention of fractures in postmenopausal women with osteoporosis (FREEDOM Trial). </w:t>
      </w:r>
      <w:r w:rsidRPr="0025627F">
        <w:rPr>
          <w:i/>
        </w:rPr>
        <w:t xml:space="preserve">N </w:t>
      </w:r>
      <w:proofErr w:type="spellStart"/>
      <w:r w:rsidRPr="0025627F">
        <w:rPr>
          <w:i/>
        </w:rPr>
        <w:t>Engl</w:t>
      </w:r>
      <w:proofErr w:type="spellEnd"/>
      <w:r w:rsidRPr="0025627F">
        <w:rPr>
          <w:i/>
        </w:rPr>
        <w:t xml:space="preserve"> J Med.</w:t>
      </w:r>
      <w:r>
        <w:t xml:space="preserve"> 2009; 361</w:t>
      </w:r>
      <w:r w:rsidRPr="0025627F">
        <w:t>:</w:t>
      </w:r>
      <w:r>
        <w:t xml:space="preserve"> </w:t>
      </w:r>
      <w:r w:rsidRPr="0025627F">
        <w:t>756-765</w:t>
      </w:r>
    </w:p>
  </w:footnote>
  <w:footnote w:id="29">
    <w:p w14:paraId="24CB09EE" w14:textId="73142B0E" w:rsidR="00675A1D" w:rsidRDefault="00675A1D">
      <w:pPr>
        <w:pStyle w:val="FootnoteText"/>
      </w:pPr>
      <w:r>
        <w:rPr>
          <w:rStyle w:val="FootnoteReference"/>
        </w:rPr>
        <w:footnoteRef/>
      </w:r>
      <w:r>
        <w:t xml:space="preserve"> </w:t>
      </w:r>
      <w:proofErr w:type="spellStart"/>
      <w:r>
        <w:t>Maricic</w:t>
      </w:r>
      <w:proofErr w:type="spellEnd"/>
      <w:r>
        <w:t xml:space="preserve"> M et al. </w:t>
      </w:r>
      <w:r w:rsidRPr="0079374F">
        <w:t xml:space="preserve">Early effects of </w:t>
      </w:r>
      <w:proofErr w:type="spellStart"/>
      <w:r w:rsidRPr="0079374F">
        <w:t>raloxifene</w:t>
      </w:r>
      <w:proofErr w:type="spellEnd"/>
      <w:r w:rsidRPr="0079374F">
        <w:t xml:space="preserve"> on clinical vertebral fractures at 12 months in postmenopausal women with osteoporosis</w:t>
      </w:r>
      <w:r>
        <w:t xml:space="preserve">, </w:t>
      </w:r>
      <w:r w:rsidRPr="0079374F">
        <w:rPr>
          <w:i/>
        </w:rPr>
        <w:t>Arch Intern Med</w:t>
      </w:r>
      <w:r w:rsidRPr="0079374F">
        <w:t>. 2002</w:t>
      </w:r>
      <w:r>
        <w:t>; 162</w:t>
      </w:r>
      <w:r w:rsidRPr="0079374F">
        <w:t>:</w:t>
      </w:r>
      <w:r>
        <w:t xml:space="preserve"> </w:t>
      </w:r>
      <w:r w:rsidRPr="0079374F">
        <w:t>1140-</w:t>
      </w:r>
      <w:r>
        <w:t>114</w:t>
      </w:r>
      <w:r w:rsidRPr="0079374F">
        <w:t>3.</w:t>
      </w:r>
    </w:p>
  </w:footnote>
  <w:footnote w:id="30">
    <w:p w14:paraId="1C48AF27" w14:textId="56ACB91D" w:rsidR="00675A1D" w:rsidRDefault="00675A1D">
      <w:pPr>
        <w:pStyle w:val="FootnoteText"/>
      </w:pPr>
      <w:r>
        <w:rPr>
          <w:rStyle w:val="FootnoteReference"/>
        </w:rPr>
        <w:footnoteRef/>
      </w:r>
      <w:r>
        <w:t xml:space="preserve"> Harris KB et al., </w:t>
      </w:r>
      <w:r w:rsidRPr="0079374F">
        <w:t>The Clinical Use of Denosumab for the Management of Low Bone Mineral Density in Postmenopausal Women</w:t>
      </w:r>
      <w:r w:rsidRPr="0079374F">
        <w:rPr>
          <w:i/>
        </w:rPr>
        <w:t xml:space="preserve">, </w:t>
      </w:r>
      <w:proofErr w:type="spellStart"/>
      <w:r w:rsidRPr="0079374F">
        <w:rPr>
          <w:i/>
        </w:rPr>
        <w:t>J.Pharmacy</w:t>
      </w:r>
      <w:proofErr w:type="spellEnd"/>
      <w:r w:rsidRPr="0079374F">
        <w:rPr>
          <w:i/>
        </w:rPr>
        <w:t xml:space="preserve"> Practice</w:t>
      </w:r>
      <w:r>
        <w:t xml:space="preserve"> 2012; 25:</w:t>
      </w:r>
      <w:r w:rsidRPr="0079374F">
        <w:t xml:space="preserve"> 310-318</w:t>
      </w:r>
    </w:p>
  </w:footnote>
  <w:footnote w:id="31">
    <w:p w14:paraId="2B742DC8" w14:textId="56D47851" w:rsidR="00675A1D" w:rsidRDefault="00675A1D">
      <w:pPr>
        <w:pStyle w:val="FootnoteText"/>
      </w:pPr>
      <w:r>
        <w:rPr>
          <w:rStyle w:val="FootnoteReference"/>
        </w:rPr>
        <w:footnoteRef/>
      </w:r>
      <w:r>
        <w:t xml:space="preserve"> </w:t>
      </w:r>
      <w:proofErr w:type="spellStart"/>
      <w:r>
        <w:t>Neer</w:t>
      </w:r>
      <w:proofErr w:type="spellEnd"/>
      <w:r>
        <w:t xml:space="preserve"> RM</w:t>
      </w:r>
      <w:r w:rsidRPr="0025627F">
        <w:t xml:space="preserve">, et al. Effect of parathyroid hormone (1-34) on fractures and bone mineral density in postmenopausal women with osteoporosis. </w:t>
      </w:r>
      <w:r w:rsidRPr="0025627F">
        <w:rPr>
          <w:i/>
        </w:rPr>
        <w:t xml:space="preserve">N </w:t>
      </w:r>
      <w:proofErr w:type="spellStart"/>
      <w:r w:rsidRPr="0025627F">
        <w:rPr>
          <w:i/>
        </w:rPr>
        <w:t>Engl</w:t>
      </w:r>
      <w:proofErr w:type="spellEnd"/>
      <w:r w:rsidRPr="0025627F">
        <w:rPr>
          <w:i/>
        </w:rPr>
        <w:t xml:space="preserve"> J Med</w:t>
      </w:r>
      <w:r>
        <w:t>. 2001; 344</w:t>
      </w:r>
      <w:r w:rsidRPr="0025627F">
        <w:t>:</w:t>
      </w:r>
      <w:r>
        <w:t xml:space="preserve"> </w:t>
      </w:r>
      <w:r w:rsidRPr="0025627F">
        <w:t>1434-1441</w:t>
      </w:r>
    </w:p>
  </w:footnote>
  <w:footnote w:id="32">
    <w:p w14:paraId="230D177E" w14:textId="3ADD4B96" w:rsidR="00675A1D" w:rsidRDefault="00675A1D">
      <w:pPr>
        <w:pStyle w:val="FootnoteText"/>
      </w:pPr>
      <w:r>
        <w:rPr>
          <w:rStyle w:val="FootnoteReference"/>
        </w:rPr>
        <w:footnoteRef/>
      </w:r>
      <w:r>
        <w:t xml:space="preserve"> </w:t>
      </w:r>
      <w:proofErr w:type="spellStart"/>
      <w:r w:rsidRPr="0025627F">
        <w:t>Miyauchi</w:t>
      </w:r>
      <w:proofErr w:type="spellEnd"/>
      <w:r w:rsidRPr="0025627F">
        <w:t xml:space="preserve"> A, </w:t>
      </w:r>
      <w:r>
        <w:t>et al.</w:t>
      </w:r>
      <w:r w:rsidRPr="0025627F">
        <w:t xml:space="preserve"> Effects of teriparatide on bone mineral density and bone turnover markers in Japanese subjects with osteoporosis at high risk of fracture in a 24-month clinical study: 12-Month, randomized, placebo-controlled, double-blind and 12-month open-label phases. </w:t>
      </w:r>
      <w:r w:rsidRPr="0025627F">
        <w:rPr>
          <w:i/>
        </w:rPr>
        <w:t>Bone</w:t>
      </w:r>
      <w:r w:rsidRPr="0025627F">
        <w:t>. 2010;</w:t>
      </w:r>
      <w:r>
        <w:t xml:space="preserve"> </w:t>
      </w:r>
      <w:r w:rsidRPr="0025627F">
        <w:t>47:</w:t>
      </w:r>
      <w:r>
        <w:t xml:space="preserve"> </w:t>
      </w:r>
      <w:r w:rsidRPr="0025627F">
        <w:t>493–502</w:t>
      </w:r>
    </w:p>
  </w:footnote>
  <w:footnote w:id="33">
    <w:p w14:paraId="484AFB57" w14:textId="15C14281" w:rsidR="00675A1D" w:rsidRDefault="00675A1D">
      <w:pPr>
        <w:pStyle w:val="FootnoteText"/>
      </w:pPr>
      <w:r>
        <w:rPr>
          <w:rStyle w:val="FootnoteReference"/>
        </w:rPr>
        <w:footnoteRef/>
      </w:r>
      <w:r>
        <w:t xml:space="preserve"> </w:t>
      </w:r>
      <w:proofErr w:type="spellStart"/>
      <w:r w:rsidRPr="0025627F">
        <w:t>Brunkow</w:t>
      </w:r>
      <w:proofErr w:type="spellEnd"/>
      <w:r w:rsidRPr="0025627F">
        <w:t xml:space="preserve"> M</w:t>
      </w:r>
      <w:r>
        <w:t>E</w:t>
      </w:r>
      <w:r w:rsidRPr="0025627F">
        <w:t xml:space="preserve">, et al. Bone dysplasia </w:t>
      </w:r>
      <w:proofErr w:type="spellStart"/>
      <w:r w:rsidRPr="0025627F">
        <w:t>sclerosteosis</w:t>
      </w:r>
      <w:proofErr w:type="spellEnd"/>
      <w:r w:rsidRPr="0025627F">
        <w:t xml:space="preserve"> results from loss of the SOST gene product, a novel </w:t>
      </w:r>
      <w:proofErr w:type="spellStart"/>
      <w:r w:rsidRPr="0025627F">
        <w:t>cystine</w:t>
      </w:r>
      <w:proofErr w:type="spellEnd"/>
      <w:r w:rsidRPr="0025627F">
        <w:t xml:space="preserve"> knot-containing protein. </w:t>
      </w:r>
      <w:r w:rsidRPr="0025627F">
        <w:rPr>
          <w:i/>
        </w:rPr>
        <w:t>Am J Hum Genet</w:t>
      </w:r>
      <w:r w:rsidRPr="0025627F">
        <w:t>. 2001;</w:t>
      </w:r>
      <w:r>
        <w:t xml:space="preserve"> </w:t>
      </w:r>
      <w:r w:rsidRPr="0025627F">
        <w:t>68:</w:t>
      </w:r>
      <w:r>
        <w:t xml:space="preserve"> </w:t>
      </w:r>
      <w:r w:rsidRPr="0025627F">
        <w:t>577-589</w:t>
      </w:r>
    </w:p>
  </w:footnote>
  <w:footnote w:id="34">
    <w:p w14:paraId="7F9905C7" w14:textId="708CE07B" w:rsidR="00675A1D" w:rsidRDefault="00675A1D">
      <w:pPr>
        <w:pStyle w:val="FootnoteText"/>
      </w:pPr>
      <w:r>
        <w:rPr>
          <w:rStyle w:val="FootnoteReference"/>
        </w:rPr>
        <w:footnoteRef/>
      </w:r>
      <w:r>
        <w:t xml:space="preserve"> </w:t>
      </w:r>
      <w:proofErr w:type="spellStart"/>
      <w:r w:rsidRPr="0025627F">
        <w:t>Balemans</w:t>
      </w:r>
      <w:proofErr w:type="spellEnd"/>
      <w:r w:rsidRPr="0025627F">
        <w:t xml:space="preserve"> W, et al. Increased bone density in </w:t>
      </w:r>
      <w:proofErr w:type="spellStart"/>
      <w:r w:rsidRPr="0025627F">
        <w:t>sclerosteosis</w:t>
      </w:r>
      <w:proofErr w:type="spellEnd"/>
      <w:r w:rsidRPr="0025627F">
        <w:t xml:space="preserve"> is due to the deficiency of a novel secreted protein (SOST). </w:t>
      </w:r>
      <w:r w:rsidRPr="0025627F">
        <w:rPr>
          <w:i/>
        </w:rPr>
        <w:t xml:space="preserve">Hum </w:t>
      </w:r>
      <w:proofErr w:type="spellStart"/>
      <w:r w:rsidRPr="0025627F">
        <w:rPr>
          <w:i/>
        </w:rPr>
        <w:t>Mol</w:t>
      </w:r>
      <w:proofErr w:type="spellEnd"/>
      <w:r w:rsidRPr="0025627F">
        <w:rPr>
          <w:i/>
        </w:rPr>
        <w:t xml:space="preserve"> Genet</w:t>
      </w:r>
      <w:r w:rsidRPr="0025627F">
        <w:t>. 2001;</w:t>
      </w:r>
      <w:r>
        <w:t xml:space="preserve"> </w:t>
      </w:r>
      <w:r w:rsidRPr="0025627F">
        <w:t>10:</w:t>
      </w:r>
      <w:r>
        <w:t xml:space="preserve"> </w:t>
      </w:r>
      <w:r w:rsidRPr="0025627F">
        <w:t>537-543</w:t>
      </w:r>
    </w:p>
  </w:footnote>
  <w:footnote w:id="35">
    <w:p w14:paraId="2C7FA6F2" w14:textId="7E727074" w:rsidR="00675A1D" w:rsidRDefault="00675A1D">
      <w:pPr>
        <w:pStyle w:val="FootnoteText"/>
      </w:pPr>
      <w:r>
        <w:rPr>
          <w:rStyle w:val="FootnoteReference"/>
        </w:rPr>
        <w:footnoteRef/>
      </w:r>
      <w:r>
        <w:t xml:space="preserve"> </w:t>
      </w:r>
      <w:r w:rsidRPr="0025627F">
        <w:t xml:space="preserve">van </w:t>
      </w:r>
      <w:proofErr w:type="spellStart"/>
      <w:r w:rsidRPr="0025627F">
        <w:t>Lierop</w:t>
      </w:r>
      <w:proofErr w:type="spellEnd"/>
      <w:r w:rsidRPr="0025627F">
        <w:t xml:space="preserve"> AH, et al. Patients with </w:t>
      </w:r>
      <w:proofErr w:type="spellStart"/>
      <w:r w:rsidRPr="0025627F">
        <w:t>sclerosteosis</w:t>
      </w:r>
      <w:proofErr w:type="spellEnd"/>
      <w:r w:rsidRPr="0025627F">
        <w:t xml:space="preserve"> and disease carriers: human models of the effect of sclerostin on bone turnover. </w:t>
      </w:r>
      <w:r w:rsidRPr="0025627F">
        <w:rPr>
          <w:i/>
        </w:rPr>
        <w:t>J Bone Miner Res</w:t>
      </w:r>
      <w:r w:rsidRPr="0025627F">
        <w:t>. 2011;</w:t>
      </w:r>
      <w:r>
        <w:t xml:space="preserve"> </w:t>
      </w:r>
      <w:r w:rsidRPr="0025627F">
        <w:t>26:</w:t>
      </w:r>
      <w:r>
        <w:t xml:space="preserve"> </w:t>
      </w:r>
      <w:r w:rsidRPr="0025627F">
        <w:t>2804-2811</w:t>
      </w:r>
    </w:p>
  </w:footnote>
  <w:footnote w:id="36">
    <w:p w14:paraId="38344AEF" w14:textId="289EC369" w:rsidR="00675A1D" w:rsidRDefault="00675A1D">
      <w:pPr>
        <w:pStyle w:val="FootnoteText"/>
      </w:pPr>
      <w:r>
        <w:rPr>
          <w:rStyle w:val="FootnoteReference"/>
        </w:rPr>
        <w:footnoteRef/>
      </w:r>
      <w:r>
        <w:t xml:space="preserve"> </w:t>
      </w:r>
      <w:r w:rsidRPr="0025627F">
        <w:t xml:space="preserve">van </w:t>
      </w:r>
      <w:proofErr w:type="spellStart"/>
      <w:r w:rsidRPr="0025627F">
        <w:t>Lierop</w:t>
      </w:r>
      <w:proofErr w:type="spellEnd"/>
      <w:r w:rsidRPr="0025627F">
        <w:t xml:space="preserve"> AH, et al. Van </w:t>
      </w:r>
      <w:proofErr w:type="spellStart"/>
      <w:r w:rsidRPr="0025627F">
        <w:t>Buchem</w:t>
      </w:r>
      <w:proofErr w:type="spellEnd"/>
      <w:r w:rsidRPr="0025627F">
        <w:t xml:space="preserve"> disease: clinical, biochemical, and </w:t>
      </w:r>
      <w:proofErr w:type="spellStart"/>
      <w:r w:rsidRPr="0025627F">
        <w:t>densitometric</w:t>
      </w:r>
      <w:proofErr w:type="spellEnd"/>
      <w:r w:rsidRPr="0025627F">
        <w:t xml:space="preserve"> features of patients and disease carriers</w:t>
      </w:r>
      <w:r w:rsidRPr="0025627F">
        <w:rPr>
          <w:i/>
        </w:rPr>
        <w:t>. J Bone Miner Res</w:t>
      </w:r>
      <w:r w:rsidRPr="0025627F">
        <w:t>. 2013;</w:t>
      </w:r>
      <w:r>
        <w:t xml:space="preserve"> </w:t>
      </w:r>
      <w:r w:rsidRPr="0025627F">
        <w:t>28:</w:t>
      </w:r>
      <w:r>
        <w:t xml:space="preserve"> </w:t>
      </w:r>
      <w:r w:rsidRPr="0025627F">
        <w:t>848-854.</w:t>
      </w:r>
    </w:p>
  </w:footnote>
  <w:footnote w:id="37">
    <w:p w14:paraId="492B956E" w14:textId="4B78D1A3" w:rsidR="00675A1D" w:rsidRDefault="00675A1D">
      <w:pPr>
        <w:pStyle w:val="FootnoteText"/>
      </w:pPr>
      <w:r>
        <w:rPr>
          <w:rStyle w:val="FootnoteReference"/>
        </w:rPr>
        <w:footnoteRef/>
      </w:r>
      <w:r>
        <w:t xml:space="preserve"> </w:t>
      </w:r>
      <w:r w:rsidRPr="0025627F">
        <w:t xml:space="preserve">Gardner JC, et al. Bone mineral density in </w:t>
      </w:r>
      <w:proofErr w:type="spellStart"/>
      <w:r w:rsidRPr="0025627F">
        <w:t>sclerosteosis</w:t>
      </w:r>
      <w:proofErr w:type="spellEnd"/>
      <w:r w:rsidRPr="0025627F">
        <w:t xml:space="preserve">; affected individuals and gene carriers. </w:t>
      </w:r>
      <w:r w:rsidRPr="0025627F">
        <w:rPr>
          <w:i/>
        </w:rPr>
        <w:t xml:space="preserve">J </w:t>
      </w:r>
      <w:proofErr w:type="spellStart"/>
      <w:r w:rsidRPr="0025627F">
        <w:rPr>
          <w:i/>
        </w:rPr>
        <w:t>Clin</w:t>
      </w:r>
      <w:proofErr w:type="spellEnd"/>
      <w:r w:rsidRPr="0025627F">
        <w:rPr>
          <w:i/>
        </w:rPr>
        <w:t xml:space="preserve"> </w:t>
      </w:r>
      <w:proofErr w:type="spellStart"/>
      <w:r w:rsidRPr="0025627F">
        <w:rPr>
          <w:i/>
        </w:rPr>
        <w:t>Endocrinol</w:t>
      </w:r>
      <w:proofErr w:type="spellEnd"/>
      <w:r w:rsidRPr="0025627F">
        <w:rPr>
          <w:i/>
        </w:rPr>
        <w:t xml:space="preserve"> </w:t>
      </w:r>
      <w:proofErr w:type="spellStart"/>
      <w:r w:rsidRPr="0025627F">
        <w:rPr>
          <w:i/>
        </w:rPr>
        <w:t>Metab</w:t>
      </w:r>
      <w:proofErr w:type="spellEnd"/>
      <w:r w:rsidRPr="0025627F">
        <w:t>. 2005;</w:t>
      </w:r>
      <w:r>
        <w:t xml:space="preserve"> </w:t>
      </w:r>
      <w:r w:rsidRPr="0025627F">
        <w:t>90:</w:t>
      </w:r>
      <w:r>
        <w:t xml:space="preserve"> </w:t>
      </w:r>
      <w:r w:rsidRPr="0025627F">
        <w:t>6392-6395</w:t>
      </w:r>
    </w:p>
  </w:footnote>
  <w:footnote w:id="38">
    <w:p w14:paraId="2810784D" w14:textId="77777777" w:rsidR="00675A1D" w:rsidRDefault="00675A1D">
      <w:pPr>
        <w:pStyle w:val="FootnoteText"/>
      </w:pPr>
      <w:r>
        <w:rPr>
          <w:rStyle w:val="FootnoteReference"/>
        </w:rPr>
        <w:footnoteRef/>
      </w:r>
      <w:r>
        <w:t xml:space="preserve"> </w:t>
      </w:r>
      <w:r w:rsidRPr="00241FE9">
        <w:t>EMA/CHMP/ICH/135/1995</w:t>
      </w:r>
      <w:r>
        <w:t xml:space="preserve"> </w:t>
      </w:r>
      <w:r w:rsidRPr="00241FE9">
        <w:t>Guideline for good clinical practice E6</w:t>
      </w:r>
      <w:r>
        <w:t>(R2)</w:t>
      </w:r>
    </w:p>
  </w:footnote>
  <w:footnote w:id="39">
    <w:p w14:paraId="535017DA" w14:textId="08D99B34" w:rsidR="00675A1D" w:rsidRPr="00D62AEE" w:rsidRDefault="00675A1D">
      <w:pPr>
        <w:pStyle w:val="FootnoteText"/>
        <w:rPr>
          <w:lang w:val="en-GB"/>
        </w:rPr>
      </w:pPr>
      <w:r>
        <w:rPr>
          <w:rStyle w:val="FootnoteReference"/>
        </w:rPr>
        <w:footnoteRef/>
      </w:r>
      <w:r>
        <w:t xml:space="preserve"> </w:t>
      </w:r>
      <w:proofErr w:type="spellStart"/>
      <w:r>
        <w:rPr>
          <w:lang w:val="en-GB"/>
        </w:rPr>
        <w:t>QTc</w:t>
      </w:r>
      <w:proofErr w:type="spellEnd"/>
      <w:r>
        <w:rPr>
          <w:lang w:val="en-GB"/>
        </w:rPr>
        <w:t xml:space="preserve"> interval; cardiac QT-interval corrected for heart rate</w:t>
      </w:r>
    </w:p>
  </w:footnote>
  <w:footnote w:id="40">
    <w:p w14:paraId="103C865F" w14:textId="0213208D" w:rsidR="00675A1D" w:rsidRDefault="00675A1D">
      <w:pPr>
        <w:pStyle w:val="FootnoteText"/>
      </w:pPr>
      <w:r>
        <w:rPr>
          <w:rStyle w:val="FootnoteReference"/>
        </w:rPr>
        <w:footnoteRef/>
      </w:r>
      <w:r>
        <w:t xml:space="preserve"> </w:t>
      </w:r>
      <w:r w:rsidRPr="008E29CC">
        <w:t xml:space="preserve">Committee for Medicinal Products for Human Use (CHMP) 2006 Guideline on the Evaluation of Medicinal Products in the Treatment of Primary Osteoporosis </w:t>
      </w:r>
      <w:r>
        <w:t>(EU: CPMP/EWP/552/95 rev. 2)</w:t>
      </w:r>
    </w:p>
  </w:footnote>
  <w:footnote w:id="41">
    <w:p w14:paraId="15314C18" w14:textId="02A07B40" w:rsidR="00675A1D" w:rsidRDefault="00675A1D" w:rsidP="00BD320B">
      <w:pPr>
        <w:pStyle w:val="FootnoteText"/>
      </w:pPr>
      <w:r>
        <w:rPr>
          <w:rStyle w:val="FootnoteReference"/>
        </w:rPr>
        <w:footnoteRef/>
      </w:r>
      <w:r>
        <w:t xml:space="preserve"> The FRAX tool was developed to evaluate fracture risk in patients and was developed based on individual patient models that integrate the risks associated with clinical risk factors as well as BMD) at the femoral neck.</w:t>
      </w:r>
    </w:p>
    <w:p w14:paraId="59E6C456" w14:textId="7057103B" w:rsidR="00675A1D" w:rsidRPr="00BD320B" w:rsidRDefault="00675A1D" w:rsidP="00BD320B">
      <w:pPr>
        <w:pStyle w:val="FootnoteText"/>
      </w:pPr>
      <w:r>
        <w:t>The FRAX algorithms give the 10-year probability of fracture. The output is a 10-year probability of hip fracture and the 10-year probability of a major osteoporotic fracture (clinical spine, forearm, hip or shoulder fracture).</w:t>
      </w:r>
    </w:p>
  </w:footnote>
  <w:footnote w:id="42">
    <w:p w14:paraId="58AE95F1" w14:textId="01CD8C49" w:rsidR="00675A1D" w:rsidRPr="00D62AEE" w:rsidRDefault="00675A1D">
      <w:pPr>
        <w:pStyle w:val="FootnoteText"/>
        <w:rPr>
          <w:lang w:val="en-GB"/>
        </w:rPr>
      </w:pPr>
      <w:r>
        <w:rPr>
          <w:rStyle w:val="FootnoteReference"/>
        </w:rPr>
        <w:footnoteRef/>
      </w:r>
      <w:r>
        <w:t xml:space="preserve"> </w:t>
      </w:r>
      <w:r>
        <w:rPr>
          <w:lang w:val="en-GB"/>
        </w:rPr>
        <w:t>From T4 (thoracic (T) vertebrae 4) to L4 (lumbar (L) vertebrae 4).</w:t>
      </w:r>
    </w:p>
  </w:footnote>
  <w:footnote w:id="43">
    <w:p w14:paraId="1AE3E590" w14:textId="4F0E7EAC" w:rsidR="00675A1D" w:rsidRDefault="00675A1D">
      <w:pPr>
        <w:pStyle w:val="FootnoteText"/>
      </w:pPr>
      <w:r>
        <w:rPr>
          <w:rStyle w:val="FootnoteReference"/>
        </w:rPr>
        <w:footnoteRef/>
      </w:r>
      <w:r>
        <w:t xml:space="preserve"> </w:t>
      </w:r>
      <w:proofErr w:type="spellStart"/>
      <w:r w:rsidRPr="00D60601">
        <w:t>Genant</w:t>
      </w:r>
      <w:proofErr w:type="spellEnd"/>
      <w:r w:rsidRPr="00D60601">
        <w:t xml:space="preserve"> HK, et-al. Vertebral fracture assessment using a semi</w:t>
      </w:r>
      <w:r>
        <w:t xml:space="preserve"> </w:t>
      </w:r>
      <w:r w:rsidRPr="00D60601">
        <w:t xml:space="preserve">quantitative technique. J. </w:t>
      </w:r>
      <w:r w:rsidRPr="00D60601">
        <w:rPr>
          <w:i/>
        </w:rPr>
        <w:t>Bone Miner. Res</w:t>
      </w:r>
      <w:r>
        <w:t>. 1993; 8: 1137-1148</w:t>
      </w:r>
    </w:p>
  </w:footnote>
  <w:footnote w:id="44">
    <w:p w14:paraId="726AAB3F" w14:textId="412DE598" w:rsidR="00675A1D" w:rsidRPr="00D62AEE" w:rsidRDefault="00675A1D">
      <w:pPr>
        <w:pStyle w:val="FootnoteText"/>
        <w:rPr>
          <w:lang w:val="en-GB"/>
        </w:rPr>
      </w:pPr>
      <w:r>
        <w:rPr>
          <w:rStyle w:val="FootnoteReference"/>
        </w:rPr>
        <w:footnoteRef/>
      </w:r>
      <w:r>
        <w:t xml:space="preserve"> </w:t>
      </w:r>
      <w:r>
        <w:rPr>
          <w:lang w:val="en-GB"/>
        </w:rPr>
        <w:t>BMD T-score; A BMD T-score compares the measured bone mineral density to that typical of a healthy 30 year old subject.</w:t>
      </w:r>
    </w:p>
  </w:footnote>
  <w:footnote w:id="45">
    <w:p w14:paraId="33EA72A5" w14:textId="68DE08E6" w:rsidR="00675A1D" w:rsidRDefault="00675A1D">
      <w:pPr>
        <w:pStyle w:val="FootnoteText"/>
      </w:pPr>
      <w:r>
        <w:rPr>
          <w:rStyle w:val="FootnoteReference"/>
        </w:rPr>
        <w:footnoteRef/>
      </w:r>
      <w:r>
        <w:t xml:space="preserve"> </w:t>
      </w:r>
      <w:r w:rsidRPr="00D60601">
        <w:t>Miller PD, et al. Early Responsiveness of Women with Osteoporosis to Teriparatide After Therapy with Alendronate or Risedronate</w:t>
      </w:r>
      <w:r w:rsidRPr="00D60601">
        <w:rPr>
          <w:i/>
        </w:rPr>
        <w:t xml:space="preserve">. J </w:t>
      </w:r>
      <w:proofErr w:type="spellStart"/>
      <w:r w:rsidRPr="00D60601">
        <w:rPr>
          <w:i/>
        </w:rPr>
        <w:t>Clin</w:t>
      </w:r>
      <w:proofErr w:type="spellEnd"/>
      <w:r w:rsidRPr="00D60601">
        <w:rPr>
          <w:i/>
        </w:rPr>
        <w:t xml:space="preserve"> </w:t>
      </w:r>
      <w:proofErr w:type="spellStart"/>
      <w:r w:rsidRPr="00D60601">
        <w:rPr>
          <w:i/>
        </w:rPr>
        <w:t>Endocrinol</w:t>
      </w:r>
      <w:proofErr w:type="spellEnd"/>
      <w:r w:rsidRPr="00D60601">
        <w:rPr>
          <w:i/>
        </w:rPr>
        <w:t xml:space="preserve"> </w:t>
      </w:r>
      <w:proofErr w:type="spellStart"/>
      <w:r w:rsidRPr="00D60601">
        <w:rPr>
          <w:i/>
        </w:rPr>
        <w:t>Metab</w:t>
      </w:r>
      <w:proofErr w:type="spellEnd"/>
      <w:r w:rsidRPr="00D60601">
        <w:t>. 2008;</w:t>
      </w:r>
      <w:r>
        <w:t xml:space="preserve"> 93</w:t>
      </w:r>
      <w:r w:rsidRPr="00D60601">
        <w:t>:</w:t>
      </w:r>
      <w:r>
        <w:t xml:space="preserve"> </w:t>
      </w:r>
      <w:r w:rsidRPr="00D60601">
        <w:t>3785-3793</w:t>
      </w:r>
    </w:p>
  </w:footnote>
  <w:footnote w:id="46">
    <w:p w14:paraId="443CF9A9" w14:textId="3E12AD13" w:rsidR="00675A1D" w:rsidRDefault="00675A1D">
      <w:pPr>
        <w:pStyle w:val="FootnoteText"/>
      </w:pPr>
      <w:r>
        <w:rPr>
          <w:rStyle w:val="FootnoteReference"/>
        </w:rPr>
        <w:footnoteRef/>
      </w:r>
      <w:r>
        <w:t xml:space="preserve"> </w:t>
      </w:r>
      <w:proofErr w:type="spellStart"/>
      <w:r w:rsidRPr="00D60601">
        <w:t>Obermayer-Pietsch</w:t>
      </w:r>
      <w:proofErr w:type="spellEnd"/>
      <w:r w:rsidRPr="00D60601">
        <w:t xml:space="preserve"> BM, et al. Effects of two years of daily teriparatide treatment on BMD in postmenopausal women with severe osteoporosis with and without prior </w:t>
      </w:r>
      <w:proofErr w:type="spellStart"/>
      <w:r w:rsidRPr="00D60601">
        <w:t>antiresorptive</w:t>
      </w:r>
      <w:proofErr w:type="spellEnd"/>
      <w:r w:rsidRPr="00D60601">
        <w:t xml:space="preserve"> treatment. J </w:t>
      </w:r>
      <w:r w:rsidRPr="00D60601">
        <w:rPr>
          <w:i/>
        </w:rPr>
        <w:t>Bone Miner Res</w:t>
      </w:r>
      <w:r w:rsidRPr="00D60601">
        <w:t>. 2008;</w:t>
      </w:r>
      <w:r>
        <w:t xml:space="preserve"> 23</w:t>
      </w:r>
      <w:r w:rsidRPr="00D60601">
        <w:t>:</w:t>
      </w:r>
      <w:r>
        <w:t xml:space="preserve"> </w:t>
      </w:r>
      <w:r w:rsidRPr="00D60601">
        <w:t>1591-</w:t>
      </w:r>
      <w:r>
        <w:t>1</w:t>
      </w:r>
      <w:r w:rsidRPr="00D60601">
        <w:t>600</w:t>
      </w:r>
    </w:p>
  </w:footnote>
  <w:footnote w:id="47">
    <w:p w14:paraId="72429A70" w14:textId="09C371B5" w:rsidR="00675A1D" w:rsidRDefault="00675A1D">
      <w:pPr>
        <w:pStyle w:val="FootnoteText"/>
      </w:pPr>
      <w:r>
        <w:rPr>
          <w:rStyle w:val="FootnoteReference"/>
        </w:rPr>
        <w:footnoteRef/>
      </w:r>
      <w:r>
        <w:t xml:space="preserve"> </w:t>
      </w:r>
      <w:proofErr w:type="spellStart"/>
      <w:r w:rsidRPr="00D60601">
        <w:t>Ettinger</w:t>
      </w:r>
      <w:proofErr w:type="spellEnd"/>
      <w:r w:rsidRPr="00D60601">
        <w:t xml:space="preserve"> B, </w:t>
      </w:r>
      <w:r>
        <w:t>et al.</w:t>
      </w:r>
      <w:r w:rsidRPr="00D60601">
        <w:t xml:space="preserve"> Differential Effects of Teriparatide on BMD After Treatment with </w:t>
      </w:r>
      <w:proofErr w:type="spellStart"/>
      <w:r w:rsidRPr="00D60601">
        <w:t>Raloxifene</w:t>
      </w:r>
      <w:proofErr w:type="spellEnd"/>
      <w:r w:rsidRPr="00D60601">
        <w:t xml:space="preserve"> or Alendronate. </w:t>
      </w:r>
      <w:r w:rsidRPr="00D60601">
        <w:rPr>
          <w:i/>
        </w:rPr>
        <w:t>J Bone Miner Res</w:t>
      </w:r>
      <w:r w:rsidRPr="00D60601">
        <w:t>. 2004;</w:t>
      </w:r>
      <w:r>
        <w:t xml:space="preserve"> </w:t>
      </w:r>
      <w:r w:rsidRPr="00D60601">
        <w:t>19:</w:t>
      </w:r>
      <w:r>
        <w:t xml:space="preserve"> </w:t>
      </w:r>
      <w:r w:rsidRPr="00D60601">
        <w:t>745–751</w:t>
      </w:r>
    </w:p>
  </w:footnote>
  <w:footnote w:id="48">
    <w:p w14:paraId="002BB6EC" w14:textId="3FE18ED7" w:rsidR="00675A1D" w:rsidRDefault="00675A1D">
      <w:pPr>
        <w:pStyle w:val="FootnoteText"/>
      </w:pPr>
      <w:r>
        <w:rPr>
          <w:rStyle w:val="FootnoteReference"/>
        </w:rPr>
        <w:footnoteRef/>
      </w:r>
      <w:r>
        <w:t xml:space="preserve"> </w:t>
      </w:r>
      <w:r w:rsidRPr="00876111">
        <w:t>Simons F, et al. 2012 Update: World Allergy Organization Guidelines for the assessment and management of anaphylaxis</w:t>
      </w:r>
      <w:r w:rsidRPr="00876111">
        <w:rPr>
          <w:i/>
        </w:rPr>
        <w:t xml:space="preserve">. </w:t>
      </w:r>
      <w:proofErr w:type="spellStart"/>
      <w:r w:rsidRPr="00876111">
        <w:rPr>
          <w:i/>
        </w:rPr>
        <w:t>Curr</w:t>
      </w:r>
      <w:proofErr w:type="spellEnd"/>
      <w:r w:rsidRPr="00876111">
        <w:rPr>
          <w:i/>
        </w:rPr>
        <w:t xml:space="preserve"> </w:t>
      </w:r>
      <w:proofErr w:type="spellStart"/>
      <w:r w:rsidRPr="00876111">
        <w:rPr>
          <w:i/>
        </w:rPr>
        <w:t>Opin</w:t>
      </w:r>
      <w:proofErr w:type="spellEnd"/>
      <w:r w:rsidRPr="00876111">
        <w:rPr>
          <w:i/>
        </w:rPr>
        <w:t xml:space="preserve"> </w:t>
      </w:r>
      <w:proofErr w:type="spellStart"/>
      <w:r w:rsidRPr="00876111">
        <w:rPr>
          <w:i/>
        </w:rPr>
        <w:t>AllergyClin</w:t>
      </w:r>
      <w:proofErr w:type="spellEnd"/>
      <w:r w:rsidRPr="00876111">
        <w:rPr>
          <w:i/>
        </w:rPr>
        <w:t xml:space="preserve"> </w:t>
      </w:r>
      <w:proofErr w:type="spellStart"/>
      <w:r w:rsidRPr="00876111">
        <w:rPr>
          <w:i/>
        </w:rPr>
        <w:t>Immunol</w:t>
      </w:r>
      <w:proofErr w:type="spellEnd"/>
      <w:r w:rsidRPr="00876111">
        <w:t>. 2012;</w:t>
      </w:r>
      <w:r>
        <w:t xml:space="preserve"> </w:t>
      </w:r>
      <w:r w:rsidRPr="00876111">
        <w:t>12:</w:t>
      </w:r>
      <w:r>
        <w:t xml:space="preserve"> </w:t>
      </w:r>
      <w:r w:rsidRPr="00876111">
        <w:t>389-399</w:t>
      </w:r>
    </w:p>
  </w:footnote>
  <w:footnote w:id="49">
    <w:p w14:paraId="28153582" w14:textId="765443A3" w:rsidR="00675A1D" w:rsidRDefault="00675A1D">
      <w:pPr>
        <w:pStyle w:val="FootnoteText"/>
      </w:pPr>
      <w:r>
        <w:rPr>
          <w:rStyle w:val="FootnoteReference"/>
        </w:rPr>
        <w:footnoteRef/>
      </w:r>
      <w:r>
        <w:t xml:space="preserve"> </w:t>
      </w:r>
      <w:proofErr w:type="spellStart"/>
      <w:r w:rsidRPr="00876111">
        <w:t>Wehmeyer</w:t>
      </w:r>
      <w:proofErr w:type="spellEnd"/>
      <w:r w:rsidRPr="00876111">
        <w:t xml:space="preserve"> C, et al. Sclerostin inhibition promotes TNF-dependent inflammatory joint destruction. </w:t>
      </w:r>
      <w:proofErr w:type="spellStart"/>
      <w:r w:rsidRPr="00876111">
        <w:rPr>
          <w:i/>
        </w:rPr>
        <w:t>Sci</w:t>
      </w:r>
      <w:proofErr w:type="spellEnd"/>
      <w:r w:rsidRPr="00876111">
        <w:rPr>
          <w:i/>
        </w:rPr>
        <w:t xml:space="preserve"> </w:t>
      </w:r>
      <w:proofErr w:type="spellStart"/>
      <w:r w:rsidRPr="00876111">
        <w:rPr>
          <w:i/>
        </w:rPr>
        <w:t>Transl</w:t>
      </w:r>
      <w:proofErr w:type="spellEnd"/>
      <w:r w:rsidRPr="00876111">
        <w:rPr>
          <w:i/>
        </w:rPr>
        <w:t xml:space="preserve"> Med</w:t>
      </w:r>
      <w:r w:rsidRPr="00876111">
        <w:t>. 2016;</w:t>
      </w:r>
      <w:r>
        <w:t xml:space="preserve"> </w:t>
      </w:r>
      <w:r w:rsidRPr="00876111">
        <w:t>8:</w:t>
      </w:r>
      <w:r>
        <w:t xml:space="preserve"> 330-3</w:t>
      </w:r>
      <w:r w:rsidRPr="00876111">
        <w:t>35.</w:t>
      </w:r>
    </w:p>
  </w:footnote>
  <w:footnote w:id="50">
    <w:p w14:paraId="50B2716D" w14:textId="4777A470" w:rsidR="00675A1D" w:rsidRDefault="00675A1D">
      <w:pPr>
        <w:pStyle w:val="FootnoteText"/>
      </w:pPr>
      <w:r>
        <w:rPr>
          <w:rStyle w:val="FootnoteReference"/>
        </w:rPr>
        <w:footnoteRef/>
      </w:r>
      <w:r>
        <w:t xml:space="preserve"> </w:t>
      </w:r>
      <w:r w:rsidRPr="00876111">
        <w:t xml:space="preserve">Chen XX, et al. Sclerostin inhibition reverses systemic, </w:t>
      </w:r>
      <w:proofErr w:type="spellStart"/>
      <w:r w:rsidRPr="00876111">
        <w:t>periarticular</w:t>
      </w:r>
      <w:proofErr w:type="spellEnd"/>
      <w:r w:rsidRPr="00876111">
        <w:t xml:space="preserve"> and local bone loss in arthritis. </w:t>
      </w:r>
      <w:r w:rsidRPr="00876111">
        <w:rPr>
          <w:i/>
        </w:rPr>
        <w:t>Ann Rheum Dis</w:t>
      </w:r>
      <w:r w:rsidRPr="00876111">
        <w:t>. 2013;</w:t>
      </w:r>
      <w:r>
        <w:t xml:space="preserve"> </w:t>
      </w:r>
      <w:r w:rsidRPr="00876111">
        <w:t>72:</w:t>
      </w:r>
      <w:r>
        <w:t xml:space="preserve"> </w:t>
      </w:r>
      <w:r w:rsidRPr="00876111">
        <w:t>1732-1736</w:t>
      </w:r>
    </w:p>
  </w:footnote>
  <w:footnote w:id="51">
    <w:p w14:paraId="68B64979" w14:textId="4D139B86" w:rsidR="00675A1D" w:rsidRDefault="00675A1D">
      <w:pPr>
        <w:pStyle w:val="FootnoteText"/>
      </w:pPr>
      <w:r>
        <w:rPr>
          <w:rStyle w:val="FootnoteReference"/>
        </w:rPr>
        <w:footnoteRef/>
      </w:r>
      <w:r>
        <w:t xml:space="preserve"> </w:t>
      </w:r>
      <w:proofErr w:type="spellStart"/>
      <w:r w:rsidRPr="00876111">
        <w:t>Marenzana</w:t>
      </w:r>
      <w:proofErr w:type="spellEnd"/>
      <w:r w:rsidRPr="00876111">
        <w:t xml:space="preserve"> M, et al. Effect of </w:t>
      </w:r>
      <w:proofErr w:type="spellStart"/>
      <w:r w:rsidRPr="00876111">
        <w:t>sclerostin</w:t>
      </w:r>
      <w:proofErr w:type="spellEnd"/>
      <w:r w:rsidRPr="00876111">
        <w:t xml:space="preserve">-neutralising antibody on </w:t>
      </w:r>
      <w:proofErr w:type="spellStart"/>
      <w:r w:rsidRPr="00876111">
        <w:t>periarticular</w:t>
      </w:r>
      <w:proofErr w:type="spellEnd"/>
      <w:r w:rsidRPr="00876111">
        <w:t xml:space="preserve"> and systemic bone in a murine model of rheumatoid arthritis: a </w:t>
      </w:r>
      <w:proofErr w:type="spellStart"/>
      <w:r w:rsidRPr="00876111">
        <w:t>microCT</w:t>
      </w:r>
      <w:proofErr w:type="spellEnd"/>
      <w:r w:rsidRPr="00876111">
        <w:t xml:space="preserve"> study. </w:t>
      </w:r>
      <w:r w:rsidRPr="00876111">
        <w:rPr>
          <w:i/>
        </w:rPr>
        <w:t xml:space="preserve">Arthritis Res </w:t>
      </w:r>
      <w:proofErr w:type="spellStart"/>
      <w:r w:rsidRPr="00876111">
        <w:rPr>
          <w:i/>
        </w:rPr>
        <w:t>Ther</w:t>
      </w:r>
      <w:proofErr w:type="spellEnd"/>
      <w:r w:rsidRPr="00876111">
        <w:rPr>
          <w:i/>
        </w:rPr>
        <w:t>.</w:t>
      </w:r>
      <w:r w:rsidRPr="00876111">
        <w:t xml:space="preserve"> 2013;</w:t>
      </w:r>
      <w:r>
        <w:t xml:space="preserve"> </w:t>
      </w:r>
      <w:r w:rsidRPr="00876111">
        <w:t>15:</w:t>
      </w:r>
      <w:r>
        <w:t xml:space="preserve"> </w:t>
      </w:r>
      <w:r w:rsidRPr="00876111">
        <w:t>R125</w:t>
      </w:r>
    </w:p>
  </w:footnote>
  <w:footnote w:id="52">
    <w:p w14:paraId="342D8FDC" w14:textId="77777777" w:rsidR="00675A1D" w:rsidRDefault="00675A1D">
      <w:pPr>
        <w:pStyle w:val="FootnoteText"/>
      </w:pPr>
      <w:r>
        <w:rPr>
          <w:rStyle w:val="FootnoteReference"/>
        </w:rPr>
        <w:footnoteRef/>
      </w:r>
      <w:r>
        <w:t xml:space="preserve"> </w:t>
      </w:r>
      <w:r w:rsidRPr="00511DFE">
        <w:t xml:space="preserve">Cummings SR, San Martin J, McClung MR, et al. Denosumab for prevention of fractures in postmenopausal women with osteoporosis (FREEDOM Trial). N </w:t>
      </w:r>
      <w:proofErr w:type="spellStart"/>
      <w:r w:rsidRPr="00511DFE">
        <w:t>Engl</w:t>
      </w:r>
      <w:proofErr w:type="spellEnd"/>
      <w:r w:rsidRPr="00511DFE">
        <w:t xml:space="preserve"> J Med. 2009;361(8):756-765.</w:t>
      </w:r>
    </w:p>
  </w:footnote>
  <w:footnote w:id="53">
    <w:p w14:paraId="52F4A9C9" w14:textId="77777777" w:rsidR="00675A1D" w:rsidRDefault="00675A1D" w:rsidP="0045676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0F226D13" w14:textId="77777777" w:rsidR="00675A1D" w:rsidRDefault="00675A1D" w:rsidP="00456765">
      <w:pPr>
        <w:pStyle w:val="FootnoteText"/>
      </w:pPr>
      <w:r w:rsidRPr="00F12492">
        <w:rPr>
          <w:i/>
        </w:rPr>
        <w:t>Routine pharmacovigilance</w:t>
      </w:r>
      <w:r>
        <w:t xml:space="preserve"> practices involve the following activities:</w:t>
      </w:r>
    </w:p>
    <w:p w14:paraId="36BF1857" w14:textId="77777777" w:rsidR="00675A1D" w:rsidRDefault="00675A1D" w:rsidP="00456765">
      <w:pPr>
        <w:pStyle w:val="FootnoteText"/>
        <w:numPr>
          <w:ilvl w:val="0"/>
          <w:numId w:val="28"/>
        </w:numPr>
      </w:pPr>
      <w:r>
        <w:t>All suspected adverse reactions that are reported to the personnel of the company are collected and collated in an accessible manner;</w:t>
      </w:r>
    </w:p>
    <w:p w14:paraId="5C15A269" w14:textId="77777777" w:rsidR="00675A1D" w:rsidRDefault="00675A1D" w:rsidP="00456765">
      <w:pPr>
        <w:pStyle w:val="FootnoteText"/>
        <w:numPr>
          <w:ilvl w:val="0"/>
          <w:numId w:val="28"/>
        </w:numPr>
      </w:pPr>
      <w:r>
        <w:t>Reporting to regulatory authorities;</w:t>
      </w:r>
    </w:p>
    <w:p w14:paraId="45048A0F" w14:textId="77777777" w:rsidR="00675A1D" w:rsidRDefault="00675A1D" w:rsidP="00456765">
      <w:pPr>
        <w:pStyle w:val="FootnoteText"/>
        <w:numPr>
          <w:ilvl w:val="0"/>
          <w:numId w:val="28"/>
        </w:numPr>
      </w:pPr>
      <w:r>
        <w:t xml:space="preserve">Continuous monitoring of the safety profiles of approved products including signal detection and </w:t>
      </w:r>
      <w:proofErr w:type="spellStart"/>
      <w:r>
        <w:t>upharmacodynamicsating</w:t>
      </w:r>
      <w:proofErr w:type="spellEnd"/>
      <w:r>
        <w:t xml:space="preserve"> of </w:t>
      </w:r>
      <w:proofErr w:type="spellStart"/>
      <w:r>
        <w:t>labeling</w:t>
      </w:r>
      <w:proofErr w:type="spellEnd"/>
      <w:r>
        <w:t>;</w:t>
      </w:r>
    </w:p>
    <w:p w14:paraId="5A313B36" w14:textId="77777777" w:rsidR="00675A1D" w:rsidRDefault="00675A1D" w:rsidP="00456765">
      <w:pPr>
        <w:pStyle w:val="FootnoteText"/>
        <w:numPr>
          <w:ilvl w:val="0"/>
          <w:numId w:val="28"/>
        </w:numPr>
      </w:pPr>
      <w:r>
        <w:t>Submission of PSURs;</w:t>
      </w:r>
    </w:p>
    <w:p w14:paraId="2DB977AF" w14:textId="77777777" w:rsidR="00675A1D" w:rsidRPr="00F12492" w:rsidRDefault="00675A1D" w:rsidP="00456765">
      <w:pPr>
        <w:pStyle w:val="FootnoteText"/>
        <w:numPr>
          <w:ilvl w:val="0"/>
          <w:numId w:val="28"/>
        </w:numPr>
        <w:rPr>
          <w:lang w:val="en-US"/>
        </w:rPr>
      </w:pPr>
      <w:r>
        <w:t>Meeting other local regulatory agency requirements.</w:t>
      </w:r>
    </w:p>
  </w:footnote>
  <w:footnote w:id="54">
    <w:p w14:paraId="118888C3" w14:textId="2E892C9C" w:rsidR="00675A1D" w:rsidRDefault="00675A1D">
      <w:pPr>
        <w:pStyle w:val="FootnoteText"/>
      </w:pPr>
      <w:r>
        <w:rPr>
          <w:rStyle w:val="FootnoteReference"/>
        </w:rPr>
        <w:footnoteRef/>
      </w:r>
      <w:r>
        <w:t xml:space="preserve"> Clarification: The submission with the FDA was approved 9 April 2019</w:t>
      </w:r>
    </w:p>
  </w:footnote>
  <w:footnote w:id="55">
    <w:p w14:paraId="6226E3D7" w14:textId="77777777" w:rsidR="00675A1D" w:rsidRPr="00C97F66" w:rsidRDefault="00675A1D" w:rsidP="00C97F66">
      <w:pPr>
        <w:pStyle w:val="FootnoteText"/>
      </w:pPr>
      <w:r>
        <w:rPr>
          <w:rStyle w:val="FootnoteReference"/>
        </w:rPr>
        <w:footnoteRef/>
      </w:r>
      <w:r>
        <w:t xml:space="preserve"> </w:t>
      </w:r>
      <w:proofErr w:type="spellStart"/>
      <w:r w:rsidRPr="00D62AEE">
        <w:t>Cosman</w:t>
      </w:r>
      <w:proofErr w:type="spellEnd"/>
      <w:r w:rsidRPr="00D62AEE">
        <w:t xml:space="preserve"> F, Nieves JW, </w:t>
      </w:r>
      <w:proofErr w:type="spellStart"/>
      <w:r w:rsidRPr="00D62AEE">
        <w:t>Dempster</w:t>
      </w:r>
      <w:proofErr w:type="spellEnd"/>
      <w:r w:rsidRPr="00D62AEE">
        <w:t xml:space="preserve"> DW. Treatment sequence matters: Anabolic and </w:t>
      </w:r>
      <w:proofErr w:type="spellStart"/>
      <w:r w:rsidRPr="00D62AEE">
        <w:t>antiresorptive</w:t>
      </w:r>
      <w:proofErr w:type="spellEnd"/>
      <w:r w:rsidRPr="00D62AEE">
        <w:t xml:space="preserve"> therapy for osteoporosis</w:t>
      </w:r>
      <w:r w:rsidRPr="00E61C13">
        <w:rPr>
          <w:i/>
        </w:rPr>
        <w:t>. J Bone Miner Res</w:t>
      </w:r>
      <w:r w:rsidRPr="00D62AEE">
        <w:t>. 2017;32(2):198-202</w:t>
      </w:r>
    </w:p>
  </w:footnote>
  <w:footnote w:id="56">
    <w:p w14:paraId="08FFA4BF" w14:textId="77777777" w:rsidR="00675A1D" w:rsidRDefault="00675A1D" w:rsidP="00C97F66">
      <w:pPr>
        <w:pStyle w:val="FootnoteText"/>
      </w:pPr>
      <w:r w:rsidRPr="00C97F66">
        <w:rPr>
          <w:rStyle w:val="FootnoteReference"/>
        </w:rPr>
        <w:footnoteRef/>
      </w:r>
      <w:r w:rsidRPr="00C97F66">
        <w:t xml:space="preserve"> </w:t>
      </w:r>
      <w:r w:rsidRPr="00D62AEE">
        <w:t>Osteoporosis Australia. Therapeutic Management.</w:t>
      </w:r>
      <w:r>
        <w:rPr>
          <w:color w:val="231F20"/>
          <w:w w:val="105"/>
        </w:rPr>
        <w:t xml:space="preserve"> </w:t>
      </w:r>
      <w:r>
        <w:rPr>
          <w:color w:val="231F20"/>
        </w:rPr>
        <w:t>https://</w:t>
      </w:r>
      <w:hyperlink r:id="rId2">
        <w:r>
          <w:rPr>
            <w:color w:val="231F20"/>
          </w:rPr>
          <w:t>www.osteoporosis.org.au/therapeutic-management.</w:t>
        </w:r>
      </w:hyperlink>
      <w:r>
        <w:rPr>
          <w:color w:val="231F20"/>
        </w:rPr>
        <w:t xml:space="preserve"> Accessed </w:t>
      </w:r>
      <w:r>
        <w:rPr>
          <w:color w:val="231F20"/>
          <w:w w:val="105"/>
        </w:rPr>
        <w:t>11 September</w:t>
      </w:r>
      <w:r>
        <w:rPr>
          <w:color w:val="231F20"/>
          <w:spacing w:val="-3"/>
          <w:w w:val="105"/>
        </w:rPr>
        <w:t xml:space="preserve"> </w:t>
      </w:r>
      <w:r>
        <w:rPr>
          <w:color w:val="231F20"/>
          <w:w w:val="105"/>
        </w:rPr>
        <w:t>2018</w:t>
      </w:r>
    </w:p>
  </w:footnote>
  <w:footnote w:id="57">
    <w:p w14:paraId="525FED9B" w14:textId="77777777" w:rsidR="00675A1D" w:rsidRDefault="00675A1D">
      <w:pPr>
        <w:pStyle w:val="FootnoteText"/>
      </w:pPr>
      <w:r>
        <w:rPr>
          <w:rStyle w:val="FootnoteReference"/>
        </w:rPr>
        <w:footnoteRef/>
      </w:r>
      <w:r>
        <w:t xml:space="preserve"> </w:t>
      </w:r>
      <w:r w:rsidRPr="002D2230">
        <w:t>FDA. Table of surrogate endpoints that were the basis of drug approval or licensure. https://</w:t>
      </w:r>
      <w:hyperlink r:id="rId3">
        <w:r w:rsidRPr="002D2230">
          <w:t>www.fda.gov/Drugs/DevelopmentApprovalProcess/DevelopmentResources/uc</w:t>
        </w:r>
      </w:hyperlink>
      <w:r w:rsidRPr="002D2230">
        <w:t xml:space="preserve"> m613636.htm. Accessed 2018</w:t>
      </w:r>
    </w:p>
  </w:footnote>
  <w:footnote w:id="58">
    <w:p w14:paraId="452B3251" w14:textId="77777777" w:rsidR="00675A1D" w:rsidRPr="002D2230" w:rsidRDefault="00675A1D">
      <w:pPr>
        <w:pStyle w:val="FootnoteText"/>
      </w:pPr>
      <w:r w:rsidRPr="006B3465">
        <w:rPr>
          <w:rStyle w:val="FootnoteReference"/>
        </w:rPr>
        <w:footnoteRef/>
      </w:r>
      <w:r w:rsidRPr="006B3465">
        <w:t xml:space="preserve"> </w:t>
      </w:r>
      <w:r w:rsidRPr="002D2230">
        <w:t>European medicines Agency. Guideline on the Evaluation of Medicinal Products in the Treatment of Osteoporosis. Document reference: CPMP/EWP/552/95 Rev. 2. November 2016</w:t>
      </w:r>
    </w:p>
  </w:footnote>
  <w:footnote w:id="59">
    <w:p w14:paraId="2B64982B" w14:textId="4CCD7481" w:rsidR="00675A1D" w:rsidRPr="002E7EF6" w:rsidRDefault="00675A1D" w:rsidP="002D2230">
      <w:pPr>
        <w:pStyle w:val="FootnoteText"/>
      </w:pPr>
      <w:r w:rsidRPr="002D2230">
        <w:rPr>
          <w:rStyle w:val="FootnoteReference"/>
        </w:rPr>
        <w:footnoteRef/>
      </w:r>
      <w:r w:rsidRPr="002D2230">
        <w:t xml:space="preserve"> </w:t>
      </w:r>
      <w:r w:rsidRPr="002D2230">
        <w:rPr>
          <w:w w:val="105"/>
        </w:rPr>
        <w:t xml:space="preserve">Khosla, S. Surrogates for fracture endpoints in clinical trials. </w:t>
      </w:r>
      <w:r w:rsidRPr="002D2230">
        <w:rPr>
          <w:i/>
          <w:w w:val="105"/>
        </w:rPr>
        <w:t>J Bone Miner</w:t>
      </w:r>
      <w:r w:rsidRPr="002D2230">
        <w:rPr>
          <w:i/>
          <w:spacing w:val="33"/>
          <w:w w:val="105"/>
        </w:rPr>
        <w:t xml:space="preserve"> </w:t>
      </w:r>
      <w:r w:rsidRPr="002D2230">
        <w:rPr>
          <w:i/>
          <w:w w:val="105"/>
        </w:rPr>
        <w:t>Res.</w:t>
      </w:r>
      <w:r>
        <w:rPr>
          <w:i/>
        </w:rPr>
        <w:t xml:space="preserve"> </w:t>
      </w:r>
      <w:r>
        <w:rPr>
          <w:w w:val="105"/>
        </w:rPr>
        <w:t>2003; 18</w:t>
      </w:r>
      <w:r w:rsidRPr="002D2230">
        <w:rPr>
          <w:w w:val="105"/>
        </w:rPr>
        <w:t>:</w:t>
      </w:r>
      <w:r>
        <w:rPr>
          <w:w w:val="105"/>
        </w:rPr>
        <w:t xml:space="preserve"> </w:t>
      </w:r>
      <w:r w:rsidRPr="002D2230">
        <w:rPr>
          <w:w w:val="105"/>
        </w:rPr>
        <w:t>1146-1149</w:t>
      </w:r>
    </w:p>
  </w:footnote>
  <w:footnote w:id="60">
    <w:p w14:paraId="4D2E6B55" w14:textId="64FD3168" w:rsidR="00675A1D" w:rsidRDefault="00675A1D">
      <w:pPr>
        <w:pStyle w:val="FootnoteText"/>
      </w:pPr>
      <w:r>
        <w:rPr>
          <w:rStyle w:val="FootnoteReference"/>
        </w:rPr>
        <w:footnoteRef/>
      </w:r>
      <w:r>
        <w:t xml:space="preserve"> </w:t>
      </w:r>
      <w:r w:rsidRPr="002D2230">
        <w:t xml:space="preserve">Brenneman SK, </w:t>
      </w:r>
      <w:r>
        <w:t>et al</w:t>
      </w:r>
      <w:r w:rsidRPr="002D2230">
        <w:t xml:space="preserve"> 3rd. Evaluation of decision rules to identify postmenopausal women for intervention related to osteoporosis. </w:t>
      </w:r>
      <w:r w:rsidRPr="002E7EF6">
        <w:rPr>
          <w:i/>
        </w:rPr>
        <w:t xml:space="preserve">Dis </w:t>
      </w:r>
      <w:proofErr w:type="spellStart"/>
      <w:r w:rsidRPr="002E7EF6">
        <w:rPr>
          <w:i/>
        </w:rPr>
        <w:t>Manag</w:t>
      </w:r>
      <w:proofErr w:type="spellEnd"/>
      <w:r>
        <w:t xml:space="preserve">. 2003; </w:t>
      </w:r>
      <w:r w:rsidRPr="002D2230">
        <w:t>6:</w:t>
      </w:r>
      <w:r>
        <w:t xml:space="preserve"> </w:t>
      </w:r>
      <w:r w:rsidRPr="002D2230">
        <w:t>159-16</w:t>
      </w:r>
      <w:r>
        <w:t>0</w:t>
      </w:r>
    </w:p>
  </w:footnote>
  <w:footnote w:id="61">
    <w:p w14:paraId="08D88130" w14:textId="77A12BE5" w:rsidR="00675A1D" w:rsidRDefault="00675A1D">
      <w:pPr>
        <w:pStyle w:val="FootnoteText"/>
      </w:pPr>
      <w:r>
        <w:rPr>
          <w:rStyle w:val="FootnoteReference"/>
        </w:rPr>
        <w:footnoteRef/>
      </w:r>
      <w:r>
        <w:t xml:space="preserve"> </w:t>
      </w:r>
      <w:proofErr w:type="spellStart"/>
      <w:r w:rsidRPr="002D2230">
        <w:t>Fechtenbaum</w:t>
      </w:r>
      <w:proofErr w:type="spellEnd"/>
      <w:r w:rsidRPr="002D2230">
        <w:t xml:space="preserve"> J,</w:t>
      </w:r>
      <w:r>
        <w:t xml:space="preserve"> </w:t>
      </w:r>
      <w:r w:rsidRPr="002D2230">
        <w:t xml:space="preserve">et al. The severity of vertebral fractures and health-related quality of life in osteoporotic postmenopausal women. </w:t>
      </w:r>
      <w:proofErr w:type="spellStart"/>
      <w:r w:rsidRPr="00F623F9">
        <w:rPr>
          <w:i/>
        </w:rPr>
        <w:t>Osteoporos</w:t>
      </w:r>
      <w:proofErr w:type="spellEnd"/>
      <w:r w:rsidRPr="00F623F9">
        <w:rPr>
          <w:i/>
        </w:rPr>
        <w:t xml:space="preserve"> Int</w:t>
      </w:r>
      <w:r w:rsidRPr="002D2230">
        <w:t>. 2005;</w:t>
      </w:r>
      <w:r>
        <w:t xml:space="preserve"> </w:t>
      </w:r>
      <w:r w:rsidRPr="002D2230">
        <w:t>16:</w:t>
      </w:r>
      <w:r>
        <w:t xml:space="preserve"> </w:t>
      </w:r>
      <w:r w:rsidRPr="002D2230">
        <w:t>2175-2179</w:t>
      </w:r>
    </w:p>
  </w:footnote>
  <w:footnote w:id="62">
    <w:p w14:paraId="74E0B1BA" w14:textId="39AD402E" w:rsidR="00675A1D" w:rsidRDefault="00675A1D">
      <w:pPr>
        <w:pStyle w:val="FootnoteText"/>
      </w:pPr>
      <w:r>
        <w:rPr>
          <w:rStyle w:val="FootnoteReference"/>
        </w:rPr>
        <w:footnoteRef/>
      </w:r>
      <w:r>
        <w:t xml:space="preserve"> </w:t>
      </w:r>
      <w:r w:rsidRPr="002D2230">
        <w:t>Galindo-</w:t>
      </w:r>
      <w:proofErr w:type="spellStart"/>
      <w:r w:rsidRPr="002D2230">
        <w:t>Cioconetal</w:t>
      </w:r>
      <w:proofErr w:type="spellEnd"/>
      <w:r w:rsidRPr="002D2230">
        <w:t xml:space="preserve"> D, </w:t>
      </w:r>
      <w:r>
        <w:t>et al</w:t>
      </w:r>
      <w:r w:rsidRPr="002D2230">
        <w:t xml:space="preserve">. Functional impairment among elderly women with osteoporotic vertebral fractures. </w:t>
      </w:r>
      <w:proofErr w:type="spellStart"/>
      <w:r w:rsidRPr="00F623F9">
        <w:rPr>
          <w:i/>
        </w:rPr>
        <w:t>Rehabil</w:t>
      </w:r>
      <w:proofErr w:type="spellEnd"/>
      <w:r w:rsidRPr="00F623F9">
        <w:rPr>
          <w:i/>
        </w:rPr>
        <w:t xml:space="preserve"> </w:t>
      </w:r>
      <w:proofErr w:type="spellStart"/>
      <w:r w:rsidRPr="00F623F9">
        <w:rPr>
          <w:i/>
        </w:rPr>
        <w:t>Nurs</w:t>
      </w:r>
      <w:proofErr w:type="spellEnd"/>
      <w:r w:rsidRPr="002D2230">
        <w:t>. 1995;</w:t>
      </w:r>
      <w:r>
        <w:t xml:space="preserve"> </w:t>
      </w:r>
      <w:r w:rsidRPr="002D2230">
        <w:t>20:</w:t>
      </w:r>
      <w:r>
        <w:t xml:space="preserve"> </w:t>
      </w:r>
      <w:r w:rsidRPr="002D2230">
        <w:t>79-83</w:t>
      </w:r>
    </w:p>
  </w:footnote>
  <w:footnote w:id="63">
    <w:p w14:paraId="6B0F1B9D" w14:textId="20B856BA" w:rsidR="00675A1D" w:rsidRDefault="00675A1D">
      <w:pPr>
        <w:pStyle w:val="FootnoteText"/>
      </w:pPr>
      <w:r>
        <w:rPr>
          <w:rStyle w:val="FootnoteReference"/>
        </w:rPr>
        <w:footnoteRef/>
      </w:r>
      <w:r>
        <w:t xml:space="preserve"> </w:t>
      </w:r>
      <w:r w:rsidRPr="002D2230">
        <w:t xml:space="preserve">Hall SE, </w:t>
      </w:r>
      <w:r>
        <w:t>et al</w:t>
      </w:r>
      <w:r w:rsidRPr="002D2230">
        <w:t xml:space="preserve">. A case-control study of quality of life and functional impairment in women with long-standing vertebral osteoporotic fracture. </w:t>
      </w:r>
      <w:proofErr w:type="spellStart"/>
      <w:r w:rsidRPr="00F623F9">
        <w:rPr>
          <w:i/>
        </w:rPr>
        <w:t>Osteoporos</w:t>
      </w:r>
      <w:proofErr w:type="spellEnd"/>
      <w:r w:rsidRPr="00F623F9">
        <w:rPr>
          <w:i/>
        </w:rPr>
        <w:t xml:space="preserve"> In</w:t>
      </w:r>
      <w:r>
        <w:t xml:space="preserve">t. 1999; </w:t>
      </w:r>
      <w:r w:rsidRPr="002D2230">
        <w:t>9:</w:t>
      </w:r>
      <w:r>
        <w:t xml:space="preserve"> </w:t>
      </w:r>
      <w:r w:rsidRPr="002D2230">
        <w:t>508-515</w:t>
      </w:r>
    </w:p>
  </w:footnote>
  <w:footnote w:id="64">
    <w:p w14:paraId="3DA3375E" w14:textId="5B6A7409" w:rsidR="00675A1D" w:rsidRDefault="00675A1D">
      <w:pPr>
        <w:pStyle w:val="FootnoteText"/>
      </w:pPr>
      <w:r>
        <w:rPr>
          <w:rStyle w:val="FootnoteReference"/>
        </w:rPr>
        <w:footnoteRef/>
      </w:r>
      <w:r>
        <w:t xml:space="preserve"> </w:t>
      </w:r>
      <w:proofErr w:type="spellStart"/>
      <w:r w:rsidRPr="002D2230">
        <w:t>Hallberg</w:t>
      </w:r>
      <w:proofErr w:type="spellEnd"/>
      <w:r w:rsidRPr="002D2230">
        <w:t xml:space="preserve"> I, </w:t>
      </w:r>
      <w:r>
        <w:t>et al</w:t>
      </w:r>
      <w:r w:rsidRPr="002D2230">
        <w:t xml:space="preserve">. Health-related quality of life after vertebral or hip fracture: a seven-year follow-up study. </w:t>
      </w:r>
      <w:r w:rsidRPr="00F623F9">
        <w:rPr>
          <w:i/>
        </w:rPr>
        <w:t xml:space="preserve">BMC </w:t>
      </w:r>
      <w:proofErr w:type="spellStart"/>
      <w:r w:rsidRPr="00F623F9">
        <w:rPr>
          <w:i/>
        </w:rPr>
        <w:t>Musculoskelet</w:t>
      </w:r>
      <w:proofErr w:type="spellEnd"/>
      <w:r w:rsidRPr="00F623F9">
        <w:rPr>
          <w:i/>
        </w:rPr>
        <w:t xml:space="preserve"> </w:t>
      </w:r>
      <w:proofErr w:type="spellStart"/>
      <w:r w:rsidRPr="00F623F9">
        <w:rPr>
          <w:i/>
        </w:rPr>
        <w:t>Disord</w:t>
      </w:r>
      <w:proofErr w:type="spellEnd"/>
      <w:r>
        <w:t xml:space="preserve">. 2009; </w:t>
      </w:r>
      <w:r w:rsidRPr="002D2230">
        <w:t>10:</w:t>
      </w:r>
      <w:r>
        <w:t xml:space="preserve"> </w:t>
      </w:r>
      <w:r w:rsidRPr="002D2230">
        <w:t>135</w:t>
      </w:r>
    </w:p>
  </w:footnote>
  <w:footnote w:id="65">
    <w:p w14:paraId="398FE931" w14:textId="278AEF89" w:rsidR="00675A1D" w:rsidRDefault="00675A1D">
      <w:pPr>
        <w:pStyle w:val="FootnoteText"/>
      </w:pPr>
      <w:r>
        <w:rPr>
          <w:rStyle w:val="FootnoteReference"/>
        </w:rPr>
        <w:footnoteRef/>
      </w:r>
      <w:r>
        <w:t xml:space="preserve"> </w:t>
      </w:r>
      <w:proofErr w:type="spellStart"/>
      <w:r>
        <w:t>Hallberg</w:t>
      </w:r>
      <w:proofErr w:type="spellEnd"/>
      <w:r>
        <w:t xml:space="preserve"> I</w:t>
      </w:r>
      <w:r w:rsidRPr="002D2230">
        <w:t xml:space="preserve">, et al. Health-related quality of life after osteoporotic fractures. </w:t>
      </w:r>
      <w:proofErr w:type="spellStart"/>
      <w:r w:rsidRPr="00F623F9">
        <w:rPr>
          <w:i/>
        </w:rPr>
        <w:t>Osteoporos</w:t>
      </w:r>
      <w:proofErr w:type="spellEnd"/>
      <w:r w:rsidRPr="00F623F9">
        <w:rPr>
          <w:i/>
        </w:rPr>
        <w:t xml:space="preserve"> Int.</w:t>
      </w:r>
      <w:r w:rsidRPr="002D2230">
        <w:t xml:space="preserve"> 2004;</w:t>
      </w:r>
      <w:r>
        <w:t xml:space="preserve"> </w:t>
      </w:r>
      <w:r w:rsidRPr="002D2230">
        <w:t>15:</w:t>
      </w:r>
      <w:r>
        <w:t xml:space="preserve"> </w:t>
      </w:r>
      <w:r w:rsidRPr="002D2230">
        <w:t>834-841</w:t>
      </w:r>
    </w:p>
  </w:footnote>
  <w:footnote w:id="66">
    <w:p w14:paraId="60F1C0AF" w14:textId="04947EC7" w:rsidR="00675A1D" w:rsidRDefault="00675A1D">
      <w:pPr>
        <w:pStyle w:val="FootnoteText"/>
      </w:pPr>
      <w:r>
        <w:rPr>
          <w:rStyle w:val="FootnoteReference"/>
        </w:rPr>
        <w:footnoteRef/>
      </w:r>
      <w:r>
        <w:t xml:space="preserve"> </w:t>
      </w:r>
      <w:r w:rsidRPr="002D2230">
        <w:t xml:space="preserve">Oglesby AK, </w:t>
      </w:r>
      <w:r>
        <w:t>et al</w:t>
      </w:r>
      <w:r w:rsidRPr="002D2230">
        <w:t>. The impact of incident vertebral and non-vertebral fragility fractures on health-related quality of life in established postmenopausal osteoporosis: results from the teriparatide randomized, placebo-controlled trial in postmenopausal women</w:t>
      </w:r>
      <w:r w:rsidRPr="00F623F9">
        <w:rPr>
          <w:i/>
        </w:rPr>
        <w:t xml:space="preserve">. J </w:t>
      </w:r>
      <w:proofErr w:type="spellStart"/>
      <w:r w:rsidRPr="00F623F9">
        <w:rPr>
          <w:i/>
        </w:rPr>
        <w:t>Rheumatol</w:t>
      </w:r>
      <w:proofErr w:type="spellEnd"/>
      <w:r>
        <w:t xml:space="preserve">. 2003; </w:t>
      </w:r>
      <w:r w:rsidRPr="002D2230">
        <w:t>30:</w:t>
      </w:r>
      <w:r>
        <w:t xml:space="preserve"> </w:t>
      </w:r>
      <w:r w:rsidRPr="002D2230">
        <w:t>1579- 1583</w:t>
      </w:r>
    </w:p>
  </w:footnote>
  <w:footnote w:id="67">
    <w:p w14:paraId="3579E925" w14:textId="64EDFEEA" w:rsidR="00675A1D" w:rsidRDefault="00675A1D">
      <w:pPr>
        <w:pStyle w:val="FootnoteText"/>
      </w:pPr>
      <w:r>
        <w:rPr>
          <w:rStyle w:val="FootnoteReference"/>
        </w:rPr>
        <w:footnoteRef/>
      </w:r>
      <w:r>
        <w:t xml:space="preserve"> Roux C,</w:t>
      </w:r>
      <w:r w:rsidRPr="002D2230">
        <w:t xml:space="preserve"> et al. Burden of non-hip, non-vertebral fractures on quality of life in postmenopausal women: the Global Longitudinal study of Osteoporosis in Women (GLOW). </w:t>
      </w:r>
      <w:proofErr w:type="spellStart"/>
      <w:r w:rsidRPr="00F623F9">
        <w:rPr>
          <w:i/>
        </w:rPr>
        <w:t>Osteoporos</w:t>
      </w:r>
      <w:proofErr w:type="spellEnd"/>
      <w:r w:rsidRPr="00F623F9">
        <w:rPr>
          <w:i/>
        </w:rPr>
        <w:t xml:space="preserve"> Int</w:t>
      </w:r>
      <w:r w:rsidRPr="002D2230">
        <w:t>. 2012;</w:t>
      </w:r>
      <w:r>
        <w:t xml:space="preserve"> </w:t>
      </w:r>
      <w:r w:rsidRPr="002D2230">
        <w:t>23:</w:t>
      </w:r>
      <w:r>
        <w:t xml:space="preserve"> </w:t>
      </w:r>
      <w:r w:rsidRPr="002D2230">
        <w:t>2863-2871</w:t>
      </w:r>
    </w:p>
  </w:footnote>
  <w:footnote w:id="68">
    <w:p w14:paraId="20F1F5AD" w14:textId="32749BB5" w:rsidR="00675A1D" w:rsidRDefault="00675A1D">
      <w:pPr>
        <w:pStyle w:val="FootnoteText"/>
      </w:pPr>
      <w:r>
        <w:rPr>
          <w:rStyle w:val="FootnoteReference"/>
        </w:rPr>
        <w:footnoteRef/>
      </w:r>
      <w:r>
        <w:t xml:space="preserve"> Lyles KW,</w:t>
      </w:r>
      <w:r w:rsidRPr="002D2230">
        <w:t xml:space="preserve"> et al. Zoledronic acid in reducing clinical fracture and mortality after hip fracture. </w:t>
      </w:r>
      <w:r w:rsidRPr="00F623F9">
        <w:rPr>
          <w:i/>
        </w:rPr>
        <w:t xml:space="preserve">N </w:t>
      </w:r>
      <w:proofErr w:type="spellStart"/>
      <w:r w:rsidRPr="00F623F9">
        <w:rPr>
          <w:i/>
        </w:rPr>
        <w:t>Engl</w:t>
      </w:r>
      <w:proofErr w:type="spellEnd"/>
      <w:r w:rsidRPr="00F623F9">
        <w:rPr>
          <w:i/>
        </w:rPr>
        <w:t xml:space="preserve"> J Med</w:t>
      </w:r>
      <w:r w:rsidRPr="002D2230">
        <w:t>. 2007;</w:t>
      </w:r>
      <w:r>
        <w:t xml:space="preserve"> </w:t>
      </w:r>
      <w:r w:rsidRPr="002D2230">
        <w:t>357</w:t>
      </w:r>
    </w:p>
  </w:footnote>
  <w:footnote w:id="69">
    <w:p w14:paraId="7D6AC164" w14:textId="6CDC5EEA" w:rsidR="00675A1D" w:rsidRDefault="00675A1D">
      <w:pPr>
        <w:pStyle w:val="FootnoteText"/>
      </w:pPr>
      <w:r>
        <w:rPr>
          <w:rStyle w:val="FootnoteReference"/>
        </w:rPr>
        <w:footnoteRef/>
      </w:r>
      <w:r>
        <w:t xml:space="preserve"> </w:t>
      </w:r>
      <w:r w:rsidRPr="002D2230">
        <w:t xml:space="preserve">Black DM, </w:t>
      </w:r>
      <w:r>
        <w:t xml:space="preserve">et al </w:t>
      </w:r>
      <w:r w:rsidRPr="002D2230">
        <w:t xml:space="preserve">Design of the fracture intervention trial. </w:t>
      </w:r>
      <w:proofErr w:type="spellStart"/>
      <w:r w:rsidRPr="00F623F9">
        <w:rPr>
          <w:i/>
        </w:rPr>
        <w:t>Osteoporos</w:t>
      </w:r>
      <w:proofErr w:type="spellEnd"/>
      <w:r w:rsidRPr="00F623F9">
        <w:rPr>
          <w:i/>
        </w:rPr>
        <w:t xml:space="preserve"> Int</w:t>
      </w:r>
      <w:r w:rsidRPr="002D2230">
        <w:t>. 1993;</w:t>
      </w:r>
      <w:r>
        <w:t xml:space="preserve"> </w:t>
      </w:r>
      <w:r w:rsidRPr="002D2230">
        <w:t xml:space="preserve">3 </w:t>
      </w:r>
      <w:proofErr w:type="spellStart"/>
      <w:r w:rsidRPr="002D2230">
        <w:t>Suppl</w:t>
      </w:r>
      <w:proofErr w:type="spellEnd"/>
      <w:r w:rsidRPr="002D2230">
        <w:t xml:space="preserve"> 3:</w:t>
      </w:r>
      <w:r>
        <w:t xml:space="preserve"> </w:t>
      </w:r>
      <w:r w:rsidRPr="002D2230">
        <w:t>S29-39</w:t>
      </w:r>
    </w:p>
  </w:footnote>
  <w:footnote w:id="70">
    <w:p w14:paraId="038A077A" w14:textId="3F45CEEB" w:rsidR="00675A1D" w:rsidRDefault="00675A1D">
      <w:pPr>
        <w:pStyle w:val="FootnoteText"/>
      </w:pPr>
      <w:r>
        <w:rPr>
          <w:rStyle w:val="FootnoteReference"/>
        </w:rPr>
        <w:footnoteRef/>
      </w:r>
      <w:r>
        <w:t xml:space="preserve"> </w:t>
      </w:r>
      <w:proofErr w:type="spellStart"/>
      <w:r w:rsidRPr="005446B1">
        <w:t>Bliuc</w:t>
      </w:r>
      <w:proofErr w:type="spellEnd"/>
      <w:r w:rsidRPr="005446B1">
        <w:t xml:space="preserve"> D, </w:t>
      </w:r>
      <w:r>
        <w:t>et al</w:t>
      </w:r>
      <w:r w:rsidRPr="005446B1">
        <w:t xml:space="preserve"> The impact of </w:t>
      </w:r>
      <w:proofErr w:type="spellStart"/>
      <w:r w:rsidRPr="005446B1">
        <w:t>nonhip</w:t>
      </w:r>
      <w:proofErr w:type="spellEnd"/>
      <w:r w:rsidRPr="005446B1">
        <w:t xml:space="preserve"> </w:t>
      </w:r>
      <w:r>
        <w:t>non-vertebral</w:t>
      </w:r>
      <w:r w:rsidRPr="005446B1">
        <w:t xml:space="preserve"> fractures in elderly women and men. </w:t>
      </w:r>
      <w:r w:rsidRPr="00F623F9">
        <w:rPr>
          <w:i/>
        </w:rPr>
        <w:t xml:space="preserve">J </w:t>
      </w:r>
      <w:proofErr w:type="spellStart"/>
      <w:r w:rsidRPr="00F623F9">
        <w:rPr>
          <w:i/>
        </w:rPr>
        <w:t>Clin</w:t>
      </w:r>
      <w:proofErr w:type="spellEnd"/>
      <w:r w:rsidRPr="00F623F9">
        <w:rPr>
          <w:i/>
        </w:rPr>
        <w:t xml:space="preserve"> </w:t>
      </w:r>
      <w:proofErr w:type="spellStart"/>
      <w:r w:rsidRPr="00F623F9">
        <w:rPr>
          <w:i/>
        </w:rPr>
        <w:t>Endocrinol</w:t>
      </w:r>
      <w:proofErr w:type="spellEnd"/>
      <w:r w:rsidRPr="00F623F9">
        <w:rPr>
          <w:i/>
        </w:rPr>
        <w:t xml:space="preserve"> </w:t>
      </w:r>
      <w:proofErr w:type="spellStart"/>
      <w:r w:rsidRPr="00F623F9">
        <w:rPr>
          <w:i/>
        </w:rPr>
        <w:t>Metab</w:t>
      </w:r>
      <w:proofErr w:type="spellEnd"/>
      <w:r w:rsidRPr="005446B1">
        <w:t>. 2014;</w:t>
      </w:r>
      <w:r>
        <w:t xml:space="preserve"> </w:t>
      </w:r>
      <w:r w:rsidRPr="005446B1">
        <w:t>99</w:t>
      </w:r>
      <w:r>
        <w:t xml:space="preserve">: </w:t>
      </w:r>
      <w:r w:rsidRPr="005446B1">
        <w:t>415-423</w:t>
      </w:r>
    </w:p>
  </w:footnote>
  <w:footnote w:id="71">
    <w:p w14:paraId="614D8765" w14:textId="58323F16" w:rsidR="00675A1D" w:rsidRDefault="00675A1D">
      <w:pPr>
        <w:pStyle w:val="FootnoteText"/>
      </w:pPr>
      <w:r>
        <w:rPr>
          <w:rStyle w:val="FootnoteReference"/>
        </w:rPr>
        <w:footnoteRef/>
      </w:r>
      <w:r>
        <w:t xml:space="preserve"> </w:t>
      </w:r>
      <w:proofErr w:type="spellStart"/>
      <w:r w:rsidRPr="005446B1">
        <w:t>Tajeu</w:t>
      </w:r>
      <w:proofErr w:type="spellEnd"/>
      <w:r w:rsidRPr="005446B1">
        <w:t xml:space="preserve"> GS, et al. Death, debility, and destitution following hip fracture. </w:t>
      </w:r>
      <w:r w:rsidRPr="00F623F9">
        <w:rPr>
          <w:i/>
        </w:rPr>
        <w:t xml:space="preserve">J </w:t>
      </w:r>
      <w:proofErr w:type="spellStart"/>
      <w:r w:rsidRPr="00F623F9">
        <w:rPr>
          <w:i/>
        </w:rPr>
        <w:t>Gerontol</w:t>
      </w:r>
      <w:proofErr w:type="spellEnd"/>
      <w:r w:rsidRPr="00F623F9">
        <w:rPr>
          <w:i/>
        </w:rPr>
        <w:t xml:space="preserve"> A </w:t>
      </w:r>
      <w:proofErr w:type="spellStart"/>
      <w:r w:rsidRPr="00F623F9">
        <w:rPr>
          <w:i/>
        </w:rPr>
        <w:t>Biol</w:t>
      </w:r>
      <w:proofErr w:type="spellEnd"/>
      <w:r w:rsidRPr="00F623F9">
        <w:rPr>
          <w:i/>
        </w:rPr>
        <w:t xml:space="preserve"> </w:t>
      </w:r>
      <w:proofErr w:type="spellStart"/>
      <w:r w:rsidRPr="00F623F9">
        <w:rPr>
          <w:i/>
        </w:rPr>
        <w:t>Sci</w:t>
      </w:r>
      <w:proofErr w:type="spellEnd"/>
      <w:r w:rsidRPr="00F623F9">
        <w:rPr>
          <w:i/>
        </w:rPr>
        <w:t xml:space="preserve"> Med Sci. </w:t>
      </w:r>
      <w:r>
        <w:t>2014; 69</w:t>
      </w:r>
      <w:r w:rsidRPr="005446B1">
        <w:t>:</w:t>
      </w:r>
      <w:r>
        <w:t xml:space="preserve"> </w:t>
      </w:r>
      <w:r w:rsidRPr="005446B1">
        <w:t>346-353</w:t>
      </w:r>
    </w:p>
  </w:footnote>
  <w:footnote w:id="72">
    <w:p w14:paraId="765010BE" w14:textId="786CE1D0" w:rsidR="00675A1D" w:rsidRDefault="00675A1D" w:rsidP="005446B1">
      <w:pPr>
        <w:pStyle w:val="FootnoteText"/>
      </w:pPr>
      <w:r>
        <w:rPr>
          <w:rStyle w:val="FootnoteReference"/>
        </w:rPr>
        <w:footnoteRef/>
      </w:r>
      <w:r>
        <w:t xml:space="preserve"> Cooper C. The crippling consequences of fractures and their impact on quality of life. </w:t>
      </w:r>
      <w:r w:rsidRPr="00F623F9">
        <w:rPr>
          <w:i/>
        </w:rPr>
        <w:t>Am J Med</w:t>
      </w:r>
      <w:r>
        <w:t>. 1997; 103: S12-S17</w:t>
      </w:r>
    </w:p>
  </w:footnote>
  <w:footnote w:id="73">
    <w:p w14:paraId="789F4E2B" w14:textId="77777777" w:rsidR="00675A1D" w:rsidRDefault="00675A1D"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1286BF49" w14:textId="77777777" w:rsidR="00675A1D" w:rsidRPr="00456765" w:rsidRDefault="00675A1D"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 w:id="74">
    <w:p w14:paraId="20B57BC5" w14:textId="7C56FC55" w:rsidR="00675A1D" w:rsidRDefault="00675A1D">
      <w:pPr>
        <w:pStyle w:val="FootnoteText"/>
      </w:pPr>
      <w:r>
        <w:rPr>
          <w:rStyle w:val="FootnoteReference"/>
        </w:rPr>
        <w:footnoteRef/>
      </w:r>
      <w:r>
        <w:t xml:space="preserve"> </w:t>
      </w:r>
      <w:proofErr w:type="spellStart"/>
      <w:r>
        <w:t>Cosman</w:t>
      </w:r>
      <w:proofErr w:type="spellEnd"/>
      <w:r>
        <w:t>, F. et al</w:t>
      </w:r>
      <w:r w:rsidRPr="0014358D">
        <w:t xml:space="preserve"> (2018), Romosozumab FRAME Study: A Post Hoc Analysis of the Role of Regional Background Fracture Risk on </w:t>
      </w:r>
      <w:proofErr w:type="spellStart"/>
      <w:r w:rsidRPr="0014358D">
        <w:t>Nonvertebral</w:t>
      </w:r>
      <w:proofErr w:type="spellEnd"/>
      <w:r w:rsidRPr="0014358D">
        <w:t xml:space="preserve"> Fracture Outcome. </w:t>
      </w:r>
      <w:r w:rsidRPr="0014358D">
        <w:rPr>
          <w:i/>
        </w:rPr>
        <w:t>J Bone Miner Res</w:t>
      </w:r>
      <w:r w:rsidRPr="0014358D">
        <w:t>,</w:t>
      </w:r>
      <w:r>
        <w:t>2018; 33: 1407-1416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37BEB" w14:textId="77777777" w:rsidR="00675A1D" w:rsidRDefault="00675A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240F0" w14:textId="77777777" w:rsidR="00675A1D" w:rsidRDefault="00675A1D"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1BC8D" w14:textId="77777777" w:rsidR="00675A1D" w:rsidRDefault="00675A1D">
    <w:pPr>
      <w:rPr>
        <w:noProof/>
        <w:lang w:eastAsia="en-AU"/>
      </w:rPr>
    </w:pPr>
    <w:r w:rsidRPr="00347824">
      <w:rPr>
        <w:noProof/>
        <w:lang w:eastAsia="en-AU"/>
      </w:rPr>
      <w:drawing>
        <wp:anchor distT="0" distB="0" distL="114300" distR="114300" simplePos="0" relativeHeight="251659264" behindDoc="1" locked="0" layoutInCell="1" allowOverlap="1" wp14:anchorId="4DBC211B" wp14:editId="454EE2A6">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7B5B4497" w14:textId="77777777" w:rsidR="00675A1D" w:rsidRDefault="00675A1D" w:rsidP="00593AD1">
    <w:pPr>
      <w:pStyle w:val="HeaderNoLine"/>
    </w:pPr>
    <w:r>
      <w:rPr>
        <w:noProof/>
        <w:lang w:eastAsia="en-AU"/>
      </w:rPr>
      <w:drawing>
        <wp:inline distT="0" distB="0" distL="0" distR="0" wp14:anchorId="7E59CBF9" wp14:editId="55F30F35">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4FA58" w14:textId="77777777" w:rsidR="00675A1D" w:rsidRDefault="00675A1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C0DB5" w14:textId="77777777" w:rsidR="00675A1D" w:rsidRDefault="00675A1D">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BC032" w14:textId="77777777" w:rsidR="00675A1D" w:rsidRDefault="00675A1D">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A5201" w14:textId="77777777" w:rsidR="00675A1D" w:rsidRDefault="00675A1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78424" w14:textId="77777777" w:rsidR="00675A1D" w:rsidRDefault="00675A1D"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CBB7C" w14:textId="77777777" w:rsidR="00675A1D" w:rsidRDefault="00675A1D" w:rsidP="006E08B3">
    <w:r>
      <w:t>Therapeutic Goods Administration</w:t>
    </w:r>
  </w:p>
  <w:p w14:paraId="3BC1343A" w14:textId="77777777" w:rsidR="00675A1D" w:rsidRDefault="00675A1D"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EEF49B58"/>
    <w:lvl w:ilvl="0">
      <w:start w:val="1"/>
      <w:numFmt w:val="lowerRoman"/>
      <w:lvlText w:val="(%1)"/>
      <w:lvlJc w:val="left"/>
      <w:pPr>
        <w:ind w:left="720" w:hanging="360"/>
      </w:pPr>
      <w:rPr>
        <w:rFonts w:hint="default"/>
      </w:rPr>
    </w:lvl>
  </w:abstractNum>
  <w:abstractNum w:abstractNumId="1"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3FE290E"/>
    <w:lvl w:ilvl="0">
      <w:start w:val="1"/>
      <w:numFmt w:val="bullet"/>
      <w:lvlText w:val="–"/>
      <w:lvlJc w:val="left"/>
      <w:pPr>
        <w:ind w:left="643" w:hanging="360"/>
      </w:pPr>
      <w:rPr>
        <w:rFonts w:ascii="Arial" w:hAnsi="Arial" w:hint="default"/>
      </w:rPr>
    </w:lvl>
  </w:abstractNum>
  <w:abstractNum w:abstractNumId="3" w15:restartNumberingAfterBreak="0">
    <w:nsid w:val="FFFFFF89"/>
    <w:multiLevelType w:val="singleLevel"/>
    <w:tmpl w:val="CBA2BA6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320B0A"/>
    <w:lvl w:ilvl="0">
      <w:numFmt w:val="bullet"/>
      <w:lvlText w:val="*"/>
      <w:lvlJc w:val="left"/>
    </w:lvl>
  </w:abstractNum>
  <w:abstractNum w:abstractNumId="5" w15:restartNumberingAfterBreak="0">
    <w:nsid w:val="06CC7542"/>
    <w:multiLevelType w:val="hybridMultilevel"/>
    <w:tmpl w:val="6308AD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223704B"/>
    <w:multiLevelType w:val="multilevel"/>
    <w:tmpl w:val="660077DA"/>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68F13E9"/>
    <w:multiLevelType w:val="multilevel"/>
    <w:tmpl w:val="BE901B2A"/>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34416A31"/>
    <w:multiLevelType w:val="hybridMultilevel"/>
    <w:tmpl w:val="57C6A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DA3605"/>
    <w:multiLevelType w:val="hybridMultilevel"/>
    <w:tmpl w:val="1D84AB86"/>
    <w:lvl w:ilvl="0" w:tplc="BB74E3A2">
      <w:start w:val="1"/>
      <w:numFmt w:val="decimal"/>
      <w:lvlText w:val="%1."/>
      <w:lvlJc w:val="left"/>
      <w:pPr>
        <w:ind w:left="829" w:hanging="339"/>
      </w:pPr>
      <w:rPr>
        <w:rFonts w:ascii="Arial" w:eastAsia="Arial" w:hAnsi="Arial" w:cs="Arial" w:hint="default"/>
        <w:color w:val="231F20"/>
        <w:spacing w:val="-1"/>
        <w:w w:val="103"/>
        <w:sz w:val="20"/>
        <w:szCs w:val="20"/>
      </w:rPr>
    </w:lvl>
    <w:lvl w:ilvl="1" w:tplc="657227CC">
      <w:numFmt w:val="bullet"/>
      <w:lvlText w:val="•"/>
      <w:lvlJc w:val="left"/>
      <w:pPr>
        <w:ind w:left="1618" w:hanging="339"/>
      </w:pPr>
      <w:rPr>
        <w:rFonts w:hint="default"/>
      </w:rPr>
    </w:lvl>
    <w:lvl w:ilvl="2" w:tplc="0E7C198E">
      <w:numFmt w:val="bullet"/>
      <w:lvlText w:val="•"/>
      <w:lvlJc w:val="left"/>
      <w:pPr>
        <w:ind w:left="2416" w:hanging="339"/>
      </w:pPr>
      <w:rPr>
        <w:rFonts w:hint="default"/>
      </w:rPr>
    </w:lvl>
    <w:lvl w:ilvl="3" w:tplc="A7585ADE">
      <w:numFmt w:val="bullet"/>
      <w:lvlText w:val="•"/>
      <w:lvlJc w:val="left"/>
      <w:pPr>
        <w:ind w:left="3214" w:hanging="339"/>
      </w:pPr>
      <w:rPr>
        <w:rFonts w:hint="default"/>
      </w:rPr>
    </w:lvl>
    <w:lvl w:ilvl="4" w:tplc="56A46156">
      <w:numFmt w:val="bullet"/>
      <w:lvlText w:val="•"/>
      <w:lvlJc w:val="left"/>
      <w:pPr>
        <w:ind w:left="4012" w:hanging="339"/>
      </w:pPr>
      <w:rPr>
        <w:rFonts w:hint="default"/>
      </w:rPr>
    </w:lvl>
    <w:lvl w:ilvl="5" w:tplc="8AD21636">
      <w:numFmt w:val="bullet"/>
      <w:lvlText w:val="•"/>
      <w:lvlJc w:val="left"/>
      <w:pPr>
        <w:ind w:left="4810" w:hanging="339"/>
      </w:pPr>
      <w:rPr>
        <w:rFonts w:hint="default"/>
      </w:rPr>
    </w:lvl>
    <w:lvl w:ilvl="6" w:tplc="57BC4052">
      <w:numFmt w:val="bullet"/>
      <w:lvlText w:val="•"/>
      <w:lvlJc w:val="left"/>
      <w:pPr>
        <w:ind w:left="5608" w:hanging="339"/>
      </w:pPr>
      <w:rPr>
        <w:rFonts w:hint="default"/>
      </w:rPr>
    </w:lvl>
    <w:lvl w:ilvl="7" w:tplc="050E546E">
      <w:numFmt w:val="bullet"/>
      <w:lvlText w:val="•"/>
      <w:lvlJc w:val="left"/>
      <w:pPr>
        <w:ind w:left="6406" w:hanging="339"/>
      </w:pPr>
      <w:rPr>
        <w:rFonts w:hint="default"/>
      </w:rPr>
    </w:lvl>
    <w:lvl w:ilvl="8" w:tplc="9BCA0B36">
      <w:numFmt w:val="bullet"/>
      <w:lvlText w:val="•"/>
      <w:lvlJc w:val="left"/>
      <w:pPr>
        <w:ind w:left="7204" w:hanging="339"/>
      </w:pPr>
      <w:rPr>
        <w:rFonts w:hint="default"/>
      </w:rPr>
    </w:lvl>
  </w:abstractNum>
  <w:abstractNum w:abstractNumId="11"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A22F29"/>
    <w:multiLevelType w:val="hybridMultilevel"/>
    <w:tmpl w:val="A36268B0"/>
    <w:lvl w:ilvl="0" w:tplc="1ADE240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381F4D"/>
    <w:multiLevelType w:val="hybridMultilevel"/>
    <w:tmpl w:val="6AB4E120"/>
    <w:lvl w:ilvl="0" w:tplc="4BC8A140">
      <w:start w:val="1"/>
      <w:numFmt w:val="decimal"/>
      <w:pStyle w:val="ListNumb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8"/>
  </w:num>
  <w:num w:numId="4">
    <w:abstractNumId w:val="8"/>
  </w:num>
  <w:num w:numId="5">
    <w:abstractNumId w:val="1"/>
  </w:num>
  <w:num w:numId="6">
    <w:abstractNumId w:val="8"/>
  </w:num>
  <w:num w:numId="7">
    <w:abstractNumId w:val="8"/>
  </w:num>
  <w:num w:numId="8">
    <w:abstractNumId w:val="6"/>
  </w:num>
  <w:num w:numId="9">
    <w:abstractNumId w:val="6"/>
  </w:num>
  <w:num w:numId="10">
    <w:abstractNumId w:val="6"/>
  </w:num>
  <w:num w:numId="11">
    <w:abstractNumId w:val="6"/>
  </w:num>
  <w:num w:numId="12">
    <w:abstractNumId w:val="4"/>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6"/>
  </w:num>
  <w:num w:numId="17">
    <w:abstractNumId w:val="6"/>
  </w:num>
  <w:num w:numId="18">
    <w:abstractNumId w:val="6"/>
  </w:num>
  <w:num w:numId="19">
    <w:abstractNumId w:val="8"/>
  </w:num>
  <w:num w:numId="20">
    <w:abstractNumId w:val="8"/>
  </w:num>
  <w:num w:numId="21">
    <w:abstractNumId w:val="8"/>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num>
  <w:num w:numId="28">
    <w:abstractNumId w:val="14"/>
  </w:num>
  <w:num w:numId="29">
    <w:abstractNumId w:val="7"/>
  </w:num>
  <w:num w:numId="30">
    <w:abstractNumId w:val="10"/>
  </w:num>
  <w:num w:numId="31">
    <w:abstractNumId w:val="5"/>
  </w:num>
  <w:num w:numId="32">
    <w:abstractNumId w:val="0"/>
  </w:num>
  <w:num w:numId="33">
    <w:abstractNumId w:val="13"/>
  </w:num>
  <w:num w:numId="34">
    <w:abstractNumId w:val="12"/>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D66"/>
    <w:rsid w:val="00002031"/>
    <w:rsid w:val="00004734"/>
    <w:rsid w:val="00006B22"/>
    <w:rsid w:val="0001276A"/>
    <w:rsid w:val="00020555"/>
    <w:rsid w:val="000246AE"/>
    <w:rsid w:val="00025C67"/>
    <w:rsid w:val="000359DD"/>
    <w:rsid w:val="0003631B"/>
    <w:rsid w:val="0004110C"/>
    <w:rsid w:val="00044772"/>
    <w:rsid w:val="0005559E"/>
    <w:rsid w:val="000604D6"/>
    <w:rsid w:val="00071B80"/>
    <w:rsid w:val="000734D8"/>
    <w:rsid w:val="00074F84"/>
    <w:rsid w:val="00077775"/>
    <w:rsid w:val="00086224"/>
    <w:rsid w:val="00086452"/>
    <w:rsid w:val="00090471"/>
    <w:rsid w:val="00096AA7"/>
    <w:rsid w:val="000A3AED"/>
    <w:rsid w:val="000A6FC0"/>
    <w:rsid w:val="000B3532"/>
    <w:rsid w:val="000B3A75"/>
    <w:rsid w:val="000C00C2"/>
    <w:rsid w:val="000C690F"/>
    <w:rsid w:val="000C78EE"/>
    <w:rsid w:val="000D1295"/>
    <w:rsid w:val="000D391B"/>
    <w:rsid w:val="000D3D6D"/>
    <w:rsid w:val="000D3FC2"/>
    <w:rsid w:val="000D4FC7"/>
    <w:rsid w:val="000E08EB"/>
    <w:rsid w:val="000E6196"/>
    <w:rsid w:val="000F4869"/>
    <w:rsid w:val="000F5B42"/>
    <w:rsid w:val="000F6E6F"/>
    <w:rsid w:val="001002BF"/>
    <w:rsid w:val="00103452"/>
    <w:rsid w:val="00105D98"/>
    <w:rsid w:val="0010601F"/>
    <w:rsid w:val="0010788A"/>
    <w:rsid w:val="00107A31"/>
    <w:rsid w:val="00110727"/>
    <w:rsid w:val="00110EA5"/>
    <w:rsid w:val="001125FC"/>
    <w:rsid w:val="00112F56"/>
    <w:rsid w:val="00121B2F"/>
    <w:rsid w:val="00122B94"/>
    <w:rsid w:val="00124ACD"/>
    <w:rsid w:val="00125318"/>
    <w:rsid w:val="001305A2"/>
    <w:rsid w:val="00130972"/>
    <w:rsid w:val="00133238"/>
    <w:rsid w:val="00133A1B"/>
    <w:rsid w:val="00136D00"/>
    <w:rsid w:val="001370AA"/>
    <w:rsid w:val="001377E9"/>
    <w:rsid w:val="0014197B"/>
    <w:rsid w:val="0014358D"/>
    <w:rsid w:val="001447CD"/>
    <w:rsid w:val="00146FE1"/>
    <w:rsid w:val="0015006C"/>
    <w:rsid w:val="001516B1"/>
    <w:rsid w:val="00154EBB"/>
    <w:rsid w:val="00156316"/>
    <w:rsid w:val="00160661"/>
    <w:rsid w:val="0016114C"/>
    <w:rsid w:val="00161181"/>
    <w:rsid w:val="00162D14"/>
    <w:rsid w:val="00163780"/>
    <w:rsid w:val="00165389"/>
    <w:rsid w:val="00173EF3"/>
    <w:rsid w:val="0017693F"/>
    <w:rsid w:val="0018110E"/>
    <w:rsid w:val="00181684"/>
    <w:rsid w:val="001843C6"/>
    <w:rsid w:val="001850E0"/>
    <w:rsid w:val="001A2158"/>
    <w:rsid w:val="001A525F"/>
    <w:rsid w:val="001B09F9"/>
    <w:rsid w:val="001B328D"/>
    <w:rsid w:val="001B5C90"/>
    <w:rsid w:val="001B6448"/>
    <w:rsid w:val="001C249F"/>
    <w:rsid w:val="001C32CD"/>
    <w:rsid w:val="001D2984"/>
    <w:rsid w:val="001D3DDC"/>
    <w:rsid w:val="001D4BB9"/>
    <w:rsid w:val="001E07CF"/>
    <w:rsid w:val="001E59F1"/>
    <w:rsid w:val="001F2CEE"/>
    <w:rsid w:val="001F49EB"/>
    <w:rsid w:val="001F6CBA"/>
    <w:rsid w:val="00201AC4"/>
    <w:rsid w:val="00201D4E"/>
    <w:rsid w:val="00202792"/>
    <w:rsid w:val="002076C9"/>
    <w:rsid w:val="00220B8A"/>
    <w:rsid w:val="002257F3"/>
    <w:rsid w:val="00233456"/>
    <w:rsid w:val="002339A5"/>
    <w:rsid w:val="00241FE9"/>
    <w:rsid w:val="00245945"/>
    <w:rsid w:val="002517E9"/>
    <w:rsid w:val="00251F2F"/>
    <w:rsid w:val="0025627F"/>
    <w:rsid w:val="00257848"/>
    <w:rsid w:val="0026545E"/>
    <w:rsid w:val="0027084A"/>
    <w:rsid w:val="002771C0"/>
    <w:rsid w:val="002835DA"/>
    <w:rsid w:val="00284EFB"/>
    <w:rsid w:val="00286434"/>
    <w:rsid w:val="00286C59"/>
    <w:rsid w:val="00291957"/>
    <w:rsid w:val="002942D1"/>
    <w:rsid w:val="0029501A"/>
    <w:rsid w:val="002A3721"/>
    <w:rsid w:val="002B04AF"/>
    <w:rsid w:val="002B1638"/>
    <w:rsid w:val="002B3624"/>
    <w:rsid w:val="002B457C"/>
    <w:rsid w:val="002B688A"/>
    <w:rsid w:val="002C5A53"/>
    <w:rsid w:val="002D0952"/>
    <w:rsid w:val="002D2230"/>
    <w:rsid w:val="002D39CD"/>
    <w:rsid w:val="002D5FB9"/>
    <w:rsid w:val="002E40B3"/>
    <w:rsid w:val="002E4C9A"/>
    <w:rsid w:val="002E7EF6"/>
    <w:rsid w:val="002F11F8"/>
    <w:rsid w:val="002F3F56"/>
    <w:rsid w:val="002F44B5"/>
    <w:rsid w:val="002F44D8"/>
    <w:rsid w:val="002F5122"/>
    <w:rsid w:val="003023A2"/>
    <w:rsid w:val="00311AC0"/>
    <w:rsid w:val="00313486"/>
    <w:rsid w:val="003176FC"/>
    <w:rsid w:val="00322404"/>
    <w:rsid w:val="0032583B"/>
    <w:rsid w:val="00327883"/>
    <w:rsid w:val="00327AB1"/>
    <w:rsid w:val="00335504"/>
    <w:rsid w:val="00340C18"/>
    <w:rsid w:val="003442FD"/>
    <w:rsid w:val="003458DF"/>
    <w:rsid w:val="00347824"/>
    <w:rsid w:val="00350567"/>
    <w:rsid w:val="003521E8"/>
    <w:rsid w:val="003535FE"/>
    <w:rsid w:val="00363552"/>
    <w:rsid w:val="00365805"/>
    <w:rsid w:val="00370CE3"/>
    <w:rsid w:val="003728F3"/>
    <w:rsid w:val="003732D9"/>
    <w:rsid w:val="003735BC"/>
    <w:rsid w:val="0037496E"/>
    <w:rsid w:val="00383221"/>
    <w:rsid w:val="00386150"/>
    <w:rsid w:val="003874CE"/>
    <w:rsid w:val="00390900"/>
    <w:rsid w:val="003911CB"/>
    <w:rsid w:val="003A0E58"/>
    <w:rsid w:val="003A5CBD"/>
    <w:rsid w:val="003A7F6C"/>
    <w:rsid w:val="003B221A"/>
    <w:rsid w:val="003B40F2"/>
    <w:rsid w:val="003B4D60"/>
    <w:rsid w:val="003B7E39"/>
    <w:rsid w:val="003C0AF6"/>
    <w:rsid w:val="003C58DC"/>
    <w:rsid w:val="003D1E62"/>
    <w:rsid w:val="003D4AC0"/>
    <w:rsid w:val="003D64C5"/>
    <w:rsid w:val="003D7E26"/>
    <w:rsid w:val="003E0B99"/>
    <w:rsid w:val="003E2486"/>
    <w:rsid w:val="003E3208"/>
    <w:rsid w:val="003F09E4"/>
    <w:rsid w:val="003F0B04"/>
    <w:rsid w:val="003F3B8A"/>
    <w:rsid w:val="003F6251"/>
    <w:rsid w:val="0040134E"/>
    <w:rsid w:val="00402558"/>
    <w:rsid w:val="00416EB3"/>
    <w:rsid w:val="004334C7"/>
    <w:rsid w:val="00436BB4"/>
    <w:rsid w:val="00440A2D"/>
    <w:rsid w:val="00441C3F"/>
    <w:rsid w:val="004564A7"/>
    <w:rsid w:val="00456765"/>
    <w:rsid w:val="0046080E"/>
    <w:rsid w:val="004617BF"/>
    <w:rsid w:val="00463658"/>
    <w:rsid w:val="004637A0"/>
    <w:rsid w:val="00466840"/>
    <w:rsid w:val="004722CC"/>
    <w:rsid w:val="00472D50"/>
    <w:rsid w:val="00475B33"/>
    <w:rsid w:val="004936E4"/>
    <w:rsid w:val="00494E60"/>
    <w:rsid w:val="00496269"/>
    <w:rsid w:val="00497487"/>
    <w:rsid w:val="004A189B"/>
    <w:rsid w:val="004A31B7"/>
    <w:rsid w:val="004A6189"/>
    <w:rsid w:val="004A6D32"/>
    <w:rsid w:val="004A7390"/>
    <w:rsid w:val="004B455E"/>
    <w:rsid w:val="004B7B76"/>
    <w:rsid w:val="004C0976"/>
    <w:rsid w:val="004C0EC2"/>
    <w:rsid w:val="004C239D"/>
    <w:rsid w:val="004C2DCA"/>
    <w:rsid w:val="004C61D2"/>
    <w:rsid w:val="004C75D3"/>
    <w:rsid w:val="004D16D9"/>
    <w:rsid w:val="004D5F77"/>
    <w:rsid w:val="004F0C4A"/>
    <w:rsid w:val="004F0F38"/>
    <w:rsid w:val="004F47D6"/>
    <w:rsid w:val="004F553A"/>
    <w:rsid w:val="00500337"/>
    <w:rsid w:val="00501921"/>
    <w:rsid w:val="00505FB6"/>
    <w:rsid w:val="00506068"/>
    <w:rsid w:val="005111DC"/>
    <w:rsid w:val="00511DFE"/>
    <w:rsid w:val="00530354"/>
    <w:rsid w:val="00531AFF"/>
    <w:rsid w:val="00534C3E"/>
    <w:rsid w:val="0053625B"/>
    <w:rsid w:val="005434C6"/>
    <w:rsid w:val="00543B39"/>
    <w:rsid w:val="005446B1"/>
    <w:rsid w:val="00544A0D"/>
    <w:rsid w:val="00545C9F"/>
    <w:rsid w:val="00546154"/>
    <w:rsid w:val="00550096"/>
    <w:rsid w:val="00555280"/>
    <w:rsid w:val="005579F3"/>
    <w:rsid w:val="00557FF9"/>
    <w:rsid w:val="00562327"/>
    <w:rsid w:val="00566372"/>
    <w:rsid w:val="005709A5"/>
    <w:rsid w:val="005711D5"/>
    <w:rsid w:val="00576378"/>
    <w:rsid w:val="00577130"/>
    <w:rsid w:val="00577945"/>
    <w:rsid w:val="00577E38"/>
    <w:rsid w:val="00585322"/>
    <w:rsid w:val="005857C6"/>
    <w:rsid w:val="00592F6E"/>
    <w:rsid w:val="00593AD1"/>
    <w:rsid w:val="005966A6"/>
    <w:rsid w:val="005A68B6"/>
    <w:rsid w:val="005A6A6D"/>
    <w:rsid w:val="005B3510"/>
    <w:rsid w:val="005C2F9A"/>
    <w:rsid w:val="005C4A74"/>
    <w:rsid w:val="005C5570"/>
    <w:rsid w:val="005C6FAF"/>
    <w:rsid w:val="005C79A4"/>
    <w:rsid w:val="005D2539"/>
    <w:rsid w:val="005D5442"/>
    <w:rsid w:val="00603F32"/>
    <w:rsid w:val="00605AD4"/>
    <w:rsid w:val="006136D7"/>
    <w:rsid w:val="00625A6E"/>
    <w:rsid w:val="00632398"/>
    <w:rsid w:val="00635CE9"/>
    <w:rsid w:val="0064092E"/>
    <w:rsid w:val="00640FC3"/>
    <w:rsid w:val="00642020"/>
    <w:rsid w:val="0064376D"/>
    <w:rsid w:val="0065337B"/>
    <w:rsid w:val="0065419D"/>
    <w:rsid w:val="00654353"/>
    <w:rsid w:val="006603BC"/>
    <w:rsid w:val="006604D8"/>
    <w:rsid w:val="00661528"/>
    <w:rsid w:val="00664A5B"/>
    <w:rsid w:val="0066735C"/>
    <w:rsid w:val="00671F6E"/>
    <w:rsid w:val="00675A1D"/>
    <w:rsid w:val="006763D2"/>
    <w:rsid w:val="00680C08"/>
    <w:rsid w:val="006839BE"/>
    <w:rsid w:val="00686B55"/>
    <w:rsid w:val="0069149F"/>
    <w:rsid w:val="006916A0"/>
    <w:rsid w:val="006931B1"/>
    <w:rsid w:val="00696AC6"/>
    <w:rsid w:val="006A15C0"/>
    <w:rsid w:val="006B3465"/>
    <w:rsid w:val="006C3089"/>
    <w:rsid w:val="006C3E2A"/>
    <w:rsid w:val="006C642F"/>
    <w:rsid w:val="006D03E5"/>
    <w:rsid w:val="006D5D3E"/>
    <w:rsid w:val="006E08B3"/>
    <w:rsid w:val="006E3C62"/>
    <w:rsid w:val="006F17AC"/>
    <w:rsid w:val="006F25B8"/>
    <w:rsid w:val="006F4610"/>
    <w:rsid w:val="006F4B1F"/>
    <w:rsid w:val="006F572E"/>
    <w:rsid w:val="007046D6"/>
    <w:rsid w:val="00705DB0"/>
    <w:rsid w:val="0070627F"/>
    <w:rsid w:val="00720B5D"/>
    <w:rsid w:val="00722B57"/>
    <w:rsid w:val="007242A1"/>
    <w:rsid w:val="00726BDB"/>
    <w:rsid w:val="00727ACB"/>
    <w:rsid w:val="00730F8A"/>
    <w:rsid w:val="00735A8C"/>
    <w:rsid w:val="0074253D"/>
    <w:rsid w:val="0074429B"/>
    <w:rsid w:val="007500F3"/>
    <w:rsid w:val="00755C5F"/>
    <w:rsid w:val="007615BC"/>
    <w:rsid w:val="00762F05"/>
    <w:rsid w:val="007652FF"/>
    <w:rsid w:val="00770CAC"/>
    <w:rsid w:val="00770EF1"/>
    <w:rsid w:val="007710AA"/>
    <w:rsid w:val="00773EF7"/>
    <w:rsid w:val="00774E1D"/>
    <w:rsid w:val="007765D8"/>
    <w:rsid w:val="0077675A"/>
    <w:rsid w:val="00777541"/>
    <w:rsid w:val="00780355"/>
    <w:rsid w:val="00780D66"/>
    <w:rsid w:val="007819FD"/>
    <w:rsid w:val="00785717"/>
    <w:rsid w:val="00785721"/>
    <w:rsid w:val="00787DAB"/>
    <w:rsid w:val="0079374F"/>
    <w:rsid w:val="00793A59"/>
    <w:rsid w:val="00794417"/>
    <w:rsid w:val="007975AF"/>
    <w:rsid w:val="007A1493"/>
    <w:rsid w:val="007A46F5"/>
    <w:rsid w:val="007B4630"/>
    <w:rsid w:val="007B52BA"/>
    <w:rsid w:val="007B6132"/>
    <w:rsid w:val="007B6E9F"/>
    <w:rsid w:val="007C1216"/>
    <w:rsid w:val="007C1AF7"/>
    <w:rsid w:val="007C4813"/>
    <w:rsid w:val="007C63B5"/>
    <w:rsid w:val="007C6420"/>
    <w:rsid w:val="007C6B9B"/>
    <w:rsid w:val="007D2934"/>
    <w:rsid w:val="007E3704"/>
    <w:rsid w:val="007F02DD"/>
    <w:rsid w:val="007F2501"/>
    <w:rsid w:val="00805D27"/>
    <w:rsid w:val="00806DCB"/>
    <w:rsid w:val="00821776"/>
    <w:rsid w:val="008321F5"/>
    <w:rsid w:val="00832369"/>
    <w:rsid w:val="00834660"/>
    <w:rsid w:val="00836BC2"/>
    <w:rsid w:val="0085156D"/>
    <w:rsid w:val="00852B28"/>
    <w:rsid w:val="0085641B"/>
    <w:rsid w:val="00857136"/>
    <w:rsid w:val="008610E8"/>
    <w:rsid w:val="008638DE"/>
    <w:rsid w:val="00863929"/>
    <w:rsid w:val="00864D4D"/>
    <w:rsid w:val="0086711C"/>
    <w:rsid w:val="008719C0"/>
    <w:rsid w:val="00871B36"/>
    <w:rsid w:val="00875A6B"/>
    <w:rsid w:val="00876111"/>
    <w:rsid w:val="00881772"/>
    <w:rsid w:val="00885B11"/>
    <w:rsid w:val="00886D15"/>
    <w:rsid w:val="00887DD8"/>
    <w:rsid w:val="00891BA9"/>
    <w:rsid w:val="00896018"/>
    <w:rsid w:val="008960DD"/>
    <w:rsid w:val="0089635C"/>
    <w:rsid w:val="008A2B9D"/>
    <w:rsid w:val="008A3D9F"/>
    <w:rsid w:val="008A5E0B"/>
    <w:rsid w:val="008A6D15"/>
    <w:rsid w:val="008A6D59"/>
    <w:rsid w:val="008B4220"/>
    <w:rsid w:val="008B4B03"/>
    <w:rsid w:val="008B596F"/>
    <w:rsid w:val="008C159F"/>
    <w:rsid w:val="008C1623"/>
    <w:rsid w:val="008C1850"/>
    <w:rsid w:val="008C1A13"/>
    <w:rsid w:val="008C1D60"/>
    <w:rsid w:val="008C51A9"/>
    <w:rsid w:val="008D53D9"/>
    <w:rsid w:val="008D74BF"/>
    <w:rsid w:val="008E29CC"/>
    <w:rsid w:val="008E3C6C"/>
    <w:rsid w:val="008E7846"/>
    <w:rsid w:val="008F02E5"/>
    <w:rsid w:val="008F1CCC"/>
    <w:rsid w:val="008F2967"/>
    <w:rsid w:val="008F6943"/>
    <w:rsid w:val="00902632"/>
    <w:rsid w:val="00902A21"/>
    <w:rsid w:val="0091523F"/>
    <w:rsid w:val="00915314"/>
    <w:rsid w:val="00920330"/>
    <w:rsid w:val="009219D7"/>
    <w:rsid w:val="00922D53"/>
    <w:rsid w:val="00923B70"/>
    <w:rsid w:val="00924482"/>
    <w:rsid w:val="00930237"/>
    <w:rsid w:val="0093398A"/>
    <w:rsid w:val="00937C17"/>
    <w:rsid w:val="00940A89"/>
    <w:rsid w:val="00946EA5"/>
    <w:rsid w:val="0096025A"/>
    <w:rsid w:val="0096057D"/>
    <w:rsid w:val="00963C08"/>
    <w:rsid w:val="00973596"/>
    <w:rsid w:val="009752A5"/>
    <w:rsid w:val="009853AE"/>
    <w:rsid w:val="0098585A"/>
    <w:rsid w:val="009922CA"/>
    <w:rsid w:val="009944A1"/>
    <w:rsid w:val="00995A69"/>
    <w:rsid w:val="009970DB"/>
    <w:rsid w:val="009A2699"/>
    <w:rsid w:val="009A4CED"/>
    <w:rsid w:val="009A690D"/>
    <w:rsid w:val="009A6C87"/>
    <w:rsid w:val="009B1D12"/>
    <w:rsid w:val="009B416B"/>
    <w:rsid w:val="009C4BD5"/>
    <w:rsid w:val="009C5DDC"/>
    <w:rsid w:val="009C78CA"/>
    <w:rsid w:val="009D7B77"/>
    <w:rsid w:val="009E0BB0"/>
    <w:rsid w:val="009E3FBB"/>
    <w:rsid w:val="009F249C"/>
    <w:rsid w:val="009F7353"/>
    <w:rsid w:val="00A019AE"/>
    <w:rsid w:val="00A0498F"/>
    <w:rsid w:val="00A04F85"/>
    <w:rsid w:val="00A05FA4"/>
    <w:rsid w:val="00A102E4"/>
    <w:rsid w:val="00A12C42"/>
    <w:rsid w:val="00A14DF7"/>
    <w:rsid w:val="00A22D57"/>
    <w:rsid w:val="00A25795"/>
    <w:rsid w:val="00A3246D"/>
    <w:rsid w:val="00A33AEA"/>
    <w:rsid w:val="00A349BB"/>
    <w:rsid w:val="00A36FA7"/>
    <w:rsid w:val="00A37DD7"/>
    <w:rsid w:val="00A43FC2"/>
    <w:rsid w:val="00A44DDB"/>
    <w:rsid w:val="00A475B7"/>
    <w:rsid w:val="00A47AF7"/>
    <w:rsid w:val="00A47C3E"/>
    <w:rsid w:val="00A50226"/>
    <w:rsid w:val="00A6002B"/>
    <w:rsid w:val="00A60BAD"/>
    <w:rsid w:val="00A62BA9"/>
    <w:rsid w:val="00A70F2D"/>
    <w:rsid w:val="00A719C8"/>
    <w:rsid w:val="00A77F87"/>
    <w:rsid w:val="00A808F5"/>
    <w:rsid w:val="00A80B5B"/>
    <w:rsid w:val="00A84E36"/>
    <w:rsid w:val="00A964D1"/>
    <w:rsid w:val="00A97706"/>
    <w:rsid w:val="00AA0ED0"/>
    <w:rsid w:val="00AA6423"/>
    <w:rsid w:val="00AB2788"/>
    <w:rsid w:val="00AC2B40"/>
    <w:rsid w:val="00AC2BB2"/>
    <w:rsid w:val="00AC2C3C"/>
    <w:rsid w:val="00AC512D"/>
    <w:rsid w:val="00AD0083"/>
    <w:rsid w:val="00AD3935"/>
    <w:rsid w:val="00AD6890"/>
    <w:rsid w:val="00AE0423"/>
    <w:rsid w:val="00AE65EB"/>
    <w:rsid w:val="00AE67A7"/>
    <w:rsid w:val="00AE6845"/>
    <w:rsid w:val="00AF1D94"/>
    <w:rsid w:val="00AF60C5"/>
    <w:rsid w:val="00B009C6"/>
    <w:rsid w:val="00B01548"/>
    <w:rsid w:val="00B13EBD"/>
    <w:rsid w:val="00B21D29"/>
    <w:rsid w:val="00B25034"/>
    <w:rsid w:val="00B33588"/>
    <w:rsid w:val="00B33863"/>
    <w:rsid w:val="00B37D17"/>
    <w:rsid w:val="00B4175E"/>
    <w:rsid w:val="00B41C85"/>
    <w:rsid w:val="00B452CE"/>
    <w:rsid w:val="00B47A03"/>
    <w:rsid w:val="00B5267B"/>
    <w:rsid w:val="00B54C25"/>
    <w:rsid w:val="00B6797F"/>
    <w:rsid w:val="00B76B91"/>
    <w:rsid w:val="00B77EB1"/>
    <w:rsid w:val="00B811C6"/>
    <w:rsid w:val="00B855B0"/>
    <w:rsid w:val="00B90F54"/>
    <w:rsid w:val="00B92E08"/>
    <w:rsid w:val="00BA68DA"/>
    <w:rsid w:val="00BB1B9E"/>
    <w:rsid w:val="00BB2139"/>
    <w:rsid w:val="00BB4ED2"/>
    <w:rsid w:val="00BB6B6D"/>
    <w:rsid w:val="00BC49ED"/>
    <w:rsid w:val="00BC622A"/>
    <w:rsid w:val="00BC6B20"/>
    <w:rsid w:val="00BD320B"/>
    <w:rsid w:val="00BD6FCF"/>
    <w:rsid w:val="00BE0A78"/>
    <w:rsid w:val="00BE79F0"/>
    <w:rsid w:val="00BF046D"/>
    <w:rsid w:val="00BF060E"/>
    <w:rsid w:val="00BF0C50"/>
    <w:rsid w:val="00BF1190"/>
    <w:rsid w:val="00BF3774"/>
    <w:rsid w:val="00BF5D04"/>
    <w:rsid w:val="00C009AA"/>
    <w:rsid w:val="00C10DAA"/>
    <w:rsid w:val="00C1164D"/>
    <w:rsid w:val="00C16861"/>
    <w:rsid w:val="00C2628B"/>
    <w:rsid w:val="00C346AB"/>
    <w:rsid w:val="00C36ACF"/>
    <w:rsid w:val="00C404A6"/>
    <w:rsid w:val="00C40A36"/>
    <w:rsid w:val="00C44419"/>
    <w:rsid w:val="00C444BF"/>
    <w:rsid w:val="00C44BAA"/>
    <w:rsid w:val="00C45E7B"/>
    <w:rsid w:val="00C471B1"/>
    <w:rsid w:val="00C55589"/>
    <w:rsid w:val="00C5581B"/>
    <w:rsid w:val="00C56277"/>
    <w:rsid w:val="00C6013F"/>
    <w:rsid w:val="00C61641"/>
    <w:rsid w:val="00C61B08"/>
    <w:rsid w:val="00C6316B"/>
    <w:rsid w:val="00C634A9"/>
    <w:rsid w:val="00C64586"/>
    <w:rsid w:val="00C65E7A"/>
    <w:rsid w:val="00C70D53"/>
    <w:rsid w:val="00C73D0B"/>
    <w:rsid w:val="00C772FF"/>
    <w:rsid w:val="00C80137"/>
    <w:rsid w:val="00C801AF"/>
    <w:rsid w:val="00C80256"/>
    <w:rsid w:val="00C809F2"/>
    <w:rsid w:val="00C85473"/>
    <w:rsid w:val="00C94CD4"/>
    <w:rsid w:val="00C9747E"/>
    <w:rsid w:val="00C97F66"/>
    <w:rsid w:val="00CA30BF"/>
    <w:rsid w:val="00CB6BC0"/>
    <w:rsid w:val="00CC1B7C"/>
    <w:rsid w:val="00CC727F"/>
    <w:rsid w:val="00CE639A"/>
    <w:rsid w:val="00CF0630"/>
    <w:rsid w:val="00CF15C3"/>
    <w:rsid w:val="00CF2B6F"/>
    <w:rsid w:val="00CF2F3E"/>
    <w:rsid w:val="00CF368A"/>
    <w:rsid w:val="00CF3C2D"/>
    <w:rsid w:val="00CF58B6"/>
    <w:rsid w:val="00D0062D"/>
    <w:rsid w:val="00D017ED"/>
    <w:rsid w:val="00D040D3"/>
    <w:rsid w:val="00D04C65"/>
    <w:rsid w:val="00D06543"/>
    <w:rsid w:val="00D07BFB"/>
    <w:rsid w:val="00D13FD3"/>
    <w:rsid w:val="00D201D2"/>
    <w:rsid w:val="00D2230A"/>
    <w:rsid w:val="00D224FE"/>
    <w:rsid w:val="00D226D6"/>
    <w:rsid w:val="00D23139"/>
    <w:rsid w:val="00D24492"/>
    <w:rsid w:val="00D26286"/>
    <w:rsid w:val="00D31E68"/>
    <w:rsid w:val="00D425BB"/>
    <w:rsid w:val="00D453FA"/>
    <w:rsid w:val="00D460E7"/>
    <w:rsid w:val="00D60601"/>
    <w:rsid w:val="00D62AEE"/>
    <w:rsid w:val="00D6493E"/>
    <w:rsid w:val="00D672B8"/>
    <w:rsid w:val="00D7195D"/>
    <w:rsid w:val="00D71BFB"/>
    <w:rsid w:val="00D72E5F"/>
    <w:rsid w:val="00D7301E"/>
    <w:rsid w:val="00D75882"/>
    <w:rsid w:val="00D83AE1"/>
    <w:rsid w:val="00D855D4"/>
    <w:rsid w:val="00D902C9"/>
    <w:rsid w:val="00D91C37"/>
    <w:rsid w:val="00D93466"/>
    <w:rsid w:val="00DA1124"/>
    <w:rsid w:val="00DB06B8"/>
    <w:rsid w:val="00DB6124"/>
    <w:rsid w:val="00DB6D02"/>
    <w:rsid w:val="00DB750B"/>
    <w:rsid w:val="00DB75B7"/>
    <w:rsid w:val="00DC6E02"/>
    <w:rsid w:val="00DD0C6F"/>
    <w:rsid w:val="00DD1BA4"/>
    <w:rsid w:val="00DD28CD"/>
    <w:rsid w:val="00DD4DAE"/>
    <w:rsid w:val="00DE02AE"/>
    <w:rsid w:val="00DE39D1"/>
    <w:rsid w:val="00DF1D7F"/>
    <w:rsid w:val="00DF4BE4"/>
    <w:rsid w:val="00E02382"/>
    <w:rsid w:val="00E02FB4"/>
    <w:rsid w:val="00E13FC7"/>
    <w:rsid w:val="00E17AC9"/>
    <w:rsid w:val="00E20571"/>
    <w:rsid w:val="00E20C59"/>
    <w:rsid w:val="00E235F7"/>
    <w:rsid w:val="00E23659"/>
    <w:rsid w:val="00E239D4"/>
    <w:rsid w:val="00E26130"/>
    <w:rsid w:val="00E40B22"/>
    <w:rsid w:val="00E43741"/>
    <w:rsid w:val="00E44ED1"/>
    <w:rsid w:val="00E45619"/>
    <w:rsid w:val="00E4588F"/>
    <w:rsid w:val="00E46DA3"/>
    <w:rsid w:val="00E477F6"/>
    <w:rsid w:val="00E50A3D"/>
    <w:rsid w:val="00E51BB1"/>
    <w:rsid w:val="00E61C13"/>
    <w:rsid w:val="00E624A5"/>
    <w:rsid w:val="00E6387D"/>
    <w:rsid w:val="00E64BA4"/>
    <w:rsid w:val="00E66116"/>
    <w:rsid w:val="00E7282D"/>
    <w:rsid w:val="00E7344E"/>
    <w:rsid w:val="00E82665"/>
    <w:rsid w:val="00E951F0"/>
    <w:rsid w:val="00E97201"/>
    <w:rsid w:val="00EA2CCD"/>
    <w:rsid w:val="00EA6703"/>
    <w:rsid w:val="00EB0798"/>
    <w:rsid w:val="00EB40AD"/>
    <w:rsid w:val="00EB5023"/>
    <w:rsid w:val="00EB586E"/>
    <w:rsid w:val="00EB5FC8"/>
    <w:rsid w:val="00EC19F9"/>
    <w:rsid w:val="00EC463D"/>
    <w:rsid w:val="00EC7A85"/>
    <w:rsid w:val="00ED2922"/>
    <w:rsid w:val="00ED3A6B"/>
    <w:rsid w:val="00ED3CAD"/>
    <w:rsid w:val="00ED5A41"/>
    <w:rsid w:val="00EE1DE8"/>
    <w:rsid w:val="00EE22BF"/>
    <w:rsid w:val="00EE27C2"/>
    <w:rsid w:val="00EE4678"/>
    <w:rsid w:val="00EE759A"/>
    <w:rsid w:val="00EF4879"/>
    <w:rsid w:val="00EF4BAD"/>
    <w:rsid w:val="00EF59DC"/>
    <w:rsid w:val="00F033EC"/>
    <w:rsid w:val="00F04F68"/>
    <w:rsid w:val="00F117DF"/>
    <w:rsid w:val="00F12670"/>
    <w:rsid w:val="00F14B27"/>
    <w:rsid w:val="00F15420"/>
    <w:rsid w:val="00F159CA"/>
    <w:rsid w:val="00F1748D"/>
    <w:rsid w:val="00F3148D"/>
    <w:rsid w:val="00F325C5"/>
    <w:rsid w:val="00F32D0B"/>
    <w:rsid w:val="00F32FE0"/>
    <w:rsid w:val="00F33D57"/>
    <w:rsid w:val="00F35298"/>
    <w:rsid w:val="00F4166D"/>
    <w:rsid w:val="00F47333"/>
    <w:rsid w:val="00F47E37"/>
    <w:rsid w:val="00F52840"/>
    <w:rsid w:val="00F53C07"/>
    <w:rsid w:val="00F54B65"/>
    <w:rsid w:val="00F604EE"/>
    <w:rsid w:val="00F623F9"/>
    <w:rsid w:val="00F627B6"/>
    <w:rsid w:val="00F640B6"/>
    <w:rsid w:val="00F66DF2"/>
    <w:rsid w:val="00F80E40"/>
    <w:rsid w:val="00F823A9"/>
    <w:rsid w:val="00F848D9"/>
    <w:rsid w:val="00FA5069"/>
    <w:rsid w:val="00FA5B82"/>
    <w:rsid w:val="00FA639E"/>
    <w:rsid w:val="00FC1FCA"/>
    <w:rsid w:val="00FC25E4"/>
    <w:rsid w:val="00FC4EF7"/>
    <w:rsid w:val="00FD0824"/>
    <w:rsid w:val="00FD119B"/>
    <w:rsid w:val="00FD1EDC"/>
    <w:rsid w:val="00FE1DEE"/>
    <w:rsid w:val="00FF2126"/>
    <w:rsid w:val="00FF54C9"/>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4CBE105"/>
  <w15:docId w15:val="{7789CBF4-A42B-40F7-95A9-3E3EAD39D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13FD3"/>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8E29C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9A2699"/>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nhideWhenUsed/>
    <w:rsid w:val="00EC463D"/>
    <w:rPr>
      <w:sz w:val="16"/>
      <w:szCs w:val="16"/>
    </w:rPr>
  </w:style>
  <w:style w:type="paragraph" w:styleId="CommentText">
    <w:name w:val="annotation text"/>
    <w:basedOn w:val="Normal"/>
    <w:link w:val="CommentTextChar"/>
    <w:unhideWhenUsed/>
    <w:rsid w:val="00EC463D"/>
    <w:pPr>
      <w:spacing w:line="240" w:lineRule="auto"/>
    </w:pPr>
    <w:rPr>
      <w:sz w:val="20"/>
      <w:szCs w:val="20"/>
    </w:rPr>
  </w:style>
  <w:style w:type="character" w:customStyle="1" w:styleId="CommentTextChar">
    <w:name w:val="Comment Text Char"/>
    <w:basedOn w:val="DefaultParagraphFont"/>
    <w:link w:val="CommentText"/>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TabletextChar">
    <w:name w:val="Table text Char"/>
    <w:basedOn w:val="DefaultParagraphFont"/>
    <w:link w:val="Tabletext"/>
    <w:rsid w:val="005C6FAF"/>
    <w:rPr>
      <w:rFonts w:ascii="Cambria" w:eastAsia="Cambria" w:hAnsi="Cambria" w:cs="Times New Roman"/>
      <w:sz w:val="19"/>
    </w:rPr>
  </w:style>
  <w:style w:type="character" w:customStyle="1" w:styleId="Heading8Char">
    <w:name w:val="Heading 8 Char"/>
    <w:basedOn w:val="DefaultParagraphFont"/>
    <w:link w:val="Heading8"/>
    <w:uiPriority w:val="9"/>
    <w:semiHidden/>
    <w:rsid w:val="008E29CC"/>
    <w:rPr>
      <w:rFonts w:asciiTheme="majorHAnsi" w:eastAsiaTheme="majorEastAsia" w:hAnsiTheme="majorHAnsi" w:cstheme="majorBidi"/>
      <w:color w:val="404040" w:themeColor="text1" w:themeTint="BF"/>
      <w:sz w:val="20"/>
      <w:szCs w:val="20"/>
    </w:rPr>
  </w:style>
  <w:style w:type="paragraph" w:customStyle="1" w:styleId="TableHeader">
    <w:name w:val="Table Header"/>
    <w:basedOn w:val="Normal"/>
    <w:rsid w:val="00110727"/>
    <w:pPr>
      <w:keepNext/>
      <w:keepLines/>
      <w:widowControl w:val="0"/>
      <w:spacing w:before="60" w:after="60" w:line="200" w:lineRule="exact"/>
      <w:jc w:val="center"/>
    </w:pPr>
    <w:rPr>
      <w:rFonts w:eastAsia="MS Mincho" w:cstheme="minorBidi"/>
      <w:b/>
      <w:kern w:val="2"/>
      <w:sz w:val="19"/>
      <w:szCs w:val="19"/>
    </w:rPr>
  </w:style>
  <w:style w:type="paragraph" w:customStyle="1" w:styleId="TableCaption">
    <w:name w:val="Table Caption"/>
    <w:basedOn w:val="Normal"/>
    <w:next w:val="Normal"/>
    <w:link w:val="TableCaptionChar"/>
    <w:rsid w:val="00A0498F"/>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TabletextChar"/>
    <w:link w:val="TableCaption"/>
    <w:rsid w:val="00A0498F"/>
    <w:rPr>
      <w:rFonts w:ascii="Cambria" w:eastAsia="Times New Roman" w:hAnsi="Cambria" w:cs="Times New Roman"/>
      <w:snapToGrid w:val="0"/>
      <w:kern w:val="16"/>
      <w:sz w:val="18"/>
      <w:szCs w:val="19"/>
    </w:rPr>
  </w:style>
  <w:style w:type="paragraph" w:customStyle="1" w:styleId="TableParagraph">
    <w:name w:val="Table Paragraph"/>
    <w:basedOn w:val="Normal"/>
    <w:uiPriority w:val="1"/>
    <w:qFormat/>
    <w:rsid w:val="006B3465"/>
    <w:pPr>
      <w:widowControl w:val="0"/>
      <w:autoSpaceDE w:val="0"/>
      <w:autoSpaceDN w:val="0"/>
      <w:spacing w:before="65" w:after="0" w:line="240" w:lineRule="auto"/>
    </w:pPr>
    <w:rPr>
      <w:rFonts w:ascii="Arial" w:eastAsia="Arial" w:hAnsi="Arial" w:cs="Arial"/>
      <w:lang w:val="en-US"/>
    </w:rPr>
  </w:style>
  <w:style w:type="paragraph" w:styleId="ListParagraph">
    <w:name w:val="List Paragraph"/>
    <w:basedOn w:val="Normal"/>
    <w:uiPriority w:val="34"/>
    <w:qFormat/>
    <w:rsid w:val="006B3465"/>
    <w:pPr>
      <w:ind w:left="720"/>
      <w:contextualSpacing/>
    </w:pPr>
  </w:style>
  <w:style w:type="paragraph" w:styleId="ListNumber">
    <w:name w:val="List Number"/>
    <w:basedOn w:val="ListParagraph"/>
    <w:uiPriority w:val="99"/>
    <w:unhideWhenUsed/>
    <w:rsid w:val="007D2934"/>
    <w:pPr>
      <w:numPr>
        <w:numId w:val="33"/>
      </w:numPr>
      <w:tabs>
        <w:tab w:val="num" w:pos="360"/>
      </w:tabs>
      <w:spacing w:before="0" w:line="240" w:lineRule="auto"/>
      <w:ind w:left="426" w:hanging="426"/>
    </w:pPr>
    <w:rPr>
      <w:rFonts w:asciiTheme="minorHAnsi" w:eastAsia="Times New Roman" w:hAnsiTheme="minorHAnsi"/>
      <w:b/>
      <w:lang w:eastAsia="en-AU"/>
    </w:rPr>
  </w:style>
  <w:style w:type="paragraph" w:customStyle="1" w:styleId="Standard">
    <w:name w:val="Standard"/>
    <w:basedOn w:val="Normal"/>
    <w:link w:val="StandardChar"/>
    <w:qFormat/>
    <w:rsid w:val="00DD0C6F"/>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DD0C6F"/>
    <w:rPr>
      <w:rFonts w:ascii="Cambria" w:eastAsia="Times New Roman" w:hAnsi="Cambria" w:cs="Times New Roman"/>
      <w:snapToGrid w:val="0"/>
      <w:kern w:val="16"/>
      <w:sz w:val="2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691686">
      <w:bodyDiv w:val="1"/>
      <w:marLeft w:val="0"/>
      <w:marRight w:val="0"/>
      <w:marTop w:val="0"/>
      <w:marBottom w:val="0"/>
      <w:divBdr>
        <w:top w:val="none" w:sz="0" w:space="0" w:color="auto"/>
        <w:left w:val="none" w:sz="0" w:space="0" w:color="auto"/>
        <w:bottom w:val="none" w:sz="0" w:space="0" w:color="auto"/>
        <w:right w:val="none" w:sz="0" w:space="0" w:color="auto"/>
      </w:divBdr>
    </w:div>
    <w:div w:id="426928921">
      <w:bodyDiv w:val="1"/>
      <w:marLeft w:val="0"/>
      <w:marRight w:val="0"/>
      <w:marTop w:val="0"/>
      <w:marBottom w:val="0"/>
      <w:divBdr>
        <w:top w:val="none" w:sz="0" w:space="0" w:color="auto"/>
        <w:left w:val="none" w:sz="0" w:space="0" w:color="auto"/>
        <w:bottom w:val="none" w:sz="0" w:space="0" w:color="auto"/>
        <w:right w:val="none" w:sz="0" w:space="0" w:color="auto"/>
      </w:divBdr>
    </w:div>
    <w:div w:id="479998592">
      <w:bodyDiv w:val="1"/>
      <w:marLeft w:val="0"/>
      <w:marRight w:val="0"/>
      <w:marTop w:val="0"/>
      <w:marBottom w:val="0"/>
      <w:divBdr>
        <w:top w:val="none" w:sz="0" w:space="0" w:color="auto"/>
        <w:left w:val="none" w:sz="0" w:space="0" w:color="auto"/>
        <w:bottom w:val="none" w:sz="0" w:space="0" w:color="auto"/>
        <w:right w:val="none" w:sz="0" w:space="0" w:color="auto"/>
      </w:divBdr>
    </w:div>
    <w:div w:id="504319518">
      <w:bodyDiv w:val="1"/>
      <w:marLeft w:val="0"/>
      <w:marRight w:val="0"/>
      <w:marTop w:val="0"/>
      <w:marBottom w:val="0"/>
      <w:divBdr>
        <w:top w:val="none" w:sz="0" w:space="0" w:color="auto"/>
        <w:left w:val="none" w:sz="0" w:space="0" w:color="auto"/>
        <w:bottom w:val="none" w:sz="0" w:space="0" w:color="auto"/>
        <w:right w:val="none" w:sz="0" w:space="0" w:color="auto"/>
      </w:divBdr>
    </w:div>
    <w:div w:id="525021439">
      <w:bodyDiv w:val="1"/>
      <w:marLeft w:val="0"/>
      <w:marRight w:val="0"/>
      <w:marTop w:val="0"/>
      <w:marBottom w:val="0"/>
      <w:divBdr>
        <w:top w:val="none" w:sz="0" w:space="0" w:color="auto"/>
        <w:left w:val="none" w:sz="0" w:space="0" w:color="auto"/>
        <w:bottom w:val="none" w:sz="0" w:space="0" w:color="auto"/>
        <w:right w:val="none" w:sz="0" w:space="0" w:color="auto"/>
      </w:divBdr>
    </w:div>
    <w:div w:id="722751216">
      <w:bodyDiv w:val="1"/>
      <w:marLeft w:val="0"/>
      <w:marRight w:val="0"/>
      <w:marTop w:val="0"/>
      <w:marBottom w:val="0"/>
      <w:divBdr>
        <w:top w:val="none" w:sz="0" w:space="0" w:color="auto"/>
        <w:left w:val="none" w:sz="0" w:space="0" w:color="auto"/>
        <w:bottom w:val="none" w:sz="0" w:space="0" w:color="auto"/>
        <w:right w:val="none" w:sz="0" w:space="0" w:color="auto"/>
      </w:divBdr>
    </w:div>
    <w:div w:id="753740637">
      <w:bodyDiv w:val="1"/>
      <w:marLeft w:val="0"/>
      <w:marRight w:val="0"/>
      <w:marTop w:val="0"/>
      <w:marBottom w:val="0"/>
      <w:divBdr>
        <w:top w:val="none" w:sz="0" w:space="0" w:color="auto"/>
        <w:left w:val="none" w:sz="0" w:space="0" w:color="auto"/>
        <w:bottom w:val="none" w:sz="0" w:space="0" w:color="auto"/>
        <w:right w:val="none" w:sz="0" w:space="0" w:color="auto"/>
      </w:divBdr>
    </w:div>
    <w:div w:id="942958905">
      <w:bodyDiv w:val="1"/>
      <w:marLeft w:val="0"/>
      <w:marRight w:val="0"/>
      <w:marTop w:val="0"/>
      <w:marBottom w:val="0"/>
      <w:divBdr>
        <w:top w:val="none" w:sz="0" w:space="0" w:color="auto"/>
        <w:left w:val="none" w:sz="0" w:space="0" w:color="auto"/>
        <w:bottom w:val="none" w:sz="0" w:space="0" w:color="auto"/>
        <w:right w:val="none" w:sz="0" w:space="0" w:color="auto"/>
      </w:divBdr>
    </w:div>
    <w:div w:id="1314917157">
      <w:bodyDiv w:val="1"/>
      <w:marLeft w:val="0"/>
      <w:marRight w:val="0"/>
      <w:marTop w:val="0"/>
      <w:marBottom w:val="0"/>
      <w:divBdr>
        <w:top w:val="none" w:sz="0" w:space="0" w:color="auto"/>
        <w:left w:val="none" w:sz="0" w:space="0" w:color="auto"/>
        <w:bottom w:val="none" w:sz="0" w:space="0" w:color="auto"/>
        <w:right w:val="none" w:sz="0" w:space="0" w:color="auto"/>
      </w:divBdr>
    </w:div>
    <w:div w:id="1349213402">
      <w:bodyDiv w:val="1"/>
      <w:marLeft w:val="0"/>
      <w:marRight w:val="0"/>
      <w:marTop w:val="0"/>
      <w:marBottom w:val="0"/>
      <w:divBdr>
        <w:top w:val="none" w:sz="0" w:space="0" w:color="auto"/>
        <w:left w:val="none" w:sz="0" w:space="0" w:color="auto"/>
        <w:bottom w:val="none" w:sz="0" w:space="0" w:color="auto"/>
        <w:right w:val="none" w:sz="0" w:space="0" w:color="auto"/>
      </w:divBdr>
    </w:div>
    <w:div w:id="1436442867">
      <w:bodyDiv w:val="1"/>
      <w:marLeft w:val="0"/>
      <w:marRight w:val="0"/>
      <w:marTop w:val="0"/>
      <w:marBottom w:val="0"/>
      <w:divBdr>
        <w:top w:val="none" w:sz="0" w:space="0" w:color="auto"/>
        <w:left w:val="none" w:sz="0" w:space="0" w:color="auto"/>
        <w:bottom w:val="none" w:sz="0" w:space="0" w:color="auto"/>
        <w:right w:val="none" w:sz="0" w:space="0" w:color="auto"/>
      </w:divBdr>
    </w:div>
    <w:div w:id="1536891524">
      <w:bodyDiv w:val="1"/>
      <w:marLeft w:val="0"/>
      <w:marRight w:val="0"/>
      <w:marTop w:val="0"/>
      <w:marBottom w:val="0"/>
      <w:divBdr>
        <w:top w:val="none" w:sz="0" w:space="0" w:color="auto"/>
        <w:left w:val="none" w:sz="0" w:space="0" w:color="auto"/>
        <w:bottom w:val="none" w:sz="0" w:space="0" w:color="auto"/>
        <w:right w:val="none" w:sz="0" w:space="0" w:color="auto"/>
      </w:divBdr>
    </w:div>
    <w:div w:id="1721438956">
      <w:bodyDiv w:val="1"/>
      <w:marLeft w:val="0"/>
      <w:marRight w:val="0"/>
      <w:marTop w:val="0"/>
      <w:marBottom w:val="0"/>
      <w:divBdr>
        <w:top w:val="none" w:sz="0" w:space="0" w:color="auto"/>
        <w:left w:val="none" w:sz="0" w:space="0" w:color="auto"/>
        <w:bottom w:val="none" w:sz="0" w:space="0" w:color="auto"/>
        <w:right w:val="none" w:sz="0" w:space="0" w:color="auto"/>
      </w:divBdr>
    </w:div>
    <w:div w:id="1773890217">
      <w:bodyDiv w:val="1"/>
      <w:marLeft w:val="0"/>
      <w:marRight w:val="0"/>
      <w:marTop w:val="0"/>
      <w:marBottom w:val="0"/>
      <w:divBdr>
        <w:top w:val="none" w:sz="0" w:space="0" w:color="auto"/>
        <w:left w:val="none" w:sz="0" w:space="0" w:color="auto"/>
        <w:bottom w:val="none" w:sz="0" w:space="0" w:color="auto"/>
        <w:right w:val="none" w:sz="0" w:space="0" w:color="auto"/>
      </w:divBdr>
    </w:div>
    <w:div w:id="1946186617">
      <w:bodyDiv w:val="1"/>
      <w:marLeft w:val="0"/>
      <w:marRight w:val="0"/>
      <w:marTop w:val="0"/>
      <w:marBottom w:val="0"/>
      <w:divBdr>
        <w:top w:val="none" w:sz="0" w:space="0" w:color="auto"/>
        <w:left w:val="none" w:sz="0" w:space="0" w:color="auto"/>
        <w:bottom w:val="none" w:sz="0" w:space="0" w:color="auto"/>
        <w:right w:val="none" w:sz="0" w:space="0" w:color="auto"/>
      </w:divBdr>
    </w:div>
    <w:div w:id="1953589940">
      <w:bodyDiv w:val="1"/>
      <w:marLeft w:val="0"/>
      <w:marRight w:val="0"/>
      <w:marTop w:val="0"/>
      <w:marBottom w:val="0"/>
      <w:divBdr>
        <w:top w:val="none" w:sz="0" w:space="0" w:color="auto"/>
        <w:left w:val="none" w:sz="0" w:space="0" w:color="auto"/>
        <w:bottom w:val="none" w:sz="0" w:space="0" w:color="auto"/>
        <w:right w:val="none" w:sz="0" w:space="0" w:color="auto"/>
      </w:divBdr>
    </w:div>
    <w:div w:id="1964074048">
      <w:bodyDiv w:val="1"/>
      <w:marLeft w:val="0"/>
      <w:marRight w:val="0"/>
      <w:marTop w:val="0"/>
      <w:marBottom w:val="0"/>
      <w:divBdr>
        <w:top w:val="none" w:sz="0" w:space="0" w:color="auto"/>
        <w:left w:val="none" w:sz="0" w:space="0" w:color="auto"/>
        <w:bottom w:val="none" w:sz="0" w:space="0" w:color="auto"/>
        <w:right w:val="none" w:sz="0" w:space="0" w:color="auto"/>
      </w:divBdr>
    </w:div>
    <w:div w:id="2034067608">
      <w:bodyDiv w:val="1"/>
      <w:marLeft w:val="0"/>
      <w:marRight w:val="0"/>
      <w:marTop w:val="0"/>
      <w:marBottom w:val="0"/>
      <w:divBdr>
        <w:top w:val="none" w:sz="0" w:space="0" w:color="auto"/>
        <w:left w:val="none" w:sz="0" w:space="0" w:color="auto"/>
        <w:bottom w:val="none" w:sz="0" w:space="0" w:color="auto"/>
        <w:right w:val="none" w:sz="0" w:space="0" w:color="auto"/>
      </w:divBdr>
    </w:div>
    <w:div w:id="2074084746">
      <w:bodyDiv w:val="1"/>
      <w:marLeft w:val="0"/>
      <w:marRight w:val="0"/>
      <w:marTop w:val="0"/>
      <w:marBottom w:val="0"/>
      <w:divBdr>
        <w:top w:val="none" w:sz="0" w:space="0" w:color="auto"/>
        <w:left w:val="none" w:sz="0" w:space="0" w:color="auto"/>
        <w:bottom w:val="none" w:sz="0" w:space="0" w:color="auto"/>
        <w:right w:val="none" w:sz="0" w:space="0" w:color="auto"/>
      </w:divBdr>
    </w:div>
    <w:div w:id="2079013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footer" Target="footer4.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image" Target="media/image23.png"/><Relationship Id="rId54" Type="http://schemas.openxmlformats.org/officeDocument/2006/relationships/header" Target="header6.xml"/><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emf"/><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eader" Target="header5.xml"/><Relationship Id="rId58" Type="http://schemas.openxmlformats.org/officeDocument/2006/relationships/header" Target="header7.xml"/><Relationship Id="rId66" Type="http://schemas.microsoft.com/office/2016/09/relationships/commentsIds" Target="commentsIds.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microsoft.com/office/2007/relationships/hdphoto" Target="media/hdphoto1.wdp"/><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https://www.tga.gov.au" TargetMode="External"/><Relationship Id="rId61" Type="http://schemas.openxmlformats.org/officeDocument/2006/relationships/header" Target="header9.xml"/><Relationship Id="rId10" Type="http://schemas.openxmlformats.org/officeDocument/2006/relationships/hyperlink" Target="mailto:tga.copyright@tga.gov.au" TargetMode="External"/><Relationship Id="rId19" Type="http://schemas.openxmlformats.org/officeDocument/2006/relationships/hyperlink" Target="http://www.tga.gov.au/industry/pm-argpm-guidance-7.htm" TargetMode="External"/><Relationship Id="rId31" Type="http://schemas.openxmlformats.org/officeDocument/2006/relationships/image" Target="media/image13.emf"/><Relationship Id="rId44" Type="http://schemas.openxmlformats.org/officeDocument/2006/relationships/image" Target="media/image26.png"/><Relationship Id="rId52" Type="http://schemas.openxmlformats.org/officeDocument/2006/relationships/header" Target="header4.xml"/><Relationship Id="rId60" Type="http://schemas.openxmlformats.org/officeDocument/2006/relationships/footer" Target="footer5.xml"/><Relationship Id="rId4" Type="http://schemas.openxmlformats.org/officeDocument/2006/relationships/styles" Target="styles.xml"/><Relationship Id="rId9" Type="http://schemas.openxmlformats.org/officeDocument/2006/relationships/hyperlink" Target="https://www.tga.gov.au"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microsoft.com/office/2007/relationships/hdphoto" Target="media/hdphoto2.wdp"/><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mailto:info@tga.gov.au"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tga.gov.au/product-information-pi"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s://www.tga.gov.au/product-information-pi" TargetMode="Externa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eader" Target="header8.xml"/></Relationships>
</file>

<file path=word/_rels/footnotes.xml.rels><?xml version="1.0" encoding="UTF-8" standalone="yes"?>
<Relationships xmlns="http://schemas.openxmlformats.org/package/2006/relationships"><Relationship Id="rId3" Type="http://schemas.openxmlformats.org/officeDocument/2006/relationships/hyperlink" Target="http://www.fda.gov/Drugs/DevelopmentApprovalProcess/DevelopmentResources/uc" TargetMode="External"/><Relationship Id="rId2" Type="http://schemas.openxmlformats.org/officeDocument/2006/relationships/hyperlink" Target="http://www.osteoporosis.org.au/therapeutic-management" TargetMode="External"/><Relationship Id="rId1" Type="http://schemas.openxmlformats.org/officeDocument/2006/relationships/hyperlink" Target="https://www.ema.europa.eu/en/glossary/ich"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82ad3a63-90ad-4a46-a3cb-757f4658e205" origin="userSelected">
  <element uid="6d3ee3d4-0386-4b93-9e57-c14563358695" value=""/>
  <element uid="7349a702-6462-4442-88eb-c64cd513835c" value=""/>
  <element uid="ba0343df-3220-4244-9388-1298e2abc028"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8BDC8-AA41-4B9D-B106-CB202F243B8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2F6589A6-905D-4DDF-BC5D-9B8DA46C0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114</Pages>
  <Words>44415</Words>
  <Characters>253172</Characters>
  <Application>Microsoft Office Word</Application>
  <DocSecurity>0</DocSecurity>
  <Lines>2109</Lines>
  <Paragraphs>593</Paragraphs>
  <ScaleCrop>false</ScaleCrop>
  <HeadingPairs>
    <vt:vector size="2" baseType="variant">
      <vt:variant>
        <vt:lpstr>Title</vt:lpstr>
      </vt:variant>
      <vt:variant>
        <vt:i4>1</vt:i4>
      </vt:variant>
    </vt:vector>
  </HeadingPairs>
  <TitlesOfParts>
    <vt:vector size="1" baseType="lpstr">
      <vt:lpstr>Australian public assessment for Romosozumab</vt:lpstr>
    </vt:vector>
  </TitlesOfParts>
  <Company>Department of Health Therapeutic Goods Administration</Company>
  <LinksUpToDate>false</LinksUpToDate>
  <CharactersWithSpaces>296994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Romosozumab</dc:title>
  <dc:subject>prescription medicines</dc:subject>
  <dc:creator>Therapeutic Goods Administration</dc:creator>
  <cp:keywords>AusPARs</cp:keywords>
  <cp:lastPrinted>2015-09-22T23:39:00Z</cp:lastPrinted>
  <dcterms:created xsi:type="dcterms:W3CDTF">2020-02-12T22:58:00Z</dcterms:created>
  <dcterms:modified xsi:type="dcterms:W3CDTF">2020-02-12T23:24:00Z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83533db0-2195-4686-97be-d696ecbf9e8f</vt:lpwstr>
  </property>
  <property fmtid="{D5CDD505-2E9C-101B-9397-08002B2CF9AE}" pid="3" name="bjSaver">
    <vt:lpwstr>+d8k5nAV6g6BF4paMDffjPbSa6icbAt2</vt:lpwstr>
  </property>
  <property fmtid="{D5CDD505-2E9C-101B-9397-08002B2CF9AE}" pid="4" name="bjDocumentLabelXML">
    <vt:lpwstr>&lt;?xml version="1.0" encoding="us-ascii"?&gt;&lt;sisl xmlns:xsi="http://www.w3.org/2001/XMLSchema-instance" xmlns:xsd="http://www.w3.org/2001/XMLSchema" sislVersion="0" policy="82ad3a63-90ad-4a46-a3cb-757f4658e205" origin="userSelected" xmlns="http://www.boldonj</vt:lpwstr>
  </property>
  <property fmtid="{D5CDD505-2E9C-101B-9397-08002B2CF9AE}" pid="5" name="bjDocumentLabelXML-0">
    <vt:lpwstr>ames.com/2008/01/sie/internal/label"&gt;&lt;element uid="6d3ee3d4-0386-4b93-9e57-c14563358695" value="" /&gt;&lt;element uid="7349a702-6462-4442-88eb-c64cd513835c" value="" /&gt;&lt;element uid="ba0343df-3220-4244-9388-1298e2abc028" value="" /&gt;&lt;/sisl&gt;</vt:lpwstr>
  </property>
  <property fmtid="{D5CDD505-2E9C-101B-9397-08002B2CF9AE}" pid="6" name="bjDocumentSecurityLabel">
    <vt:lpwstr>Confidential - Compliance</vt:lpwstr>
  </property>
</Properties>
</file>