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15C7" w14:textId="7FAFB690" w:rsidR="00A06DFF" w:rsidRPr="00412829" w:rsidRDefault="00A06DFF" w:rsidP="001260FB">
      <w:pPr>
        <w:pStyle w:val="RPI-Text"/>
      </w:pPr>
      <w:r w:rsidRPr="00412829">
        <w:rPr>
          <w:noProof/>
          <w:lang w:eastAsia="en-AU"/>
        </w:rPr>
        <mc:AlternateContent>
          <mc:Choice Requires="wps">
            <w:drawing>
              <wp:inline distT="0" distB="0" distL="0" distR="0" wp14:anchorId="655456F2" wp14:editId="6F98723B">
                <wp:extent cx="252095" cy="252095"/>
                <wp:effectExtent l="0" t="0" r="0" b="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5D294" w14:textId="77777777" w:rsidR="00C65CEF" w:rsidRPr="00BE2A26" w:rsidRDefault="00C65CEF" w:rsidP="00A06DFF">
                            <w:pPr>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55456F2" id="_x0000_t202" coordsize="21600,21600" o:spt="202" path="m,l,21600r21600,l21600,xe">
                <v:stroke joinstyle="miter"/>
                <v:path gradientshapeok="t" o:connecttype="rect"/>
              </v:shapetype>
              <v:shape id="Text Box 8"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lN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CQ8SU10AgAA/gQAAA4AAAAAAAAAAAAA&#10;AAAALgIAAGRycy9lMm9Eb2MueG1sUEsBAi0AFAAGAAgAAAAhAGP1TgzZAAAAAwEAAA8AAAAAAAAA&#10;AAAAAAAAzgQAAGRycy9kb3ducmV2LnhtbFBLBQYAAAAABAAEAPMAAADUBQAAAAA=&#10;" stroked="f">
                <v:textbox inset="0,0,0,0">
                  <w:txbxContent>
                    <w:p w14:paraId="6C45D294" w14:textId="77777777" w:rsidR="00C65CEF" w:rsidRPr="00BE2A26" w:rsidRDefault="00C65CEF" w:rsidP="00A06DFF">
                      <w:pPr>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412829">
        <w:t>This medicinal product</w:t>
      </w:r>
      <w:bookmarkStart w:id="0" w:name="_GoBack"/>
      <w:bookmarkEnd w:id="0"/>
      <w:r w:rsidRPr="00412829">
        <w:t xml:space="preserve"> is subject to additional monitoring in Australia. </w:t>
      </w:r>
      <w:r w:rsidR="00551AB0">
        <w:t xml:space="preserve"> </w:t>
      </w:r>
      <w:r w:rsidRPr="00412829">
        <w:t xml:space="preserve">This will allow quick identification of new safety information. </w:t>
      </w:r>
      <w:r w:rsidR="00551AB0">
        <w:t xml:space="preserve"> </w:t>
      </w:r>
      <w:r w:rsidRPr="00412829">
        <w:t xml:space="preserve">Healthcare professionals are asked to report any suspected adverse events at </w:t>
      </w:r>
      <w:hyperlink r:id="rId13" w:history="1">
        <w:r w:rsidR="002B0940" w:rsidRPr="00E125F8">
          <w:rPr>
            <w:rStyle w:val="Hyperlink"/>
            <w:rFonts w:cs="Arial"/>
            <w:szCs w:val="22"/>
            <w:lang w:val="en-GB"/>
          </w:rPr>
          <w:t>www.tga.gov.au/reporting-problems</w:t>
        </w:r>
      </w:hyperlink>
      <w:r w:rsidRPr="00412829">
        <w:t>.</w:t>
      </w:r>
    </w:p>
    <w:p w14:paraId="12AFF471" w14:textId="540EC5C4" w:rsidR="00EE1D39" w:rsidRPr="00412829" w:rsidRDefault="00EE1D39" w:rsidP="00D54EC4">
      <w:pPr>
        <w:pStyle w:val="RPI-Heading0"/>
        <w:spacing w:line="360" w:lineRule="auto"/>
      </w:pPr>
      <w:r w:rsidRPr="00412829">
        <w:t xml:space="preserve">AUSTRALIAN PI – </w:t>
      </w:r>
      <w:r w:rsidR="0096435C" w:rsidRPr="00412829">
        <w:rPr>
          <w:lang w:val="en-US"/>
        </w:rPr>
        <w:t>EVENITY</w:t>
      </w:r>
      <w:r w:rsidR="0096435C" w:rsidRPr="00412829">
        <w:rPr>
          <w:vertAlign w:val="superscript"/>
          <w:lang w:val="en-US"/>
        </w:rPr>
        <w:t>®</w:t>
      </w:r>
      <w:r w:rsidR="0096435C" w:rsidRPr="00412829">
        <w:rPr>
          <w:lang w:val="en-US"/>
        </w:rPr>
        <w:t xml:space="preserve"> (romosozumab)</w:t>
      </w:r>
      <w:r w:rsidR="00020ACE" w:rsidRPr="00412829">
        <w:rPr>
          <w:lang w:val="en-US"/>
        </w:rPr>
        <w:t xml:space="preserve"> SOLUTION FOR INJECTION</w:t>
      </w:r>
    </w:p>
    <w:p w14:paraId="12AFF472" w14:textId="77777777" w:rsidR="0032608A" w:rsidRPr="00412829" w:rsidRDefault="00403D02" w:rsidP="00ED1C5D">
      <w:pPr>
        <w:pStyle w:val="RPI-Heading1"/>
        <w:spacing w:line="360" w:lineRule="auto"/>
      </w:pPr>
      <w:r w:rsidRPr="00412829">
        <w:t xml:space="preserve">NAME OF THE MEDICINE </w:t>
      </w:r>
    </w:p>
    <w:p w14:paraId="0317AB8C" w14:textId="0AD3BDEA" w:rsidR="00993125" w:rsidRPr="00412829" w:rsidRDefault="00590CCB" w:rsidP="001260FB">
      <w:pPr>
        <w:pStyle w:val="RPI-Text"/>
        <w:rPr>
          <w:b/>
        </w:rPr>
      </w:pPr>
      <w:r w:rsidRPr="00412829">
        <w:t>R</w:t>
      </w:r>
      <w:r w:rsidR="00993125" w:rsidRPr="00412829">
        <w:t>omosozumab.</w:t>
      </w:r>
    </w:p>
    <w:p w14:paraId="09904704" w14:textId="332F3479" w:rsidR="00B421F5" w:rsidRPr="00412829" w:rsidRDefault="00B421F5" w:rsidP="00691395">
      <w:pPr>
        <w:pStyle w:val="RPI-Heading1"/>
        <w:spacing w:line="360" w:lineRule="auto"/>
      </w:pPr>
      <w:r w:rsidRPr="00412829">
        <w:t>QUALITATIVE AND QUANTITATIVE COMPOSITION</w:t>
      </w:r>
    </w:p>
    <w:p w14:paraId="68BC3AB1" w14:textId="0E073FF3" w:rsidR="007A198A" w:rsidRPr="00412829" w:rsidRDefault="007A198A" w:rsidP="001260FB">
      <w:pPr>
        <w:pStyle w:val="RPI-Text"/>
      </w:pPr>
      <w:r w:rsidRPr="00412829">
        <w:t>EVENITY is a sterile, preservative-free solution for injection containing 105</w:t>
      </w:r>
      <w:r w:rsidR="005569B7">
        <w:t> </w:t>
      </w:r>
      <w:r w:rsidRPr="00412829">
        <w:t>mg/1.17</w:t>
      </w:r>
      <w:r w:rsidR="005569B7">
        <w:t> </w:t>
      </w:r>
      <w:r w:rsidRPr="00412829">
        <w:t>mL of romosozumab in pre-filled syringe or pre-filled syringe with autoinjector.</w:t>
      </w:r>
    </w:p>
    <w:p w14:paraId="14E818B1" w14:textId="14DE594A" w:rsidR="0076307C" w:rsidRPr="00412829" w:rsidRDefault="0076307C" w:rsidP="001260FB">
      <w:pPr>
        <w:pStyle w:val="RPI-Text"/>
        <w:rPr>
          <w:lang w:val="en-GB"/>
        </w:rPr>
      </w:pPr>
      <w:r w:rsidRPr="00412829">
        <w:rPr>
          <w:lang w:val="en-GB"/>
        </w:rPr>
        <w:t>For a full list of excipients, see Section 6.1 List of excipients.</w:t>
      </w:r>
    </w:p>
    <w:p w14:paraId="05276742" w14:textId="77777777" w:rsidR="00A6256A" w:rsidRPr="00412829" w:rsidRDefault="00A6256A" w:rsidP="00ED1C5D">
      <w:pPr>
        <w:pStyle w:val="RPI-Heading1"/>
        <w:spacing w:line="360" w:lineRule="auto"/>
      </w:pPr>
      <w:r w:rsidRPr="00412829">
        <w:t>PHARMACEUTICAL FORM</w:t>
      </w:r>
    </w:p>
    <w:p w14:paraId="63ABA0D3" w14:textId="5AF31E5F" w:rsidR="00155672" w:rsidRPr="00412829" w:rsidRDefault="00155672" w:rsidP="001260FB">
      <w:pPr>
        <w:pStyle w:val="RPI-Text"/>
      </w:pPr>
      <w:r w:rsidRPr="00412829">
        <w:t>Solution for Injection.</w:t>
      </w:r>
    </w:p>
    <w:p w14:paraId="53B0EFB8" w14:textId="0C9EAD61" w:rsidR="00A6256A" w:rsidRPr="00412829" w:rsidRDefault="00A6256A" w:rsidP="001260FB">
      <w:pPr>
        <w:pStyle w:val="RPI-Text"/>
      </w:pPr>
      <w:r w:rsidRPr="00412829">
        <w:t>EVENITY is a sterile, preservative-free, clear to opalescent, colourless to light yellow solution, pH 5.2.</w:t>
      </w:r>
    </w:p>
    <w:p w14:paraId="12AFF481" w14:textId="77777777" w:rsidR="0032608A" w:rsidRPr="00412829" w:rsidRDefault="0032608A" w:rsidP="00ED1C5D">
      <w:pPr>
        <w:pStyle w:val="RPI-Heading1"/>
        <w:spacing w:line="360" w:lineRule="auto"/>
      </w:pPr>
      <w:r w:rsidRPr="00412829">
        <w:t>CLINICAL PARTICULARS</w:t>
      </w:r>
    </w:p>
    <w:p w14:paraId="12AFF482" w14:textId="77777777" w:rsidR="0032608A" w:rsidRPr="00412829" w:rsidRDefault="0032608A" w:rsidP="00ED1C5D">
      <w:pPr>
        <w:pStyle w:val="RPI-Heading2"/>
        <w:tabs>
          <w:tab w:val="clear" w:pos="1440"/>
          <w:tab w:val="num" w:pos="1418"/>
        </w:tabs>
        <w:spacing w:line="360" w:lineRule="auto"/>
        <w:ind w:left="1418" w:hanging="1418"/>
      </w:pPr>
      <w:r w:rsidRPr="00412829">
        <w:t>Therapeutic indications</w:t>
      </w:r>
    </w:p>
    <w:p w14:paraId="430518CA" w14:textId="6E0F068E" w:rsidR="0094610D" w:rsidRPr="00412829" w:rsidRDefault="0094610D" w:rsidP="001260FB">
      <w:pPr>
        <w:pStyle w:val="RPI-Text"/>
        <w:rPr>
          <w:rFonts w:cs="Arial"/>
        </w:rPr>
      </w:pPr>
      <w:r w:rsidRPr="00412829">
        <w:t>EVENITY is indicated for the treatment of osteoporosis in postmenopausal women</w:t>
      </w:r>
      <w:r w:rsidR="00FA196E" w:rsidRPr="00412829">
        <w:t xml:space="preserve"> </w:t>
      </w:r>
      <w:r w:rsidRPr="00412829">
        <w:t xml:space="preserve">at </w:t>
      </w:r>
      <w:r w:rsidR="002568A1" w:rsidRPr="00412829">
        <w:t xml:space="preserve">high </w:t>
      </w:r>
      <w:r w:rsidRPr="00412829">
        <w:t>risk of fracture</w:t>
      </w:r>
      <w:r w:rsidR="00FA196E" w:rsidRPr="00412829">
        <w:t xml:space="preserve"> (</w:t>
      </w:r>
      <w:r w:rsidR="002B0940">
        <w:t>see</w:t>
      </w:r>
      <w:r w:rsidR="002B0940" w:rsidRPr="00412829">
        <w:t xml:space="preserve"> </w:t>
      </w:r>
      <w:r w:rsidR="00FA196E" w:rsidRPr="00412829">
        <w:t xml:space="preserve">Section 5.1 </w:t>
      </w:r>
      <w:r w:rsidR="002B0940">
        <w:t xml:space="preserve">Pharmacodynamic properties, </w:t>
      </w:r>
      <w:r w:rsidR="00FA196E" w:rsidRPr="00412829">
        <w:t>Clinical tr</w:t>
      </w:r>
      <w:r w:rsidR="00AB1FB4" w:rsidRPr="00412829">
        <w:t>ia</w:t>
      </w:r>
      <w:r w:rsidR="00FA196E" w:rsidRPr="00412829">
        <w:t>ls)</w:t>
      </w:r>
      <w:r w:rsidRPr="00412829">
        <w:t>.</w:t>
      </w:r>
    </w:p>
    <w:p w14:paraId="1532E207" w14:textId="7EB8AB3A" w:rsidR="00172892" w:rsidRPr="00412829" w:rsidRDefault="00172892" w:rsidP="001260FB">
      <w:pPr>
        <w:pStyle w:val="RPI-Text"/>
        <w:rPr>
          <w:rFonts w:eastAsia="Calibri" w:cs="Arial"/>
        </w:rPr>
      </w:pPr>
      <w:r w:rsidRPr="00412829">
        <w:rPr>
          <w:rFonts w:cs="Arial"/>
        </w:rPr>
        <w:t>Treatment to increase bone mass in men with osteoporosis at high risk of fracture.</w:t>
      </w:r>
    </w:p>
    <w:p w14:paraId="12AFF485" w14:textId="77777777" w:rsidR="0032608A" w:rsidRPr="00412829" w:rsidRDefault="0032608A" w:rsidP="00ED1C5D">
      <w:pPr>
        <w:pStyle w:val="RPI-Heading2"/>
        <w:tabs>
          <w:tab w:val="clear" w:pos="1440"/>
          <w:tab w:val="num" w:pos="1418"/>
        </w:tabs>
        <w:spacing w:line="360" w:lineRule="auto"/>
      </w:pPr>
      <w:r w:rsidRPr="00412829">
        <w:t>Dose and method of administration</w:t>
      </w:r>
    </w:p>
    <w:p w14:paraId="12AFF486" w14:textId="680EC089" w:rsidR="00C34655" w:rsidRPr="00412829" w:rsidRDefault="00640303" w:rsidP="00500389">
      <w:pPr>
        <w:pStyle w:val="RPI-Heading3"/>
      </w:pPr>
      <w:r w:rsidRPr="00412829">
        <w:t>Dosage</w:t>
      </w:r>
      <w:r w:rsidR="00892BA1" w:rsidRPr="00412829">
        <w:t xml:space="preserve"> (dose and interval)</w:t>
      </w:r>
      <w:r w:rsidRPr="00412829">
        <w:t xml:space="preserve"> </w:t>
      </w:r>
    </w:p>
    <w:p w14:paraId="5734BDD1" w14:textId="645C9200" w:rsidR="009E4232" w:rsidRPr="00412829" w:rsidRDefault="00285750" w:rsidP="001260FB">
      <w:pPr>
        <w:pStyle w:val="RPI-Text"/>
      </w:pPr>
      <w:r w:rsidRPr="00412829">
        <w:t>The recommended dose of EVENITY is 210 mg administered subcutaneously.</w:t>
      </w:r>
      <w:r w:rsidRPr="00412829">
        <w:rPr>
          <w:bCs/>
        </w:rPr>
        <w:t xml:space="preserve">  </w:t>
      </w:r>
      <w:r w:rsidRPr="00412829">
        <w:t>To administer the 210 mg dose, give 2 subcutaneous injections of EVENITY.  Administer EVENITY once every month for 12 doses.</w:t>
      </w:r>
    </w:p>
    <w:p w14:paraId="4E59FED0" w14:textId="18CD8FF6" w:rsidR="004D168C" w:rsidRPr="00412829" w:rsidRDefault="004D168C" w:rsidP="001260FB">
      <w:pPr>
        <w:pStyle w:val="RPI-Text"/>
      </w:pPr>
      <w:bookmarkStart w:id="1" w:name="_Hlk524275070"/>
      <w:r w:rsidRPr="00412829">
        <w:lastRenderedPageBreak/>
        <w:t>After completing EVENITY therapy, transition to an antiresorptive osteoporosis therapy is required to preserve bone mass (see section 5.1 Pharmacodynamic properties, Pharmacodynamics and Clinical trials).</w:t>
      </w:r>
    </w:p>
    <w:bookmarkEnd w:id="1"/>
    <w:p w14:paraId="73F4F73D" w14:textId="1D62E840" w:rsidR="0009506F" w:rsidRPr="00412829" w:rsidRDefault="0009506F" w:rsidP="001260FB">
      <w:pPr>
        <w:pStyle w:val="RPI-Text"/>
      </w:pPr>
      <w:r w:rsidRPr="00412829">
        <w:t xml:space="preserve">The efficacy and safety of </w:t>
      </w:r>
      <w:r w:rsidR="009E4232" w:rsidRPr="00412829">
        <w:t xml:space="preserve">treatment with </w:t>
      </w:r>
      <w:r w:rsidRPr="00412829">
        <w:t xml:space="preserve">EVENITY </w:t>
      </w:r>
      <w:r w:rsidR="009E4232" w:rsidRPr="00412829">
        <w:t>for longer than</w:t>
      </w:r>
      <w:r w:rsidRPr="00412829">
        <w:t xml:space="preserve"> 12 months has not been established.</w:t>
      </w:r>
    </w:p>
    <w:p w14:paraId="1E23ED1B" w14:textId="5716E34B" w:rsidR="00285750" w:rsidRPr="00412829" w:rsidRDefault="00285750" w:rsidP="001260FB">
      <w:pPr>
        <w:pStyle w:val="RPI-Text"/>
      </w:pPr>
      <w:r w:rsidRPr="00412829">
        <w:t xml:space="preserve">To reduce the risk of hypocalcaemia, patients should be adequately supplemented with calcium and vitamin D (see </w:t>
      </w:r>
      <w:r w:rsidR="009632E7" w:rsidRPr="00412829">
        <w:t xml:space="preserve">sections 4.3 </w:t>
      </w:r>
      <w:r w:rsidR="00C232BA" w:rsidRPr="00412829">
        <w:t>C</w:t>
      </w:r>
      <w:r w:rsidR="009632E7" w:rsidRPr="00412829">
        <w:t>ontraindications</w:t>
      </w:r>
      <w:r w:rsidRPr="00412829">
        <w:t xml:space="preserve">, </w:t>
      </w:r>
      <w:r w:rsidR="00232428" w:rsidRPr="00412829">
        <w:t>4.4 Special warnings and precautions for use</w:t>
      </w:r>
      <w:r w:rsidRPr="00412829">
        <w:t xml:space="preserve">, and </w:t>
      </w:r>
      <w:r w:rsidR="00095A6A" w:rsidRPr="00412829">
        <w:t>5.1 Pharmacodynamic properties</w:t>
      </w:r>
      <w:r w:rsidR="005C5A57" w:rsidRPr="00412829">
        <w:t>,</w:t>
      </w:r>
      <w:r w:rsidR="0095663F" w:rsidRPr="00412829">
        <w:t xml:space="preserve"> Clinical trials</w:t>
      </w:r>
      <w:r w:rsidRPr="00412829">
        <w:t>).</w:t>
      </w:r>
    </w:p>
    <w:p w14:paraId="4E1B7483" w14:textId="1CF0C783" w:rsidR="004D168C" w:rsidRPr="00412829" w:rsidRDefault="00285750" w:rsidP="001260FB">
      <w:pPr>
        <w:pStyle w:val="RPI-Text"/>
      </w:pPr>
      <w:r w:rsidRPr="00412829">
        <w:t>If the EVENITY dose is missed, administer as soon as it can be rescheduled.  Thereafter, EVENITY can be scheduled every month from the date of the last dose.</w:t>
      </w:r>
    </w:p>
    <w:p w14:paraId="19AAA687" w14:textId="6FC0AF8C" w:rsidR="004941FD" w:rsidRPr="00412829" w:rsidRDefault="004941FD" w:rsidP="001260FB">
      <w:pPr>
        <w:pStyle w:val="RPI-Text"/>
        <w:rPr>
          <w:lang w:val="en-US"/>
        </w:rPr>
      </w:pPr>
      <w:r w:rsidRPr="00412829">
        <w:t>The efficacy and safety of EVENITY in combination with other osteoporosis treatments has not been established</w:t>
      </w:r>
      <w:r w:rsidR="001B244E" w:rsidRPr="00412829">
        <w:t xml:space="preserve"> (see section 4.5 Interaction with other medicines and other forms of interaction).</w:t>
      </w:r>
    </w:p>
    <w:p w14:paraId="12AFF48A" w14:textId="2A185215" w:rsidR="00C34655" w:rsidRPr="00412829" w:rsidRDefault="00C34655" w:rsidP="0054201D">
      <w:pPr>
        <w:pStyle w:val="RPI-Heading3"/>
      </w:pPr>
      <w:r w:rsidRPr="00412829">
        <w:t>Method of administration</w:t>
      </w:r>
    </w:p>
    <w:p w14:paraId="29F9F1A8" w14:textId="77777777" w:rsidR="003430E7" w:rsidRPr="00412829" w:rsidRDefault="003430E7" w:rsidP="001260FB">
      <w:pPr>
        <w:pStyle w:val="RPI-Text"/>
      </w:pPr>
      <w:r w:rsidRPr="00412829">
        <w:t>Administration should be performed by an individual who has been adequately trained in injection techniques.</w:t>
      </w:r>
    </w:p>
    <w:p w14:paraId="79147385" w14:textId="094B04D4" w:rsidR="00F54F4A" w:rsidRPr="00412829" w:rsidRDefault="00F54F4A" w:rsidP="001260FB">
      <w:pPr>
        <w:pStyle w:val="RPI-Text"/>
      </w:pPr>
      <w:r w:rsidRPr="00412829">
        <w:t>To avoid discomfort at the site of injection, allow EVENITY to sit at room temperature for at least 30 minutes before injecting.  Do not warm in any other way.  Visually inspect the solution for particles and discolo</w:t>
      </w:r>
      <w:r w:rsidR="00DD446D" w:rsidRPr="00412829">
        <w:t>u</w:t>
      </w:r>
      <w:r w:rsidRPr="00412829">
        <w:t>ration prior to administration.  Do not use if the solution is discolo</w:t>
      </w:r>
      <w:r w:rsidR="001F5EA8" w:rsidRPr="00412829">
        <w:t>u</w:t>
      </w:r>
      <w:r w:rsidRPr="00412829">
        <w:t xml:space="preserve">red, cloudy, or contains particles. </w:t>
      </w:r>
      <w:r w:rsidR="00E17A66" w:rsidRPr="00412829">
        <w:t xml:space="preserve"> </w:t>
      </w:r>
      <w:r w:rsidRPr="00412829">
        <w:t>Inject the entire contents of the pre-filled syringe.</w:t>
      </w:r>
    </w:p>
    <w:p w14:paraId="20A09FCB" w14:textId="13904335" w:rsidR="00F54F4A" w:rsidRPr="00412829" w:rsidRDefault="00F54F4A" w:rsidP="001260FB">
      <w:pPr>
        <w:pStyle w:val="RPI-Text"/>
      </w:pPr>
      <w:r w:rsidRPr="00412829">
        <w:t>Administer EVENITY in the abdomen, thigh, or upper arm subcutaneously.  If using the same injection site, make sure it is not the same place on the injection site you used for a previous injection.  Do not inject into areas where the skin is tender, bruised, red, or hard.</w:t>
      </w:r>
    </w:p>
    <w:p w14:paraId="206F0E17" w14:textId="0D558845" w:rsidR="007A446C" w:rsidRPr="00412829" w:rsidRDefault="007A446C" w:rsidP="001260FB">
      <w:pPr>
        <w:pStyle w:val="RPI-Text"/>
      </w:pPr>
      <w:r w:rsidRPr="00412829">
        <w:t>EVENITY is for single-use in one patient only.  Dispose of any unused medicinal product</w:t>
      </w:r>
      <w:r w:rsidR="00954F45" w:rsidRPr="00412829">
        <w:t xml:space="preserve"> (see section 4.6 Special precautions for disposal)</w:t>
      </w:r>
      <w:r w:rsidRPr="00412829">
        <w:t>.</w:t>
      </w:r>
    </w:p>
    <w:p w14:paraId="780A1EC7" w14:textId="294552F4" w:rsidR="00DE5549" w:rsidRPr="00412829" w:rsidRDefault="00DE5549" w:rsidP="00C247EE">
      <w:pPr>
        <w:pStyle w:val="RPI-Heading3"/>
        <w:suppressAutoHyphens w:val="0"/>
      </w:pPr>
      <w:r w:rsidRPr="00412829">
        <w:lastRenderedPageBreak/>
        <w:t>Dosage adjustment</w:t>
      </w:r>
    </w:p>
    <w:p w14:paraId="75A32958" w14:textId="05803E5A" w:rsidR="00DE5549" w:rsidRPr="00412829" w:rsidRDefault="00DE5549" w:rsidP="00C247EE">
      <w:pPr>
        <w:pStyle w:val="RPI-Heading4"/>
      </w:pPr>
      <w:r w:rsidRPr="00412829">
        <w:t>Renal impairment</w:t>
      </w:r>
    </w:p>
    <w:p w14:paraId="016B72EE" w14:textId="77777777" w:rsidR="00C247EE" w:rsidRPr="00412829" w:rsidRDefault="00C247EE" w:rsidP="001260FB">
      <w:pPr>
        <w:pStyle w:val="RPI-Text"/>
      </w:pPr>
      <w:r w:rsidRPr="00412829">
        <w:t>No dose adjustment is required in patients with renal impairment.</w:t>
      </w:r>
    </w:p>
    <w:p w14:paraId="12AFF494" w14:textId="77777777" w:rsidR="0032608A" w:rsidRPr="00412829" w:rsidRDefault="0032608A" w:rsidP="00691395">
      <w:pPr>
        <w:pStyle w:val="RPI-Heading2"/>
        <w:spacing w:line="360" w:lineRule="auto"/>
      </w:pPr>
      <w:r w:rsidRPr="00412829">
        <w:t>Contraindications</w:t>
      </w:r>
    </w:p>
    <w:p w14:paraId="6773C5FE" w14:textId="52F7F17E" w:rsidR="00557016" w:rsidRPr="00412829" w:rsidRDefault="00557016" w:rsidP="001260FB">
      <w:pPr>
        <w:pStyle w:val="RPI-Text"/>
        <w:rPr>
          <w:b/>
          <w:i/>
        </w:rPr>
      </w:pPr>
      <w:r w:rsidRPr="00412829">
        <w:t>Uncorrected hypocalcaemia (</w:t>
      </w:r>
      <w:r w:rsidR="00352DA1" w:rsidRPr="00412829">
        <w:t>s</w:t>
      </w:r>
      <w:r w:rsidRPr="00412829">
        <w:t xml:space="preserve">ee </w:t>
      </w:r>
      <w:r w:rsidR="006935A5" w:rsidRPr="00412829">
        <w:t>section</w:t>
      </w:r>
      <w:r w:rsidR="007B366B" w:rsidRPr="00412829">
        <w:t>s</w:t>
      </w:r>
      <w:r w:rsidR="006935A5" w:rsidRPr="00412829">
        <w:t xml:space="preserve"> 4.4 Special warnings and precautions for use</w:t>
      </w:r>
      <w:r w:rsidRPr="00412829">
        <w:t xml:space="preserve"> and </w:t>
      </w:r>
      <w:r w:rsidR="0041105E" w:rsidRPr="00412829">
        <w:t>4.8 Adverse effects</w:t>
      </w:r>
      <w:r w:rsidR="008C7C2F" w:rsidRPr="00412829">
        <w:t xml:space="preserve"> (Undesirable effects</w:t>
      </w:r>
      <w:r w:rsidRPr="00412829">
        <w:t>)</w:t>
      </w:r>
      <w:r w:rsidR="002B0940">
        <w:t>)</w:t>
      </w:r>
      <w:r w:rsidRPr="00412829">
        <w:t>.</w:t>
      </w:r>
    </w:p>
    <w:p w14:paraId="5F7F89DF" w14:textId="208346A1" w:rsidR="00557016" w:rsidRPr="00412829" w:rsidRDefault="00557016" w:rsidP="001260FB">
      <w:pPr>
        <w:pStyle w:val="RPI-Text"/>
        <w:rPr>
          <w:b/>
        </w:rPr>
      </w:pPr>
      <w:r w:rsidRPr="00412829">
        <w:t xml:space="preserve">Known hypersensitivity to romosozumab, CHO-derived proteins or any of the excipients found in EVENITY </w:t>
      </w:r>
      <w:r w:rsidRPr="00412829">
        <w:rPr>
          <w:color w:val="000000"/>
        </w:rPr>
        <w:t xml:space="preserve">(see </w:t>
      </w:r>
      <w:r w:rsidR="00145BD9" w:rsidRPr="00412829">
        <w:rPr>
          <w:color w:val="000000"/>
        </w:rPr>
        <w:t>section</w:t>
      </w:r>
      <w:r w:rsidR="00DA4376" w:rsidRPr="00412829">
        <w:rPr>
          <w:color w:val="000000"/>
        </w:rPr>
        <w:t xml:space="preserve"> </w:t>
      </w:r>
      <w:r w:rsidR="00DA4376" w:rsidRPr="00412829">
        <w:rPr>
          <w:color w:val="000000"/>
          <w:lang w:val="en-GB"/>
        </w:rPr>
        <w:t>6.1 List of excipients</w:t>
      </w:r>
      <w:r w:rsidRPr="00412829">
        <w:rPr>
          <w:color w:val="000000"/>
        </w:rPr>
        <w:t>).</w:t>
      </w:r>
    </w:p>
    <w:p w14:paraId="12AFF497" w14:textId="77777777" w:rsidR="0032608A" w:rsidRPr="00412829" w:rsidRDefault="0032608A" w:rsidP="00ED1C5D">
      <w:pPr>
        <w:pStyle w:val="RPI-Heading2"/>
        <w:tabs>
          <w:tab w:val="clear" w:pos="1440"/>
          <w:tab w:val="num" w:pos="1418"/>
        </w:tabs>
        <w:spacing w:line="360" w:lineRule="auto"/>
      </w:pPr>
      <w:r w:rsidRPr="00412829">
        <w:t>Special warnings and precautions for use</w:t>
      </w:r>
    </w:p>
    <w:p w14:paraId="1BEFBE1D" w14:textId="77777777" w:rsidR="00FC5FF4" w:rsidRPr="00412829" w:rsidRDefault="00FC5FF4" w:rsidP="000A564B">
      <w:pPr>
        <w:pStyle w:val="RPI-Heading3"/>
        <w:rPr>
          <w:b/>
          <w:snapToGrid w:val="0"/>
        </w:rPr>
      </w:pPr>
      <w:r w:rsidRPr="00412829">
        <w:rPr>
          <w:snapToGrid w:val="0"/>
        </w:rPr>
        <w:t>Hypocalcaemia</w:t>
      </w:r>
    </w:p>
    <w:p w14:paraId="3D802930" w14:textId="00936723" w:rsidR="00E60A41" w:rsidRPr="00412829" w:rsidRDefault="00E60A41" w:rsidP="001260FB">
      <w:pPr>
        <w:pStyle w:val="RPI-Text"/>
      </w:pPr>
      <w:r w:rsidRPr="00412829">
        <w:t>Transient hypocalc</w:t>
      </w:r>
      <w:r w:rsidR="00A4732E" w:rsidRPr="00412829">
        <w:t>a</w:t>
      </w:r>
      <w:r w:rsidRPr="00412829">
        <w:t>emia has been observed in patients receiving EVENITY.  Correct hypocalc</w:t>
      </w:r>
      <w:r w:rsidR="00B60983" w:rsidRPr="00412829">
        <w:t>a</w:t>
      </w:r>
      <w:r w:rsidRPr="00412829">
        <w:t xml:space="preserve">emia prior to initiating therapy with EVENITY (see </w:t>
      </w:r>
      <w:r w:rsidR="00D8224B" w:rsidRPr="00412829">
        <w:rPr>
          <w:lang w:val="en-US"/>
        </w:rPr>
        <w:t>sections 4.3 Contraindications</w:t>
      </w:r>
      <w:r w:rsidRPr="00412829">
        <w:t xml:space="preserve"> and </w:t>
      </w:r>
      <w:r w:rsidR="00D8224B" w:rsidRPr="00412829">
        <w:t xml:space="preserve">4.8 </w:t>
      </w:r>
      <w:r w:rsidR="00D8224B" w:rsidRPr="00412829">
        <w:rPr>
          <w:lang w:val="en-US"/>
        </w:rPr>
        <w:t>Adverse effects</w:t>
      </w:r>
      <w:r w:rsidR="00E70294" w:rsidRPr="00412829">
        <w:rPr>
          <w:lang w:val="en-US"/>
        </w:rPr>
        <w:t xml:space="preserve"> </w:t>
      </w:r>
      <w:r w:rsidR="00E70294" w:rsidRPr="00412829">
        <w:t>(Undesirable effects)</w:t>
      </w:r>
      <w:r w:rsidRPr="00412829">
        <w:t xml:space="preserve">). </w:t>
      </w:r>
    </w:p>
    <w:p w14:paraId="78B8EEC6" w14:textId="31E85314" w:rsidR="00E60A41" w:rsidRPr="00412829" w:rsidRDefault="00E60A41" w:rsidP="001260FB">
      <w:pPr>
        <w:pStyle w:val="RPI-Text"/>
      </w:pPr>
      <w:r w:rsidRPr="00412829">
        <w:t xml:space="preserve">Monitor patients for signs and symptoms of hypocalcaemia.  Patients should be adequately supplemented with calcium and vitamin D (see </w:t>
      </w:r>
      <w:r w:rsidR="005F5D64" w:rsidRPr="00412829">
        <w:t xml:space="preserve">section </w:t>
      </w:r>
      <w:r w:rsidR="005F5D64" w:rsidRPr="00412829">
        <w:rPr>
          <w:lang w:val="en-US"/>
        </w:rPr>
        <w:t>5.1 Pharmacodynamic properties, Clinical trials</w:t>
      </w:r>
      <w:r w:rsidRPr="00412829">
        <w:t>).</w:t>
      </w:r>
    </w:p>
    <w:p w14:paraId="37DE602D" w14:textId="77777777" w:rsidR="00661727" w:rsidRPr="00412829" w:rsidRDefault="00661727" w:rsidP="00A334DD">
      <w:pPr>
        <w:pStyle w:val="RPI-Heading3"/>
      </w:pPr>
      <w:r w:rsidRPr="00412829">
        <w:t>Hypersensitivity</w:t>
      </w:r>
    </w:p>
    <w:p w14:paraId="691C6D65" w14:textId="538C962B" w:rsidR="00661727" w:rsidRPr="00412829" w:rsidRDefault="00661727" w:rsidP="006E1F9A">
      <w:pPr>
        <w:pStyle w:val="RPI-Text"/>
      </w:pPr>
      <w:r w:rsidRPr="00412829">
        <w:t xml:space="preserve">Clinically significant hypersensitivity reactions, including angioedema, erythema multiforme, and urticaria occurred in the EVENITY group in clinical trials.  If an anaphylactic or other clinically significant allergic reaction occurs, initiate appropriate therapy and discontinue further use of EVENITY (see </w:t>
      </w:r>
      <w:r w:rsidR="0015539B" w:rsidRPr="00412829">
        <w:rPr>
          <w:lang w:val="en-US"/>
        </w:rPr>
        <w:t>sections 4.3 Contraindications</w:t>
      </w:r>
      <w:r w:rsidRPr="00412829">
        <w:t xml:space="preserve"> and </w:t>
      </w:r>
      <w:r w:rsidR="0015539B" w:rsidRPr="00412829">
        <w:rPr>
          <w:lang w:val="en-US"/>
        </w:rPr>
        <w:t>4.8 Adverse effects</w:t>
      </w:r>
      <w:r w:rsidR="005B7A37" w:rsidRPr="00412829">
        <w:rPr>
          <w:lang w:val="en-US"/>
        </w:rPr>
        <w:t xml:space="preserve"> </w:t>
      </w:r>
      <w:r w:rsidR="005B7A37" w:rsidRPr="00412829">
        <w:t>(Undesirable effects)</w:t>
      </w:r>
      <w:r w:rsidRPr="00412829">
        <w:t>).</w:t>
      </w:r>
    </w:p>
    <w:p w14:paraId="71872B60" w14:textId="4F26FE13" w:rsidR="00675D10" w:rsidRPr="00412829" w:rsidRDefault="004864F6" w:rsidP="00A334DD">
      <w:pPr>
        <w:pStyle w:val="RPI-Heading3"/>
      </w:pPr>
      <w:r>
        <w:t>Myocardi</w:t>
      </w:r>
      <w:r w:rsidR="00C53A5E">
        <w:t>al infarction and stroke</w:t>
      </w:r>
    </w:p>
    <w:p w14:paraId="4B7BF145" w14:textId="1EA1AB3F" w:rsidR="006E1F9A" w:rsidRPr="00412829" w:rsidRDefault="00675D10" w:rsidP="00FB0840">
      <w:pPr>
        <w:pStyle w:val="RPI-Text"/>
      </w:pPr>
      <w:r w:rsidRPr="00412829">
        <w:t xml:space="preserve">In two large, controlled fracture trials of EVENITY for the treatment of osteoporosis in postmenopausal women, cardiovascular events </w:t>
      </w:r>
      <w:r w:rsidR="00C53A5E">
        <w:t xml:space="preserve">of myocardial infarction (MI) and stroke </w:t>
      </w:r>
      <w:r w:rsidRPr="00412829">
        <w:t xml:space="preserve">were prospectively adjudicated.  </w:t>
      </w:r>
    </w:p>
    <w:p w14:paraId="6CE3C71F" w14:textId="111E8117" w:rsidR="006E1F9A" w:rsidRPr="00412829" w:rsidRDefault="006E1F9A" w:rsidP="00FB0840">
      <w:pPr>
        <w:pStyle w:val="RPI-Text"/>
      </w:pPr>
      <w:r w:rsidRPr="00412829">
        <w:t>During the 12</w:t>
      </w:r>
      <w:r w:rsidRPr="00412829">
        <w:noBreakHyphen/>
        <w:t>month double</w:t>
      </w:r>
      <w:r w:rsidRPr="00412829">
        <w:noBreakHyphen/>
        <w:t>blind treatment period of the active</w:t>
      </w:r>
      <w:r w:rsidRPr="00412829">
        <w:noBreakHyphen/>
        <w:t xml:space="preserve">controlled trial (ARCH), MI occurred in 16 women (0.8%) in the EVENITY arm and 5 (0.2%) in the alendronate </w:t>
      </w:r>
      <w:r w:rsidRPr="00412829">
        <w:lastRenderedPageBreak/>
        <w:t xml:space="preserve">arm; stroke occurred in 13 women (0.6%) in the EVENITY arm and 7 (0.3%) in the alendronate arm. </w:t>
      </w:r>
      <w:r w:rsidR="00B566B3">
        <w:t xml:space="preserve"> </w:t>
      </w:r>
      <w:r w:rsidRPr="00412829">
        <w:t>These events occurred in patients with and without a history of MI or stroke.</w:t>
      </w:r>
    </w:p>
    <w:p w14:paraId="5EE29A04" w14:textId="5B2061D2" w:rsidR="006E1F9A" w:rsidRPr="00412829" w:rsidRDefault="006E1F9A" w:rsidP="00FB0840">
      <w:pPr>
        <w:pStyle w:val="RPI-Text"/>
        <w:rPr>
          <w:color w:val="000000"/>
        </w:rPr>
      </w:pPr>
      <w:r w:rsidRPr="00412829">
        <w:t>During the 12</w:t>
      </w:r>
      <w:r w:rsidRPr="00412829">
        <w:noBreakHyphen/>
        <w:t>month double</w:t>
      </w:r>
      <w:r w:rsidRPr="00412829">
        <w:noBreakHyphen/>
        <w:t>blind treatment period of the placebo</w:t>
      </w:r>
      <w:r w:rsidRPr="00412829">
        <w:noBreakHyphen/>
        <w:t>controlled trial (FRAME), MI occurred in 9 women (0.3%) in the EVENITY arm and 8 (0.2%) in the placebo arm; stroke occurred in 8 women (0.2%) in the EVENITY arm and 10 (0.3%) in the placebo arm</w:t>
      </w:r>
      <w:r w:rsidRPr="00412829">
        <w:rPr>
          <w:i/>
          <w:iCs/>
        </w:rPr>
        <w:t>.</w:t>
      </w:r>
      <w:r w:rsidRPr="00412829">
        <w:t xml:space="preserve"> </w:t>
      </w:r>
      <w:r w:rsidR="00FF135E">
        <w:t xml:space="preserve"> </w:t>
      </w:r>
      <w:r w:rsidRPr="00412829">
        <w:t>These events occurred in patients with and without a history of MI or stroke.</w:t>
      </w:r>
    </w:p>
    <w:p w14:paraId="324CF406" w14:textId="04559A12" w:rsidR="00001FDA" w:rsidRDefault="00675D10" w:rsidP="001260FB">
      <w:pPr>
        <w:pStyle w:val="RPI-Text"/>
      </w:pPr>
      <w:r w:rsidRPr="00412829">
        <w:t>A causal relationship between EVENITY and these events has not been established.  In both trials, most participants had common risk factors for cardiovascular disease, and within each trial, cardiovascular risk factors were balanced between treatment arms.</w:t>
      </w:r>
      <w:r w:rsidR="00001FDA">
        <w:t xml:space="preserve"> </w:t>
      </w:r>
      <w:r w:rsidR="00FF135E">
        <w:t xml:space="preserve"> </w:t>
      </w:r>
      <w:r w:rsidR="00001FDA">
        <w:t xml:space="preserve">EVENITY </w:t>
      </w:r>
      <w:r w:rsidR="00677687">
        <w:t>s</w:t>
      </w:r>
      <w:r w:rsidR="00001FDA">
        <w:t>hould not be initiated in patients who have had a myocardial infarction or stroke within the preceding year.</w:t>
      </w:r>
      <w:r w:rsidRPr="00412829">
        <w:t xml:space="preserve"> </w:t>
      </w:r>
    </w:p>
    <w:p w14:paraId="04BA6BDD" w14:textId="630463C7" w:rsidR="00675D10" w:rsidRPr="00412829" w:rsidRDefault="00C53A5E" w:rsidP="001260FB">
      <w:pPr>
        <w:pStyle w:val="RPI-Text"/>
      </w:pPr>
      <w:r>
        <w:t xml:space="preserve">Consider the benefit-risk in patients at increased risk for MI or stroke. </w:t>
      </w:r>
      <w:r w:rsidR="00FF135E">
        <w:t xml:space="preserve"> </w:t>
      </w:r>
      <w:r>
        <w:t>Patients should be instructed to watch for symptoms of MI and stroke and to seek prompt medical attention if symptoms occur.</w:t>
      </w:r>
    </w:p>
    <w:p w14:paraId="1F0B1A50" w14:textId="5CAC47CD" w:rsidR="006A4C70" w:rsidRPr="00412829" w:rsidRDefault="006A4C70" w:rsidP="001260FB">
      <w:pPr>
        <w:pStyle w:val="RPI-Text"/>
      </w:pPr>
      <w:r w:rsidRPr="00412829">
        <w:t xml:space="preserve">Cardiovascular risk factors should be assessed by the treating physician prior to treatment. </w:t>
      </w:r>
      <w:r w:rsidR="00FF135E">
        <w:t xml:space="preserve"> </w:t>
      </w:r>
      <w:r w:rsidRPr="00412829">
        <w:t>A patient’s suitability for treatment should be based on individual benefit</w:t>
      </w:r>
      <w:r w:rsidR="00FB0840">
        <w:t>-</w:t>
      </w:r>
      <w:r w:rsidRPr="00412829">
        <w:t>risk assessment.</w:t>
      </w:r>
    </w:p>
    <w:p w14:paraId="1B73E0F9" w14:textId="29638CDA" w:rsidR="00F06026" w:rsidRPr="00412829" w:rsidRDefault="00F06026" w:rsidP="001260FB">
      <w:pPr>
        <w:pStyle w:val="RPI-Text"/>
      </w:pPr>
      <w:r w:rsidRPr="007E1620">
        <w:t>In patients at high cardiovascular risk</w:t>
      </w:r>
      <w:r w:rsidR="00A43A7B" w:rsidRPr="007E1620">
        <w:t>, consider relative benefits and risks of treatment.</w:t>
      </w:r>
      <w:r w:rsidR="00001FDA">
        <w:t xml:space="preserve"> </w:t>
      </w:r>
      <w:r w:rsidR="00FF135E">
        <w:t xml:space="preserve"> </w:t>
      </w:r>
      <w:r w:rsidR="00001FDA">
        <w:t>If a patient experiences a myocardial infarction or stroke during therapy, EVENITY should be discontinued.</w:t>
      </w:r>
    </w:p>
    <w:p w14:paraId="02621250" w14:textId="04989FCB" w:rsidR="001E54DF" w:rsidRPr="00412829" w:rsidRDefault="001E54DF" w:rsidP="00E2682B">
      <w:pPr>
        <w:pStyle w:val="RPI-Heading3"/>
      </w:pPr>
      <w:r w:rsidRPr="00412829">
        <w:t xml:space="preserve">Osteonecrosis of the </w:t>
      </w:r>
      <w:r w:rsidR="00E2682B" w:rsidRPr="00412829">
        <w:t>j</w:t>
      </w:r>
      <w:r w:rsidRPr="00412829">
        <w:t>aw</w:t>
      </w:r>
    </w:p>
    <w:p w14:paraId="0765427C" w14:textId="2575F854" w:rsidR="001E54DF" w:rsidRPr="00412829" w:rsidRDefault="001E54DF" w:rsidP="001260FB">
      <w:pPr>
        <w:pStyle w:val="RPI-Text"/>
      </w:pPr>
      <w:r w:rsidRPr="00412829">
        <w:t xml:space="preserve">Osteonecrosis of the jaw (ONJ), which can occur spontaneously, is generally associated with tooth extraction and/or local </w:t>
      </w:r>
      <w:r w:rsidR="007703CD">
        <w:t xml:space="preserve">infection with delayed healing </w:t>
      </w:r>
      <w:r w:rsidR="00947C4D">
        <w:t>and has occurr</w:t>
      </w:r>
      <w:r w:rsidR="00A42341">
        <w:t>ed rarely</w:t>
      </w:r>
      <w:r w:rsidRPr="00412829">
        <w:t xml:space="preserve"> in patients receiving EVENITY</w:t>
      </w:r>
      <w:r w:rsidR="00A42341">
        <w:t xml:space="preserve"> in the clinical trials</w:t>
      </w:r>
      <w:r w:rsidRPr="00412829">
        <w:t>.</w:t>
      </w:r>
    </w:p>
    <w:p w14:paraId="0FEEF843" w14:textId="77777777" w:rsidR="00060858" w:rsidRPr="00412829" w:rsidRDefault="00060858" w:rsidP="001260FB">
      <w:pPr>
        <w:pStyle w:val="RPI-Text"/>
      </w:pPr>
      <w:r w:rsidRPr="00412829">
        <w:t xml:space="preserve">Prior to treatment, a dental examination with appropriate preventative dentistry should be considered in patients with possible risk factors. </w:t>
      </w:r>
    </w:p>
    <w:p w14:paraId="006A7AA0" w14:textId="1A05DB9F" w:rsidR="00060858" w:rsidRPr="00412829" w:rsidRDefault="00060858" w:rsidP="001260FB">
      <w:pPr>
        <w:pStyle w:val="RPI-Text"/>
      </w:pPr>
      <w:r w:rsidRPr="00412829">
        <w:t xml:space="preserve">Before commencing invasive dental procedures, patients and their dentist should be advised of the risks and reports of osteonecrosis of the jaw so that dental symptoms, </w:t>
      </w:r>
      <w:r w:rsidRPr="00412829">
        <w:lastRenderedPageBreak/>
        <w:t>including toothache, developing during treatment can be fully assessed for cause before treatment of the tooth commences.</w:t>
      </w:r>
    </w:p>
    <w:p w14:paraId="6499F29A" w14:textId="00FCE1AE" w:rsidR="00060858" w:rsidRPr="00412829" w:rsidRDefault="001E54DF" w:rsidP="001260FB">
      <w:pPr>
        <w:pStyle w:val="RPI-Text"/>
      </w:pPr>
      <w:r w:rsidRPr="00412829">
        <w:t>Patients who are suspected of having or who develop ONJ while on EVENITY should receive care by a dentist or an oral surgeon.  Discontinuation of EVENITY therapy should be considered based on individual benefit-risk assessment.</w:t>
      </w:r>
    </w:p>
    <w:p w14:paraId="3EB3DEA5" w14:textId="4B970A9C" w:rsidR="007B4BC5" w:rsidRPr="00412829" w:rsidRDefault="007B4BC5" w:rsidP="00A334DD">
      <w:pPr>
        <w:pStyle w:val="RPI-Heading3"/>
      </w:pPr>
      <w:r w:rsidRPr="00412829">
        <w:t xml:space="preserve">Atypical </w:t>
      </w:r>
      <w:r w:rsidR="00B9185D" w:rsidRPr="00412829">
        <w:t>f</w:t>
      </w:r>
      <w:r w:rsidRPr="00412829">
        <w:t xml:space="preserve">emoral </w:t>
      </w:r>
      <w:r w:rsidR="00B9185D" w:rsidRPr="00412829">
        <w:t>f</w:t>
      </w:r>
      <w:r w:rsidRPr="00412829">
        <w:t>racture</w:t>
      </w:r>
    </w:p>
    <w:p w14:paraId="15712614" w14:textId="3A3306DF" w:rsidR="007B4BC5" w:rsidRPr="00412829" w:rsidRDefault="007B4BC5" w:rsidP="001260FB">
      <w:pPr>
        <w:pStyle w:val="RPI-Text"/>
      </w:pPr>
      <w:r w:rsidRPr="00412829">
        <w:t xml:space="preserve">Atypical low-energy or low-trauma fracture of the femoral shaft, which can occur spontaneously, has </w:t>
      </w:r>
      <w:r w:rsidR="00A42341">
        <w:t>occurred rarely</w:t>
      </w:r>
      <w:r w:rsidRPr="00412829">
        <w:t xml:space="preserve"> in patients receiving EVENITY</w:t>
      </w:r>
      <w:r w:rsidR="00A42341">
        <w:t xml:space="preserve"> in the clinical trials</w:t>
      </w:r>
      <w:r w:rsidRPr="00412829">
        <w:t>.  Any patient who presents with new or unusual thigh, hip, or groin pain should be suspected of having an atypical fracture and should be evaluated to rule out an incomplete femur fracture.  Patients presenting with an atypical femur fracture should also be assessed for symptoms and signs of fracture in the contralateral limb.  Interruption of EVENITY therapy should be considered based on individual benefit-risk assessment.</w:t>
      </w:r>
    </w:p>
    <w:p w14:paraId="12AFF49C" w14:textId="69B207B1" w:rsidR="001D5D0D" w:rsidRPr="00412829" w:rsidRDefault="001D5D0D" w:rsidP="0054201D">
      <w:pPr>
        <w:pStyle w:val="RPI-Heading3"/>
      </w:pPr>
      <w:r w:rsidRPr="00412829">
        <w:t>Use in hepatic impairment</w:t>
      </w:r>
    </w:p>
    <w:p w14:paraId="660A8C31" w14:textId="77777777" w:rsidR="00575FDD" w:rsidRPr="00412829" w:rsidRDefault="00575FDD" w:rsidP="001260FB">
      <w:pPr>
        <w:pStyle w:val="RPI-Text"/>
      </w:pPr>
      <w:r w:rsidRPr="00412829">
        <w:t>No clinical studies have been conducted to evaluate the effect of hepatic impairment</w:t>
      </w:r>
      <w:r w:rsidRPr="00412829">
        <w:rPr>
          <w:i/>
        </w:rPr>
        <w:t>.</w:t>
      </w:r>
    </w:p>
    <w:p w14:paraId="12AFF49E" w14:textId="2AB732FC" w:rsidR="001D5D0D" w:rsidRPr="00412829" w:rsidRDefault="001D5D0D" w:rsidP="0054201D">
      <w:pPr>
        <w:pStyle w:val="RPI-Heading3"/>
      </w:pPr>
      <w:r w:rsidRPr="00412829">
        <w:t>Use in renal impairment</w:t>
      </w:r>
    </w:p>
    <w:p w14:paraId="07935E04" w14:textId="584B5FEF" w:rsidR="00A901E6" w:rsidRPr="00412829" w:rsidRDefault="00A901E6" w:rsidP="001260FB">
      <w:pPr>
        <w:pStyle w:val="RPI-Text"/>
      </w:pPr>
      <w:r w:rsidRPr="00412829">
        <w:t>No dose adjustment is required in patients with renal impairment.</w:t>
      </w:r>
      <w:r w:rsidR="00677D1C" w:rsidRPr="00677D1C">
        <w:t xml:space="preserve"> </w:t>
      </w:r>
      <w:r w:rsidR="00FF135E">
        <w:t xml:space="preserve"> </w:t>
      </w:r>
      <w:r w:rsidR="00677D1C" w:rsidRPr="00412829">
        <w:t>There is limited experience in patients with eGFR &lt; 30</w:t>
      </w:r>
      <w:r w:rsidR="00CB615C">
        <w:t> </w:t>
      </w:r>
      <w:r w:rsidR="00677D1C" w:rsidRPr="00412829">
        <w:t>mL/min.</w:t>
      </w:r>
    </w:p>
    <w:p w14:paraId="3B8A69DD" w14:textId="25920C78" w:rsidR="00A901E6" w:rsidRPr="00412829" w:rsidRDefault="00A901E6" w:rsidP="001260FB">
      <w:pPr>
        <w:pStyle w:val="RPI-Text"/>
      </w:pPr>
      <w:r w:rsidRPr="00412829">
        <w:t>Patients with severe renal impairment (estimated glomerular filtration rate [eGFR] 15 to 29 mL/min/1.73 m</w:t>
      </w:r>
      <w:r w:rsidRPr="00412829">
        <w:rPr>
          <w:vertAlign w:val="superscript"/>
        </w:rPr>
        <w:t>2</w:t>
      </w:r>
      <w:r w:rsidRPr="00412829">
        <w:t xml:space="preserve">) or receiving dialysis are at greater risk of developing hypocalcaemia (see </w:t>
      </w:r>
      <w:r w:rsidR="006C585F" w:rsidRPr="00412829">
        <w:t>sections 4.3 Contraindications</w:t>
      </w:r>
      <w:r w:rsidRPr="00412829">
        <w:t xml:space="preserve"> and </w:t>
      </w:r>
      <w:r w:rsidR="009D017A" w:rsidRPr="00412829">
        <w:t>4.4 Special warnings and precautions for use</w:t>
      </w:r>
      <w:r w:rsidRPr="00412829">
        <w:t xml:space="preserve">).  Monitoring of calcium levels is highly recommended.  Adequate intake of calcium and vitamin D is important in patients with severe renal impairment or receiving dialysis. </w:t>
      </w:r>
    </w:p>
    <w:p w14:paraId="12AFF4A0" w14:textId="50D3D838" w:rsidR="001D5D0D" w:rsidRPr="00412829" w:rsidRDefault="001D5D0D" w:rsidP="0054201D">
      <w:pPr>
        <w:pStyle w:val="RPI-Heading3"/>
      </w:pPr>
      <w:r w:rsidRPr="00412829">
        <w:t>Use in the elderly</w:t>
      </w:r>
    </w:p>
    <w:p w14:paraId="494CF5BC" w14:textId="69E22574" w:rsidR="00DC7D75" w:rsidRPr="00412829" w:rsidRDefault="00DC7D75" w:rsidP="001260FB">
      <w:pPr>
        <w:pStyle w:val="RPI-Text"/>
      </w:pPr>
      <w:r w:rsidRPr="00412829">
        <w:t>Of the 6525 postmenopausal women with osteoporosis treated with EVENITY in clin</w:t>
      </w:r>
      <w:r w:rsidR="008662DE" w:rsidRPr="00412829">
        <w:t>ical studies, 5222 (80%) were ≥ </w:t>
      </w:r>
      <w:r w:rsidRPr="00412829">
        <w:t>65 ye</w:t>
      </w:r>
      <w:r w:rsidR="003B59BB" w:rsidRPr="00412829">
        <w:t>ars old and 2385 (36.6%) were ≥ </w:t>
      </w:r>
      <w:r w:rsidRPr="00412829">
        <w:t>75 years old.  Of the 163 men with osteoporosis treated with EVENITY in clini</w:t>
      </w:r>
      <w:r w:rsidR="00D247B5" w:rsidRPr="00412829">
        <w:t xml:space="preserve">cal studies, 132 (80.9%) were </w:t>
      </w:r>
      <w:r w:rsidR="00D247B5" w:rsidRPr="00412829">
        <w:lastRenderedPageBreak/>
        <w:t>≥ </w:t>
      </w:r>
      <w:r w:rsidRPr="00412829">
        <w:t xml:space="preserve">65 </w:t>
      </w:r>
      <w:r w:rsidR="00902FDA" w:rsidRPr="00412829">
        <w:t>years old and 70 (42.9%) were ≥ </w:t>
      </w:r>
      <w:r w:rsidRPr="00412829">
        <w:t>75 years old.  No overall differences in safety or efficacy were observed among these patients and younger patients.</w:t>
      </w:r>
    </w:p>
    <w:p w14:paraId="12AFF4A1" w14:textId="32F153FA" w:rsidR="00C34655" w:rsidRPr="00412829" w:rsidRDefault="00C34655" w:rsidP="0054201D">
      <w:pPr>
        <w:pStyle w:val="RPI-Heading3"/>
      </w:pPr>
      <w:r w:rsidRPr="00412829">
        <w:t xml:space="preserve">Paediatric </w:t>
      </w:r>
      <w:r w:rsidR="001D5D0D" w:rsidRPr="00412829">
        <w:t>use</w:t>
      </w:r>
    </w:p>
    <w:p w14:paraId="501392C9" w14:textId="76736904" w:rsidR="002A099E" w:rsidRPr="00412829" w:rsidRDefault="00C54469" w:rsidP="001260FB">
      <w:pPr>
        <w:pStyle w:val="RPI-Text"/>
      </w:pPr>
      <w:r w:rsidRPr="00412829">
        <w:t>The safety and efficacy of EVENITY have not been established in paediatric patients.</w:t>
      </w:r>
      <w:r w:rsidR="002A099E" w:rsidRPr="00412829">
        <w:t xml:space="preserve"> </w:t>
      </w:r>
      <w:r w:rsidR="00FF135E">
        <w:t xml:space="preserve"> </w:t>
      </w:r>
      <w:r w:rsidR="00A43A7B" w:rsidRPr="00412829">
        <w:t xml:space="preserve">There have been no studies in adolescents or children less than 18 years. </w:t>
      </w:r>
      <w:r w:rsidR="00FF135E">
        <w:t xml:space="preserve"> </w:t>
      </w:r>
      <w:r w:rsidR="002A099E" w:rsidRPr="00412829">
        <w:t xml:space="preserve">EVENITY should not </w:t>
      </w:r>
      <w:r w:rsidR="00966E27" w:rsidRPr="007E1620">
        <w:t>be used in paediatric patients.</w:t>
      </w:r>
    </w:p>
    <w:p w14:paraId="12AFF4A2" w14:textId="7FEE0B49" w:rsidR="001D5D0D" w:rsidRPr="00412829" w:rsidRDefault="001D5D0D" w:rsidP="0054201D">
      <w:pPr>
        <w:pStyle w:val="RPI-Heading3"/>
      </w:pPr>
      <w:r w:rsidRPr="00412829">
        <w:t>Effects on laboratory tests</w:t>
      </w:r>
    </w:p>
    <w:p w14:paraId="19BBF070" w14:textId="4AA4C779" w:rsidR="00C15AF2" w:rsidRPr="00412829" w:rsidRDefault="00791923" w:rsidP="001260FB">
      <w:pPr>
        <w:pStyle w:val="RPI-Text"/>
      </w:pPr>
      <w:r w:rsidRPr="007E1620">
        <w:t xml:space="preserve">No </w:t>
      </w:r>
      <w:r w:rsidR="00536153" w:rsidRPr="007E1620">
        <w:t>interactions with laboratory and diagnostic tests have been identified</w:t>
      </w:r>
      <w:r w:rsidRPr="007E1620">
        <w:t>.</w:t>
      </w:r>
    </w:p>
    <w:p w14:paraId="12AFF4A3" w14:textId="77777777" w:rsidR="0032608A" w:rsidRPr="00412829" w:rsidRDefault="0032608A" w:rsidP="00ED1C5D">
      <w:pPr>
        <w:pStyle w:val="RPI-Heading2"/>
        <w:tabs>
          <w:tab w:val="clear" w:pos="1440"/>
          <w:tab w:val="num" w:pos="1418"/>
        </w:tabs>
        <w:spacing w:line="360" w:lineRule="auto"/>
      </w:pPr>
      <w:r w:rsidRPr="00412829">
        <w:t>Interaction with other medicines and other forms of interaction</w:t>
      </w:r>
    </w:p>
    <w:p w14:paraId="336C0494" w14:textId="77777777" w:rsidR="001A4376" w:rsidRPr="00412829" w:rsidRDefault="001A4376" w:rsidP="001260FB">
      <w:pPr>
        <w:pStyle w:val="RPI-Text"/>
        <w:rPr>
          <w:rFonts w:cs="Arial"/>
        </w:rPr>
      </w:pPr>
      <w:r w:rsidRPr="00412829">
        <w:t xml:space="preserve">No drug interaction studies have been conducted with </w:t>
      </w:r>
      <w:r w:rsidRPr="00412829">
        <w:rPr>
          <w:rFonts w:cs="Arial"/>
        </w:rPr>
        <w:t xml:space="preserve">EVENITY.  </w:t>
      </w:r>
    </w:p>
    <w:p w14:paraId="12AFF4A7" w14:textId="77777777" w:rsidR="0032608A" w:rsidRPr="00412829" w:rsidRDefault="0032608A" w:rsidP="00ED1C5D">
      <w:pPr>
        <w:pStyle w:val="RPI-Heading2"/>
        <w:tabs>
          <w:tab w:val="clear" w:pos="1440"/>
          <w:tab w:val="num" w:pos="1418"/>
        </w:tabs>
        <w:spacing w:line="360" w:lineRule="auto"/>
      </w:pPr>
      <w:r w:rsidRPr="00412829">
        <w:t>Fertility, pregnancy and lactation</w:t>
      </w:r>
    </w:p>
    <w:p w14:paraId="12AFF4A9" w14:textId="137F7CCC" w:rsidR="004F177A" w:rsidRPr="00412829" w:rsidRDefault="00831FEF" w:rsidP="00D1367B">
      <w:pPr>
        <w:pStyle w:val="RPI-Heading3"/>
      </w:pPr>
      <w:r w:rsidRPr="00412829">
        <w:t>Effects on fertility</w:t>
      </w:r>
    </w:p>
    <w:p w14:paraId="3A4F9344" w14:textId="5EAC3335" w:rsidR="00482AF8" w:rsidRPr="00412829" w:rsidRDefault="00482AF8" w:rsidP="001260FB">
      <w:pPr>
        <w:pStyle w:val="RPI-Text"/>
      </w:pPr>
      <w:r w:rsidRPr="00412829">
        <w:t xml:space="preserve">No data are available on the effect of EVENITY on human fertility.  Animal studies in female and male rats did not show any effects on fertility </w:t>
      </w:r>
      <w:r w:rsidR="00F711F5" w:rsidRPr="00412829">
        <w:t xml:space="preserve">at </w:t>
      </w:r>
      <w:r w:rsidR="008425F0" w:rsidRPr="00412829">
        <w:t xml:space="preserve">subcutaneous </w:t>
      </w:r>
      <w:r w:rsidR="00F711F5" w:rsidRPr="00412829">
        <w:t>doses up to 300 </w:t>
      </w:r>
      <w:r w:rsidRPr="00412829">
        <w:t>mg/kg</w:t>
      </w:r>
      <w:r w:rsidR="008425F0" w:rsidRPr="00412829">
        <w:t>/week yielding 54 times the systemic exposure [serum AUC] in patients at the maximum recommended human dose of 210</w:t>
      </w:r>
      <w:r w:rsidR="00CB615C">
        <w:t> </w:t>
      </w:r>
      <w:r w:rsidR="008425F0" w:rsidRPr="00412829">
        <w:t>mg monthly.</w:t>
      </w:r>
    </w:p>
    <w:p w14:paraId="12AFF4AB" w14:textId="0BB2A519" w:rsidR="00C34655" w:rsidRPr="00412829" w:rsidRDefault="004F177A" w:rsidP="0054201D">
      <w:pPr>
        <w:pStyle w:val="RPI-Heading3"/>
      </w:pPr>
      <w:r w:rsidRPr="00412829">
        <w:t>Use in p</w:t>
      </w:r>
      <w:r w:rsidR="00500869" w:rsidRPr="00412829">
        <w:t>regnancy</w:t>
      </w:r>
    </w:p>
    <w:p w14:paraId="4C41866F" w14:textId="77777777" w:rsidR="003342DA" w:rsidRPr="00412829" w:rsidRDefault="003342DA" w:rsidP="000D0DC7">
      <w:pPr>
        <w:pStyle w:val="RPI-Heading4"/>
      </w:pPr>
      <w:r w:rsidRPr="00412829">
        <w:t>Pregnancy Category: B3</w:t>
      </w:r>
    </w:p>
    <w:p w14:paraId="0A9961C5" w14:textId="4131DF3E" w:rsidR="008425F0" w:rsidRPr="00863D18" w:rsidRDefault="008425F0" w:rsidP="00FB0840">
      <w:pPr>
        <w:pStyle w:val="RPI-Text"/>
      </w:pPr>
      <w:r w:rsidRPr="00412829">
        <w:t>There are no studies of EVENITY in pregnant women</w:t>
      </w:r>
      <w:r w:rsidRPr="00863D18">
        <w:t xml:space="preserve">. </w:t>
      </w:r>
      <w:r w:rsidR="00FF135E">
        <w:t xml:space="preserve"> </w:t>
      </w:r>
      <w:r w:rsidRPr="00863D18">
        <w:t>Therefore, it is not known whether EVENITY can cause fetal harm when administered to a pregnant woman.</w:t>
      </w:r>
    </w:p>
    <w:p w14:paraId="5AF7FF58" w14:textId="0CEB8543" w:rsidR="008425F0" w:rsidRPr="00863D18" w:rsidRDefault="008425F0" w:rsidP="00FB0840">
      <w:pPr>
        <w:pStyle w:val="RPI-Text"/>
      </w:pPr>
      <w:r w:rsidRPr="00863D18">
        <w:t xml:space="preserve">Reproductive and developmental effects of romosozumab were assessed in the rat in a preliminary and definitive embryo-fetal development study, a combined fertility and embryo-development study, and a pre- and post-natal study. </w:t>
      </w:r>
      <w:r w:rsidR="00FF135E">
        <w:t xml:space="preserve"> </w:t>
      </w:r>
      <w:r w:rsidRPr="00863D18">
        <w:t>Skeletal malformations, including syndactyly and polydactyly, were observed in fetuses of rats given subcutaneous doses of romosozumab at 300</w:t>
      </w:r>
      <w:r w:rsidR="00CB615C">
        <w:t> </w:t>
      </w:r>
      <w:r w:rsidRPr="00863D18">
        <w:t xml:space="preserve">mg/kg/week during gestation. </w:t>
      </w:r>
      <w:r w:rsidR="00FF135E">
        <w:t xml:space="preserve"> </w:t>
      </w:r>
      <w:r w:rsidRPr="00863D18">
        <w:t xml:space="preserve">This occurred at a very high multiple of the clinical systemic exposure (with serum AUC in animals at this dose predicted to be at least 30 times higher than in patients at the maximum recommended dose) and at low incidence (1/75 litters across all studies), but </w:t>
      </w:r>
      <w:r w:rsidRPr="00863D18">
        <w:lastRenderedPageBreak/>
        <w:t xml:space="preserve">the findings exceeded the upper historical control range. </w:t>
      </w:r>
      <w:r w:rsidR="00FF135E">
        <w:t xml:space="preserve"> </w:t>
      </w:r>
      <w:r w:rsidRPr="00863D18">
        <w:t xml:space="preserve">A relationship to treatment cannot be excluded. </w:t>
      </w:r>
      <w:r w:rsidR="00FF135E">
        <w:t xml:space="preserve"> </w:t>
      </w:r>
      <w:r w:rsidRPr="00863D18">
        <w:t>No adverse effects on embryofetal development were observed with romosozumab in rats at 100</w:t>
      </w:r>
      <w:r w:rsidR="00CB615C">
        <w:t> </w:t>
      </w:r>
      <w:r w:rsidRPr="00863D18">
        <w:t xml:space="preserve">mg/kg/week (estimated to yield 16 times the systemic exposure in patients). </w:t>
      </w:r>
      <w:r w:rsidR="00FF135E">
        <w:t xml:space="preserve"> </w:t>
      </w:r>
      <w:r w:rsidRPr="00863D18">
        <w:t xml:space="preserve">Placental transfer of romosozumab was shown in rats and, as an IgG, is expected in humans, increasing as pregnancy progresses. </w:t>
      </w:r>
      <w:r w:rsidR="00FF135E">
        <w:t xml:space="preserve"> </w:t>
      </w:r>
      <w:r w:rsidRPr="00863D18">
        <w:t>There were no adverse effects on post-natal growth and development.</w:t>
      </w:r>
    </w:p>
    <w:p w14:paraId="1E6BE95B" w14:textId="78D50D0E" w:rsidR="008425F0" w:rsidRPr="00B64664" w:rsidRDefault="008425F0" w:rsidP="00FB0840">
      <w:pPr>
        <w:pStyle w:val="RPI-Text"/>
      </w:pPr>
      <w:r w:rsidRPr="00B64664">
        <w:t xml:space="preserve">Syndactyly occurs at a high incidence in sclerosteosis but does not occur in patients heterozygous for the genetic mutation. </w:t>
      </w:r>
      <w:r w:rsidR="00FF135E">
        <w:t xml:space="preserve"> </w:t>
      </w:r>
      <w:r w:rsidRPr="00B64664">
        <w:t>The risk of malformations following romosozumab exposure is expected to be low based on animal data and considering the timing of digit formation in the first trimester in humans, when placental transfer of immunoglobulins is limited.</w:t>
      </w:r>
    </w:p>
    <w:p w14:paraId="12AFF4AE" w14:textId="200B1EC4" w:rsidR="00500869" w:rsidRPr="00412829" w:rsidRDefault="004F177A" w:rsidP="0054201D">
      <w:pPr>
        <w:pStyle w:val="RPI-Heading3"/>
      </w:pPr>
      <w:r w:rsidRPr="00412829">
        <w:t>Use in lactation</w:t>
      </w:r>
    </w:p>
    <w:p w14:paraId="5D66D1B4" w14:textId="77777777" w:rsidR="00E50AFD" w:rsidRPr="00412829" w:rsidRDefault="00E50AFD" w:rsidP="001260FB">
      <w:pPr>
        <w:pStyle w:val="RPI-Text"/>
      </w:pPr>
      <w:r w:rsidRPr="00412829">
        <w:t>It is not known whether EVENITY is present in human milk.  Because many drugs are excreted in human milk and because of the potential for adverse effects in nursing infants from EVENITY, a decision should be made whether to discontinue nursing or discontinue EVENITY, taking into account the potential benefit of EVENITY to the mother or the potential benefit of breastfeeding to the infant.</w:t>
      </w:r>
    </w:p>
    <w:p w14:paraId="12AFF4B0" w14:textId="77777777" w:rsidR="0032608A" w:rsidRPr="00412829" w:rsidRDefault="0032608A" w:rsidP="00691395">
      <w:pPr>
        <w:pStyle w:val="RPI-Heading2"/>
        <w:spacing w:line="360" w:lineRule="auto"/>
      </w:pPr>
      <w:r w:rsidRPr="00412829">
        <w:t>Effects on ability to drive and use machines</w:t>
      </w:r>
    </w:p>
    <w:p w14:paraId="30F4F5C9" w14:textId="42641EED" w:rsidR="002F473E" w:rsidRDefault="00170FBD" w:rsidP="001260FB">
      <w:pPr>
        <w:pStyle w:val="RPI-Text"/>
      </w:pPr>
      <w:r w:rsidRPr="00412829">
        <w:t>The effects of this medicine on a person’s ability to drive and use machines were not assessed as part of this registration.</w:t>
      </w:r>
    </w:p>
    <w:p w14:paraId="12AFF4B4" w14:textId="0E478891" w:rsidR="0032608A" w:rsidRPr="00412829" w:rsidRDefault="004F177A" w:rsidP="00ED1C5D">
      <w:pPr>
        <w:pStyle w:val="RPI-Heading2"/>
        <w:spacing w:line="360" w:lineRule="auto"/>
      </w:pPr>
      <w:r w:rsidRPr="00412829">
        <w:t xml:space="preserve">Adverse </w:t>
      </w:r>
      <w:r w:rsidR="0032608A" w:rsidRPr="007E1620">
        <w:t>effects</w:t>
      </w:r>
      <w:r w:rsidR="00245127" w:rsidRPr="007E1620">
        <w:t xml:space="preserve"> </w:t>
      </w:r>
      <w:r w:rsidR="00247CA7" w:rsidRPr="007E1620">
        <w:t>(Undesirable effects</w:t>
      </w:r>
      <w:r w:rsidR="00247CA7" w:rsidRPr="00412829">
        <w:t>)</w:t>
      </w:r>
    </w:p>
    <w:p w14:paraId="12AFF4B7" w14:textId="7A45A0F8" w:rsidR="00AE410B" w:rsidRPr="00412829" w:rsidRDefault="00AE410B" w:rsidP="007764AF">
      <w:pPr>
        <w:pStyle w:val="RPI-Heading3"/>
      </w:pPr>
      <w:r w:rsidRPr="00412829">
        <w:t xml:space="preserve">Summary of </w:t>
      </w:r>
      <w:r w:rsidR="00CB69E9">
        <w:t xml:space="preserve">the </w:t>
      </w:r>
      <w:r w:rsidRPr="00412829">
        <w:t>safety profile</w:t>
      </w:r>
    </w:p>
    <w:p w14:paraId="653F6797" w14:textId="2062BEBC" w:rsidR="001A6EA3" w:rsidRPr="00412829" w:rsidRDefault="001A6EA3" w:rsidP="00E30B5B">
      <w:pPr>
        <w:pStyle w:val="RPI-Text"/>
      </w:pPr>
      <w:r w:rsidRPr="00412829">
        <w:t xml:space="preserve">In the overall EVENITY pre-registration clinical programme, 7681 subjects received at least one dose of romosozumab, 6338 subjects received romosozumab for at least 6 months, and 5863 subjects (5712 women and 151 men) received romosozumab for at least 12 months.  </w:t>
      </w:r>
      <w:r w:rsidR="005A6670" w:rsidRPr="00412829">
        <w:t xml:space="preserve">The safety of EVENITY </w:t>
      </w:r>
      <w:r w:rsidRPr="00412829">
        <w:t xml:space="preserve">described below </w:t>
      </w:r>
      <w:r w:rsidR="005A6670" w:rsidRPr="00412829">
        <w:t xml:space="preserve">is based on 12-month pooled data from 3695 postmenopausal women with osteoporosis and 163 men with osteoporosis treated with romosozumab in </w:t>
      </w:r>
      <w:r w:rsidRPr="00412829">
        <w:t xml:space="preserve">four </w:t>
      </w:r>
      <w:r w:rsidR="005A6670" w:rsidRPr="00412829">
        <w:t>Phase II and Phase III, placebo-controlled clinical trials</w:t>
      </w:r>
      <w:r w:rsidRPr="00412829">
        <w:t>, including the FRAME and BRIDGE studies</w:t>
      </w:r>
      <w:r w:rsidR="005A6670" w:rsidRPr="00412829">
        <w:t xml:space="preserve">.  </w:t>
      </w:r>
      <w:r w:rsidRPr="00412829">
        <w:t xml:space="preserve">Of the 7628 subjects who received EVENITY or placebo in these four studies, 78.4% of subjects in </w:t>
      </w:r>
      <w:r w:rsidRPr="00412829">
        <w:lastRenderedPageBreak/>
        <w:t xml:space="preserve">the EVENITY group and 80.0% of subjects in the placebo group had at least one treatment-emergent adverse event during the </w:t>
      </w:r>
      <w:r w:rsidR="00E878F3" w:rsidRPr="00412829">
        <w:t>double-blind</w:t>
      </w:r>
      <w:r w:rsidRPr="00412829">
        <w:t xml:space="preserve"> period (see Table 1). </w:t>
      </w:r>
      <w:r w:rsidR="00FF135E">
        <w:t xml:space="preserve"> </w:t>
      </w:r>
      <w:r w:rsidRPr="00412829">
        <w:t xml:space="preserve">Adverse events leading to discontinuation were reported for 3.0% of subjects in the total EVENITY group and 2.6% of subjects in the placebo group.  Adverse events considered treatment-related were reported for 16.1% of subjects in the EVENITY group and 13.5% of subjects in the placebo group.  </w:t>
      </w:r>
    </w:p>
    <w:p w14:paraId="4C75F1FB" w14:textId="52A4B4D7" w:rsidR="001A6EA3" w:rsidRPr="00412829" w:rsidRDefault="001A6EA3" w:rsidP="00E30B5B">
      <w:pPr>
        <w:pStyle w:val="RPI-Text"/>
      </w:pPr>
      <w:r w:rsidRPr="00412829">
        <w:t>At least one serious adverse event was reported for 9.7% of subjects in the total EVENITY group and 8.9% of subjects in the placebo group.  The only serious adverse event occurring in ≥</w:t>
      </w:r>
      <w:r w:rsidR="00A474AD" w:rsidRPr="00412829">
        <w:t> 0.</w:t>
      </w:r>
      <w:r w:rsidRPr="00412829">
        <w:t>5% of subjects in either group was pneumonia (0.5% EVENITY, 0.3% placebo).  There were no serious adverse events reported at a ≥ 2% higher incidence in the total EVENITY group compared to the placebo group.</w:t>
      </w:r>
    </w:p>
    <w:p w14:paraId="67E425B3" w14:textId="073BF476" w:rsidR="001A6EA3" w:rsidRPr="00412829" w:rsidRDefault="00844AE4" w:rsidP="00E30B5B">
      <w:pPr>
        <w:pStyle w:val="RPI-Text"/>
      </w:pPr>
      <w:r w:rsidRPr="00412829">
        <w:t>In a placebo-controlled phase 2 study in postmenopausal women with low BMD in the lumbar spine, total hip or femoral neck, 51 subjects received 210</w:t>
      </w:r>
      <w:r w:rsidR="002D063B">
        <w:t> </w:t>
      </w:r>
      <w:r w:rsidRPr="00412829">
        <w:t xml:space="preserve">mg romosozumab once a month for 24 months (safety analysis set). </w:t>
      </w:r>
      <w:r w:rsidR="00FF135E">
        <w:t xml:space="preserve"> </w:t>
      </w:r>
      <w:r w:rsidRPr="00412829">
        <w:t>The proportion of subjects reporting adverse events, serious adverse events and adverse events leading to discontinuation w</w:t>
      </w:r>
      <w:r w:rsidR="00F55D06" w:rsidRPr="00412829">
        <w:t>as</w:t>
      </w:r>
      <w:r w:rsidRPr="00412829">
        <w:t xml:space="preserve"> similar between the EVENITY and placebo</w:t>
      </w:r>
      <w:r w:rsidR="001A6EA3" w:rsidRPr="00412829">
        <w:t xml:space="preserve"> groups.</w:t>
      </w:r>
    </w:p>
    <w:p w14:paraId="7F8B1545" w14:textId="16033DCC" w:rsidR="005A6670" w:rsidRPr="00412829" w:rsidRDefault="005A6670" w:rsidP="00E30B5B">
      <w:pPr>
        <w:pStyle w:val="RPI-Text"/>
      </w:pPr>
      <w:r w:rsidRPr="00412829">
        <w:t xml:space="preserve">The adverse reactions in </w:t>
      </w:r>
      <w:r w:rsidR="001671D1" w:rsidRPr="00412829">
        <w:t>romosozumab-treated patients (n </w:t>
      </w:r>
      <w:r w:rsidRPr="00412829">
        <w:t>=</w:t>
      </w:r>
      <w:r w:rsidR="00655088" w:rsidRPr="00412829">
        <w:t> </w:t>
      </w:r>
      <w:r w:rsidRPr="00412829">
        <w:t xml:space="preserve">2040) in a </w:t>
      </w:r>
      <w:r w:rsidR="001A6EA3" w:rsidRPr="00412829">
        <w:t xml:space="preserve">separate </w:t>
      </w:r>
      <w:r w:rsidRPr="00412829">
        <w:t>double</w:t>
      </w:r>
      <w:r w:rsidR="00000E61">
        <w:noBreakHyphen/>
      </w:r>
      <w:r w:rsidRPr="00412829">
        <w:t xml:space="preserve">blind, Phase III active-controlled study </w:t>
      </w:r>
      <w:r w:rsidR="001A6EA3" w:rsidRPr="00412829">
        <w:t xml:space="preserve">(ARCH) </w:t>
      </w:r>
      <w:r w:rsidRPr="00412829">
        <w:t>were similar in type to those seen in the placebo-controlled trials.</w:t>
      </w:r>
      <w:r w:rsidR="00255F88">
        <w:t xml:space="preserve"> </w:t>
      </w:r>
      <w:r w:rsidR="00FF135E">
        <w:t xml:space="preserve"> </w:t>
      </w:r>
      <w:r w:rsidR="00255F88">
        <w:t>The most common adverse reactions (</w:t>
      </w:r>
      <w:r w:rsidR="00255F88">
        <w:rPr>
          <w:rFonts w:cs="Arial"/>
        </w:rPr>
        <w:t>≥</w:t>
      </w:r>
      <w:r w:rsidR="00255F88">
        <w:t xml:space="preserve"> 1/10) from the pooled safety data were viral upper respiratory tract infection and arthralgia.</w:t>
      </w:r>
    </w:p>
    <w:p w14:paraId="12AFF4B8" w14:textId="3DDC6F63" w:rsidR="00AE410B" w:rsidRPr="00412829" w:rsidRDefault="00AE410B" w:rsidP="0054201D">
      <w:pPr>
        <w:pStyle w:val="RPI-Heading3"/>
      </w:pPr>
      <w:r w:rsidRPr="00412829">
        <w:t xml:space="preserve">Tabulated list of adverse </w:t>
      </w:r>
      <w:r w:rsidR="00350FFB" w:rsidRPr="00412829">
        <w:t>events</w:t>
      </w:r>
    </w:p>
    <w:p w14:paraId="1032DFBA" w14:textId="209BB1E9" w:rsidR="00094BB7" w:rsidRPr="00412829" w:rsidRDefault="00094BB7" w:rsidP="001260FB">
      <w:pPr>
        <w:pStyle w:val="RPI-Text"/>
      </w:pPr>
      <w:r w:rsidRPr="00412829">
        <w:t>Adverse events occurring in patients treated with rom</w:t>
      </w:r>
      <w:r w:rsidR="00B3334A" w:rsidRPr="00412829">
        <w:t>osozumab at an incidence rate ≥ </w:t>
      </w:r>
      <w:r w:rsidRPr="00412829">
        <w:t xml:space="preserve">2.0% in placebo-controlled clinical trials are shown in Table </w:t>
      </w:r>
      <w:r w:rsidR="00DC11FD" w:rsidRPr="00412829">
        <w:t>1</w:t>
      </w:r>
      <w:r w:rsidRPr="00412829">
        <w:t xml:space="preserve">. </w:t>
      </w:r>
    </w:p>
    <w:p w14:paraId="7227BE77" w14:textId="75A3683D" w:rsidR="00BC442A" w:rsidRPr="00412829" w:rsidRDefault="00BC442A" w:rsidP="00737197">
      <w:pPr>
        <w:pStyle w:val="RPI-Caption"/>
        <w:rPr>
          <w:lang w:val="en-US"/>
        </w:rPr>
      </w:pPr>
      <w:r w:rsidRPr="00412829">
        <w:t xml:space="preserve">Table </w:t>
      </w:r>
      <w:r w:rsidR="00DC11FD" w:rsidRPr="00412829">
        <w:t>1</w:t>
      </w:r>
      <w:r w:rsidR="008C3AF2" w:rsidRPr="00412829">
        <w:t xml:space="preserve">. </w:t>
      </w:r>
      <w:r w:rsidR="009C166A" w:rsidRPr="00412829">
        <w:t xml:space="preserve"> Adverse Events Occurring at ≥ </w:t>
      </w:r>
      <w:r w:rsidRPr="00412829">
        <w:t xml:space="preserve">2% in </w:t>
      </w:r>
      <w:r w:rsidR="00E5191F" w:rsidRPr="00412829">
        <w:t>P</w:t>
      </w:r>
      <w:r w:rsidRPr="00412829">
        <w:t xml:space="preserve">atients </w:t>
      </w:r>
      <w:r w:rsidR="00E5191F" w:rsidRPr="00412829">
        <w:t>T</w:t>
      </w:r>
      <w:r w:rsidRPr="00412829">
        <w:t xml:space="preserve">reated with </w:t>
      </w:r>
      <w:r w:rsidR="00E5191F" w:rsidRPr="00412829">
        <w:t>R</w:t>
      </w:r>
      <w:r w:rsidRPr="00412829">
        <w:t xml:space="preserve">omosozumab in </w:t>
      </w:r>
      <w:r w:rsidR="00E5191F" w:rsidRPr="00412829">
        <w:t>P</w:t>
      </w:r>
      <w:r w:rsidRPr="00412829">
        <w:t>lacebo-</w:t>
      </w:r>
      <w:r w:rsidR="00E5191F" w:rsidRPr="00412829">
        <w:t>C</w:t>
      </w:r>
      <w:r w:rsidRPr="00412829">
        <w:t xml:space="preserve">ontrolled </w:t>
      </w:r>
      <w:r w:rsidR="00E5191F" w:rsidRPr="00412829">
        <w:t>C</w:t>
      </w:r>
      <w:r w:rsidRPr="00412829">
        <w:t xml:space="preserve">linical </w:t>
      </w:r>
      <w:r w:rsidR="00E5191F" w:rsidRPr="00412829">
        <w:t>T</w:t>
      </w:r>
      <w:r w:rsidRPr="00412829">
        <w:t>rials</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2693"/>
        <w:gridCol w:w="2693"/>
      </w:tblGrid>
      <w:tr w:rsidR="00BC442A" w:rsidRPr="00412829" w14:paraId="49E18FF6" w14:textId="77777777" w:rsidTr="00472DB3">
        <w:trPr>
          <w:trHeight w:val="827"/>
          <w:tblHeader/>
        </w:trPr>
        <w:tc>
          <w:tcPr>
            <w:tcW w:w="3249" w:type="dxa"/>
            <w:tcBorders>
              <w:top w:val="single" w:sz="4" w:space="0" w:color="auto"/>
              <w:bottom w:val="single" w:sz="4" w:space="0" w:color="auto"/>
            </w:tcBorders>
            <w:shd w:val="clear" w:color="auto" w:fill="auto"/>
            <w:vAlign w:val="center"/>
          </w:tcPr>
          <w:p w14:paraId="69D3A106" w14:textId="77777777" w:rsidR="00BC442A" w:rsidRPr="00412829" w:rsidRDefault="00BC442A" w:rsidP="001510E7">
            <w:pPr>
              <w:pStyle w:val="RPI-TableCenterAligned"/>
              <w:rPr>
                <w:b/>
              </w:rPr>
            </w:pPr>
            <w:r w:rsidRPr="00412829">
              <w:rPr>
                <w:b/>
              </w:rPr>
              <w:t>Preferred Term</w:t>
            </w:r>
          </w:p>
          <w:p w14:paraId="76D553A5" w14:textId="77777777" w:rsidR="00BC442A" w:rsidRPr="00412829" w:rsidRDefault="00BC442A" w:rsidP="001510E7">
            <w:pPr>
              <w:pStyle w:val="RPI-TableCenterAligned"/>
              <w:rPr>
                <w:b/>
              </w:rPr>
            </w:pPr>
            <w:r w:rsidRPr="00412829">
              <w:rPr>
                <w:b/>
              </w:rPr>
              <w:t>Adverse Event</w:t>
            </w:r>
          </w:p>
        </w:tc>
        <w:tc>
          <w:tcPr>
            <w:tcW w:w="2693" w:type="dxa"/>
            <w:tcBorders>
              <w:top w:val="single" w:sz="4" w:space="0" w:color="auto"/>
              <w:bottom w:val="single" w:sz="4" w:space="0" w:color="auto"/>
            </w:tcBorders>
            <w:shd w:val="clear" w:color="auto" w:fill="auto"/>
            <w:vAlign w:val="bottom"/>
          </w:tcPr>
          <w:p w14:paraId="70F6D36E" w14:textId="77777777" w:rsidR="00BC442A" w:rsidRPr="00412829" w:rsidRDefault="00BC442A" w:rsidP="001510E7">
            <w:pPr>
              <w:pStyle w:val="RPI-TableCenterAligned"/>
              <w:rPr>
                <w:b/>
              </w:rPr>
            </w:pPr>
            <w:r w:rsidRPr="00412829">
              <w:rPr>
                <w:b/>
              </w:rPr>
              <w:t>Placebo</w:t>
            </w:r>
          </w:p>
          <w:p w14:paraId="481A11C8" w14:textId="77777777" w:rsidR="00BC442A" w:rsidRPr="00412829" w:rsidRDefault="00BC442A" w:rsidP="001510E7">
            <w:pPr>
              <w:pStyle w:val="RPI-TableCenterAligned"/>
              <w:rPr>
                <w:b/>
              </w:rPr>
            </w:pPr>
            <w:r w:rsidRPr="00412829">
              <w:rPr>
                <w:b/>
              </w:rPr>
              <w:t>(N = 3770)</w:t>
            </w:r>
          </w:p>
          <w:p w14:paraId="2B28F203" w14:textId="77777777" w:rsidR="00BC442A" w:rsidRPr="00412829" w:rsidRDefault="00BC442A" w:rsidP="001510E7">
            <w:pPr>
              <w:pStyle w:val="RPI-TableCenterAligned"/>
              <w:rPr>
                <w:b/>
              </w:rPr>
            </w:pPr>
            <w:r w:rsidRPr="00412829">
              <w:rPr>
                <w:b/>
              </w:rPr>
              <w:t>n (%)</w:t>
            </w:r>
          </w:p>
        </w:tc>
        <w:tc>
          <w:tcPr>
            <w:tcW w:w="2693" w:type="dxa"/>
            <w:tcBorders>
              <w:top w:val="single" w:sz="4" w:space="0" w:color="auto"/>
              <w:bottom w:val="single" w:sz="4" w:space="0" w:color="auto"/>
            </w:tcBorders>
            <w:shd w:val="clear" w:color="auto" w:fill="auto"/>
            <w:vAlign w:val="bottom"/>
          </w:tcPr>
          <w:p w14:paraId="5CD91416" w14:textId="77777777" w:rsidR="00BC442A" w:rsidRPr="00412829" w:rsidRDefault="00BC442A" w:rsidP="001510E7">
            <w:pPr>
              <w:pStyle w:val="RPI-TableCenterAligned"/>
              <w:rPr>
                <w:b/>
              </w:rPr>
            </w:pPr>
            <w:r w:rsidRPr="00412829">
              <w:rPr>
                <w:b/>
              </w:rPr>
              <w:t>EVENITY</w:t>
            </w:r>
          </w:p>
          <w:p w14:paraId="0EE47646" w14:textId="77777777" w:rsidR="00BC442A" w:rsidRPr="00412829" w:rsidRDefault="00BC442A" w:rsidP="001510E7">
            <w:pPr>
              <w:pStyle w:val="RPI-TableCenterAligned"/>
              <w:rPr>
                <w:b/>
              </w:rPr>
            </w:pPr>
            <w:r w:rsidRPr="00412829">
              <w:rPr>
                <w:b/>
              </w:rPr>
              <w:t>(N = 3858)</w:t>
            </w:r>
          </w:p>
          <w:p w14:paraId="6D9A0C95" w14:textId="77777777" w:rsidR="00BC442A" w:rsidRPr="00412829" w:rsidRDefault="00BC442A" w:rsidP="001510E7">
            <w:pPr>
              <w:pStyle w:val="RPI-TableCenterAligned"/>
              <w:rPr>
                <w:b/>
              </w:rPr>
            </w:pPr>
            <w:r w:rsidRPr="00412829">
              <w:rPr>
                <w:b/>
              </w:rPr>
              <w:t>n (%)</w:t>
            </w:r>
          </w:p>
        </w:tc>
      </w:tr>
      <w:tr w:rsidR="00BC442A" w:rsidRPr="00412829" w14:paraId="2967CBF5" w14:textId="77777777" w:rsidTr="00472DB3">
        <w:trPr>
          <w:trHeight w:val="270"/>
        </w:trPr>
        <w:tc>
          <w:tcPr>
            <w:tcW w:w="3249" w:type="dxa"/>
            <w:tcBorders>
              <w:top w:val="single" w:sz="4" w:space="0" w:color="auto"/>
              <w:bottom w:val="nil"/>
            </w:tcBorders>
            <w:shd w:val="clear" w:color="auto" w:fill="auto"/>
            <w:vAlign w:val="bottom"/>
          </w:tcPr>
          <w:p w14:paraId="262D6344" w14:textId="77777777" w:rsidR="00BC442A" w:rsidRPr="00412829" w:rsidRDefault="00BC442A" w:rsidP="00BD5ECC">
            <w:pPr>
              <w:pStyle w:val="RPI-TableLeftAligned"/>
            </w:pPr>
            <w:r w:rsidRPr="00412829">
              <w:t>Nasopharyngitis</w:t>
            </w:r>
          </w:p>
        </w:tc>
        <w:tc>
          <w:tcPr>
            <w:tcW w:w="2693" w:type="dxa"/>
            <w:tcBorders>
              <w:top w:val="single" w:sz="4" w:space="0" w:color="auto"/>
              <w:bottom w:val="nil"/>
            </w:tcBorders>
            <w:shd w:val="clear" w:color="auto" w:fill="auto"/>
            <w:vAlign w:val="bottom"/>
          </w:tcPr>
          <w:p w14:paraId="3645F122" w14:textId="77777777" w:rsidR="00BC442A" w:rsidRPr="00412829" w:rsidRDefault="00BC442A" w:rsidP="00BD5ECC">
            <w:pPr>
              <w:pStyle w:val="RPI-TableCenterAligned"/>
            </w:pPr>
            <w:r w:rsidRPr="00412829">
              <w:t>476 (12.6)</w:t>
            </w:r>
          </w:p>
        </w:tc>
        <w:tc>
          <w:tcPr>
            <w:tcW w:w="2693" w:type="dxa"/>
            <w:tcBorders>
              <w:top w:val="single" w:sz="4" w:space="0" w:color="auto"/>
              <w:bottom w:val="nil"/>
            </w:tcBorders>
            <w:shd w:val="clear" w:color="auto" w:fill="auto"/>
            <w:vAlign w:val="bottom"/>
          </w:tcPr>
          <w:p w14:paraId="34407F7E" w14:textId="77777777" w:rsidR="00BC442A" w:rsidRPr="00412829" w:rsidRDefault="00BC442A" w:rsidP="00BD5ECC">
            <w:pPr>
              <w:pStyle w:val="RPI-TableCenterAligned"/>
            </w:pPr>
            <w:r w:rsidRPr="00412829">
              <w:t>524 (13.6)</w:t>
            </w:r>
          </w:p>
        </w:tc>
      </w:tr>
      <w:tr w:rsidR="00BC442A" w:rsidRPr="00412829" w14:paraId="2060BD12" w14:textId="77777777" w:rsidTr="00472DB3">
        <w:trPr>
          <w:trHeight w:val="288"/>
        </w:trPr>
        <w:tc>
          <w:tcPr>
            <w:tcW w:w="3249" w:type="dxa"/>
            <w:tcBorders>
              <w:top w:val="nil"/>
              <w:bottom w:val="nil"/>
            </w:tcBorders>
            <w:shd w:val="clear" w:color="auto" w:fill="auto"/>
            <w:vAlign w:val="bottom"/>
          </w:tcPr>
          <w:p w14:paraId="0E083EEA" w14:textId="77777777" w:rsidR="00BC442A" w:rsidRPr="00412829" w:rsidRDefault="00BC442A" w:rsidP="00BD5ECC">
            <w:pPr>
              <w:pStyle w:val="RPI-TableLeftAligned"/>
            </w:pPr>
            <w:r w:rsidRPr="00412829">
              <w:t>Arthralgia</w:t>
            </w:r>
          </w:p>
        </w:tc>
        <w:tc>
          <w:tcPr>
            <w:tcW w:w="2693" w:type="dxa"/>
            <w:tcBorders>
              <w:top w:val="nil"/>
              <w:bottom w:val="nil"/>
            </w:tcBorders>
            <w:shd w:val="clear" w:color="auto" w:fill="auto"/>
            <w:vAlign w:val="bottom"/>
          </w:tcPr>
          <w:p w14:paraId="6D62405E" w14:textId="77777777" w:rsidR="00BC442A" w:rsidRPr="00412829" w:rsidRDefault="00BC442A" w:rsidP="00BD5ECC">
            <w:pPr>
              <w:pStyle w:val="RPI-TableCenterAligned"/>
            </w:pPr>
            <w:r w:rsidRPr="00412829">
              <w:t>446 (11.8)</w:t>
            </w:r>
          </w:p>
        </w:tc>
        <w:tc>
          <w:tcPr>
            <w:tcW w:w="2693" w:type="dxa"/>
            <w:tcBorders>
              <w:top w:val="nil"/>
              <w:bottom w:val="nil"/>
            </w:tcBorders>
            <w:shd w:val="clear" w:color="auto" w:fill="auto"/>
            <w:vAlign w:val="bottom"/>
          </w:tcPr>
          <w:p w14:paraId="6D4C3A2D" w14:textId="77777777" w:rsidR="00BC442A" w:rsidRPr="00412829" w:rsidRDefault="00BC442A" w:rsidP="00BD5ECC">
            <w:pPr>
              <w:pStyle w:val="RPI-TableCenterAligned"/>
            </w:pPr>
            <w:r w:rsidRPr="00412829">
              <w:t>478 (12.4)</w:t>
            </w:r>
          </w:p>
        </w:tc>
      </w:tr>
      <w:tr w:rsidR="00BC442A" w:rsidRPr="00412829" w14:paraId="5B58E113" w14:textId="77777777" w:rsidTr="00472DB3">
        <w:trPr>
          <w:trHeight w:val="288"/>
        </w:trPr>
        <w:tc>
          <w:tcPr>
            <w:tcW w:w="3249" w:type="dxa"/>
            <w:tcBorders>
              <w:top w:val="nil"/>
              <w:bottom w:val="nil"/>
            </w:tcBorders>
            <w:shd w:val="clear" w:color="auto" w:fill="auto"/>
            <w:vAlign w:val="bottom"/>
          </w:tcPr>
          <w:p w14:paraId="3A422498" w14:textId="77777777" w:rsidR="00BC442A" w:rsidRPr="00412829" w:rsidRDefault="00BC442A" w:rsidP="00BD5ECC">
            <w:pPr>
              <w:pStyle w:val="RPI-TableLeftAligned"/>
            </w:pPr>
            <w:r w:rsidRPr="00412829">
              <w:t>Back pain</w:t>
            </w:r>
          </w:p>
        </w:tc>
        <w:tc>
          <w:tcPr>
            <w:tcW w:w="2693" w:type="dxa"/>
            <w:tcBorders>
              <w:top w:val="nil"/>
              <w:bottom w:val="nil"/>
            </w:tcBorders>
            <w:shd w:val="clear" w:color="auto" w:fill="auto"/>
            <w:vAlign w:val="bottom"/>
          </w:tcPr>
          <w:p w14:paraId="1682B8E2" w14:textId="77777777" w:rsidR="00BC442A" w:rsidRPr="00412829" w:rsidRDefault="00BC442A" w:rsidP="00BD5ECC">
            <w:pPr>
              <w:pStyle w:val="RPI-TableCenterAligned"/>
            </w:pPr>
            <w:r w:rsidRPr="00412829">
              <w:t>393 (10.4)</w:t>
            </w:r>
          </w:p>
        </w:tc>
        <w:tc>
          <w:tcPr>
            <w:tcW w:w="2693" w:type="dxa"/>
            <w:tcBorders>
              <w:top w:val="nil"/>
              <w:bottom w:val="nil"/>
            </w:tcBorders>
            <w:shd w:val="clear" w:color="auto" w:fill="auto"/>
            <w:vAlign w:val="bottom"/>
          </w:tcPr>
          <w:p w14:paraId="2FFB6B87" w14:textId="77777777" w:rsidR="00BC442A" w:rsidRPr="00412829" w:rsidRDefault="00BC442A" w:rsidP="00BD5ECC">
            <w:pPr>
              <w:pStyle w:val="RPI-TableCenterAligned"/>
            </w:pPr>
            <w:r w:rsidRPr="00412829">
              <w:t>393 (10.2)</w:t>
            </w:r>
          </w:p>
        </w:tc>
      </w:tr>
      <w:tr w:rsidR="00BC442A" w:rsidRPr="00412829" w14:paraId="1BA5EE68" w14:textId="77777777" w:rsidTr="00472DB3">
        <w:trPr>
          <w:trHeight w:val="288"/>
        </w:trPr>
        <w:tc>
          <w:tcPr>
            <w:tcW w:w="3249" w:type="dxa"/>
            <w:tcBorders>
              <w:top w:val="nil"/>
              <w:bottom w:val="nil"/>
            </w:tcBorders>
            <w:shd w:val="clear" w:color="auto" w:fill="auto"/>
            <w:vAlign w:val="bottom"/>
          </w:tcPr>
          <w:p w14:paraId="7BBF773B" w14:textId="77777777" w:rsidR="00BC442A" w:rsidRPr="00412829" w:rsidRDefault="00BC442A" w:rsidP="00BD5ECC">
            <w:pPr>
              <w:pStyle w:val="RPI-TableLeftAligned"/>
            </w:pPr>
            <w:r w:rsidRPr="00412829">
              <w:lastRenderedPageBreak/>
              <w:t>Pain in extremity</w:t>
            </w:r>
          </w:p>
        </w:tc>
        <w:tc>
          <w:tcPr>
            <w:tcW w:w="2693" w:type="dxa"/>
            <w:tcBorders>
              <w:top w:val="nil"/>
              <w:bottom w:val="nil"/>
            </w:tcBorders>
            <w:shd w:val="clear" w:color="auto" w:fill="auto"/>
            <w:vAlign w:val="bottom"/>
          </w:tcPr>
          <w:p w14:paraId="7B4E10C2" w14:textId="77777777" w:rsidR="00BC442A" w:rsidRPr="00412829" w:rsidRDefault="00BC442A" w:rsidP="00BD5ECC">
            <w:pPr>
              <w:pStyle w:val="RPI-TableCenterAligned"/>
            </w:pPr>
            <w:r w:rsidRPr="00412829">
              <w:t>305 (8.1)</w:t>
            </w:r>
          </w:p>
        </w:tc>
        <w:tc>
          <w:tcPr>
            <w:tcW w:w="2693" w:type="dxa"/>
            <w:tcBorders>
              <w:top w:val="nil"/>
              <w:bottom w:val="nil"/>
            </w:tcBorders>
            <w:shd w:val="clear" w:color="auto" w:fill="auto"/>
            <w:vAlign w:val="bottom"/>
          </w:tcPr>
          <w:p w14:paraId="7CE5EC44" w14:textId="77777777" w:rsidR="00BC442A" w:rsidRPr="00412829" w:rsidRDefault="00BC442A" w:rsidP="00BD5ECC">
            <w:pPr>
              <w:pStyle w:val="RPI-TableCenterAligned"/>
            </w:pPr>
            <w:r w:rsidRPr="00412829">
              <w:t>290 (7.5)</w:t>
            </w:r>
          </w:p>
        </w:tc>
      </w:tr>
      <w:tr w:rsidR="00BC442A" w:rsidRPr="00412829" w14:paraId="4DF933C3" w14:textId="77777777" w:rsidTr="00472DB3">
        <w:trPr>
          <w:trHeight w:val="288"/>
        </w:trPr>
        <w:tc>
          <w:tcPr>
            <w:tcW w:w="3249" w:type="dxa"/>
            <w:tcBorders>
              <w:top w:val="nil"/>
              <w:bottom w:val="nil"/>
            </w:tcBorders>
            <w:shd w:val="clear" w:color="auto" w:fill="auto"/>
            <w:vAlign w:val="bottom"/>
          </w:tcPr>
          <w:p w14:paraId="47B7CF71" w14:textId="77777777" w:rsidR="00BC442A" w:rsidRPr="00412829" w:rsidRDefault="00BC442A" w:rsidP="00BD5ECC">
            <w:pPr>
              <w:pStyle w:val="RPI-TableLeftAligned"/>
            </w:pPr>
            <w:r w:rsidRPr="00412829">
              <w:t>Fall</w:t>
            </w:r>
          </w:p>
        </w:tc>
        <w:tc>
          <w:tcPr>
            <w:tcW w:w="2693" w:type="dxa"/>
            <w:tcBorders>
              <w:top w:val="nil"/>
              <w:bottom w:val="nil"/>
            </w:tcBorders>
            <w:shd w:val="clear" w:color="auto" w:fill="auto"/>
            <w:vAlign w:val="bottom"/>
          </w:tcPr>
          <w:p w14:paraId="719DFCB6" w14:textId="77777777" w:rsidR="00BC442A" w:rsidRPr="00412829" w:rsidRDefault="00BC442A" w:rsidP="00BD5ECC">
            <w:pPr>
              <w:pStyle w:val="RPI-TableCenterAligned"/>
            </w:pPr>
            <w:r w:rsidRPr="00412829">
              <w:t>324 (8.6)</w:t>
            </w:r>
          </w:p>
        </w:tc>
        <w:tc>
          <w:tcPr>
            <w:tcW w:w="2693" w:type="dxa"/>
            <w:tcBorders>
              <w:top w:val="nil"/>
              <w:bottom w:val="nil"/>
            </w:tcBorders>
            <w:shd w:val="clear" w:color="auto" w:fill="auto"/>
            <w:vAlign w:val="bottom"/>
          </w:tcPr>
          <w:p w14:paraId="54F4CA14" w14:textId="77777777" w:rsidR="00BC442A" w:rsidRPr="00412829" w:rsidRDefault="00BC442A" w:rsidP="00BD5ECC">
            <w:pPr>
              <w:pStyle w:val="RPI-TableCenterAligned"/>
            </w:pPr>
            <w:r w:rsidRPr="00412829">
              <w:t>262 (6.8)</w:t>
            </w:r>
          </w:p>
        </w:tc>
      </w:tr>
      <w:tr w:rsidR="00BC442A" w:rsidRPr="00412829" w14:paraId="7EE5DA85" w14:textId="77777777" w:rsidTr="00472DB3">
        <w:trPr>
          <w:trHeight w:val="270"/>
        </w:trPr>
        <w:tc>
          <w:tcPr>
            <w:tcW w:w="3249" w:type="dxa"/>
            <w:tcBorders>
              <w:top w:val="nil"/>
              <w:bottom w:val="nil"/>
            </w:tcBorders>
            <w:shd w:val="clear" w:color="auto" w:fill="auto"/>
            <w:vAlign w:val="bottom"/>
          </w:tcPr>
          <w:p w14:paraId="6C439927" w14:textId="77777777" w:rsidR="00BC442A" w:rsidRPr="00412829" w:rsidRDefault="00BC442A" w:rsidP="00BD5ECC">
            <w:pPr>
              <w:pStyle w:val="RPI-TableLeftAligned"/>
            </w:pPr>
            <w:r w:rsidRPr="00412829">
              <w:t>Headache</w:t>
            </w:r>
          </w:p>
        </w:tc>
        <w:tc>
          <w:tcPr>
            <w:tcW w:w="2693" w:type="dxa"/>
            <w:tcBorders>
              <w:top w:val="nil"/>
              <w:bottom w:val="nil"/>
            </w:tcBorders>
            <w:shd w:val="clear" w:color="auto" w:fill="auto"/>
            <w:vAlign w:val="bottom"/>
          </w:tcPr>
          <w:p w14:paraId="78575AC9" w14:textId="77777777" w:rsidR="00BC442A" w:rsidRPr="00412829" w:rsidRDefault="00BC442A" w:rsidP="00BD5ECC">
            <w:pPr>
              <w:pStyle w:val="RPI-TableCenterAligned"/>
            </w:pPr>
            <w:r w:rsidRPr="00412829">
              <w:t>223 (5.9)</w:t>
            </w:r>
          </w:p>
        </w:tc>
        <w:tc>
          <w:tcPr>
            <w:tcW w:w="2693" w:type="dxa"/>
            <w:tcBorders>
              <w:top w:val="nil"/>
              <w:bottom w:val="nil"/>
            </w:tcBorders>
            <w:shd w:val="clear" w:color="auto" w:fill="auto"/>
            <w:vAlign w:val="bottom"/>
          </w:tcPr>
          <w:p w14:paraId="4A42C755" w14:textId="77777777" w:rsidR="00BC442A" w:rsidRPr="00412829" w:rsidRDefault="00BC442A" w:rsidP="00BD5ECC">
            <w:pPr>
              <w:pStyle w:val="RPI-TableCenterAligned"/>
            </w:pPr>
            <w:r w:rsidRPr="00412829">
              <w:t>252 (6.5)</w:t>
            </w:r>
          </w:p>
        </w:tc>
      </w:tr>
      <w:tr w:rsidR="00BC442A" w:rsidRPr="00412829" w14:paraId="6B0EAE46" w14:textId="77777777" w:rsidTr="00472DB3">
        <w:trPr>
          <w:trHeight w:val="270"/>
        </w:trPr>
        <w:tc>
          <w:tcPr>
            <w:tcW w:w="3249" w:type="dxa"/>
            <w:tcBorders>
              <w:top w:val="nil"/>
              <w:bottom w:val="nil"/>
            </w:tcBorders>
            <w:shd w:val="clear" w:color="auto" w:fill="auto"/>
            <w:vAlign w:val="bottom"/>
          </w:tcPr>
          <w:p w14:paraId="52FD2DEE" w14:textId="77777777" w:rsidR="00BC442A" w:rsidRPr="00412829" w:rsidRDefault="00BC442A" w:rsidP="00BD5ECC">
            <w:pPr>
              <w:pStyle w:val="RPI-TableLeftAligned"/>
            </w:pPr>
            <w:r w:rsidRPr="00412829">
              <w:t>Hypertension</w:t>
            </w:r>
          </w:p>
        </w:tc>
        <w:tc>
          <w:tcPr>
            <w:tcW w:w="2693" w:type="dxa"/>
            <w:tcBorders>
              <w:top w:val="nil"/>
              <w:bottom w:val="nil"/>
            </w:tcBorders>
            <w:shd w:val="clear" w:color="auto" w:fill="auto"/>
            <w:vAlign w:val="bottom"/>
          </w:tcPr>
          <w:p w14:paraId="55D7E8FD" w14:textId="77777777" w:rsidR="00BC442A" w:rsidRPr="00412829" w:rsidRDefault="00BC442A" w:rsidP="00BD5ECC">
            <w:pPr>
              <w:pStyle w:val="RPI-TableCenterAligned"/>
            </w:pPr>
            <w:r w:rsidRPr="00412829">
              <w:t>276 (7.3)</w:t>
            </w:r>
          </w:p>
        </w:tc>
        <w:tc>
          <w:tcPr>
            <w:tcW w:w="2693" w:type="dxa"/>
            <w:tcBorders>
              <w:top w:val="nil"/>
              <w:bottom w:val="nil"/>
            </w:tcBorders>
            <w:shd w:val="clear" w:color="auto" w:fill="auto"/>
            <w:vAlign w:val="bottom"/>
          </w:tcPr>
          <w:p w14:paraId="57121078" w14:textId="77777777" w:rsidR="00BC442A" w:rsidRPr="00412829" w:rsidRDefault="00BC442A" w:rsidP="00BD5ECC">
            <w:pPr>
              <w:pStyle w:val="RPI-TableCenterAligned"/>
            </w:pPr>
            <w:r w:rsidRPr="00412829">
              <w:t>242 (6.3)</w:t>
            </w:r>
          </w:p>
        </w:tc>
      </w:tr>
      <w:tr w:rsidR="00BC442A" w:rsidRPr="00412829" w14:paraId="475C4CDC" w14:textId="77777777" w:rsidTr="00472DB3">
        <w:trPr>
          <w:trHeight w:val="270"/>
        </w:trPr>
        <w:tc>
          <w:tcPr>
            <w:tcW w:w="3249" w:type="dxa"/>
            <w:tcBorders>
              <w:top w:val="nil"/>
              <w:bottom w:val="nil"/>
            </w:tcBorders>
            <w:shd w:val="clear" w:color="auto" w:fill="auto"/>
            <w:vAlign w:val="bottom"/>
          </w:tcPr>
          <w:p w14:paraId="2D4095BD" w14:textId="77777777" w:rsidR="00BC442A" w:rsidRPr="00412829" w:rsidRDefault="00BC442A" w:rsidP="00BD5ECC">
            <w:pPr>
              <w:pStyle w:val="RPI-TableLeftAligned"/>
            </w:pPr>
            <w:r w:rsidRPr="00412829">
              <w:t>Viral upper respiratory tract infection</w:t>
            </w:r>
          </w:p>
        </w:tc>
        <w:tc>
          <w:tcPr>
            <w:tcW w:w="2693" w:type="dxa"/>
            <w:tcBorders>
              <w:top w:val="nil"/>
              <w:bottom w:val="nil"/>
            </w:tcBorders>
            <w:shd w:val="clear" w:color="auto" w:fill="auto"/>
            <w:vAlign w:val="bottom"/>
          </w:tcPr>
          <w:p w14:paraId="21BD3320" w14:textId="77777777" w:rsidR="00BC442A" w:rsidRPr="00412829" w:rsidRDefault="00BC442A" w:rsidP="00BD5ECC">
            <w:pPr>
              <w:pStyle w:val="RPI-TableCenterAligned"/>
            </w:pPr>
            <w:r w:rsidRPr="00412829">
              <w:t>228 (6.0)</w:t>
            </w:r>
          </w:p>
        </w:tc>
        <w:tc>
          <w:tcPr>
            <w:tcW w:w="2693" w:type="dxa"/>
            <w:tcBorders>
              <w:top w:val="nil"/>
              <w:bottom w:val="nil"/>
            </w:tcBorders>
            <w:shd w:val="clear" w:color="auto" w:fill="auto"/>
            <w:vAlign w:val="bottom"/>
          </w:tcPr>
          <w:p w14:paraId="725F26B1" w14:textId="77777777" w:rsidR="00BC442A" w:rsidRPr="00412829" w:rsidRDefault="00BC442A" w:rsidP="00BD5ECC">
            <w:pPr>
              <w:pStyle w:val="RPI-TableCenterAligned"/>
            </w:pPr>
            <w:r w:rsidRPr="00412829">
              <w:t>207 (5.4)</w:t>
            </w:r>
          </w:p>
        </w:tc>
      </w:tr>
      <w:tr w:rsidR="00BC442A" w:rsidRPr="00412829" w14:paraId="508BB394" w14:textId="77777777" w:rsidTr="00472DB3">
        <w:trPr>
          <w:trHeight w:val="270"/>
        </w:trPr>
        <w:tc>
          <w:tcPr>
            <w:tcW w:w="3249" w:type="dxa"/>
            <w:tcBorders>
              <w:top w:val="nil"/>
              <w:bottom w:val="nil"/>
            </w:tcBorders>
            <w:shd w:val="clear" w:color="auto" w:fill="auto"/>
            <w:vAlign w:val="bottom"/>
          </w:tcPr>
          <w:p w14:paraId="3AFD77CD" w14:textId="77777777" w:rsidR="00BC442A" w:rsidRPr="00412829" w:rsidRDefault="00BC442A" w:rsidP="00BD5ECC">
            <w:pPr>
              <w:pStyle w:val="RPI-TableLeftAligned"/>
            </w:pPr>
            <w:r w:rsidRPr="00412829">
              <w:t>Osteoarthritis</w:t>
            </w:r>
          </w:p>
        </w:tc>
        <w:tc>
          <w:tcPr>
            <w:tcW w:w="2693" w:type="dxa"/>
            <w:tcBorders>
              <w:top w:val="nil"/>
              <w:bottom w:val="nil"/>
            </w:tcBorders>
            <w:shd w:val="clear" w:color="auto" w:fill="auto"/>
            <w:vAlign w:val="bottom"/>
          </w:tcPr>
          <w:p w14:paraId="28E9D22F" w14:textId="77777777" w:rsidR="00BC442A" w:rsidRPr="00412829" w:rsidRDefault="00BC442A" w:rsidP="00BD5ECC">
            <w:pPr>
              <w:pStyle w:val="RPI-TableCenterAligned"/>
            </w:pPr>
            <w:r w:rsidRPr="00412829">
              <w:t>226 (6.0)</w:t>
            </w:r>
          </w:p>
        </w:tc>
        <w:tc>
          <w:tcPr>
            <w:tcW w:w="2693" w:type="dxa"/>
            <w:tcBorders>
              <w:top w:val="nil"/>
              <w:bottom w:val="nil"/>
            </w:tcBorders>
            <w:shd w:val="clear" w:color="auto" w:fill="auto"/>
            <w:vAlign w:val="bottom"/>
          </w:tcPr>
          <w:p w14:paraId="2D311F54" w14:textId="77777777" w:rsidR="00BC442A" w:rsidRPr="00412829" w:rsidRDefault="00BC442A" w:rsidP="00BD5ECC">
            <w:pPr>
              <w:pStyle w:val="RPI-TableCenterAligned"/>
            </w:pPr>
            <w:r w:rsidRPr="00412829">
              <w:t>201 (5.2)</w:t>
            </w:r>
          </w:p>
        </w:tc>
      </w:tr>
      <w:tr w:rsidR="00BC442A" w:rsidRPr="00412829" w14:paraId="4C4DDF19" w14:textId="77777777" w:rsidTr="00472DB3">
        <w:trPr>
          <w:trHeight w:val="288"/>
        </w:trPr>
        <w:tc>
          <w:tcPr>
            <w:tcW w:w="3249" w:type="dxa"/>
            <w:tcBorders>
              <w:top w:val="nil"/>
              <w:bottom w:val="nil"/>
            </w:tcBorders>
            <w:shd w:val="clear" w:color="auto" w:fill="auto"/>
            <w:vAlign w:val="bottom"/>
          </w:tcPr>
          <w:p w14:paraId="1A751B58" w14:textId="77777777" w:rsidR="00BC442A" w:rsidRPr="00412829" w:rsidRDefault="00BC442A" w:rsidP="00BD5ECC">
            <w:pPr>
              <w:pStyle w:val="RPI-TableLeftAligned"/>
              <w:rPr>
                <w:b/>
              </w:rPr>
            </w:pPr>
            <w:r w:rsidRPr="00412829">
              <w:t>Influenza</w:t>
            </w:r>
          </w:p>
        </w:tc>
        <w:tc>
          <w:tcPr>
            <w:tcW w:w="2693" w:type="dxa"/>
            <w:tcBorders>
              <w:top w:val="nil"/>
              <w:bottom w:val="nil"/>
            </w:tcBorders>
            <w:shd w:val="clear" w:color="auto" w:fill="auto"/>
            <w:vAlign w:val="bottom"/>
          </w:tcPr>
          <w:p w14:paraId="19A6CBFF" w14:textId="77777777" w:rsidR="00BC442A" w:rsidRPr="00412829" w:rsidRDefault="00BC442A" w:rsidP="00BD5ECC">
            <w:pPr>
              <w:pStyle w:val="RPI-TableCenterAligned"/>
              <w:rPr>
                <w:b/>
              </w:rPr>
            </w:pPr>
            <w:r w:rsidRPr="00412829">
              <w:t>187 (5.0)</w:t>
            </w:r>
          </w:p>
        </w:tc>
        <w:tc>
          <w:tcPr>
            <w:tcW w:w="2693" w:type="dxa"/>
            <w:tcBorders>
              <w:top w:val="nil"/>
              <w:bottom w:val="nil"/>
            </w:tcBorders>
            <w:shd w:val="clear" w:color="auto" w:fill="auto"/>
            <w:vAlign w:val="bottom"/>
          </w:tcPr>
          <w:p w14:paraId="2EECC4FD" w14:textId="77777777" w:rsidR="00BC442A" w:rsidRPr="00412829" w:rsidRDefault="00BC442A" w:rsidP="00BD5ECC">
            <w:pPr>
              <w:pStyle w:val="RPI-TableCenterAligned"/>
              <w:rPr>
                <w:b/>
              </w:rPr>
            </w:pPr>
            <w:r w:rsidRPr="00412829">
              <w:t>177 (4.6)</w:t>
            </w:r>
          </w:p>
        </w:tc>
      </w:tr>
      <w:tr w:rsidR="00BC442A" w:rsidRPr="00412829" w14:paraId="1DF50A0D" w14:textId="77777777" w:rsidTr="00472DB3">
        <w:trPr>
          <w:trHeight w:val="288"/>
        </w:trPr>
        <w:tc>
          <w:tcPr>
            <w:tcW w:w="3249" w:type="dxa"/>
            <w:tcBorders>
              <w:top w:val="nil"/>
              <w:bottom w:val="nil"/>
            </w:tcBorders>
            <w:shd w:val="clear" w:color="auto" w:fill="auto"/>
            <w:vAlign w:val="bottom"/>
          </w:tcPr>
          <w:p w14:paraId="62749CF8" w14:textId="77777777" w:rsidR="00BC442A" w:rsidRPr="00412829" w:rsidRDefault="00BC442A" w:rsidP="00BD5ECC">
            <w:pPr>
              <w:pStyle w:val="RPI-TableLeftAligned"/>
              <w:rPr>
                <w:b/>
              </w:rPr>
            </w:pPr>
            <w:r w:rsidRPr="00412829">
              <w:t>Musculoskeletal pain</w:t>
            </w:r>
          </w:p>
        </w:tc>
        <w:tc>
          <w:tcPr>
            <w:tcW w:w="2693" w:type="dxa"/>
            <w:tcBorders>
              <w:top w:val="nil"/>
              <w:bottom w:val="nil"/>
            </w:tcBorders>
            <w:shd w:val="clear" w:color="auto" w:fill="auto"/>
            <w:vAlign w:val="bottom"/>
          </w:tcPr>
          <w:p w14:paraId="2EB6BC99" w14:textId="77777777" w:rsidR="00BC442A" w:rsidRPr="00412829" w:rsidRDefault="00BC442A" w:rsidP="00BD5ECC">
            <w:pPr>
              <w:pStyle w:val="RPI-TableCenterAligned"/>
              <w:rPr>
                <w:b/>
              </w:rPr>
            </w:pPr>
            <w:r w:rsidRPr="00412829">
              <w:t>174 (4.6)</w:t>
            </w:r>
          </w:p>
        </w:tc>
        <w:tc>
          <w:tcPr>
            <w:tcW w:w="2693" w:type="dxa"/>
            <w:tcBorders>
              <w:top w:val="nil"/>
              <w:bottom w:val="nil"/>
            </w:tcBorders>
            <w:shd w:val="clear" w:color="auto" w:fill="auto"/>
            <w:vAlign w:val="bottom"/>
          </w:tcPr>
          <w:p w14:paraId="336DFFA4" w14:textId="77777777" w:rsidR="00BC442A" w:rsidRPr="00412829" w:rsidRDefault="00BC442A" w:rsidP="00BD5ECC">
            <w:pPr>
              <w:pStyle w:val="RPI-TableCenterAligned"/>
              <w:rPr>
                <w:b/>
              </w:rPr>
            </w:pPr>
            <w:r w:rsidRPr="00412829">
              <w:t>174 (4.5)</w:t>
            </w:r>
          </w:p>
        </w:tc>
      </w:tr>
      <w:tr w:rsidR="00BC442A" w:rsidRPr="00412829" w14:paraId="467A40B1" w14:textId="77777777" w:rsidTr="00472DB3">
        <w:trPr>
          <w:trHeight w:val="288"/>
        </w:trPr>
        <w:tc>
          <w:tcPr>
            <w:tcW w:w="3249" w:type="dxa"/>
            <w:tcBorders>
              <w:top w:val="nil"/>
              <w:bottom w:val="nil"/>
            </w:tcBorders>
            <w:shd w:val="clear" w:color="auto" w:fill="auto"/>
            <w:vAlign w:val="bottom"/>
          </w:tcPr>
          <w:p w14:paraId="5C8F5589" w14:textId="77777777" w:rsidR="00BC442A" w:rsidRPr="00412829" w:rsidRDefault="00BC442A" w:rsidP="00BD5ECC">
            <w:pPr>
              <w:pStyle w:val="RPI-TableLeftAligned"/>
              <w:rPr>
                <w:b/>
              </w:rPr>
            </w:pPr>
            <w:r w:rsidRPr="00412829">
              <w:t>Upper respiratory tract infection</w:t>
            </w:r>
          </w:p>
        </w:tc>
        <w:tc>
          <w:tcPr>
            <w:tcW w:w="2693" w:type="dxa"/>
            <w:tcBorders>
              <w:top w:val="nil"/>
              <w:bottom w:val="nil"/>
            </w:tcBorders>
            <w:shd w:val="clear" w:color="auto" w:fill="auto"/>
            <w:vAlign w:val="bottom"/>
          </w:tcPr>
          <w:p w14:paraId="01D1472F" w14:textId="77777777" w:rsidR="00BC442A" w:rsidRPr="00412829" w:rsidRDefault="00BC442A" w:rsidP="00BD5ECC">
            <w:pPr>
              <w:pStyle w:val="RPI-TableCenterAligned"/>
              <w:rPr>
                <w:b/>
              </w:rPr>
            </w:pPr>
            <w:r w:rsidRPr="00412829">
              <w:t>179 (4.7)</w:t>
            </w:r>
          </w:p>
        </w:tc>
        <w:tc>
          <w:tcPr>
            <w:tcW w:w="2693" w:type="dxa"/>
            <w:tcBorders>
              <w:top w:val="nil"/>
              <w:bottom w:val="nil"/>
            </w:tcBorders>
            <w:shd w:val="clear" w:color="auto" w:fill="auto"/>
            <w:vAlign w:val="bottom"/>
          </w:tcPr>
          <w:p w14:paraId="54A48474" w14:textId="77777777" w:rsidR="00BC442A" w:rsidRPr="00412829" w:rsidRDefault="00BC442A" w:rsidP="00BD5ECC">
            <w:pPr>
              <w:pStyle w:val="RPI-TableCenterAligned"/>
              <w:rPr>
                <w:b/>
              </w:rPr>
            </w:pPr>
            <w:r w:rsidRPr="00412829">
              <w:t>172 (4.5)</w:t>
            </w:r>
          </w:p>
        </w:tc>
      </w:tr>
      <w:tr w:rsidR="00BC442A" w:rsidRPr="00412829" w14:paraId="12E34127" w14:textId="77777777" w:rsidTr="00472DB3">
        <w:trPr>
          <w:trHeight w:val="288"/>
        </w:trPr>
        <w:tc>
          <w:tcPr>
            <w:tcW w:w="3249" w:type="dxa"/>
            <w:tcBorders>
              <w:top w:val="nil"/>
              <w:bottom w:val="nil"/>
            </w:tcBorders>
            <w:shd w:val="clear" w:color="auto" w:fill="auto"/>
            <w:vAlign w:val="bottom"/>
          </w:tcPr>
          <w:p w14:paraId="5B109C04" w14:textId="77777777" w:rsidR="00BC442A" w:rsidRPr="00412829" w:rsidRDefault="00BC442A" w:rsidP="00BD5ECC">
            <w:pPr>
              <w:pStyle w:val="RPI-TableLeftAligned"/>
              <w:rPr>
                <w:b/>
              </w:rPr>
            </w:pPr>
            <w:r w:rsidRPr="00412829">
              <w:t>Muscle spasms</w:t>
            </w:r>
          </w:p>
        </w:tc>
        <w:tc>
          <w:tcPr>
            <w:tcW w:w="2693" w:type="dxa"/>
            <w:tcBorders>
              <w:top w:val="nil"/>
              <w:bottom w:val="nil"/>
            </w:tcBorders>
            <w:shd w:val="clear" w:color="auto" w:fill="auto"/>
            <w:vAlign w:val="bottom"/>
          </w:tcPr>
          <w:p w14:paraId="273E3DDD" w14:textId="77777777" w:rsidR="00BC442A" w:rsidRPr="00412829" w:rsidRDefault="00BC442A" w:rsidP="00BD5ECC">
            <w:pPr>
              <w:pStyle w:val="RPI-TableCenterAligned"/>
              <w:rPr>
                <w:b/>
              </w:rPr>
            </w:pPr>
            <w:r w:rsidRPr="00412829">
              <w:t>147 (3.9)</w:t>
            </w:r>
          </w:p>
        </w:tc>
        <w:tc>
          <w:tcPr>
            <w:tcW w:w="2693" w:type="dxa"/>
            <w:tcBorders>
              <w:top w:val="nil"/>
              <w:bottom w:val="nil"/>
            </w:tcBorders>
            <w:shd w:val="clear" w:color="auto" w:fill="auto"/>
            <w:vAlign w:val="bottom"/>
          </w:tcPr>
          <w:p w14:paraId="19D81D28" w14:textId="77777777" w:rsidR="00BC442A" w:rsidRPr="00412829" w:rsidRDefault="00BC442A" w:rsidP="00BD5ECC">
            <w:pPr>
              <w:pStyle w:val="RPI-TableCenterAligned"/>
              <w:rPr>
                <w:b/>
              </w:rPr>
            </w:pPr>
            <w:r w:rsidRPr="00412829">
              <w:t>169 (4.4)</w:t>
            </w:r>
          </w:p>
        </w:tc>
      </w:tr>
      <w:tr w:rsidR="00BC442A" w:rsidRPr="00412829" w14:paraId="295A4597" w14:textId="77777777" w:rsidTr="00472DB3">
        <w:trPr>
          <w:trHeight w:val="288"/>
        </w:trPr>
        <w:tc>
          <w:tcPr>
            <w:tcW w:w="3249" w:type="dxa"/>
            <w:tcBorders>
              <w:top w:val="nil"/>
              <w:bottom w:val="nil"/>
            </w:tcBorders>
            <w:shd w:val="clear" w:color="auto" w:fill="auto"/>
            <w:vAlign w:val="bottom"/>
          </w:tcPr>
          <w:p w14:paraId="334742CB" w14:textId="77777777" w:rsidR="00BC442A" w:rsidRPr="00412829" w:rsidRDefault="00BC442A" w:rsidP="00BD5ECC">
            <w:pPr>
              <w:pStyle w:val="RPI-TableLeftAligned"/>
              <w:rPr>
                <w:b/>
              </w:rPr>
            </w:pPr>
            <w:r w:rsidRPr="00412829">
              <w:t>Dizziness</w:t>
            </w:r>
          </w:p>
        </w:tc>
        <w:tc>
          <w:tcPr>
            <w:tcW w:w="2693" w:type="dxa"/>
            <w:tcBorders>
              <w:top w:val="nil"/>
              <w:bottom w:val="nil"/>
            </w:tcBorders>
            <w:shd w:val="clear" w:color="auto" w:fill="auto"/>
            <w:vAlign w:val="bottom"/>
          </w:tcPr>
          <w:p w14:paraId="4FDA467A" w14:textId="77777777" w:rsidR="00BC442A" w:rsidRPr="00412829" w:rsidRDefault="00BC442A" w:rsidP="00BD5ECC">
            <w:pPr>
              <w:pStyle w:val="RPI-TableCenterAligned"/>
              <w:rPr>
                <w:b/>
              </w:rPr>
            </w:pPr>
            <w:r w:rsidRPr="00412829">
              <w:t>162 (4.3)</w:t>
            </w:r>
          </w:p>
        </w:tc>
        <w:tc>
          <w:tcPr>
            <w:tcW w:w="2693" w:type="dxa"/>
            <w:tcBorders>
              <w:top w:val="nil"/>
              <w:bottom w:val="nil"/>
            </w:tcBorders>
            <w:shd w:val="clear" w:color="auto" w:fill="auto"/>
            <w:vAlign w:val="bottom"/>
          </w:tcPr>
          <w:p w14:paraId="03CEA345" w14:textId="77777777" w:rsidR="00BC442A" w:rsidRPr="00412829" w:rsidRDefault="00BC442A" w:rsidP="00BD5ECC">
            <w:pPr>
              <w:pStyle w:val="RPI-TableCenterAligned"/>
              <w:rPr>
                <w:b/>
              </w:rPr>
            </w:pPr>
            <w:r w:rsidRPr="00412829">
              <w:t>162 (4.2)</w:t>
            </w:r>
          </w:p>
        </w:tc>
      </w:tr>
      <w:tr w:rsidR="00BC442A" w:rsidRPr="00412829" w14:paraId="18302C1B" w14:textId="77777777" w:rsidTr="00472DB3">
        <w:trPr>
          <w:trHeight w:val="288"/>
        </w:trPr>
        <w:tc>
          <w:tcPr>
            <w:tcW w:w="3249" w:type="dxa"/>
            <w:tcBorders>
              <w:top w:val="nil"/>
              <w:bottom w:val="nil"/>
            </w:tcBorders>
            <w:shd w:val="clear" w:color="auto" w:fill="auto"/>
            <w:vAlign w:val="bottom"/>
          </w:tcPr>
          <w:p w14:paraId="072C7C30" w14:textId="77777777" w:rsidR="00BC442A" w:rsidRPr="00412829" w:rsidRDefault="00BC442A" w:rsidP="00BD5ECC">
            <w:pPr>
              <w:pStyle w:val="RPI-TableLeftAligned"/>
              <w:rPr>
                <w:b/>
              </w:rPr>
            </w:pPr>
            <w:r w:rsidRPr="00412829">
              <w:t>Constipation</w:t>
            </w:r>
          </w:p>
        </w:tc>
        <w:tc>
          <w:tcPr>
            <w:tcW w:w="2693" w:type="dxa"/>
            <w:tcBorders>
              <w:top w:val="nil"/>
              <w:bottom w:val="nil"/>
            </w:tcBorders>
            <w:shd w:val="clear" w:color="auto" w:fill="auto"/>
            <w:vAlign w:val="bottom"/>
          </w:tcPr>
          <w:p w14:paraId="50A4F81B" w14:textId="77777777" w:rsidR="00BC442A" w:rsidRPr="00412829" w:rsidRDefault="00BC442A" w:rsidP="00BD5ECC">
            <w:pPr>
              <w:pStyle w:val="RPI-TableCenterAligned"/>
              <w:rPr>
                <w:b/>
              </w:rPr>
            </w:pPr>
            <w:r w:rsidRPr="00412829">
              <w:t>169 (4.5)</w:t>
            </w:r>
          </w:p>
        </w:tc>
        <w:tc>
          <w:tcPr>
            <w:tcW w:w="2693" w:type="dxa"/>
            <w:tcBorders>
              <w:top w:val="nil"/>
              <w:bottom w:val="nil"/>
            </w:tcBorders>
            <w:shd w:val="clear" w:color="auto" w:fill="auto"/>
            <w:vAlign w:val="bottom"/>
          </w:tcPr>
          <w:p w14:paraId="63CF0643" w14:textId="77777777" w:rsidR="00BC442A" w:rsidRPr="00412829" w:rsidRDefault="00BC442A" w:rsidP="00BD5ECC">
            <w:pPr>
              <w:pStyle w:val="RPI-TableCenterAligned"/>
              <w:rPr>
                <w:b/>
              </w:rPr>
            </w:pPr>
            <w:r w:rsidRPr="00412829">
              <w:t>151 (3.9)</w:t>
            </w:r>
          </w:p>
        </w:tc>
      </w:tr>
      <w:tr w:rsidR="00BC442A" w:rsidRPr="00412829" w14:paraId="5906BDEC" w14:textId="77777777" w:rsidTr="00472DB3">
        <w:trPr>
          <w:trHeight w:val="288"/>
        </w:trPr>
        <w:tc>
          <w:tcPr>
            <w:tcW w:w="3249" w:type="dxa"/>
            <w:tcBorders>
              <w:top w:val="nil"/>
              <w:bottom w:val="nil"/>
            </w:tcBorders>
            <w:shd w:val="clear" w:color="auto" w:fill="auto"/>
            <w:vAlign w:val="bottom"/>
          </w:tcPr>
          <w:p w14:paraId="0B18D3A4" w14:textId="77777777" w:rsidR="00BC442A" w:rsidRPr="00412829" w:rsidRDefault="00BC442A" w:rsidP="00BD5ECC">
            <w:pPr>
              <w:pStyle w:val="RPI-TableLeftAligned"/>
              <w:rPr>
                <w:b/>
              </w:rPr>
            </w:pPr>
            <w:r w:rsidRPr="00412829">
              <w:t>Cough</w:t>
            </w:r>
          </w:p>
        </w:tc>
        <w:tc>
          <w:tcPr>
            <w:tcW w:w="2693" w:type="dxa"/>
            <w:tcBorders>
              <w:top w:val="nil"/>
              <w:bottom w:val="nil"/>
            </w:tcBorders>
            <w:shd w:val="clear" w:color="auto" w:fill="auto"/>
            <w:vAlign w:val="bottom"/>
          </w:tcPr>
          <w:p w14:paraId="527BE729" w14:textId="77777777" w:rsidR="00BC442A" w:rsidRPr="00412829" w:rsidRDefault="00BC442A" w:rsidP="00BD5ECC">
            <w:pPr>
              <w:pStyle w:val="RPI-TableCenterAligned"/>
              <w:rPr>
                <w:b/>
              </w:rPr>
            </w:pPr>
            <w:r w:rsidRPr="00412829">
              <w:t>120 (3.2)</w:t>
            </w:r>
          </w:p>
        </w:tc>
        <w:tc>
          <w:tcPr>
            <w:tcW w:w="2693" w:type="dxa"/>
            <w:tcBorders>
              <w:top w:val="nil"/>
              <w:bottom w:val="nil"/>
            </w:tcBorders>
            <w:shd w:val="clear" w:color="auto" w:fill="auto"/>
            <w:vAlign w:val="bottom"/>
          </w:tcPr>
          <w:p w14:paraId="765FECA7" w14:textId="77777777" w:rsidR="00BC442A" w:rsidRPr="00412829" w:rsidRDefault="00BC442A" w:rsidP="00BD5ECC">
            <w:pPr>
              <w:pStyle w:val="RPI-TableCenterAligned"/>
              <w:rPr>
                <w:b/>
              </w:rPr>
            </w:pPr>
            <w:r w:rsidRPr="00412829">
              <w:t>140 (3.6)</w:t>
            </w:r>
          </w:p>
        </w:tc>
      </w:tr>
      <w:tr w:rsidR="00BC442A" w:rsidRPr="00412829" w14:paraId="0875E99C" w14:textId="77777777" w:rsidTr="00472DB3">
        <w:trPr>
          <w:trHeight w:val="288"/>
        </w:trPr>
        <w:tc>
          <w:tcPr>
            <w:tcW w:w="3249" w:type="dxa"/>
            <w:tcBorders>
              <w:top w:val="nil"/>
              <w:bottom w:val="nil"/>
            </w:tcBorders>
            <w:shd w:val="clear" w:color="auto" w:fill="auto"/>
            <w:vAlign w:val="bottom"/>
          </w:tcPr>
          <w:p w14:paraId="72B0FF4B" w14:textId="77777777" w:rsidR="00BC442A" w:rsidRPr="00412829" w:rsidRDefault="00BC442A" w:rsidP="00BD5ECC">
            <w:pPr>
              <w:pStyle w:val="RPI-TableLeftAligned"/>
              <w:rPr>
                <w:b/>
              </w:rPr>
            </w:pPr>
            <w:r w:rsidRPr="00412829">
              <w:t>Urinary tract infection</w:t>
            </w:r>
          </w:p>
        </w:tc>
        <w:tc>
          <w:tcPr>
            <w:tcW w:w="2693" w:type="dxa"/>
            <w:tcBorders>
              <w:top w:val="nil"/>
              <w:bottom w:val="nil"/>
            </w:tcBorders>
            <w:shd w:val="clear" w:color="auto" w:fill="auto"/>
            <w:vAlign w:val="bottom"/>
          </w:tcPr>
          <w:p w14:paraId="0B3EC40E" w14:textId="77777777" w:rsidR="00BC442A" w:rsidRPr="00412829" w:rsidRDefault="00BC442A" w:rsidP="00BD5ECC">
            <w:pPr>
              <w:pStyle w:val="RPI-TableCenterAligned"/>
              <w:rPr>
                <w:b/>
              </w:rPr>
            </w:pPr>
            <w:r w:rsidRPr="00412829">
              <w:t>148 (3.9)</w:t>
            </w:r>
          </w:p>
        </w:tc>
        <w:tc>
          <w:tcPr>
            <w:tcW w:w="2693" w:type="dxa"/>
            <w:tcBorders>
              <w:top w:val="nil"/>
              <w:bottom w:val="nil"/>
            </w:tcBorders>
            <w:shd w:val="clear" w:color="auto" w:fill="auto"/>
            <w:vAlign w:val="bottom"/>
          </w:tcPr>
          <w:p w14:paraId="01F3FE78" w14:textId="77777777" w:rsidR="00BC442A" w:rsidRPr="00412829" w:rsidRDefault="00BC442A" w:rsidP="00BD5ECC">
            <w:pPr>
              <w:pStyle w:val="RPI-TableCenterAligned"/>
              <w:rPr>
                <w:b/>
              </w:rPr>
            </w:pPr>
            <w:r w:rsidRPr="00412829">
              <w:t>140 (3.6)</w:t>
            </w:r>
          </w:p>
        </w:tc>
      </w:tr>
      <w:tr w:rsidR="00BC442A" w:rsidRPr="00412829" w14:paraId="14037429" w14:textId="77777777" w:rsidTr="00472DB3">
        <w:trPr>
          <w:trHeight w:val="288"/>
        </w:trPr>
        <w:tc>
          <w:tcPr>
            <w:tcW w:w="3249" w:type="dxa"/>
            <w:tcBorders>
              <w:top w:val="nil"/>
              <w:bottom w:val="nil"/>
            </w:tcBorders>
            <w:shd w:val="clear" w:color="auto" w:fill="auto"/>
            <w:vAlign w:val="bottom"/>
          </w:tcPr>
          <w:p w14:paraId="2E8FB900" w14:textId="77777777" w:rsidR="00BC442A" w:rsidRPr="00412829" w:rsidRDefault="00BC442A" w:rsidP="00BD5ECC">
            <w:pPr>
              <w:pStyle w:val="RPI-TableLeftAligned"/>
              <w:rPr>
                <w:b/>
              </w:rPr>
            </w:pPr>
            <w:r w:rsidRPr="00412829">
              <w:t>Myalgia</w:t>
            </w:r>
          </w:p>
        </w:tc>
        <w:tc>
          <w:tcPr>
            <w:tcW w:w="2693" w:type="dxa"/>
            <w:tcBorders>
              <w:top w:val="nil"/>
              <w:bottom w:val="nil"/>
            </w:tcBorders>
            <w:shd w:val="clear" w:color="auto" w:fill="auto"/>
            <w:vAlign w:val="bottom"/>
          </w:tcPr>
          <w:p w14:paraId="5AB90FBA" w14:textId="77777777" w:rsidR="00BC442A" w:rsidRPr="00412829" w:rsidRDefault="00BC442A" w:rsidP="00BD5ECC">
            <w:pPr>
              <w:pStyle w:val="RPI-TableCenterAligned"/>
              <w:rPr>
                <w:b/>
              </w:rPr>
            </w:pPr>
            <w:r w:rsidRPr="00412829">
              <w:t>136 (3.6)</w:t>
            </w:r>
          </w:p>
        </w:tc>
        <w:tc>
          <w:tcPr>
            <w:tcW w:w="2693" w:type="dxa"/>
            <w:tcBorders>
              <w:top w:val="nil"/>
              <w:bottom w:val="nil"/>
            </w:tcBorders>
            <w:shd w:val="clear" w:color="auto" w:fill="auto"/>
            <w:vAlign w:val="bottom"/>
          </w:tcPr>
          <w:p w14:paraId="089D4241" w14:textId="77777777" w:rsidR="00BC442A" w:rsidRPr="00412829" w:rsidRDefault="00BC442A" w:rsidP="00BD5ECC">
            <w:pPr>
              <w:pStyle w:val="RPI-TableCenterAligned"/>
              <w:rPr>
                <w:b/>
              </w:rPr>
            </w:pPr>
            <w:r w:rsidRPr="00412829">
              <w:t>119 (3,1)</w:t>
            </w:r>
          </w:p>
        </w:tc>
      </w:tr>
      <w:tr w:rsidR="00BC442A" w:rsidRPr="00412829" w14:paraId="0F9AC920" w14:textId="77777777" w:rsidTr="00472DB3">
        <w:trPr>
          <w:trHeight w:val="288"/>
        </w:trPr>
        <w:tc>
          <w:tcPr>
            <w:tcW w:w="3249" w:type="dxa"/>
            <w:tcBorders>
              <w:top w:val="nil"/>
              <w:bottom w:val="nil"/>
            </w:tcBorders>
            <w:shd w:val="clear" w:color="auto" w:fill="auto"/>
            <w:vAlign w:val="bottom"/>
          </w:tcPr>
          <w:p w14:paraId="638BF361" w14:textId="77777777" w:rsidR="00BC442A" w:rsidRPr="00412829" w:rsidRDefault="00BC442A" w:rsidP="00BD5ECC">
            <w:pPr>
              <w:pStyle w:val="RPI-TableLeftAligned"/>
            </w:pPr>
            <w:r w:rsidRPr="00412829">
              <w:t>Diarrhoea</w:t>
            </w:r>
          </w:p>
        </w:tc>
        <w:tc>
          <w:tcPr>
            <w:tcW w:w="2693" w:type="dxa"/>
            <w:tcBorders>
              <w:top w:val="nil"/>
              <w:bottom w:val="nil"/>
            </w:tcBorders>
            <w:shd w:val="clear" w:color="auto" w:fill="auto"/>
            <w:vAlign w:val="bottom"/>
          </w:tcPr>
          <w:p w14:paraId="0B04A9B5" w14:textId="77777777" w:rsidR="00BC442A" w:rsidRPr="00412829" w:rsidRDefault="00BC442A" w:rsidP="00BD5ECC">
            <w:pPr>
              <w:pStyle w:val="RPI-TableCenterAligned"/>
            </w:pPr>
            <w:r w:rsidRPr="00412829">
              <w:t>143 (3.8)</w:t>
            </w:r>
          </w:p>
        </w:tc>
        <w:tc>
          <w:tcPr>
            <w:tcW w:w="2693" w:type="dxa"/>
            <w:tcBorders>
              <w:top w:val="nil"/>
              <w:bottom w:val="nil"/>
            </w:tcBorders>
            <w:shd w:val="clear" w:color="auto" w:fill="auto"/>
            <w:vAlign w:val="bottom"/>
          </w:tcPr>
          <w:p w14:paraId="4CEF3395" w14:textId="77777777" w:rsidR="00BC442A" w:rsidRPr="00412829" w:rsidRDefault="00BC442A" w:rsidP="00BD5ECC">
            <w:pPr>
              <w:pStyle w:val="RPI-TableCenterAligned"/>
            </w:pPr>
            <w:r w:rsidRPr="00412829">
              <w:t>117 (3.0)</w:t>
            </w:r>
          </w:p>
        </w:tc>
      </w:tr>
      <w:tr w:rsidR="00BC442A" w:rsidRPr="00412829" w14:paraId="6E74236D" w14:textId="77777777" w:rsidTr="003C68F2">
        <w:trPr>
          <w:trHeight w:val="288"/>
        </w:trPr>
        <w:tc>
          <w:tcPr>
            <w:tcW w:w="3249" w:type="dxa"/>
            <w:tcBorders>
              <w:top w:val="nil"/>
              <w:bottom w:val="nil"/>
            </w:tcBorders>
            <w:shd w:val="clear" w:color="auto" w:fill="auto"/>
            <w:vAlign w:val="bottom"/>
          </w:tcPr>
          <w:p w14:paraId="40229CFA" w14:textId="77777777" w:rsidR="00BC442A" w:rsidRPr="00412829" w:rsidRDefault="00BC442A" w:rsidP="00BD5ECC">
            <w:pPr>
              <w:pStyle w:val="RPI-TableLeftAligned"/>
            </w:pPr>
            <w:r w:rsidRPr="00412829">
              <w:t>Confusion</w:t>
            </w:r>
          </w:p>
        </w:tc>
        <w:tc>
          <w:tcPr>
            <w:tcW w:w="2693" w:type="dxa"/>
            <w:tcBorders>
              <w:top w:val="nil"/>
              <w:bottom w:val="nil"/>
            </w:tcBorders>
            <w:shd w:val="clear" w:color="auto" w:fill="auto"/>
            <w:vAlign w:val="bottom"/>
          </w:tcPr>
          <w:p w14:paraId="0AED002F" w14:textId="77777777" w:rsidR="00BC442A" w:rsidRPr="00412829" w:rsidRDefault="00BC442A" w:rsidP="00BD5ECC">
            <w:pPr>
              <w:pStyle w:val="RPI-TableCenterAligned"/>
            </w:pPr>
            <w:r w:rsidRPr="00412829">
              <w:t>134 (3.6)</w:t>
            </w:r>
          </w:p>
        </w:tc>
        <w:tc>
          <w:tcPr>
            <w:tcW w:w="2693" w:type="dxa"/>
            <w:tcBorders>
              <w:top w:val="nil"/>
              <w:bottom w:val="nil"/>
            </w:tcBorders>
            <w:shd w:val="clear" w:color="auto" w:fill="auto"/>
            <w:vAlign w:val="bottom"/>
          </w:tcPr>
          <w:p w14:paraId="412CCAFD" w14:textId="77777777" w:rsidR="00BC442A" w:rsidRPr="00412829" w:rsidRDefault="00BC442A" w:rsidP="00BD5ECC">
            <w:pPr>
              <w:pStyle w:val="RPI-TableCenterAligned"/>
            </w:pPr>
            <w:r w:rsidRPr="00412829">
              <w:t>103 (2.7)</w:t>
            </w:r>
          </w:p>
        </w:tc>
      </w:tr>
      <w:tr w:rsidR="00BC442A" w:rsidRPr="00412829" w14:paraId="412695C5" w14:textId="77777777" w:rsidTr="003C68F2">
        <w:trPr>
          <w:trHeight w:val="288"/>
        </w:trPr>
        <w:tc>
          <w:tcPr>
            <w:tcW w:w="3249" w:type="dxa"/>
            <w:tcBorders>
              <w:top w:val="nil"/>
              <w:bottom w:val="single" w:sz="4" w:space="0" w:color="auto"/>
            </w:tcBorders>
            <w:shd w:val="clear" w:color="auto" w:fill="auto"/>
            <w:vAlign w:val="bottom"/>
          </w:tcPr>
          <w:p w14:paraId="787FEC6E" w14:textId="77777777" w:rsidR="00BC442A" w:rsidRPr="00412829" w:rsidRDefault="00BC442A" w:rsidP="00BD5ECC">
            <w:pPr>
              <w:pStyle w:val="RPI-TableLeftAligned"/>
            </w:pPr>
            <w:r w:rsidRPr="00412829">
              <w:t>Gastritis</w:t>
            </w:r>
          </w:p>
        </w:tc>
        <w:tc>
          <w:tcPr>
            <w:tcW w:w="2693" w:type="dxa"/>
            <w:tcBorders>
              <w:top w:val="nil"/>
              <w:bottom w:val="single" w:sz="4" w:space="0" w:color="auto"/>
            </w:tcBorders>
            <w:shd w:val="clear" w:color="auto" w:fill="auto"/>
            <w:vAlign w:val="bottom"/>
          </w:tcPr>
          <w:p w14:paraId="5E9E1E16" w14:textId="77777777" w:rsidR="00BC442A" w:rsidRPr="00412829" w:rsidRDefault="00BC442A" w:rsidP="00BD5ECC">
            <w:pPr>
              <w:pStyle w:val="RPI-TableCenterAligned"/>
            </w:pPr>
            <w:r w:rsidRPr="00412829">
              <w:t>105 (2.8)</w:t>
            </w:r>
          </w:p>
        </w:tc>
        <w:tc>
          <w:tcPr>
            <w:tcW w:w="2693" w:type="dxa"/>
            <w:tcBorders>
              <w:top w:val="nil"/>
              <w:bottom w:val="single" w:sz="4" w:space="0" w:color="auto"/>
            </w:tcBorders>
            <w:shd w:val="clear" w:color="auto" w:fill="auto"/>
            <w:vAlign w:val="bottom"/>
          </w:tcPr>
          <w:p w14:paraId="72F52202" w14:textId="77777777" w:rsidR="00BC442A" w:rsidRPr="00412829" w:rsidRDefault="00BC442A" w:rsidP="00BD5ECC">
            <w:pPr>
              <w:pStyle w:val="RPI-TableCenterAligned"/>
            </w:pPr>
            <w:r w:rsidRPr="00412829">
              <w:t>100 (2.6)</w:t>
            </w:r>
          </w:p>
        </w:tc>
      </w:tr>
      <w:tr w:rsidR="00BC442A" w:rsidRPr="00412829" w14:paraId="1B846047" w14:textId="77777777" w:rsidTr="003C68F2">
        <w:trPr>
          <w:trHeight w:val="288"/>
        </w:trPr>
        <w:tc>
          <w:tcPr>
            <w:tcW w:w="3249" w:type="dxa"/>
            <w:tcBorders>
              <w:top w:val="single" w:sz="4" w:space="0" w:color="auto"/>
              <w:bottom w:val="nil"/>
            </w:tcBorders>
            <w:shd w:val="clear" w:color="auto" w:fill="auto"/>
            <w:vAlign w:val="bottom"/>
          </w:tcPr>
          <w:p w14:paraId="004C87E7" w14:textId="77777777" w:rsidR="00BC442A" w:rsidRPr="00412829" w:rsidRDefault="00BC442A" w:rsidP="00BD5ECC">
            <w:pPr>
              <w:pStyle w:val="RPI-TableLeftAligned"/>
            </w:pPr>
            <w:r w:rsidRPr="00412829">
              <w:t>Abdominal pain upper</w:t>
            </w:r>
          </w:p>
        </w:tc>
        <w:tc>
          <w:tcPr>
            <w:tcW w:w="2693" w:type="dxa"/>
            <w:tcBorders>
              <w:top w:val="single" w:sz="4" w:space="0" w:color="auto"/>
              <w:bottom w:val="nil"/>
            </w:tcBorders>
            <w:shd w:val="clear" w:color="auto" w:fill="auto"/>
            <w:vAlign w:val="bottom"/>
          </w:tcPr>
          <w:p w14:paraId="13065A86" w14:textId="77777777" w:rsidR="00BC442A" w:rsidRPr="00412829" w:rsidRDefault="00BC442A" w:rsidP="00BD5ECC">
            <w:pPr>
              <w:pStyle w:val="RPI-TableCenterAligned"/>
            </w:pPr>
            <w:r w:rsidRPr="00412829">
              <w:t>104 (2.8)</w:t>
            </w:r>
          </w:p>
        </w:tc>
        <w:tc>
          <w:tcPr>
            <w:tcW w:w="2693" w:type="dxa"/>
            <w:tcBorders>
              <w:top w:val="single" w:sz="4" w:space="0" w:color="auto"/>
              <w:bottom w:val="nil"/>
            </w:tcBorders>
            <w:shd w:val="clear" w:color="auto" w:fill="auto"/>
            <w:vAlign w:val="bottom"/>
          </w:tcPr>
          <w:p w14:paraId="75CB8398" w14:textId="77777777" w:rsidR="00BC442A" w:rsidRPr="00412829" w:rsidRDefault="00BC442A" w:rsidP="00BD5ECC">
            <w:pPr>
              <w:pStyle w:val="RPI-TableCenterAligned"/>
            </w:pPr>
            <w:r w:rsidRPr="00412829">
              <w:t>95 (2.5)</w:t>
            </w:r>
          </w:p>
        </w:tc>
      </w:tr>
      <w:tr w:rsidR="00BC442A" w:rsidRPr="00412829" w14:paraId="050F0F82" w14:textId="77777777" w:rsidTr="00472DB3">
        <w:trPr>
          <w:trHeight w:val="288"/>
        </w:trPr>
        <w:tc>
          <w:tcPr>
            <w:tcW w:w="3249" w:type="dxa"/>
            <w:tcBorders>
              <w:top w:val="nil"/>
              <w:bottom w:val="nil"/>
            </w:tcBorders>
            <w:shd w:val="clear" w:color="auto" w:fill="auto"/>
            <w:vAlign w:val="bottom"/>
          </w:tcPr>
          <w:p w14:paraId="406E4BCD" w14:textId="77777777" w:rsidR="00BC442A" w:rsidRPr="00412829" w:rsidRDefault="00BC442A" w:rsidP="00BD5ECC">
            <w:pPr>
              <w:pStyle w:val="RPI-TableLeftAligned"/>
            </w:pPr>
            <w:r w:rsidRPr="00412829">
              <w:t>Spinal osteoarthritis</w:t>
            </w:r>
          </w:p>
        </w:tc>
        <w:tc>
          <w:tcPr>
            <w:tcW w:w="2693" w:type="dxa"/>
            <w:tcBorders>
              <w:top w:val="nil"/>
              <w:bottom w:val="nil"/>
            </w:tcBorders>
            <w:shd w:val="clear" w:color="auto" w:fill="auto"/>
            <w:vAlign w:val="bottom"/>
          </w:tcPr>
          <w:p w14:paraId="625EC04D" w14:textId="77777777" w:rsidR="00BC442A" w:rsidRPr="00412829" w:rsidRDefault="00BC442A" w:rsidP="00BD5ECC">
            <w:pPr>
              <w:pStyle w:val="RPI-TableCenterAligned"/>
            </w:pPr>
            <w:r w:rsidRPr="00412829">
              <w:t>90 (2.4)</w:t>
            </w:r>
          </w:p>
        </w:tc>
        <w:tc>
          <w:tcPr>
            <w:tcW w:w="2693" w:type="dxa"/>
            <w:tcBorders>
              <w:top w:val="nil"/>
              <w:bottom w:val="nil"/>
            </w:tcBorders>
            <w:shd w:val="clear" w:color="auto" w:fill="auto"/>
            <w:vAlign w:val="bottom"/>
          </w:tcPr>
          <w:p w14:paraId="68043917" w14:textId="77777777" w:rsidR="00BC442A" w:rsidRPr="00412829" w:rsidRDefault="00BC442A" w:rsidP="00BD5ECC">
            <w:pPr>
              <w:pStyle w:val="RPI-TableCenterAligned"/>
            </w:pPr>
            <w:r w:rsidRPr="00412829">
              <w:t>91 (2.4)</w:t>
            </w:r>
          </w:p>
        </w:tc>
      </w:tr>
      <w:tr w:rsidR="00BC442A" w:rsidRPr="00412829" w14:paraId="2C5015FF" w14:textId="77777777" w:rsidTr="00A43033">
        <w:trPr>
          <w:trHeight w:val="288"/>
        </w:trPr>
        <w:tc>
          <w:tcPr>
            <w:tcW w:w="3249" w:type="dxa"/>
            <w:tcBorders>
              <w:top w:val="nil"/>
              <w:bottom w:val="nil"/>
            </w:tcBorders>
            <w:shd w:val="clear" w:color="auto" w:fill="auto"/>
            <w:vAlign w:val="bottom"/>
          </w:tcPr>
          <w:p w14:paraId="2DD2B423" w14:textId="77777777" w:rsidR="00BC442A" w:rsidRPr="00412829" w:rsidRDefault="00BC442A" w:rsidP="00BD5ECC">
            <w:pPr>
              <w:pStyle w:val="RPI-TableLeftAligned"/>
            </w:pPr>
            <w:r w:rsidRPr="00412829">
              <w:t>Bronchitis</w:t>
            </w:r>
          </w:p>
        </w:tc>
        <w:tc>
          <w:tcPr>
            <w:tcW w:w="2693" w:type="dxa"/>
            <w:tcBorders>
              <w:top w:val="nil"/>
              <w:bottom w:val="nil"/>
            </w:tcBorders>
            <w:shd w:val="clear" w:color="auto" w:fill="auto"/>
            <w:vAlign w:val="bottom"/>
          </w:tcPr>
          <w:p w14:paraId="07556841" w14:textId="77777777" w:rsidR="00BC442A" w:rsidRPr="00412829" w:rsidRDefault="00BC442A" w:rsidP="00BD5ECC">
            <w:pPr>
              <w:pStyle w:val="RPI-TableCenterAligned"/>
            </w:pPr>
            <w:r w:rsidRPr="00412829">
              <w:t>98 (2.6)</w:t>
            </w:r>
          </w:p>
        </w:tc>
        <w:tc>
          <w:tcPr>
            <w:tcW w:w="2693" w:type="dxa"/>
            <w:tcBorders>
              <w:top w:val="nil"/>
              <w:bottom w:val="nil"/>
            </w:tcBorders>
            <w:shd w:val="clear" w:color="auto" w:fill="auto"/>
            <w:vAlign w:val="bottom"/>
          </w:tcPr>
          <w:p w14:paraId="728D284D" w14:textId="77777777" w:rsidR="00BC442A" w:rsidRPr="00412829" w:rsidRDefault="00BC442A" w:rsidP="00BD5ECC">
            <w:pPr>
              <w:pStyle w:val="RPI-TableCenterAligned"/>
            </w:pPr>
            <w:r w:rsidRPr="00412829">
              <w:t>87 (2.3)</w:t>
            </w:r>
          </w:p>
        </w:tc>
      </w:tr>
      <w:tr w:rsidR="00BC442A" w:rsidRPr="00412829" w14:paraId="71C6C8A8" w14:textId="77777777" w:rsidTr="00A43033">
        <w:trPr>
          <w:trHeight w:val="270"/>
        </w:trPr>
        <w:tc>
          <w:tcPr>
            <w:tcW w:w="3249" w:type="dxa"/>
            <w:tcBorders>
              <w:top w:val="nil"/>
              <w:bottom w:val="single" w:sz="4" w:space="0" w:color="auto"/>
            </w:tcBorders>
            <w:shd w:val="clear" w:color="auto" w:fill="auto"/>
            <w:vAlign w:val="bottom"/>
          </w:tcPr>
          <w:p w14:paraId="1768B394" w14:textId="77777777" w:rsidR="00BC442A" w:rsidRPr="00412829" w:rsidRDefault="00BC442A" w:rsidP="00BD5ECC">
            <w:pPr>
              <w:pStyle w:val="RPI-TableLeftAligned"/>
            </w:pPr>
            <w:r w:rsidRPr="00412829">
              <w:t>Peripheral oedema</w:t>
            </w:r>
          </w:p>
        </w:tc>
        <w:tc>
          <w:tcPr>
            <w:tcW w:w="2693" w:type="dxa"/>
            <w:tcBorders>
              <w:top w:val="nil"/>
              <w:bottom w:val="single" w:sz="4" w:space="0" w:color="auto"/>
            </w:tcBorders>
            <w:shd w:val="clear" w:color="auto" w:fill="auto"/>
            <w:vAlign w:val="bottom"/>
          </w:tcPr>
          <w:p w14:paraId="26BDE35F" w14:textId="77777777" w:rsidR="00BC442A" w:rsidRPr="00412829" w:rsidRDefault="00BC442A" w:rsidP="00BD5ECC">
            <w:pPr>
              <w:pStyle w:val="RPI-TableCenterAligned"/>
            </w:pPr>
            <w:r w:rsidRPr="00412829">
              <w:t>69 (1.8)</w:t>
            </w:r>
          </w:p>
        </w:tc>
        <w:tc>
          <w:tcPr>
            <w:tcW w:w="2693" w:type="dxa"/>
            <w:tcBorders>
              <w:top w:val="nil"/>
              <w:bottom w:val="single" w:sz="4" w:space="0" w:color="auto"/>
            </w:tcBorders>
            <w:shd w:val="clear" w:color="auto" w:fill="auto"/>
            <w:vAlign w:val="bottom"/>
          </w:tcPr>
          <w:p w14:paraId="5DC88C9A" w14:textId="77777777" w:rsidR="00BC442A" w:rsidRPr="00412829" w:rsidRDefault="00BC442A" w:rsidP="00BD5ECC">
            <w:pPr>
              <w:pStyle w:val="RPI-TableCenterAligned"/>
            </w:pPr>
            <w:r w:rsidRPr="00412829">
              <w:t>86 (2.2)</w:t>
            </w:r>
          </w:p>
        </w:tc>
      </w:tr>
      <w:tr w:rsidR="00BC442A" w:rsidRPr="00412829" w14:paraId="7F4B9618" w14:textId="77777777" w:rsidTr="00A43033">
        <w:trPr>
          <w:trHeight w:val="270"/>
        </w:trPr>
        <w:tc>
          <w:tcPr>
            <w:tcW w:w="3249" w:type="dxa"/>
            <w:tcBorders>
              <w:top w:val="single" w:sz="4" w:space="0" w:color="auto"/>
              <w:bottom w:val="nil"/>
            </w:tcBorders>
            <w:shd w:val="clear" w:color="auto" w:fill="auto"/>
            <w:vAlign w:val="bottom"/>
          </w:tcPr>
          <w:p w14:paraId="720CD7A1" w14:textId="77777777" w:rsidR="00BC442A" w:rsidRPr="00412829" w:rsidRDefault="00BC442A" w:rsidP="00BD5ECC">
            <w:pPr>
              <w:pStyle w:val="RPI-TableLeftAligned"/>
            </w:pPr>
            <w:r w:rsidRPr="00412829">
              <w:t>Asthenia</w:t>
            </w:r>
          </w:p>
        </w:tc>
        <w:tc>
          <w:tcPr>
            <w:tcW w:w="2693" w:type="dxa"/>
            <w:tcBorders>
              <w:top w:val="single" w:sz="4" w:space="0" w:color="auto"/>
              <w:bottom w:val="nil"/>
            </w:tcBorders>
            <w:shd w:val="clear" w:color="auto" w:fill="auto"/>
            <w:vAlign w:val="bottom"/>
          </w:tcPr>
          <w:p w14:paraId="71B92C67" w14:textId="77777777" w:rsidR="00BC442A" w:rsidRPr="00412829" w:rsidRDefault="00BC442A" w:rsidP="00BD5ECC">
            <w:pPr>
              <w:pStyle w:val="RPI-TableCenterAligned"/>
            </w:pPr>
            <w:r w:rsidRPr="00412829">
              <w:t>82 (2.2)</w:t>
            </w:r>
          </w:p>
        </w:tc>
        <w:tc>
          <w:tcPr>
            <w:tcW w:w="2693" w:type="dxa"/>
            <w:tcBorders>
              <w:top w:val="single" w:sz="4" w:space="0" w:color="auto"/>
              <w:bottom w:val="nil"/>
            </w:tcBorders>
            <w:shd w:val="clear" w:color="auto" w:fill="auto"/>
            <w:vAlign w:val="bottom"/>
          </w:tcPr>
          <w:p w14:paraId="67E9616E" w14:textId="77777777" w:rsidR="00BC442A" w:rsidRPr="00412829" w:rsidRDefault="00BC442A" w:rsidP="00BD5ECC">
            <w:pPr>
              <w:pStyle w:val="RPI-TableCenterAligned"/>
            </w:pPr>
            <w:r w:rsidRPr="00412829">
              <w:t>84 (2.2)</w:t>
            </w:r>
          </w:p>
        </w:tc>
      </w:tr>
      <w:tr w:rsidR="00BC442A" w:rsidRPr="00412829" w14:paraId="6D697B13" w14:textId="77777777" w:rsidTr="00472DB3">
        <w:trPr>
          <w:trHeight w:val="270"/>
        </w:trPr>
        <w:tc>
          <w:tcPr>
            <w:tcW w:w="3249" w:type="dxa"/>
            <w:tcBorders>
              <w:top w:val="nil"/>
              <w:bottom w:val="nil"/>
            </w:tcBorders>
            <w:shd w:val="clear" w:color="auto" w:fill="auto"/>
            <w:vAlign w:val="bottom"/>
          </w:tcPr>
          <w:p w14:paraId="11CA0E75" w14:textId="77777777" w:rsidR="00BC442A" w:rsidRPr="00412829" w:rsidRDefault="00BC442A" w:rsidP="00BD5ECC">
            <w:pPr>
              <w:pStyle w:val="RPI-TableLeftAligned"/>
            </w:pPr>
            <w:r w:rsidRPr="00412829">
              <w:t>Dyslipidaemia</w:t>
            </w:r>
          </w:p>
        </w:tc>
        <w:tc>
          <w:tcPr>
            <w:tcW w:w="2693" w:type="dxa"/>
            <w:tcBorders>
              <w:top w:val="nil"/>
              <w:bottom w:val="nil"/>
            </w:tcBorders>
            <w:shd w:val="clear" w:color="auto" w:fill="auto"/>
            <w:vAlign w:val="bottom"/>
          </w:tcPr>
          <w:p w14:paraId="0F995C2C" w14:textId="77777777" w:rsidR="00BC442A" w:rsidRPr="00412829" w:rsidRDefault="00BC442A" w:rsidP="00BD5ECC">
            <w:pPr>
              <w:pStyle w:val="RPI-TableCenterAligned"/>
            </w:pPr>
            <w:r w:rsidRPr="00412829">
              <w:t>74 (2.0)</w:t>
            </w:r>
          </w:p>
        </w:tc>
        <w:tc>
          <w:tcPr>
            <w:tcW w:w="2693" w:type="dxa"/>
            <w:tcBorders>
              <w:top w:val="nil"/>
              <w:bottom w:val="nil"/>
            </w:tcBorders>
            <w:shd w:val="clear" w:color="auto" w:fill="auto"/>
            <w:vAlign w:val="bottom"/>
          </w:tcPr>
          <w:p w14:paraId="0971CA45" w14:textId="77777777" w:rsidR="00BC442A" w:rsidRPr="00412829" w:rsidRDefault="00BC442A" w:rsidP="00BD5ECC">
            <w:pPr>
              <w:pStyle w:val="RPI-TableCenterAligned"/>
            </w:pPr>
            <w:r w:rsidRPr="00412829">
              <w:t>83 (2.2)</w:t>
            </w:r>
          </w:p>
        </w:tc>
      </w:tr>
      <w:tr w:rsidR="00BC442A" w:rsidRPr="00412829" w14:paraId="42D525C4" w14:textId="77777777" w:rsidTr="00472DB3">
        <w:trPr>
          <w:trHeight w:val="288"/>
        </w:trPr>
        <w:tc>
          <w:tcPr>
            <w:tcW w:w="3249" w:type="dxa"/>
            <w:tcBorders>
              <w:top w:val="nil"/>
              <w:bottom w:val="nil"/>
            </w:tcBorders>
            <w:shd w:val="clear" w:color="auto" w:fill="auto"/>
            <w:vAlign w:val="bottom"/>
          </w:tcPr>
          <w:p w14:paraId="02A38915" w14:textId="77777777" w:rsidR="00BC442A" w:rsidRPr="00412829" w:rsidRDefault="00BC442A" w:rsidP="00BD5ECC">
            <w:pPr>
              <w:pStyle w:val="RPI-TableLeftAligned"/>
            </w:pPr>
            <w:r w:rsidRPr="00412829">
              <w:t>Neck pain</w:t>
            </w:r>
          </w:p>
        </w:tc>
        <w:tc>
          <w:tcPr>
            <w:tcW w:w="2693" w:type="dxa"/>
            <w:tcBorders>
              <w:top w:val="nil"/>
              <w:bottom w:val="nil"/>
            </w:tcBorders>
            <w:shd w:val="clear" w:color="auto" w:fill="auto"/>
            <w:vAlign w:val="bottom"/>
          </w:tcPr>
          <w:p w14:paraId="56CEA3CC" w14:textId="77777777" w:rsidR="00BC442A" w:rsidRPr="00412829" w:rsidRDefault="00BC442A" w:rsidP="00BD5ECC">
            <w:pPr>
              <w:pStyle w:val="RPI-TableCenterAligned"/>
            </w:pPr>
            <w:r w:rsidRPr="00412829">
              <w:t>56 (1.5)</w:t>
            </w:r>
          </w:p>
        </w:tc>
        <w:tc>
          <w:tcPr>
            <w:tcW w:w="2693" w:type="dxa"/>
            <w:tcBorders>
              <w:top w:val="nil"/>
              <w:bottom w:val="nil"/>
            </w:tcBorders>
            <w:shd w:val="clear" w:color="auto" w:fill="auto"/>
            <w:vAlign w:val="bottom"/>
          </w:tcPr>
          <w:p w14:paraId="506EB9A7" w14:textId="77777777" w:rsidR="00BC442A" w:rsidRPr="00412829" w:rsidRDefault="00BC442A" w:rsidP="00BD5ECC">
            <w:pPr>
              <w:pStyle w:val="RPI-TableCenterAligned"/>
            </w:pPr>
            <w:r w:rsidRPr="00412829">
              <w:t>81 (2.1)</w:t>
            </w:r>
          </w:p>
        </w:tc>
      </w:tr>
      <w:tr w:rsidR="00BC442A" w:rsidRPr="00412829" w14:paraId="2B88BAE7" w14:textId="77777777" w:rsidTr="00472DB3">
        <w:trPr>
          <w:trHeight w:val="288"/>
        </w:trPr>
        <w:tc>
          <w:tcPr>
            <w:tcW w:w="3249" w:type="dxa"/>
            <w:tcBorders>
              <w:top w:val="nil"/>
              <w:bottom w:val="nil"/>
            </w:tcBorders>
            <w:shd w:val="clear" w:color="auto" w:fill="auto"/>
            <w:vAlign w:val="bottom"/>
          </w:tcPr>
          <w:p w14:paraId="0616B1D7" w14:textId="77777777" w:rsidR="00BC442A" w:rsidRPr="00412829" w:rsidRDefault="00BC442A" w:rsidP="00BD5ECC">
            <w:pPr>
              <w:pStyle w:val="RPI-TableLeftAligned"/>
            </w:pPr>
            <w:r w:rsidRPr="00412829">
              <w:t>Cataract</w:t>
            </w:r>
          </w:p>
        </w:tc>
        <w:tc>
          <w:tcPr>
            <w:tcW w:w="2693" w:type="dxa"/>
            <w:tcBorders>
              <w:top w:val="nil"/>
              <w:bottom w:val="nil"/>
            </w:tcBorders>
            <w:shd w:val="clear" w:color="auto" w:fill="auto"/>
            <w:vAlign w:val="bottom"/>
          </w:tcPr>
          <w:p w14:paraId="2FB12C38" w14:textId="77777777" w:rsidR="00BC442A" w:rsidRPr="00412829" w:rsidRDefault="00BC442A" w:rsidP="00BD5ECC">
            <w:pPr>
              <w:pStyle w:val="RPI-TableCenterAligned"/>
            </w:pPr>
            <w:r w:rsidRPr="00412829">
              <w:t>55 (1.5)</w:t>
            </w:r>
          </w:p>
        </w:tc>
        <w:tc>
          <w:tcPr>
            <w:tcW w:w="2693" w:type="dxa"/>
            <w:tcBorders>
              <w:top w:val="nil"/>
              <w:bottom w:val="nil"/>
            </w:tcBorders>
            <w:shd w:val="clear" w:color="auto" w:fill="auto"/>
            <w:vAlign w:val="bottom"/>
          </w:tcPr>
          <w:p w14:paraId="3AFA3324" w14:textId="77777777" w:rsidR="00BC442A" w:rsidRPr="00412829" w:rsidRDefault="00BC442A" w:rsidP="00BD5ECC">
            <w:pPr>
              <w:pStyle w:val="RPI-TableCenterAligned"/>
            </w:pPr>
            <w:r w:rsidRPr="00412829">
              <w:t>77 (2.0)</w:t>
            </w:r>
          </w:p>
        </w:tc>
      </w:tr>
      <w:tr w:rsidR="00BC442A" w:rsidRPr="00412829" w14:paraId="1F23C563" w14:textId="77777777" w:rsidTr="00472DB3">
        <w:trPr>
          <w:trHeight w:val="288"/>
        </w:trPr>
        <w:tc>
          <w:tcPr>
            <w:tcW w:w="3249" w:type="dxa"/>
            <w:tcBorders>
              <w:top w:val="nil"/>
              <w:bottom w:val="single" w:sz="4" w:space="0" w:color="auto"/>
            </w:tcBorders>
            <w:shd w:val="clear" w:color="auto" w:fill="auto"/>
            <w:vAlign w:val="bottom"/>
          </w:tcPr>
          <w:p w14:paraId="37770D0E" w14:textId="77777777" w:rsidR="00BC442A" w:rsidRPr="00412829" w:rsidRDefault="00BC442A" w:rsidP="00BD5ECC">
            <w:pPr>
              <w:pStyle w:val="RPI-TableLeftAligned"/>
            </w:pPr>
            <w:r w:rsidRPr="00412829">
              <w:t>Paraesthesia</w:t>
            </w:r>
          </w:p>
        </w:tc>
        <w:tc>
          <w:tcPr>
            <w:tcW w:w="2693" w:type="dxa"/>
            <w:tcBorders>
              <w:top w:val="nil"/>
              <w:bottom w:val="single" w:sz="4" w:space="0" w:color="auto"/>
            </w:tcBorders>
            <w:shd w:val="clear" w:color="auto" w:fill="auto"/>
            <w:vAlign w:val="bottom"/>
          </w:tcPr>
          <w:p w14:paraId="6D3CA375" w14:textId="77777777" w:rsidR="00BC442A" w:rsidRPr="00412829" w:rsidRDefault="00BC442A" w:rsidP="00BD5ECC">
            <w:pPr>
              <w:pStyle w:val="RPI-TableCenterAligned"/>
            </w:pPr>
            <w:r w:rsidRPr="00412829">
              <w:t>63 (1.7)</w:t>
            </w:r>
          </w:p>
        </w:tc>
        <w:tc>
          <w:tcPr>
            <w:tcW w:w="2693" w:type="dxa"/>
            <w:tcBorders>
              <w:top w:val="nil"/>
              <w:bottom w:val="single" w:sz="4" w:space="0" w:color="auto"/>
            </w:tcBorders>
            <w:shd w:val="clear" w:color="auto" w:fill="auto"/>
            <w:vAlign w:val="bottom"/>
          </w:tcPr>
          <w:p w14:paraId="4A57A362" w14:textId="77777777" w:rsidR="00BC442A" w:rsidRPr="00412829" w:rsidRDefault="00BC442A" w:rsidP="00BD5ECC">
            <w:pPr>
              <w:pStyle w:val="RPI-TableCenterAligned"/>
            </w:pPr>
            <w:r w:rsidRPr="00412829">
              <w:t>76 (2.0)</w:t>
            </w:r>
          </w:p>
        </w:tc>
      </w:tr>
    </w:tbl>
    <w:p w14:paraId="4CAA0460" w14:textId="60E178AE" w:rsidR="00736F3A" w:rsidRPr="00412829" w:rsidRDefault="00BC442A" w:rsidP="001260FB">
      <w:pPr>
        <w:pStyle w:val="RPI-FootnoteText"/>
      </w:pPr>
      <w:r w:rsidRPr="00412829">
        <w:t xml:space="preserve">N = number of patients in the analysis set; n = Number of patients reporting </w:t>
      </w:r>
      <w:r w:rsidR="00F93397" w:rsidRPr="00412829">
        <w:t>≥</w:t>
      </w:r>
      <w:r w:rsidRPr="00412829">
        <w:t xml:space="preserve"> 1 event </w:t>
      </w:r>
    </w:p>
    <w:p w14:paraId="01F2EC35" w14:textId="77777777" w:rsidR="00802E84" w:rsidRPr="00046C98" w:rsidRDefault="00802E84" w:rsidP="00046C98">
      <w:pPr>
        <w:pStyle w:val="RPI-Heading3"/>
        <w:spacing w:before="100" w:after="100" w:line="240" w:lineRule="auto"/>
        <w:rPr>
          <w:lang w:val="en-US"/>
        </w:rPr>
      </w:pPr>
    </w:p>
    <w:p w14:paraId="12AFF4BA" w14:textId="032372AC" w:rsidR="00350FFB" w:rsidRPr="00412829" w:rsidRDefault="00982F11" w:rsidP="00046C98">
      <w:pPr>
        <w:pStyle w:val="RPI-Heading3"/>
        <w:spacing w:after="0"/>
      </w:pPr>
      <w:r w:rsidRPr="00412829">
        <w:t>Adverse reactions</w:t>
      </w:r>
    </w:p>
    <w:p w14:paraId="21537FDA" w14:textId="529B5B06" w:rsidR="00B22DF0" w:rsidRPr="00412829" w:rsidRDefault="00B22DF0" w:rsidP="00046C98">
      <w:pPr>
        <w:pStyle w:val="RPI-Text"/>
        <w:spacing w:before="60" w:after="0"/>
      </w:pPr>
      <w:r w:rsidRPr="00412829">
        <w:t xml:space="preserve">Adverse reactions occurring in patients treated with romosozumab </w:t>
      </w:r>
      <w:r w:rsidRPr="00BB65E0">
        <w:t xml:space="preserve">in clinical trials are shown </w:t>
      </w:r>
      <w:r w:rsidR="0034158C" w:rsidRPr="00BB65E0">
        <w:t>by system</w:t>
      </w:r>
      <w:r w:rsidR="00802E84" w:rsidRPr="00BB65E0">
        <w:t xml:space="preserve"> organ</w:t>
      </w:r>
      <w:r w:rsidR="0034158C" w:rsidRPr="00BB65E0">
        <w:t xml:space="preserve"> class</w:t>
      </w:r>
      <w:r w:rsidR="00802E84" w:rsidRPr="00BB65E0">
        <w:t xml:space="preserve"> and frequency </w:t>
      </w:r>
      <w:r w:rsidRPr="00BB65E0">
        <w:t>in Tabl</w:t>
      </w:r>
      <w:r w:rsidRPr="00412829">
        <w:t xml:space="preserve">e </w:t>
      </w:r>
      <w:r w:rsidR="00AE3D20" w:rsidRPr="00412829">
        <w:t>2</w:t>
      </w:r>
      <w:r w:rsidRPr="00412829">
        <w:t>.</w:t>
      </w:r>
    </w:p>
    <w:p w14:paraId="7C39CBB5" w14:textId="781FA753" w:rsidR="00802E84" w:rsidRDefault="0027139D" w:rsidP="00046C98">
      <w:pPr>
        <w:pStyle w:val="RPI-Caption"/>
        <w:spacing w:before="120"/>
        <w:rPr>
          <w:rFonts w:cs="Arial"/>
          <w:szCs w:val="22"/>
        </w:rPr>
      </w:pPr>
      <w:r w:rsidRPr="00412829">
        <w:t xml:space="preserve">Table </w:t>
      </w:r>
      <w:r w:rsidR="00AE3D20" w:rsidRPr="00412829">
        <w:t>2</w:t>
      </w:r>
      <w:r w:rsidR="00765387" w:rsidRPr="00412829">
        <w:t xml:space="preserve">. </w:t>
      </w:r>
      <w:r w:rsidRPr="00412829">
        <w:t xml:space="preserve"> </w:t>
      </w:r>
      <w:r w:rsidR="00802E84">
        <w:t>Tabulated Summary of Adverse Reactions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880"/>
        <w:gridCol w:w="2129"/>
      </w:tblGrid>
      <w:tr w:rsidR="00802E84" w:rsidRPr="00E35B9B" w14:paraId="32DF0724" w14:textId="77777777" w:rsidTr="00BB65E0">
        <w:trPr>
          <w:trHeight w:val="432"/>
          <w:jc w:val="center"/>
        </w:trPr>
        <w:tc>
          <w:tcPr>
            <w:tcW w:w="3120" w:type="dxa"/>
            <w:tcBorders>
              <w:top w:val="single" w:sz="12" w:space="0" w:color="auto"/>
              <w:left w:val="single" w:sz="12" w:space="0" w:color="auto"/>
              <w:bottom w:val="single" w:sz="12" w:space="0" w:color="auto"/>
              <w:right w:val="single" w:sz="2" w:space="0" w:color="auto"/>
            </w:tcBorders>
            <w:shd w:val="clear" w:color="auto" w:fill="auto"/>
            <w:vAlign w:val="bottom"/>
          </w:tcPr>
          <w:p w14:paraId="165931DB" w14:textId="77777777" w:rsidR="00802E84" w:rsidRPr="00E35B9B" w:rsidRDefault="00802E84" w:rsidP="00BB65E0">
            <w:pPr>
              <w:pStyle w:val="Labeling-MandatoryTableHeader"/>
              <w:keepNext/>
              <w:keepLines/>
              <w:rPr>
                <w:rFonts w:eastAsia="Arial Unicode MS"/>
                <w:sz w:val="18"/>
                <w:szCs w:val="18"/>
                <w:lang w:val="en-AU"/>
              </w:rPr>
            </w:pPr>
            <w:r w:rsidRPr="00E35B9B">
              <w:rPr>
                <w:rFonts w:eastAsia="Arial Unicode MS"/>
                <w:sz w:val="18"/>
                <w:szCs w:val="18"/>
                <w:lang w:val="en-AU"/>
              </w:rPr>
              <w:t>System Organ Class</w:t>
            </w:r>
          </w:p>
        </w:tc>
        <w:tc>
          <w:tcPr>
            <w:tcW w:w="2880" w:type="dxa"/>
            <w:tcBorders>
              <w:top w:val="single" w:sz="12" w:space="0" w:color="auto"/>
              <w:left w:val="single" w:sz="2" w:space="0" w:color="auto"/>
              <w:bottom w:val="single" w:sz="12" w:space="0" w:color="auto"/>
              <w:right w:val="single" w:sz="2" w:space="0" w:color="auto"/>
            </w:tcBorders>
            <w:shd w:val="clear" w:color="auto" w:fill="auto"/>
            <w:vAlign w:val="bottom"/>
          </w:tcPr>
          <w:p w14:paraId="76DA6EBB" w14:textId="77777777" w:rsidR="00802E84" w:rsidRPr="00E35B9B" w:rsidRDefault="00802E84" w:rsidP="00BB65E0">
            <w:pPr>
              <w:pStyle w:val="Labeling-MandatoryTableHeader"/>
              <w:keepNext/>
              <w:keepLines/>
              <w:rPr>
                <w:rFonts w:eastAsia="Arial Unicode MS"/>
                <w:sz w:val="18"/>
                <w:szCs w:val="18"/>
                <w:lang w:val="en-AU"/>
              </w:rPr>
            </w:pPr>
            <w:r w:rsidRPr="00E35B9B">
              <w:rPr>
                <w:rFonts w:eastAsia="Arial Unicode MS"/>
                <w:sz w:val="18"/>
                <w:szCs w:val="18"/>
                <w:lang w:val="en-AU"/>
              </w:rPr>
              <w:t>Adverse Reaction</w:t>
            </w:r>
          </w:p>
        </w:tc>
        <w:tc>
          <w:tcPr>
            <w:tcW w:w="2129" w:type="dxa"/>
            <w:tcBorders>
              <w:top w:val="single" w:sz="12" w:space="0" w:color="auto"/>
              <w:left w:val="single" w:sz="2" w:space="0" w:color="auto"/>
              <w:bottom w:val="single" w:sz="12" w:space="0" w:color="auto"/>
              <w:right w:val="single" w:sz="12" w:space="0" w:color="auto"/>
            </w:tcBorders>
            <w:shd w:val="clear" w:color="auto" w:fill="auto"/>
            <w:vAlign w:val="bottom"/>
          </w:tcPr>
          <w:p w14:paraId="34D6E369" w14:textId="77777777" w:rsidR="00802E84" w:rsidRPr="00E35B9B" w:rsidRDefault="00802E84" w:rsidP="00BB65E0">
            <w:pPr>
              <w:pStyle w:val="Labeling-MandatoryTableHeader"/>
              <w:keepNext/>
              <w:keepLines/>
              <w:rPr>
                <w:rFonts w:eastAsia="Arial Unicode MS"/>
                <w:sz w:val="18"/>
                <w:szCs w:val="18"/>
                <w:lang w:val="en-AU"/>
              </w:rPr>
            </w:pPr>
            <w:r w:rsidRPr="00E35B9B">
              <w:rPr>
                <w:rFonts w:eastAsia="Arial Unicode MS"/>
                <w:sz w:val="18"/>
                <w:szCs w:val="18"/>
                <w:lang w:val="en-AU"/>
              </w:rPr>
              <w:t>CIOMS Frequency</w:t>
            </w:r>
          </w:p>
        </w:tc>
      </w:tr>
      <w:tr w:rsidR="00802E84" w:rsidRPr="00E35B9B" w14:paraId="1F25ADCD" w14:textId="77777777" w:rsidTr="00BB65E0">
        <w:trPr>
          <w:trHeight w:val="374"/>
          <w:jc w:val="center"/>
        </w:trPr>
        <w:tc>
          <w:tcPr>
            <w:tcW w:w="3120" w:type="dxa"/>
            <w:tcBorders>
              <w:top w:val="single" w:sz="12" w:space="0" w:color="auto"/>
              <w:left w:val="single" w:sz="12" w:space="0" w:color="auto"/>
              <w:bottom w:val="single" w:sz="12" w:space="0" w:color="auto"/>
              <w:right w:val="single" w:sz="2" w:space="0" w:color="auto"/>
            </w:tcBorders>
            <w:shd w:val="clear" w:color="auto" w:fill="auto"/>
          </w:tcPr>
          <w:p w14:paraId="3121BB4F" w14:textId="77777777" w:rsidR="00802E84" w:rsidRPr="00E35B9B" w:rsidRDefault="00802E84" w:rsidP="00BB65E0">
            <w:pPr>
              <w:pStyle w:val="TextBold"/>
              <w:keepNext/>
              <w:keepLines/>
              <w:spacing w:before="60" w:after="60"/>
              <w:rPr>
                <w:rFonts w:ascii="Arial" w:hAnsi="Arial" w:cs="Arial"/>
                <w:b w:val="0"/>
                <w:color w:val="auto"/>
                <w:sz w:val="18"/>
                <w:szCs w:val="18"/>
                <w:lang w:val="en-AU"/>
              </w:rPr>
            </w:pPr>
            <w:r w:rsidRPr="00E35B9B">
              <w:rPr>
                <w:rFonts w:ascii="Arial" w:eastAsia="Arial,Italic" w:hAnsi="Arial" w:cs="Arial"/>
                <w:b w:val="0"/>
                <w:iCs/>
                <w:color w:val="auto"/>
                <w:sz w:val="18"/>
                <w:szCs w:val="18"/>
                <w:lang w:val="en-AU"/>
              </w:rPr>
              <w:t>Infections and infestations</w:t>
            </w:r>
          </w:p>
        </w:tc>
        <w:tc>
          <w:tcPr>
            <w:tcW w:w="2880" w:type="dxa"/>
            <w:tcBorders>
              <w:top w:val="single" w:sz="12" w:space="0" w:color="auto"/>
              <w:left w:val="single" w:sz="2" w:space="0" w:color="auto"/>
              <w:bottom w:val="single" w:sz="12" w:space="0" w:color="auto"/>
              <w:right w:val="single" w:sz="2" w:space="0" w:color="auto"/>
            </w:tcBorders>
            <w:shd w:val="clear" w:color="auto" w:fill="auto"/>
          </w:tcPr>
          <w:p w14:paraId="761B8742" w14:textId="77777777" w:rsidR="00802E84" w:rsidRPr="00E35B9B" w:rsidRDefault="00802E84" w:rsidP="00BB65E0">
            <w:pPr>
              <w:pStyle w:val="TextBold"/>
              <w:keepNext/>
              <w:keepLines/>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rPr>
              <w:t>Viral upper respiratory tract infection</w:t>
            </w:r>
          </w:p>
        </w:tc>
        <w:tc>
          <w:tcPr>
            <w:tcW w:w="2129" w:type="dxa"/>
            <w:tcBorders>
              <w:top w:val="single" w:sz="12" w:space="0" w:color="auto"/>
              <w:left w:val="single" w:sz="2" w:space="0" w:color="auto"/>
              <w:bottom w:val="single" w:sz="12" w:space="0" w:color="auto"/>
              <w:right w:val="single" w:sz="12" w:space="0" w:color="auto"/>
            </w:tcBorders>
            <w:shd w:val="clear" w:color="auto" w:fill="auto"/>
          </w:tcPr>
          <w:p w14:paraId="1920ECB5" w14:textId="77777777" w:rsidR="00802E84" w:rsidRPr="00E35B9B" w:rsidRDefault="00802E84" w:rsidP="00BB65E0">
            <w:pPr>
              <w:pStyle w:val="TextBold"/>
              <w:keepNext/>
              <w:keepLines/>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Very Common</w:t>
            </w:r>
          </w:p>
        </w:tc>
      </w:tr>
      <w:tr w:rsidR="00802E84" w:rsidRPr="00E35B9B" w14:paraId="51973406" w14:textId="77777777" w:rsidTr="00BB65E0">
        <w:trPr>
          <w:trHeight w:val="374"/>
          <w:jc w:val="center"/>
        </w:trPr>
        <w:tc>
          <w:tcPr>
            <w:tcW w:w="3120" w:type="dxa"/>
            <w:tcBorders>
              <w:top w:val="single" w:sz="12" w:space="0" w:color="auto"/>
              <w:left w:val="single" w:sz="12" w:space="0" w:color="auto"/>
              <w:bottom w:val="single" w:sz="12" w:space="0" w:color="auto"/>
              <w:right w:val="single" w:sz="2" w:space="0" w:color="auto"/>
            </w:tcBorders>
            <w:shd w:val="clear" w:color="auto" w:fill="auto"/>
          </w:tcPr>
          <w:p w14:paraId="03896758" w14:textId="77777777" w:rsidR="00802E84" w:rsidRPr="00E35B9B" w:rsidRDefault="00802E84" w:rsidP="00BB65E0">
            <w:pPr>
              <w:pStyle w:val="TextBold"/>
              <w:spacing w:before="60" w:after="60"/>
              <w:rPr>
                <w:rFonts w:ascii="Arial" w:hAnsi="Arial" w:cs="Arial"/>
                <w:b w:val="0"/>
                <w:color w:val="auto"/>
                <w:sz w:val="18"/>
                <w:szCs w:val="18"/>
                <w:lang w:val="en-AU"/>
              </w:rPr>
            </w:pPr>
            <w:r w:rsidRPr="00E35B9B">
              <w:rPr>
                <w:rFonts w:ascii="Arial" w:hAnsi="Arial" w:cs="Arial"/>
                <w:b w:val="0"/>
                <w:color w:val="auto"/>
                <w:sz w:val="18"/>
                <w:szCs w:val="18"/>
                <w:lang w:val="en-AU"/>
              </w:rPr>
              <w:t>Immune system disorders</w:t>
            </w:r>
          </w:p>
        </w:tc>
        <w:tc>
          <w:tcPr>
            <w:tcW w:w="2880" w:type="dxa"/>
            <w:tcBorders>
              <w:top w:val="single" w:sz="12" w:space="0" w:color="auto"/>
              <w:left w:val="single" w:sz="2" w:space="0" w:color="auto"/>
              <w:bottom w:val="single" w:sz="12" w:space="0" w:color="auto"/>
              <w:right w:val="single" w:sz="2" w:space="0" w:color="auto"/>
            </w:tcBorders>
            <w:shd w:val="clear" w:color="auto" w:fill="auto"/>
          </w:tcPr>
          <w:p w14:paraId="494E5497" w14:textId="77777777"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Hypersensitivity</w:t>
            </w:r>
            <w:r w:rsidRPr="00E35B9B">
              <w:rPr>
                <w:rFonts w:ascii="Arial" w:eastAsia="Arial Unicode MS" w:hAnsi="Arial" w:cs="Arial"/>
                <w:b w:val="0"/>
                <w:color w:val="auto"/>
                <w:sz w:val="18"/>
                <w:szCs w:val="18"/>
                <w:vertAlign w:val="superscript"/>
                <w:lang w:val="en-AU" w:eastAsia="en-US"/>
              </w:rPr>
              <w:t>a</w:t>
            </w:r>
          </w:p>
          <w:p w14:paraId="5D0FF27B" w14:textId="77777777" w:rsidR="00802E84" w:rsidRPr="00E35B9B" w:rsidRDefault="00802E84" w:rsidP="00BB65E0">
            <w:pPr>
              <w:pStyle w:val="TextBold"/>
              <w:spacing w:before="60" w:after="60"/>
              <w:ind w:left="252"/>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Rash</w:t>
            </w:r>
            <w:r w:rsidRPr="00E35B9B">
              <w:rPr>
                <w:rFonts w:ascii="Arial" w:eastAsia="Arial Unicode MS" w:hAnsi="Arial" w:cs="Arial"/>
                <w:b w:val="0"/>
                <w:color w:val="auto"/>
                <w:sz w:val="18"/>
                <w:szCs w:val="18"/>
                <w:lang w:val="en-AU" w:eastAsia="en-US"/>
              </w:rPr>
              <w:br/>
              <w:t>Dermatitis</w:t>
            </w:r>
            <w:r w:rsidRPr="00E35B9B">
              <w:rPr>
                <w:rFonts w:ascii="Arial" w:eastAsia="Arial Unicode MS" w:hAnsi="Arial" w:cs="Arial"/>
                <w:b w:val="0"/>
                <w:color w:val="auto"/>
                <w:sz w:val="18"/>
                <w:szCs w:val="18"/>
                <w:lang w:val="en-AU" w:eastAsia="en-US"/>
              </w:rPr>
              <w:br/>
              <w:t>Urticaria</w:t>
            </w:r>
            <w:r w:rsidRPr="00E35B9B">
              <w:rPr>
                <w:rFonts w:ascii="Arial" w:eastAsia="Arial Unicode MS" w:hAnsi="Arial" w:cs="Arial"/>
                <w:b w:val="0"/>
                <w:color w:val="auto"/>
                <w:sz w:val="18"/>
                <w:szCs w:val="18"/>
                <w:lang w:val="en-AU" w:eastAsia="en-US"/>
              </w:rPr>
              <w:br/>
              <w:t>Angioedema</w:t>
            </w:r>
            <w:r w:rsidRPr="00E35B9B">
              <w:rPr>
                <w:rFonts w:ascii="Arial" w:eastAsia="Arial Unicode MS" w:hAnsi="Arial" w:cs="Arial"/>
                <w:b w:val="0"/>
                <w:color w:val="auto"/>
                <w:sz w:val="18"/>
                <w:szCs w:val="18"/>
                <w:lang w:val="en-AU" w:eastAsia="en-US"/>
              </w:rPr>
              <w:br/>
              <w:t>Erythema multiforme</w:t>
            </w:r>
          </w:p>
        </w:tc>
        <w:tc>
          <w:tcPr>
            <w:tcW w:w="2129" w:type="dxa"/>
            <w:tcBorders>
              <w:top w:val="single" w:sz="12" w:space="0" w:color="auto"/>
              <w:left w:val="single" w:sz="2" w:space="0" w:color="auto"/>
              <w:bottom w:val="single" w:sz="12" w:space="0" w:color="auto"/>
              <w:right w:val="single" w:sz="12" w:space="0" w:color="auto"/>
            </w:tcBorders>
            <w:shd w:val="clear" w:color="auto" w:fill="auto"/>
          </w:tcPr>
          <w:p w14:paraId="47D6396A" w14:textId="77777777"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Common</w:t>
            </w:r>
          </w:p>
          <w:p w14:paraId="00658475" w14:textId="77777777" w:rsidR="00802E84" w:rsidRPr="00E35B9B" w:rsidRDefault="00802E84" w:rsidP="00BB65E0">
            <w:pPr>
              <w:pStyle w:val="TextBold"/>
              <w:spacing w:before="60" w:after="60"/>
              <w:ind w:left="252"/>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Common</w:t>
            </w:r>
            <w:r w:rsidRPr="00E35B9B">
              <w:rPr>
                <w:rFonts w:ascii="Arial" w:eastAsia="Arial Unicode MS" w:hAnsi="Arial" w:cs="Arial"/>
                <w:b w:val="0"/>
                <w:color w:val="auto"/>
                <w:sz w:val="18"/>
                <w:szCs w:val="18"/>
                <w:lang w:val="en-AU" w:eastAsia="en-US"/>
              </w:rPr>
              <w:br/>
              <w:t>Common</w:t>
            </w:r>
            <w:r w:rsidRPr="00E35B9B">
              <w:rPr>
                <w:rFonts w:ascii="Arial" w:eastAsia="Arial Unicode MS" w:hAnsi="Arial" w:cs="Arial"/>
                <w:b w:val="0"/>
                <w:color w:val="auto"/>
                <w:sz w:val="18"/>
                <w:szCs w:val="18"/>
                <w:lang w:val="en-AU" w:eastAsia="en-US"/>
              </w:rPr>
              <w:br/>
              <w:t>Uncommon</w:t>
            </w:r>
            <w:r w:rsidRPr="00E35B9B">
              <w:rPr>
                <w:rFonts w:ascii="Arial" w:eastAsia="Arial Unicode MS" w:hAnsi="Arial" w:cs="Arial"/>
                <w:b w:val="0"/>
                <w:color w:val="auto"/>
                <w:sz w:val="18"/>
                <w:szCs w:val="18"/>
                <w:lang w:val="en-AU" w:eastAsia="en-US"/>
              </w:rPr>
              <w:br/>
              <w:t>Rare</w:t>
            </w:r>
            <w:r w:rsidRPr="00E35B9B">
              <w:rPr>
                <w:rFonts w:ascii="Arial" w:eastAsia="Arial Unicode MS" w:hAnsi="Arial" w:cs="Arial"/>
                <w:b w:val="0"/>
                <w:color w:val="auto"/>
                <w:sz w:val="18"/>
                <w:szCs w:val="18"/>
                <w:lang w:val="en-AU" w:eastAsia="en-US"/>
              </w:rPr>
              <w:br/>
              <w:t>Rare</w:t>
            </w:r>
          </w:p>
        </w:tc>
      </w:tr>
      <w:tr w:rsidR="00802E84" w:rsidRPr="00E35B9B" w14:paraId="30AD50B3" w14:textId="77777777" w:rsidTr="00BB65E0">
        <w:trPr>
          <w:trHeight w:val="374"/>
          <w:jc w:val="center"/>
        </w:trPr>
        <w:tc>
          <w:tcPr>
            <w:tcW w:w="3120" w:type="dxa"/>
            <w:tcBorders>
              <w:top w:val="single" w:sz="12" w:space="0" w:color="auto"/>
              <w:left w:val="single" w:sz="12" w:space="0" w:color="auto"/>
              <w:bottom w:val="single" w:sz="12" w:space="0" w:color="auto"/>
              <w:right w:val="single" w:sz="2" w:space="0" w:color="auto"/>
            </w:tcBorders>
            <w:shd w:val="clear" w:color="auto" w:fill="auto"/>
          </w:tcPr>
          <w:p w14:paraId="30B3BAE0" w14:textId="77777777"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hAnsi="Arial" w:cs="Arial"/>
                <w:b w:val="0"/>
                <w:color w:val="auto"/>
                <w:sz w:val="18"/>
                <w:szCs w:val="18"/>
                <w:lang w:val="en-AU"/>
              </w:rPr>
              <w:t>Metabolism and nutrition disorders</w:t>
            </w:r>
          </w:p>
        </w:tc>
        <w:tc>
          <w:tcPr>
            <w:tcW w:w="2880" w:type="dxa"/>
            <w:tcBorders>
              <w:top w:val="single" w:sz="12" w:space="0" w:color="auto"/>
              <w:left w:val="single" w:sz="2" w:space="0" w:color="auto"/>
              <w:bottom w:val="single" w:sz="12" w:space="0" w:color="auto"/>
              <w:right w:val="single" w:sz="2" w:space="0" w:color="auto"/>
            </w:tcBorders>
            <w:shd w:val="clear" w:color="auto" w:fill="auto"/>
          </w:tcPr>
          <w:p w14:paraId="7A14EC6D" w14:textId="517B6035"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Hypocalcemia</w:t>
            </w:r>
            <w:r w:rsidRPr="00E35B9B">
              <w:rPr>
                <w:rFonts w:ascii="Arial" w:eastAsia="Arial Unicode MS" w:hAnsi="Arial" w:cs="Arial"/>
                <w:b w:val="0"/>
                <w:color w:val="auto"/>
                <w:sz w:val="18"/>
                <w:szCs w:val="18"/>
                <w:vertAlign w:val="superscript"/>
                <w:lang w:val="en-AU" w:eastAsia="en-US"/>
              </w:rPr>
              <w:t>b</w:t>
            </w:r>
          </w:p>
        </w:tc>
        <w:tc>
          <w:tcPr>
            <w:tcW w:w="2129" w:type="dxa"/>
            <w:tcBorders>
              <w:top w:val="single" w:sz="12" w:space="0" w:color="auto"/>
              <w:left w:val="single" w:sz="2" w:space="0" w:color="auto"/>
              <w:bottom w:val="single" w:sz="12" w:space="0" w:color="auto"/>
              <w:right w:val="single" w:sz="12" w:space="0" w:color="auto"/>
            </w:tcBorders>
            <w:shd w:val="clear" w:color="auto" w:fill="auto"/>
          </w:tcPr>
          <w:p w14:paraId="0FBF15A0" w14:textId="77777777"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Uncommon</w:t>
            </w:r>
          </w:p>
        </w:tc>
      </w:tr>
      <w:tr w:rsidR="00802E84" w:rsidRPr="00E35B9B" w14:paraId="6248FEC1" w14:textId="77777777" w:rsidTr="00BB65E0">
        <w:trPr>
          <w:trHeight w:val="374"/>
          <w:jc w:val="center"/>
        </w:trPr>
        <w:tc>
          <w:tcPr>
            <w:tcW w:w="3120" w:type="dxa"/>
            <w:tcBorders>
              <w:top w:val="single" w:sz="12" w:space="0" w:color="auto"/>
              <w:left w:val="single" w:sz="12" w:space="0" w:color="auto"/>
              <w:bottom w:val="single" w:sz="2" w:space="0" w:color="auto"/>
              <w:right w:val="single" w:sz="2" w:space="0" w:color="auto"/>
            </w:tcBorders>
            <w:shd w:val="clear" w:color="auto" w:fill="auto"/>
          </w:tcPr>
          <w:p w14:paraId="03FDB800" w14:textId="77777777" w:rsidR="00802E84" w:rsidRPr="00E35B9B" w:rsidRDefault="00802E84" w:rsidP="00BB65E0">
            <w:pPr>
              <w:autoSpaceDE w:val="0"/>
              <w:autoSpaceDN w:val="0"/>
              <w:adjustRightInd w:val="0"/>
              <w:spacing w:before="60" w:after="60"/>
              <w:rPr>
                <w:rFonts w:eastAsia="Arial,Italic" w:cs="Arial"/>
                <w:iCs/>
                <w:sz w:val="18"/>
                <w:szCs w:val="18"/>
                <w:lang w:val="en-AU" w:eastAsia="en-AU"/>
              </w:rPr>
            </w:pPr>
            <w:r w:rsidRPr="00E35B9B">
              <w:rPr>
                <w:rFonts w:eastAsia="Arial,Italic" w:cs="Arial"/>
                <w:iCs/>
                <w:sz w:val="18"/>
                <w:szCs w:val="18"/>
                <w:lang w:val="en-AU" w:eastAsia="en-AU"/>
              </w:rPr>
              <w:t>Nervous system disorders</w:t>
            </w:r>
          </w:p>
        </w:tc>
        <w:tc>
          <w:tcPr>
            <w:tcW w:w="2880" w:type="dxa"/>
            <w:tcBorders>
              <w:top w:val="single" w:sz="12" w:space="0" w:color="auto"/>
              <w:left w:val="single" w:sz="2" w:space="0" w:color="auto"/>
              <w:bottom w:val="single" w:sz="2" w:space="0" w:color="auto"/>
              <w:right w:val="single" w:sz="2" w:space="0" w:color="auto"/>
            </w:tcBorders>
            <w:shd w:val="clear" w:color="auto" w:fill="auto"/>
          </w:tcPr>
          <w:p w14:paraId="37888ABA" w14:textId="77777777" w:rsidR="00802E84" w:rsidRPr="00E35B9B" w:rsidRDefault="00802E84" w:rsidP="00BB65E0">
            <w:pPr>
              <w:pStyle w:val="TextBold"/>
              <w:spacing w:before="60" w:after="60"/>
              <w:rPr>
                <w:rFonts w:ascii="Arial" w:hAnsi="Arial" w:cs="Arial"/>
                <w:b w:val="0"/>
                <w:color w:val="auto"/>
                <w:sz w:val="18"/>
                <w:szCs w:val="18"/>
                <w:lang w:val="en-AU"/>
              </w:rPr>
            </w:pPr>
            <w:r w:rsidRPr="00E35B9B">
              <w:rPr>
                <w:rFonts w:ascii="Arial" w:hAnsi="Arial" w:cs="Arial"/>
                <w:b w:val="0"/>
                <w:color w:val="auto"/>
                <w:sz w:val="18"/>
                <w:szCs w:val="18"/>
                <w:lang w:val="en-AU"/>
              </w:rPr>
              <w:t>Headache</w:t>
            </w:r>
          </w:p>
        </w:tc>
        <w:tc>
          <w:tcPr>
            <w:tcW w:w="2129" w:type="dxa"/>
            <w:tcBorders>
              <w:top w:val="single" w:sz="12" w:space="0" w:color="auto"/>
              <w:left w:val="single" w:sz="2" w:space="0" w:color="auto"/>
              <w:bottom w:val="single" w:sz="2" w:space="0" w:color="auto"/>
              <w:right w:val="single" w:sz="12" w:space="0" w:color="auto"/>
            </w:tcBorders>
            <w:shd w:val="clear" w:color="auto" w:fill="auto"/>
          </w:tcPr>
          <w:p w14:paraId="0C3EDA4A" w14:textId="77777777"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Common</w:t>
            </w:r>
          </w:p>
        </w:tc>
      </w:tr>
      <w:tr w:rsidR="00802E84" w:rsidRPr="00E35B9B" w14:paraId="690E459D" w14:textId="77777777" w:rsidTr="00BB65E0">
        <w:trPr>
          <w:trHeight w:val="374"/>
          <w:jc w:val="center"/>
        </w:trPr>
        <w:tc>
          <w:tcPr>
            <w:tcW w:w="3120" w:type="dxa"/>
            <w:tcBorders>
              <w:top w:val="single" w:sz="12" w:space="0" w:color="auto"/>
              <w:left w:val="single" w:sz="12" w:space="0" w:color="auto"/>
              <w:bottom w:val="single" w:sz="12" w:space="0" w:color="auto"/>
              <w:right w:val="single" w:sz="2" w:space="0" w:color="auto"/>
            </w:tcBorders>
            <w:shd w:val="clear" w:color="auto" w:fill="auto"/>
          </w:tcPr>
          <w:p w14:paraId="256222F5" w14:textId="77777777" w:rsidR="00802E84" w:rsidRPr="00E35B9B" w:rsidRDefault="00802E84" w:rsidP="00BB65E0">
            <w:pPr>
              <w:autoSpaceDE w:val="0"/>
              <w:autoSpaceDN w:val="0"/>
              <w:adjustRightInd w:val="0"/>
              <w:spacing w:before="60" w:after="60"/>
              <w:rPr>
                <w:rFonts w:eastAsia="Arial,Italic" w:cs="Arial"/>
                <w:iCs/>
                <w:sz w:val="18"/>
                <w:szCs w:val="18"/>
                <w:lang w:val="en-AU" w:eastAsia="en-AU"/>
              </w:rPr>
            </w:pPr>
            <w:r w:rsidRPr="00E35B9B">
              <w:rPr>
                <w:rFonts w:eastAsia="Arial,Italic" w:cs="Arial"/>
                <w:iCs/>
                <w:sz w:val="18"/>
                <w:szCs w:val="18"/>
                <w:lang w:val="en-AU" w:eastAsia="en-AU"/>
              </w:rPr>
              <w:t>Respiratory, thoracic, and mediastinal disorders</w:t>
            </w:r>
          </w:p>
        </w:tc>
        <w:tc>
          <w:tcPr>
            <w:tcW w:w="2880" w:type="dxa"/>
            <w:tcBorders>
              <w:top w:val="single" w:sz="12" w:space="0" w:color="auto"/>
              <w:left w:val="single" w:sz="2" w:space="0" w:color="auto"/>
              <w:bottom w:val="single" w:sz="12" w:space="0" w:color="auto"/>
              <w:right w:val="single" w:sz="2" w:space="0" w:color="auto"/>
            </w:tcBorders>
            <w:shd w:val="clear" w:color="auto" w:fill="auto"/>
          </w:tcPr>
          <w:p w14:paraId="40E3D99C" w14:textId="77777777" w:rsidR="00802E84" w:rsidRPr="00E35B9B" w:rsidRDefault="00802E84" w:rsidP="00BB65E0">
            <w:pPr>
              <w:pStyle w:val="TextBold"/>
              <w:spacing w:before="60" w:after="60"/>
              <w:rPr>
                <w:rFonts w:ascii="Arial" w:hAnsi="Arial" w:cs="Arial"/>
                <w:b w:val="0"/>
                <w:color w:val="auto"/>
                <w:sz w:val="18"/>
                <w:szCs w:val="18"/>
                <w:lang w:val="en-AU"/>
              </w:rPr>
            </w:pPr>
            <w:r w:rsidRPr="00E35B9B">
              <w:rPr>
                <w:rFonts w:ascii="Arial" w:hAnsi="Arial" w:cs="Arial"/>
                <w:b w:val="0"/>
                <w:color w:val="auto"/>
                <w:sz w:val="18"/>
                <w:szCs w:val="18"/>
                <w:lang w:val="en-AU"/>
              </w:rPr>
              <w:t>Cough</w:t>
            </w:r>
          </w:p>
        </w:tc>
        <w:tc>
          <w:tcPr>
            <w:tcW w:w="2129" w:type="dxa"/>
            <w:tcBorders>
              <w:top w:val="single" w:sz="12" w:space="0" w:color="auto"/>
              <w:left w:val="single" w:sz="2" w:space="0" w:color="auto"/>
              <w:bottom w:val="single" w:sz="12" w:space="0" w:color="auto"/>
              <w:right w:val="single" w:sz="12" w:space="0" w:color="auto"/>
            </w:tcBorders>
            <w:shd w:val="clear" w:color="auto" w:fill="auto"/>
          </w:tcPr>
          <w:p w14:paraId="00200FE4" w14:textId="77777777"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Common</w:t>
            </w:r>
          </w:p>
        </w:tc>
      </w:tr>
      <w:tr w:rsidR="00802E84" w:rsidRPr="00E35B9B" w14:paraId="73473ED2" w14:textId="77777777" w:rsidTr="00BB65E0">
        <w:trPr>
          <w:trHeight w:val="374"/>
          <w:jc w:val="center"/>
        </w:trPr>
        <w:tc>
          <w:tcPr>
            <w:tcW w:w="3120" w:type="dxa"/>
            <w:vMerge w:val="restart"/>
            <w:tcBorders>
              <w:top w:val="single" w:sz="12" w:space="0" w:color="auto"/>
              <w:left w:val="single" w:sz="12" w:space="0" w:color="auto"/>
              <w:bottom w:val="single" w:sz="2" w:space="0" w:color="auto"/>
              <w:right w:val="single" w:sz="2" w:space="0" w:color="auto"/>
            </w:tcBorders>
            <w:shd w:val="clear" w:color="auto" w:fill="auto"/>
          </w:tcPr>
          <w:p w14:paraId="6391832F" w14:textId="77777777" w:rsidR="00802E84" w:rsidRPr="00E35B9B" w:rsidRDefault="00802E84" w:rsidP="00BB65E0">
            <w:pPr>
              <w:autoSpaceDE w:val="0"/>
              <w:autoSpaceDN w:val="0"/>
              <w:adjustRightInd w:val="0"/>
              <w:spacing w:before="60" w:after="60"/>
              <w:rPr>
                <w:rFonts w:eastAsia="Arial,Italic" w:cs="Arial"/>
                <w:b/>
                <w:iCs/>
                <w:sz w:val="18"/>
                <w:szCs w:val="18"/>
                <w:lang w:val="en-AU" w:eastAsia="en-AU"/>
              </w:rPr>
            </w:pPr>
            <w:r w:rsidRPr="00E35B9B">
              <w:rPr>
                <w:rFonts w:eastAsia="Arial,Italic" w:cs="Arial"/>
                <w:iCs/>
                <w:sz w:val="18"/>
                <w:szCs w:val="18"/>
                <w:lang w:val="en-AU" w:eastAsia="en-AU"/>
              </w:rPr>
              <w:t>Musculoskeletal and connective tissue disorders</w:t>
            </w:r>
          </w:p>
        </w:tc>
        <w:tc>
          <w:tcPr>
            <w:tcW w:w="2880" w:type="dxa"/>
            <w:tcBorders>
              <w:top w:val="single" w:sz="12" w:space="0" w:color="auto"/>
              <w:left w:val="single" w:sz="2" w:space="0" w:color="auto"/>
              <w:bottom w:val="single" w:sz="2" w:space="0" w:color="auto"/>
              <w:right w:val="single" w:sz="2" w:space="0" w:color="auto"/>
            </w:tcBorders>
            <w:shd w:val="clear" w:color="auto" w:fill="auto"/>
          </w:tcPr>
          <w:p w14:paraId="6062808F" w14:textId="77777777" w:rsidR="00802E84" w:rsidRPr="00E35B9B" w:rsidRDefault="00802E84" w:rsidP="00BB65E0">
            <w:pPr>
              <w:pStyle w:val="TextBold"/>
              <w:spacing w:before="60" w:after="60"/>
              <w:rPr>
                <w:rFonts w:ascii="Arial" w:hAnsi="Arial" w:cs="Arial"/>
                <w:b w:val="0"/>
                <w:color w:val="auto"/>
                <w:sz w:val="18"/>
                <w:szCs w:val="18"/>
                <w:lang w:val="en-AU"/>
              </w:rPr>
            </w:pPr>
            <w:r w:rsidRPr="00E35B9B">
              <w:rPr>
                <w:rFonts w:ascii="Arial" w:hAnsi="Arial" w:cs="Arial"/>
                <w:b w:val="0"/>
                <w:color w:val="auto"/>
                <w:sz w:val="18"/>
                <w:szCs w:val="18"/>
                <w:lang w:val="en-AU"/>
              </w:rPr>
              <w:t xml:space="preserve">Arthralgia </w:t>
            </w:r>
          </w:p>
        </w:tc>
        <w:tc>
          <w:tcPr>
            <w:tcW w:w="2129" w:type="dxa"/>
            <w:tcBorders>
              <w:top w:val="single" w:sz="12" w:space="0" w:color="auto"/>
              <w:left w:val="single" w:sz="2" w:space="0" w:color="auto"/>
              <w:bottom w:val="single" w:sz="2" w:space="0" w:color="auto"/>
              <w:right w:val="single" w:sz="12" w:space="0" w:color="auto"/>
            </w:tcBorders>
            <w:shd w:val="clear" w:color="auto" w:fill="auto"/>
          </w:tcPr>
          <w:p w14:paraId="3DEAC9A9" w14:textId="77777777"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Very Common</w:t>
            </w:r>
          </w:p>
        </w:tc>
      </w:tr>
      <w:tr w:rsidR="00802E84" w:rsidRPr="00E35B9B" w14:paraId="1E449F9B" w14:textId="77777777" w:rsidTr="00BB65E0">
        <w:trPr>
          <w:trHeight w:val="374"/>
          <w:jc w:val="center"/>
        </w:trPr>
        <w:tc>
          <w:tcPr>
            <w:tcW w:w="3120" w:type="dxa"/>
            <w:vMerge/>
            <w:tcBorders>
              <w:top w:val="single" w:sz="2" w:space="0" w:color="auto"/>
              <w:left w:val="single" w:sz="12" w:space="0" w:color="auto"/>
              <w:bottom w:val="single" w:sz="2" w:space="0" w:color="auto"/>
              <w:right w:val="single" w:sz="2" w:space="0" w:color="auto"/>
            </w:tcBorders>
            <w:shd w:val="clear" w:color="auto" w:fill="auto"/>
          </w:tcPr>
          <w:p w14:paraId="0F41E3BF" w14:textId="77777777" w:rsidR="00802E84" w:rsidRPr="00E35B9B" w:rsidRDefault="00802E84" w:rsidP="00BB65E0">
            <w:pPr>
              <w:autoSpaceDE w:val="0"/>
              <w:autoSpaceDN w:val="0"/>
              <w:adjustRightInd w:val="0"/>
              <w:spacing w:before="60" w:after="60"/>
              <w:rPr>
                <w:rFonts w:eastAsia="Arial,Italic" w:cs="Arial"/>
                <w:iCs/>
                <w:sz w:val="18"/>
                <w:szCs w:val="18"/>
                <w:lang w:val="en-AU" w:eastAsia="en-AU"/>
              </w:rPr>
            </w:pPr>
          </w:p>
        </w:tc>
        <w:tc>
          <w:tcPr>
            <w:tcW w:w="2880" w:type="dxa"/>
            <w:tcBorders>
              <w:top w:val="single" w:sz="2" w:space="0" w:color="auto"/>
              <w:left w:val="single" w:sz="2" w:space="0" w:color="auto"/>
              <w:bottom w:val="single" w:sz="2" w:space="0" w:color="auto"/>
              <w:right w:val="single" w:sz="2" w:space="0" w:color="auto"/>
            </w:tcBorders>
            <w:shd w:val="clear" w:color="auto" w:fill="auto"/>
          </w:tcPr>
          <w:p w14:paraId="6DCAC7C3" w14:textId="77777777" w:rsidR="00802E84" w:rsidRPr="00E35B9B" w:rsidRDefault="00802E84" w:rsidP="00BB65E0">
            <w:pPr>
              <w:pStyle w:val="TextBold"/>
              <w:spacing w:before="60" w:after="60"/>
              <w:rPr>
                <w:rFonts w:ascii="Arial" w:hAnsi="Arial" w:cs="Arial"/>
                <w:b w:val="0"/>
                <w:color w:val="auto"/>
                <w:sz w:val="18"/>
                <w:szCs w:val="18"/>
                <w:lang w:val="en-AU"/>
              </w:rPr>
            </w:pPr>
            <w:r w:rsidRPr="00E35B9B">
              <w:rPr>
                <w:rFonts w:ascii="Arial" w:hAnsi="Arial" w:cs="Arial"/>
                <w:b w:val="0"/>
                <w:color w:val="auto"/>
                <w:sz w:val="18"/>
                <w:szCs w:val="18"/>
                <w:lang w:val="en-AU"/>
              </w:rPr>
              <w:t>Neck pain</w:t>
            </w:r>
          </w:p>
        </w:tc>
        <w:tc>
          <w:tcPr>
            <w:tcW w:w="2129" w:type="dxa"/>
            <w:tcBorders>
              <w:top w:val="single" w:sz="2" w:space="0" w:color="auto"/>
              <w:left w:val="single" w:sz="2" w:space="0" w:color="auto"/>
              <w:bottom w:val="single" w:sz="2" w:space="0" w:color="auto"/>
              <w:right w:val="single" w:sz="12" w:space="0" w:color="auto"/>
            </w:tcBorders>
            <w:shd w:val="clear" w:color="auto" w:fill="auto"/>
          </w:tcPr>
          <w:p w14:paraId="175E7895" w14:textId="77777777"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Common</w:t>
            </w:r>
          </w:p>
        </w:tc>
      </w:tr>
      <w:tr w:rsidR="00802E84" w:rsidRPr="00E35B9B" w14:paraId="3B71F93E" w14:textId="77777777" w:rsidTr="00BB65E0">
        <w:trPr>
          <w:trHeight w:val="374"/>
          <w:jc w:val="center"/>
        </w:trPr>
        <w:tc>
          <w:tcPr>
            <w:tcW w:w="3120" w:type="dxa"/>
            <w:vMerge/>
            <w:tcBorders>
              <w:top w:val="single" w:sz="2" w:space="0" w:color="auto"/>
              <w:left w:val="single" w:sz="12" w:space="0" w:color="auto"/>
              <w:bottom w:val="single" w:sz="12" w:space="0" w:color="auto"/>
              <w:right w:val="single" w:sz="2" w:space="0" w:color="auto"/>
            </w:tcBorders>
            <w:shd w:val="clear" w:color="auto" w:fill="auto"/>
          </w:tcPr>
          <w:p w14:paraId="49ABCEFB" w14:textId="77777777" w:rsidR="00802E84" w:rsidRPr="00E35B9B" w:rsidRDefault="00802E84" w:rsidP="00BB65E0">
            <w:pPr>
              <w:autoSpaceDE w:val="0"/>
              <w:autoSpaceDN w:val="0"/>
              <w:adjustRightInd w:val="0"/>
              <w:spacing w:before="60" w:after="60"/>
              <w:rPr>
                <w:rFonts w:eastAsia="Arial,Italic" w:cs="Arial"/>
                <w:iCs/>
                <w:sz w:val="18"/>
                <w:szCs w:val="18"/>
                <w:lang w:val="en-AU" w:eastAsia="en-AU"/>
              </w:rPr>
            </w:pPr>
          </w:p>
        </w:tc>
        <w:tc>
          <w:tcPr>
            <w:tcW w:w="2880" w:type="dxa"/>
            <w:tcBorders>
              <w:top w:val="single" w:sz="2" w:space="0" w:color="auto"/>
              <w:left w:val="single" w:sz="2" w:space="0" w:color="auto"/>
              <w:bottom w:val="single" w:sz="12" w:space="0" w:color="auto"/>
              <w:right w:val="single" w:sz="2" w:space="0" w:color="auto"/>
            </w:tcBorders>
            <w:shd w:val="clear" w:color="auto" w:fill="auto"/>
          </w:tcPr>
          <w:p w14:paraId="5F304C92" w14:textId="77777777" w:rsidR="00802E84" w:rsidRPr="00E35B9B" w:rsidRDefault="00802E84" w:rsidP="00BB65E0">
            <w:pPr>
              <w:pStyle w:val="TextBold"/>
              <w:spacing w:before="60" w:after="60"/>
              <w:rPr>
                <w:rFonts w:ascii="Arial" w:hAnsi="Arial" w:cs="Arial"/>
                <w:b w:val="0"/>
                <w:color w:val="auto"/>
                <w:sz w:val="18"/>
                <w:szCs w:val="18"/>
                <w:lang w:val="en-AU"/>
              </w:rPr>
            </w:pPr>
            <w:r w:rsidRPr="00E35B9B">
              <w:rPr>
                <w:rFonts w:ascii="Arial" w:hAnsi="Arial" w:cs="Arial"/>
                <w:b w:val="0"/>
                <w:color w:val="auto"/>
                <w:sz w:val="18"/>
                <w:szCs w:val="18"/>
                <w:lang w:val="en-AU"/>
              </w:rPr>
              <w:t>Muscle spasms</w:t>
            </w:r>
          </w:p>
        </w:tc>
        <w:tc>
          <w:tcPr>
            <w:tcW w:w="2129" w:type="dxa"/>
            <w:tcBorders>
              <w:top w:val="single" w:sz="2" w:space="0" w:color="auto"/>
              <w:left w:val="single" w:sz="2" w:space="0" w:color="auto"/>
              <w:bottom w:val="single" w:sz="12" w:space="0" w:color="auto"/>
              <w:right w:val="single" w:sz="12" w:space="0" w:color="auto"/>
            </w:tcBorders>
            <w:shd w:val="clear" w:color="auto" w:fill="auto"/>
          </w:tcPr>
          <w:p w14:paraId="5AF671A0" w14:textId="77777777"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Common</w:t>
            </w:r>
          </w:p>
        </w:tc>
      </w:tr>
      <w:tr w:rsidR="00802E84" w:rsidRPr="00E35B9B" w14:paraId="1FC0ECE8" w14:textId="77777777" w:rsidTr="00BB65E0">
        <w:trPr>
          <w:trHeight w:val="374"/>
          <w:jc w:val="center"/>
        </w:trPr>
        <w:tc>
          <w:tcPr>
            <w:tcW w:w="3120" w:type="dxa"/>
            <w:vMerge w:val="restart"/>
            <w:tcBorders>
              <w:top w:val="single" w:sz="12" w:space="0" w:color="auto"/>
              <w:left w:val="single" w:sz="12" w:space="0" w:color="auto"/>
              <w:bottom w:val="single" w:sz="2" w:space="0" w:color="auto"/>
              <w:right w:val="single" w:sz="2" w:space="0" w:color="auto"/>
            </w:tcBorders>
            <w:shd w:val="clear" w:color="auto" w:fill="auto"/>
          </w:tcPr>
          <w:p w14:paraId="1E738B81" w14:textId="77777777"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hAnsi="Arial" w:cs="Arial"/>
                <w:b w:val="0"/>
                <w:color w:val="auto"/>
                <w:sz w:val="18"/>
                <w:szCs w:val="18"/>
                <w:lang w:val="en-AU"/>
              </w:rPr>
              <w:t>General disorders and administration site conditions</w:t>
            </w:r>
          </w:p>
        </w:tc>
        <w:tc>
          <w:tcPr>
            <w:tcW w:w="2880" w:type="dxa"/>
            <w:tcBorders>
              <w:top w:val="single" w:sz="12" w:space="0" w:color="auto"/>
              <w:left w:val="single" w:sz="2" w:space="0" w:color="auto"/>
              <w:bottom w:val="single" w:sz="2" w:space="0" w:color="auto"/>
              <w:right w:val="single" w:sz="2" w:space="0" w:color="auto"/>
            </w:tcBorders>
            <w:shd w:val="clear" w:color="auto" w:fill="auto"/>
          </w:tcPr>
          <w:p w14:paraId="51BB8E62" w14:textId="0526BD61"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hAnsi="Arial" w:cs="Arial"/>
                <w:b w:val="0"/>
                <w:color w:val="auto"/>
                <w:sz w:val="18"/>
                <w:szCs w:val="18"/>
                <w:lang w:val="en-AU"/>
              </w:rPr>
              <w:t xml:space="preserve">Peripheral edema </w:t>
            </w:r>
          </w:p>
        </w:tc>
        <w:tc>
          <w:tcPr>
            <w:tcW w:w="2129" w:type="dxa"/>
            <w:tcBorders>
              <w:top w:val="single" w:sz="12" w:space="0" w:color="auto"/>
              <w:left w:val="single" w:sz="2" w:space="0" w:color="auto"/>
              <w:bottom w:val="single" w:sz="2" w:space="0" w:color="auto"/>
              <w:right w:val="single" w:sz="12" w:space="0" w:color="auto"/>
            </w:tcBorders>
            <w:shd w:val="clear" w:color="auto" w:fill="auto"/>
          </w:tcPr>
          <w:p w14:paraId="23521A1F" w14:textId="77777777" w:rsidR="00802E84" w:rsidRPr="00E35B9B" w:rsidRDefault="00802E84" w:rsidP="00BB65E0">
            <w:pPr>
              <w:pStyle w:val="TextBold"/>
              <w:spacing w:before="60" w:after="60"/>
              <w:rPr>
                <w:rFonts w:ascii="Arial" w:eastAsia="Arial Unicode MS" w:hAnsi="Arial" w:cs="Arial"/>
                <w:b w:val="0"/>
                <w:color w:val="auto"/>
                <w:sz w:val="18"/>
                <w:szCs w:val="18"/>
                <w:lang w:val="en-AU" w:eastAsia="en-US"/>
              </w:rPr>
            </w:pPr>
            <w:r w:rsidRPr="00E35B9B">
              <w:rPr>
                <w:rFonts w:ascii="Arial" w:eastAsia="Arial Unicode MS" w:hAnsi="Arial" w:cs="Arial"/>
                <w:b w:val="0"/>
                <w:color w:val="auto"/>
                <w:sz w:val="18"/>
                <w:szCs w:val="18"/>
                <w:lang w:val="en-AU" w:eastAsia="en-US"/>
              </w:rPr>
              <w:t>Common</w:t>
            </w:r>
          </w:p>
        </w:tc>
      </w:tr>
      <w:tr w:rsidR="00802E84" w:rsidRPr="00E35B9B" w14:paraId="5AEB7E42" w14:textId="77777777" w:rsidTr="00BB65E0">
        <w:trPr>
          <w:trHeight w:val="374"/>
          <w:jc w:val="center"/>
        </w:trPr>
        <w:tc>
          <w:tcPr>
            <w:tcW w:w="3120" w:type="dxa"/>
            <w:vMerge/>
            <w:tcBorders>
              <w:top w:val="single" w:sz="2" w:space="0" w:color="auto"/>
              <w:left w:val="single" w:sz="12" w:space="0" w:color="auto"/>
              <w:bottom w:val="single" w:sz="12" w:space="0" w:color="auto"/>
              <w:right w:val="single" w:sz="2" w:space="0" w:color="auto"/>
            </w:tcBorders>
            <w:shd w:val="clear" w:color="auto" w:fill="auto"/>
          </w:tcPr>
          <w:p w14:paraId="474D4B5C" w14:textId="77777777" w:rsidR="00802E84" w:rsidRPr="00E35B9B" w:rsidRDefault="00802E84" w:rsidP="00BB65E0">
            <w:pPr>
              <w:pStyle w:val="TextBold"/>
              <w:spacing w:before="60" w:after="60"/>
              <w:rPr>
                <w:rFonts w:ascii="Arial" w:hAnsi="Arial" w:cs="Arial"/>
                <w:b w:val="0"/>
                <w:i/>
                <w:color w:val="auto"/>
                <w:sz w:val="18"/>
                <w:szCs w:val="18"/>
                <w:lang w:val="en-AU"/>
              </w:rPr>
            </w:pPr>
          </w:p>
        </w:tc>
        <w:tc>
          <w:tcPr>
            <w:tcW w:w="2880" w:type="dxa"/>
            <w:tcBorders>
              <w:top w:val="single" w:sz="2" w:space="0" w:color="auto"/>
              <w:left w:val="single" w:sz="2" w:space="0" w:color="auto"/>
              <w:bottom w:val="single" w:sz="12" w:space="0" w:color="auto"/>
              <w:right w:val="single" w:sz="2" w:space="0" w:color="auto"/>
            </w:tcBorders>
            <w:shd w:val="clear" w:color="auto" w:fill="auto"/>
          </w:tcPr>
          <w:p w14:paraId="7B50E268" w14:textId="77777777" w:rsidR="00802E84" w:rsidRPr="00E35B9B" w:rsidRDefault="00802E84" w:rsidP="00BB65E0">
            <w:pPr>
              <w:pStyle w:val="TextBold"/>
              <w:spacing w:before="60" w:after="60"/>
              <w:rPr>
                <w:rFonts w:ascii="Arial" w:hAnsi="Arial" w:cs="Arial"/>
                <w:b w:val="0"/>
                <w:color w:val="auto"/>
                <w:sz w:val="18"/>
                <w:szCs w:val="18"/>
                <w:lang w:val="en-AU"/>
              </w:rPr>
            </w:pPr>
            <w:r w:rsidRPr="00E35B9B">
              <w:rPr>
                <w:rFonts w:ascii="Arial" w:hAnsi="Arial" w:cs="Arial"/>
                <w:b w:val="0"/>
                <w:color w:val="auto"/>
                <w:sz w:val="18"/>
                <w:szCs w:val="18"/>
                <w:lang w:val="en-AU"/>
              </w:rPr>
              <w:t>I</w:t>
            </w:r>
            <w:r w:rsidRPr="00E35B9B">
              <w:rPr>
                <w:rFonts w:ascii="Arial" w:eastAsia="Arial Unicode MS" w:hAnsi="Arial" w:cs="Arial"/>
                <w:b w:val="0"/>
                <w:color w:val="auto"/>
                <w:sz w:val="18"/>
                <w:szCs w:val="18"/>
                <w:lang w:val="en-AU" w:eastAsia="en-US"/>
              </w:rPr>
              <w:t>njection site reactions</w:t>
            </w:r>
            <w:r w:rsidRPr="00E35B9B">
              <w:rPr>
                <w:rFonts w:ascii="Arial" w:eastAsia="Arial Unicode MS" w:hAnsi="Arial" w:cs="Arial"/>
                <w:b w:val="0"/>
                <w:color w:val="auto"/>
                <w:sz w:val="18"/>
                <w:szCs w:val="18"/>
                <w:vertAlign w:val="superscript"/>
                <w:lang w:val="en-AU" w:eastAsia="en-US"/>
              </w:rPr>
              <w:t>c</w:t>
            </w:r>
          </w:p>
        </w:tc>
        <w:tc>
          <w:tcPr>
            <w:tcW w:w="2129" w:type="dxa"/>
            <w:tcBorders>
              <w:top w:val="single" w:sz="2" w:space="0" w:color="auto"/>
              <w:left w:val="single" w:sz="2" w:space="0" w:color="auto"/>
              <w:bottom w:val="single" w:sz="12" w:space="0" w:color="auto"/>
              <w:right w:val="single" w:sz="12" w:space="0" w:color="auto"/>
            </w:tcBorders>
            <w:shd w:val="clear" w:color="auto" w:fill="auto"/>
          </w:tcPr>
          <w:p w14:paraId="690AB5C0" w14:textId="77777777" w:rsidR="00802E84" w:rsidRPr="00E35B9B" w:rsidRDefault="00802E84" w:rsidP="00BB65E0">
            <w:pPr>
              <w:pStyle w:val="TextBold"/>
              <w:spacing w:before="60" w:after="60"/>
              <w:rPr>
                <w:rFonts w:ascii="Arial" w:hAnsi="Arial" w:cs="Arial"/>
                <w:b w:val="0"/>
                <w:color w:val="auto"/>
                <w:sz w:val="18"/>
                <w:szCs w:val="18"/>
                <w:lang w:val="en-AU"/>
              </w:rPr>
            </w:pPr>
            <w:r w:rsidRPr="00E35B9B">
              <w:rPr>
                <w:rFonts w:ascii="Arial" w:eastAsia="Arial Unicode MS" w:hAnsi="Arial" w:cs="Arial"/>
                <w:b w:val="0"/>
                <w:color w:val="auto"/>
                <w:sz w:val="18"/>
                <w:szCs w:val="18"/>
                <w:lang w:val="en-AU" w:eastAsia="en-US"/>
              </w:rPr>
              <w:t>Common</w:t>
            </w:r>
          </w:p>
        </w:tc>
      </w:tr>
      <w:tr w:rsidR="00802E84" w:rsidRPr="00E35B9B" w14:paraId="55881119" w14:textId="77777777" w:rsidTr="00BB65E0">
        <w:trPr>
          <w:jc w:val="center"/>
        </w:trPr>
        <w:tc>
          <w:tcPr>
            <w:tcW w:w="8129" w:type="dxa"/>
            <w:gridSpan w:val="3"/>
            <w:tcBorders>
              <w:top w:val="single" w:sz="12" w:space="0" w:color="auto"/>
              <w:left w:val="nil"/>
              <w:bottom w:val="nil"/>
              <w:right w:val="nil"/>
            </w:tcBorders>
            <w:shd w:val="clear" w:color="auto" w:fill="auto"/>
          </w:tcPr>
          <w:p w14:paraId="17579F51" w14:textId="77777777" w:rsidR="00802E84" w:rsidRPr="00E35B9B" w:rsidRDefault="00802E84" w:rsidP="008550F0">
            <w:pPr>
              <w:pStyle w:val="TableCenterAlign"/>
              <w:numPr>
                <w:ilvl w:val="0"/>
                <w:numId w:val="8"/>
              </w:numPr>
              <w:tabs>
                <w:tab w:val="num" w:pos="360"/>
              </w:tabs>
              <w:spacing w:before="0" w:after="0" w:line="240" w:lineRule="auto"/>
              <w:jc w:val="left"/>
              <w:rPr>
                <w:rFonts w:cs="Arial"/>
                <w:sz w:val="16"/>
                <w:szCs w:val="16"/>
                <w:lang w:val="en-AU" w:eastAsia="en-AU"/>
              </w:rPr>
            </w:pPr>
            <w:r w:rsidRPr="00E35B9B">
              <w:rPr>
                <w:rFonts w:cs="Arial"/>
                <w:sz w:val="16"/>
                <w:szCs w:val="16"/>
                <w:lang w:val="en-AU" w:eastAsia="en-AU"/>
              </w:rPr>
              <w:t>See Contraindications (4.3.2) and Special Warnings and Precautions for Use (4.4.2).</w:t>
            </w:r>
          </w:p>
          <w:p w14:paraId="1787AB23" w14:textId="77777777" w:rsidR="00802E84" w:rsidRPr="00E35B9B" w:rsidRDefault="00802E84" w:rsidP="008550F0">
            <w:pPr>
              <w:pStyle w:val="TableCenterAlign"/>
              <w:numPr>
                <w:ilvl w:val="0"/>
                <w:numId w:val="8"/>
              </w:numPr>
              <w:tabs>
                <w:tab w:val="num" w:pos="360"/>
              </w:tabs>
              <w:spacing w:before="0" w:after="0" w:line="240" w:lineRule="auto"/>
              <w:jc w:val="left"/>
              <w:rPr>
                <w:rFonts w:cs="Arial"/>
                <w:sz w:val="16"/>
                <w:szCs w:val="16"/>
                <w:lang w:val="en-AU" w:eastAsia="en-AU"/>
              </w:rPr>
            </w:pPr>
            <w:r w:rsidRPr="00E35B9B">
              <w:rPr>
                <w:rFonts w:cs="Arial"/>
                <w:sz w:val="16"/>
                <w:szCs w:val="16"/>
                <w:lang w:val="en-AU" w:eastAsia="en-AU"/>
              </w:rPr>
              <w:t>Defined as albumin adjusted serum calcium that was below the lower limit of normal.  See Contraindications (4.3.1) and Special Warnings and Precautions for Use (4.4.1).</w:t>
            </w:r>
          </w:p>
          <w:p w14:paraId="4ABD26D8" w14:textId="77777777" w:rsidR="00802E84" w:rsidRPr="00E35B9B" w:rsidRDefault="00802E84" w:rsidP="008550F0">
            <w:pPr>
              <w:pStyle w:val="TableCenterAlign"/>
              <w:numPr>
                <w:ilvl w:val="0"/>
                <w:numId w:val="8"/>
              </w:numPr>
              <w:tabs>
                <w:tab w:val="num" w:pos="360"/>
              </w:tabs>
              <w:spacing w:before="0" w:after="0" w:line="240" w:lineRule="auto"/>
              <w:jc w:val="left"/>
              <w:rPr>
                <w:rFonts w:cs="Arial"/>
                <w:szCs w:val="22"/>
                <w:lang w:val="en-AU" w:eastAsia="en-AU"/>
              </w:rPr>
            </w:pPr>
            <w:r w:rsidRPr="00E35B9B">
              <w:rPr>
                <w:rFonts w:cs="Arial"/>
                <w:sz w:val="16"/>
                <w:szCs w:val="16"/>
                <w:lang w:val="en-AU" w:eastAsia="en-AU"/>
              </w:rPr>
              <w:t>Most frequent injection site reactions were pain and erythema.</w:t>
            </w:r>
          </w:p>
        </w:tc>
      </w:tr>
    </w:tbl>
    <w:p w14:paraId="2D56FC7E" w14:textId="77777777" w:rsidR="00CD246E" w:rsidRPr="00412829" w:rsidRDefault="00CD246E" w:rsidP="00BB4A9D">
      <w:pPr>
        <w:pStyle w:val="RPI-Heading3"/>
      </w:pPr>
      <w:r w:rsidRPr="00412829">
        <w:t>Immunogenicity</w:t>
      </w:r>
    </w:p>
    <w:p w14:paraId="7D212A50" w14:textId="3F1D91E5" w:rsidR="00CD246E" w:rsidRPr="00412829" w:rsidRDefault="00CD246E" w:rsidP="001260FB">
      <w:pPr>
        <w:pStyle w:val="RPI-Text"/>
      </w:pPr>
      <w:r w:rsidRPr="00412829">
        <w:t xml:space="preserve">As with all therapeutic proteins, there is potential for immunogenicity.  The immunogenicity of romosozumab has been evaluated using a screening immunoassay for the detection of binding anti-romosozumab antibodies.  For patients whose sera tested positive in the screening immunoassay, an </w:t>
      </w:r>
      <w:r w:rsidRPr="00412829">
        <w:rPr>
          <w:i/>
        </w:rPr>
        <w:t>in vitro</w:t>
      </w:r>
      <w:r w:rsidRPr="00412829">
        <w:t xml:space="preserve"> biological assay was performed to detect neutrali</w:t>
      </w:r>
      <w:r w:rsidR="00B31A0A" w:rsidRPr="00412829">
        <w:t>s</w:t>
      </w:r>
      <w:r w:rsidRPr="00412829">
        <w:t>ing antibodies.</w:t>
      </w:r>
    </w:p>
    <w:p w14:paraId="7C613645" w14:textId="3C037F70" w:rsidR="00CD246E" w:rsidRPr="00412829" w:rsidRDefault="00CD246E" w:rsidP="001260FB">
      <w:pPr>
        <w:pStyle w:val="RPI-Text"/>
      </w:pPr>
      <w:r w:rsidRPr="00412829">
        <w:t>In postmenopausal women dosed with 210 mg monthly EVENITY, the incidence of anti</w:t>
      </w:r>
      <w:r w:rsidR="00EC51C0">
        <w:noBreakHyphen/>
      </w:r>
      <w:r w:rsidRPr="00412829">
        <w:t>romosozumab antibodies was 18.1% (</w:t>
      </w:r>
      <w:r w:rsidR="00255F88" w:rsidRPr="00412829">
        <w:t>10</w:t>
      </w:r>
      <w:r w:rsidR="00255F88">
        <w:t>72</w:t>
      </w:r>
      <w:r w:rsidR="00255F88" w:rsidRPr="00412829">
        <w:t xml:space="preserve"> </w:t>
      </w:r>
      <w:r w:rsidRPr="00412829">
        <w:t>of 5914) for binding antibodies and 0.</w:t>
      </w:r>
      <w:r w:rsidR="00255F88">
        <w:t>8</w:t>
      </w:r>
      <w:r w:rsidRPr="00412829">
        <w:t>% (</w:t>
      </w:r>
      <w:r w:rsidR="00255F88">
        <w:t>50</w:t>
      </w:r>
      <w:r w:rsidR="00255F88" w:rsidRPr="00412829">
        <w:t xml:space="preserve"> </w:t>
      </w:r>
      <w:r w:rsidRPr="00412829">
        <w:t>of 5914) for neutrali</w:t>
      </w:r>
      <w:r w:rsidR="00213B74" w:rsidRPr="00412829">
        <w:t>s</w:t>
      </w:r>
      <w:r w:rsidRPr="00412829">
        <w:t xml:space="preserve">ing antibodies.  Across all doses studied in postmenopausal </w:t>
      </w:r>
      <w:r w:rsidRPr="00412829">
        <w:lastRenderedPageBreak/>
        <w:t>women, the pooled incidence of binding antibodies and neutrali</w:t>
      </w:r>
      <w:r w:rsidR="000C0CE3" w:rsidRPr="00412829">
        <w:t>s</w:t>
      </w:r>
      <w:r w:rsidRPr="00412829">
        <w:t>ing antibodies was similar to the 210 mg monthly dose, respectively.</w:t>
      </w:r>
      <w:r w:rsidR="00E84262" w:rsidRPr="00412829">
        <w:t xml:space="preserve"> </w:t>
      </w:r>
      <w:r w:rsidRPr="00412829">
        <w:t xml:space="preserve"> </w:t>
      </w:r>
      <w:r w:rsidRPr="00412829">
        <w:rPr>
          <w:rFonts w:cs="Arial"/>
          <w:szCs w:val="22"/>
        </w:rPr>
        <w:t xml:space="preserve">In men with osteoporosis dosed with 210 mg monthly EVENITY, the incidence of anti-romosozumab antibodies was consistent [17.3% (28 of 162) for binding antibodies and 0.6% (1 of 161) for neutralising antibodies] with that observed in postmenopausal women with osteoporosis.  </w:t>
      </w:r>
      <w:r w:rsidRPr="00412829">
        <w:t>The clinical significance of antibodies to romosozumab is unknown.  No impact to the efficacy and safety of romosozumab was observed in the presence of anti-romosozumab antibodies.</w:t>
      </w:r>
    </w:p>
    <w:p w14:paraId="687B13E9" w14:textId="7A3B9982" w:rsidR="001A6EA3" w:rsidRPr="00412829" w:rsidRDefault="001A6EA3" w:rsidP="00E30B5B">
      <w:pPr>
        <w:pStyle w:val="RPI-Heading3"/>
      </w:pPr>
      <w:r w:rsidRPr="00412829">
        <w:t xml:space="preserve">Withdrawal </w:t>
      </w:r>
      <w:r w:rsidR="00175F5C" w:rsidRPr="00412829">
        <w:t>effects</w:t>
      </w:r>
    </w:p>
    <w:p w14:paraId="7D310A0E" w14:textId="150F2948" w:rsidR="00AF0C1B" w:rsidRDefault="0074118B" w:rsidP="001260FB">
      <w:pPr>
        <w:pStyle w:val="RPI-Text"/>
      </w:pPr>
      <w:r w:rsidRPr="00412829">
        <w:t xml:space="preserve">In the absence of </w:t>
      </w:r>
      <w:r w:rsidR="00863382" w:rsidRPr="00412829">
        <w:t>a follow-</w:t>
      </w:r>
      <w:r w:rsidRPr="00412829">
        <w:t>on antiresorptive therapy, BMD gains trend toward pre</w:t>
      </w:r>
      <w:r w:rsidR="00EC51C0">
        <w:noBreakHyphen/>
      </w:r>
      <w:r w:rsidRPr="00412829">
        <w:t>treatment levels following cessation of EVENITY</w:t>
      </w:r>
      <w:r w:rsidR="001A6EA3" w:rsidRPr="00412829">
        <w:t>.</w:t>
      </w:r>
    </w:p>
    <w:p w14:paraId="73FDAD71" w14:textId="772235E7" w:rsidR="001A6EA3" w:rsidRPr="00412829" w:rsidRDefault="00DB4B9E" w:rsidP="001260FB">
      <w:pPr>
        <w:pStyle w:val="RPI-Text"/>
      </w:pPr>
      <w:r>
        <w:t xml:space="preserve">The effect on BMD following the discontinuation of romosozumab was prospectively studied in a phase 2 dose-ranging study </w:t>
      </w:r>
      <w:r w:rsidR="008B2733">
        <w:t xml:space="preserve">(Study 20060326) </w:t>
      </w:r>
      <w:r>
        <w:t xml:space="preserve">where romosozumab was given for longer duration than the approved posology. </w:t>
      </w:r>
      <w:r w:rsidR="00FF135E">
        <w:t xml:space="preserve"> </w:t>
      </w:r>
      <w:r>
        <w:t xml:space="preserve">After romosozumab </w:t>
      </w:r>
      <w:r w:rsidR="00A71C63">
        <w:t>completion</w:t>
      </w:r>
      <w:r w:rsidR="008B2733">
        <w:t>, BMD levels across measured sites trended towards pre-treatment levels but remained above baseline over a 12 month period.</w:t>
      </w:r>
    </w:p>
    <w:p w14:paraId="625108CD" w14:textId="0E983D3E" w:rsidR="000524E4" w:rsidRPr="00412829" w:rsidRDefault="000524E4" w:rsidP="000524E4">
      <w:pPr>
        <w:pStyle w:val="RPI-Heading3"/>
        <w:rPr>
          <w:lang w:val="en-US"/>
        </w:rPr>
      </w:pPr>
      <w:r w:rsidRPr="00412829">
        <w:rPr>
          <w:lang w:val="en-US"/>
        </w:rPr>
        <w:t>Post</w:t>
      </w:r>
      <w:r w:rsidR="008B2733">
        <w:rPr>
          <w:lang w:val="en-US"/>
        </w:rPr>
        <w:t>-</w:t>
      </w:r>
      <w:r w:rsidRPr="00412829">
        <w:t>m</w:t>
      </w:r>
      <w:r w:rsidRPr="00412829">
        <w:rPr>
          <w:lang w:val="en-US"/>
        </w:rPr>
        <w:t xml:space="preserve">arketing </w:t>
      </w:r>
      <w:r w:rsidRPr="00412829">
        <w:t>e</w:t>
      </w:r>
      <w:r w:rsidRPr="00412829">
        <w:rPr>
          <w:lang w:val="en-US"/>
        </w:rPr>
        <w:t>xperience</w:t>
      </w:r>
    </w:p>
    <w:p w14:paraId="59CB97C2" w14:textId="77777777" w:rsidR="000524E4" w:rsidRPr="00412829" w:rsidRDefault="000524E4" w:rsidP="001260FB">
      <w:pPr>
        <w:pStyle w:val="RPI-Text"/>
      </w:pPr>
      <w:r w:rsidRPr="00412829">
        <w:t>Not applicable at this time.</w:t>
      </w:r>
    </w:p>
    <w:p w14:paraId="12AFF4BD" w14:textId="4C8D7759" w:rsidR="00991D32" w:rsidRPr="00412829" w:rsidRDefault="00991D32" w:rsidP="0054201D">
      <w:pPr>
        <w:pStyle w:val="RPI-Heading4"/>
      </w:pPr>
      <w:r w:rsidRPr="00412829">
        <w:t xml:space="preserve">Reporting suspected adverse </w:t>
      </w:r>
      <w:r w:rsidR="00CB28DC" w:rsidRPr="00412829">
        <w:t>effects</w:t>
      </w:r>
    </w:p>
    <w:p w14:paraId="12AFF4BE" w14:textId="6D4F0CC1" w:rsidR="00991D32" w:rsidRPr="00412829" w:rsidRDefault="00991D32" w:rsidP="00C302C5">
      <w:pPr>
        <w:pStyle w:val="RPI-Text"/>
      </w:pPr>
      <w:r w:rsidRPr="00412829">
        <w:t xml:space="preserve">Reporting suspected adverse reactions after </w:t>
      </w:r>
      <w:r w:rsidR="004F177A" w:rsidRPr="00412829">
        <w:t>registration</w:t>
      </w:r>
      <w:r w:rsidRPr="00412829">
        <w:t xml:space="preserve"> of the medicin</w:t>
      </w:r>
      <w:r w:rsidR="004F177A" w:rsidRPr="00412829">
        <w:t>al product</w:t>
      </w:r>
      <w:r w:rsidRPr="00412829">
        <w:t xml:space="preserve"> is important.  It allows continued monitoring of the benefit</w:t>
      </w:r>
      <w:r w:rsidR="00350FFB" w:rsidRPr="00412829">
        <w:t>-</w:t>
      </w:r>
      <w:r w:rsidRPr="00412829">
        <w:t>risk balance of the medic</w:t>
      </w:r>
      <w:r w:rsidR="00350FFB" w:rsidRPr="00412829">
        <w:t>inal product</w:t>
      </w:r>
      <w:r w:rsidRPr="00412829">
        <w:t xml:space="preserve">.  Healthcare professionals are asked to report any suspected adverse reactions </w:t>
      </w:r>
      <w:r w:rsidR="00350FFB" w:rsidRPr="00412829">
        <w:t xml:space="preserve">at </w:t>
      </w:r>
      <w:hyperlink r:id="rId14" w:history="1">
        <w:r w:rsidR="001A6EA3" w:rsidRPr="00412829">
          <w:rPr>
            <w:rStyle w:val="Hyperlink"/>
          </w:rPr>
          <w:t>http</w:t>
        </w:r>
        <w:r w:rsidR="001A6EA3" w:rsidRPr="007E1620">
          <w:rPr>
            <w:rStyle w:val="Hyperlink"/>
          </w:rPr>
          <w:t>://www.tga.gov.au/reporting-problems</w:t>
        </w:r>
      </w:hyperlink>
      <w:r w:rsidR="00247CA7" w:rsidRPr="00412829">
        <w:rPr>
          <w:rStyle w:val="Hyperlink"/>
        </w:rPr>
        <w:t>.</w:t>
      </w:r>
    </w:p>
    <w:p w14:paraId="12AFF4C0" w14:textId="5B9A4DE3" w:rsidR="0032608A" w:rsidRPr="00412829" w:rsidRDefault="0032608A" w:rsidP="00691395">
      <w:pPr>
        <w:pStyle w:val="RPI-Heading2"/>
        <w:spacing w:line="360" w:lineRule="auto"/>
      </w:pPr>
      <w:r w:rsidRPr="00412829">
        <w:t>Overdose</w:t>
      </w:r>
      <w:r w:rsidR="00245127" w:rsidRPr="00412829">
        <w:t xml:space="preserve"> </w:t>
      </w:r>
    </w:p>
    <w:p w14:paraId="60581FB9" w14:textId="77777777" w:rsidR="001A73EF" w:rsidRPr="00412829" w:rsidRDefault="00443122" w:rsidP="001260FB">
      <w:pPr>
        <w:pStyle w:val="RPI-Text"/>
      </w:pPr>
      <w:r w:rsidRPr="00412829">
        <w:t>There is no experience with overdosage i</w:t>
      </w:r>
      <w:r w:rsidR="00AE35C6" w:rsidRPr="00412829">
        <w:t>n clinical trials with EVENITY.</w:t>
      </w:r>
    </w:p>
    <w:p w14:paraId="49AAD3C8" w14:textId="7161C063" w:rsidR="00387F6A" w:rsidRPr="00412829" w:rsidRDefault="00170FBD" w:rsidP="001260FB">
      <w:pPr>
        <w:pStyle w:val="RPI-Text"/>
      </w:pPr>
      <w:r w:rsidRPr="00412829">
        <w:t>For information on the management of overdose, contact the Poison</w:t>
      </w:r>
      <w:r w:rsidR="001537FF">
        <w:t>s</w:t>
      </w:r>
      <w:r w:rsidRPr="00412829">
        <w:t xml:space="preserve"> Information Centre on 131126 (Australia).</w:t>
      </w:r>
    </w:p>
    <w:p w14:paraId="12AFF4C4" w14:textId="77777777" w:rsidR="0032608A" w:rsidRPr="00412829" w:rsidRDefault="0032608A" w:rsidP="00691395">
      <w:pPr>
        <w:pStyle w:val="RPI-Heading1"/>
        <w:spacing w:line="360" w:lineRule="auto"/>
      </w:pPr>
      <w:r w:rsidRPr="00412829">
        <w:lastRenderedPageBreak/>
        <w:t>PHARMACOLOGICAL PROPERTIES</w:t>
      </w:r>
    </w:p>
    <w:p w14:paraId="12AFF4C5" w14:textId="77777777" w:rsidR="0032608A" w:rsidRPr="00412829" w:rsidRDefault="0032608A" w:rsidP="005F754A">
      <w:pPr>
        <w:pStyle w:val="RPI-Heading2"/>
        <w:tabs>
          <w:tab w:val="clear" w:pos="1440"/>
          <w:tab w:val="num" w:pos="1418"/>
        </w:tabs>
        <w:spacing w:line="360" w:lineRule="auto"/>
      </w:pPr>
      <w:r w:rsidRPr="00412829">
        <w:t>Pharmacodynamic properties</w:t>
      </w:r>
      <w:r w:rsidR="00245127" w:rsidRPr="00412829">
        <w:t xml:space="preserve"> </w:t>
      </w:r>
    </w:p>
    <w:p w14:paraId="12AFF4C6" w14:textId="3655B265" w:rsidR="00BD76C9" w:rsidRPr="00412829" w:rsidRDefault="00BD76C9" w:rsidP="00AE35C6">
      <w:pPr>
        <w:pStyle w:val="RPI-Heading3"/>
      </w:pPr>
      <w:r w:rsidRPr="00412829">
        <w:t xml:space="preserve">Mechanism of action </w:t>
      </w:r>
    </w:p>
    <w:p w14:paraId="161E70F8" w14:textId="5160E46E" w:rsidR="00C66EF5" w:rsidRPr="007E1620" w:rsidRDefault="00CC44AC" w:rsidP="001260FB">
      <w:pPr>
        <w:pStyle w:val="RPI-Text"/>
      </w:pPr>
      <w:r w:rsidRPr="00412829">
        <w:t xml:space="preserve">Romosozumab </w:t>
      </w:r>
      <w:r w:rsidR="00C66EF5" w:rsidRPr="00412829">
        <w:t>is a humanised monoclonal antibody (IgG2) that binds and inhibits sclerostin</w:t>
      </w:r>
      <w:r w:rsidRPr="00412829">
        <w:t>, a negative regulator of bone formation predominantly secreted by mature osteocytes</w:t>
      </w:r>
      <w:r w:rsidR="00C66EF5" w:rsidRPr="00412829">
        <w:t xml:space="preserve">.  </w:t>
      </w:r>
      <w:r w:rsidRPr="00412829">
        <w:t xml:space="preserve">Romosozumab </w:t>
      </w:r>
      <w:r w:rsidR="00C66EF5" w:rsidRPr="00412829">
        <w:t>ha</w:t>
      </w:r>
      <w:r w:rsidR="00C66EF5" w:rsidRPr="007E1620">
        <w:t>s a dual effect on bone, increasing bone formation and decreasing bone resorption.  Romosozumab increases trabecular and cortical bone mass and improves bone structure and strength.</w:t>
      </w:r>
    </w:p>
    <w:p w14:paraId="28E0AA32" w14:textId="77777777" w:rsidR="00C66EF5" w:rsidRPr="00412829" w:rsidRDefault="00C66EF5" w:rsidP="00E61109">
      <w:pPr>
        <w:pStyle w:val="RPI-Heading3"/>
        <w:rPr>
          <w:snapToGrid w:val="0"/>
        </w:rPr>
      </w:pPr>
      <w:r w:rsidRPr="00412829">
        <w:t>Pharmacodynamics</w:t>
      </w:r>
    </w:p>
    <w:p w14:paraId="4DEDFA4F" w14:textId="77777777" w:rsidR="00C66EF5" w:rsidRPr="00412829" w:rsidRDefault="00C66EF5" w:rsidP="001260FB">
      <w:pPr>
        <w:pStyle w:val="RPI-Text"/>
      </w:pPr>
      <w:r w:rsidRPr="00412829">
        <w:t>EVENITY has a dual effect on bone, increasing bone formation and decreasing bone resorption.</w:t>
      </w:r>
      <w:r w:rsidRPr="00412829">
        <w:rPr>
          <w:rFonts w:ascii="Times New Roman" w:hAnsi="Times New Roman"/>
        </w:rPr>
        <w:t xml:space="preserve"> </w:t>
      </w:r>
      <w:r w:rsidRPr="00412829">
        <w:t xml:space="preserve"> In postmenopausal women with osteoporosis, EVENITY increased the bone formation marker procollagen type 1 N</w:t>
      </w:r>
      <w:r w:rsidRPr="00412829">
        <w:noBreakHyphen/>
        <w:t xml:space="preserve">terminal propeptide (P1NP) early in treatment, with a peak increase of approximately 145% relative to placebo 2 weeks after initiating treatment, followed by a return to placebo levels at month 9 and a decline to approximately 15% below placebo at month 12.  EVENITY decreased the bone resorption marker type 1 collagen C-telopeptide (CTX) with a </w:t>
      </w:r>
      <w:r w:rsidRPr="00412829">
        <w:rPr>
          <w:iCs/>
        </w:rPr>
        <w:t>maximal</w:t>
      </w:r>
      <w:r w:rsidRPr="00412829">
        <w:t xml:space="preserve"> reduction of approximately 55% relative to placebo 2 weeks after initiating treatment.  CTX levels remained below placebo and were approximately 25% below placebo at month 12.</w:t>
      </w:r>
      <w:r w:rsidRPr="00412829">
        <w:rPr>
          <w:rFonts w:ascii="Times New Roman" w:hAnsi="Times New Roman"/>
          <w:b/>
        </w:rPr>
        <w:t xml:space="preserve"> </w:t>
      </w:r>
    </w:p>
    <w:p w14:paraId="3DA880BE" w14:textId="378A2935" w:rsidR="00C66EF5" w:rsidRPr="00412829" w:rsidRDefault="00C66EF5" w:rsidP="001260FB">
      <w:pPr>
        <w:pStyle w:val="RPI-Text"/>
      </w:pPr>
      <w:r w:rsidRPr="00412829">
        <w:t>In</w:t>
      </w:r>
      <w:r w:rsidR="0065208F" w:rsidRPr="00412829">
        <w:rPr>
          <w:rStyle w:val="CommentReference"/>
          <w:rFonts w:cs="Arial"/>
          <w:sz w:val="22"/>
          <w:szCs w:val="22"/>
        </w:rPr>
        <w:t xml:space="preserve"> </w:t>
      </w:r>
      <w:r w:rsidRPr="00412829">
        <w:rPr>
          <w:rStyle w:val="CommentReference"/>
          <w:rFonts w:cs="Arial"/>
          <w:sz w:val="22"/>
          <w:szCs w:val="22"/>
        </w:rPr>
        <w:t>m</w:t>
      </w:r>
      <w:r w:rsidRPr="00412829">
        <w:t>en with osteoporosis, similar patterns in bone turnover marker changes were observed.</w:t>
      </w:r>
    </w:p>
    <w:p w14:paraId="045FBCEA" w14:textId="77777777" w:rsidR="00C66EF5" w:rsidRPr="00412829" w:rsidRDefault="00C66EF5" w:rsidP="001260FB">
      <w:pPr>
        <w:pStyle w:val="RPI-Text"/>
        <w:rPr>
          <w:sz w:val="20"/>
        </w:rPr>
      </w:pPr>
      <w:r w:rsidRPr="00412829">
        <w:t xml:space="preserve">After discontinuation of EVENITY therapy in postmenopausal women with osteoporosis, P1NP levels returned to baseline within 12 months; </w:t>
      </w:r>
      <w:r w:rsidRPr="00412829">
        <w:rPr>
          <w:bCs/>
        </w:rPr>
        <w:t xml:space="preserve">CTX increased above baseline levels within 3 months and returned toward baseline levels by month 12, reflecting reversibility </w:t>
      </w:r>
      <w:r w:rsidRPr="00412829">
        <w:t>of effect</w:t>
      </w:r>
      <w:r w:rsidRPr="00412829">
        <w:rPr>
          <w:bCs/>
        </w:rPr>
        <w:t xml:space="preserve">.  </w:t>
      </w:r>
      <w:r w:rsidRPr="00412829">
        <w:t>Upon retreatment with EVENITY after 12 months off treatment, the level of increase in P1NP and decrease in CTX by EVENITY was similar to that observed during the initial treatment.</w:t>
      </w:r>
    </w:p>
    <w:p w14:paraId="67DEFFD9" w14:textId="5D99D6CF" w:rsidR="00C66EF5" w:rsidRPr="00412829" w:rsidRDefault="00C66EF5" w:rsidP="001260FB">
      <w:pPr>
        <w:pStyle w:val="RPI-Text"/>
      </w:pPr>
      <w:r w:rsidRPr="00412829">
        <w:t>In</w:t>
      </w:r>
      <w:r w:rsidR="00060558" w:rsidRPr="00412829">
        <w:rPr>
          <w:rStyle w:val="CommentReference"/>
          <w:sz w:val="22"/>
          <w:szCs w:val="22"/>
        </w:rPr>
        <w:t xml:space="preserve"> </w:t>
      </w:r>
      <w:r w:rsidRPr="00412829">
        <w:t>women transitioning from oral alendronate, EVENITY also increased bone formation and decreased bone resorption.</w:t>
      </w:r>
    </w:p>
    <w:p w14:paraId="64D83E0A" w14:textId="77777777" w:rsidR="00DC2F78" w:rsidRPr="00412829" w:rsidRDefault="00BD76C9" w:rsidP="00A83319">
      <w:pPr>
        <w:pStyle w:val="RPI-Heading3"/>
      </w:pPr>
      <w:r w:rsidRPr="00412829">
        <w:lastRenderedPageBreak/>
        <w:t>Clinical trials</w:t>
      </w:r>
    </w:p>
    <w:p w14:paraId="12AFF4C8" w14:textId="6A2878E1" w:rsidR="007F3C57" w:rsidRDefault="00DC2F78" w:rsidP="00481928">
      <w:pPr>
        <w:pStyle w:val="RPI-Text"/>
      </w:pPr>
      <w:r w:rsidRPr="007703CD">
        <w:t xml:space="preserve">In post-menopausal women with primary osteoporosis, EVENITY reduces the risk of vertebral and clinical fractures. </w:t>
      </w:r>
      <w:r w:rsidR="00FF135E">
        <w:t xml:space="preserve"> </w:t>
      </w:r>
      <w:r w:rsidRPr="007703CD">
        <w:t>EVENITY increases bone mass in men and post</w:t>
      </w:r>
      <w:r w:rsidR="00EC51C0">
        <w:noBreakHyphen/>
      </w:r>
      <w:r w:rsidRPr="007703CD">
        <w:t>menopausal women with primary osteoporosis.</w:t>
      </w:r>
    </w:p>
    <w:p w14:paraId="27E4D32F" w14:textId="6F2156B9" w:rsidR="00917A1A" w:rsidRPr="007703CD" w:rsidRDefault="00917A1A" w:rsidP="00481928">
      <w:pPr>
        <w:pStyle w:val="RPI-Text"/>
      </w:pPr>
      <w:bookmarkStart w:id="2" w:name="_Hlk529799547"/>
      <w:r w:rsidRPr="00917A1A">
        <w:t>The primary evidence for the efficacy and safety of romosozumab for the treatment of</w:t>
      </w:r>
      <w:r>
        <w:t xml:space="preserve"> </w:t>
      </w:r>
      <w:r w:rsidRPr="00917A1A">
        <w:t xml:space="preserve">osteoporosis in postmenopausal women was derived from 2 pivotal fracture studies (Study 20110142; ARCH and Study 20070337; FRAME). </w:t>
      </w:r>
      <w:r w:rsidR="00FF135E">
        <w:t xml:space="preserve"> </w:t>
      </w:r>
      <w:r w:rsidRPr="00917A1A">
        <w:t>In addition, a phase 3b study (Study 2008</w:t>
      </w:r>
      <w:r w:rsidR="00371AD0">
        <w:t>0</w:t>
      </w:r>
      <w:r w:rsidRPr="00917A1A">
        <w:t>289</w:t>
      </w:r>
      <w:r w:rsidR="00371AD0">
        <w:t>; STRUCTURE</w:t>
      </w:r>
      <w:r w:rsidRPr="00917A1A">
        <w:t xml:space="preserve">) in women with osteoporosis transitioning from oral bisphosphonate therapy to romosozumab or teriparatide </w:t>
      </w:r>
      <w:r w:rsidR="00CA2AF4">
        <w:t xml:space="preserve">was conducted to </w:t>
      </w:r>
      <w:r w:rsidRPr="00917A1A">
        <w:t xml:space="preserve">provide supportive efficacy and safety. </w:t>
      </w:r>
      <w:r w:rsidR="00FF135E">
        <w:t xml:space="preserve"> </w:t>
      </w:r>
      <w:r w:rsidRPr="00917A1A">
        <w:t>The primary evidence for the efficacy and safety of romosozumab for the treatment of</w:t>
      </w:r>
      <w:r>
        <w:t xml:space="preserve"> </w:t>
      </w:r>
      <w:r w:rsidRPr="00917A1A">
        <w:t>osteoporosis in men was from a 12-month primary analysis of a pivotal, double-blind,</w:t>
      </w:r>
      <w:r>
        <w:t xml:space="preserve"> </w:t>
      </w:r>
      <w:r w:rsidRPr="00917A1A">
        <w:t xml:space="preserve">placebo-controlled, phase 3 Study 20110174 (BRIDGE). </w:t>
      </w:r>
      <w:r w:rsidR="00FF135E">
        <w:t xml:space="preserve"> </w:t>
      </w:r>
      <w:r w:rsidRPr="00917A1A">
        <w:t>These studies are described in further detail below.</w:t>
      </w:r>
      <w:bookmarkEnd w:id="2"/>
    </w:p>
    <w:p w14:paraId="72692838" w14:textId="6C5B5B4B" w:rsidR="00C9323F" w:rsidRPr="00412829" w:rsidRDefault="00C9323F" w:rsidP="008E7871">
      <w:pPr>
        <w:pStyle w:val="RPI-Heading4"/>
      </w:pPr>
      <w:r w:rsidRPr="00412829">
        <w:t xml:space="preserve">Treatment of </w:t>
      </w:r>
      <w:r w:rsidR="00254994" w:rsidRPr="00412829">
        <w:t>o</w:t>
      </w:r>
      <w:r w:rsidRPr="00412829">
        <w:t xml:space="preserve">steoporosis in </w:t>
      </w:r>
      <w:r w:rsidR="00254994" w:rsidRPr="00412829">
        <w:t>p</w:t>
      </w:r>
      <w:r w:rsidRPr="00412829">
        <w:t xml:space="preserve">ostmenopausal </w:t>
      </w:r>
      <w:r w:rsidR="00254994" w:rsidRPr="00412829">
        <w:t>w</w:t>
      </w:r>
      <w:r w:rsidRPr="00412829">
        <w:t>omen</w:t>
      </w:r>
    </w:p>
    <w:p w14:paraId="4738E5E1" w14:textId="77B4F6C7" w:rsidR="00C9323F" w:rsidRPr="00412829" w:rsidRDefault="00C9323F" w:rsidP="005A76B5">
      <w:pPr>
        <w:pStyle w:val="RPI-Textbold"/>
        <w:keepNext/>
      </w:pPr>
      <w:r w:rsidRPr="00412829">
        <w:t>Study 1 (alendronate-controlled)</w:t>
      </w:r>
    </w:p>
    <w:p w14:paraId="6CD7B430" w14:textId="4080B894" w:rsidR="00C9323F" w:rsidRPr="00412829" w:rsidRDefault="00C9323F" w:rsidP="002556DE">
      <w:pPr>
        <w:pStyle w:val="RPI-Textbold"/>
      </w:pPr>
      <w:r w:rsidRPr="00412829">
        <w:t xml:space="preserve">Active-contRolled </w:t>
      </w:r>
      <w:r w:rsidR="0088415B" w:rsidRPr="00412829">
        <w:t xml:space="preserve">fraCture study </w:t>
      </w:r>
      <w:r w:rsidRPr="00412829">
        <w:t xml:space="preserve">in </w:t>
      </w:r>
      <w:r w:rsidR="0088415B" w:rsidRPr="00412829">
        <w:t>postmenopausal women with o</w:t>
      </w:r>
      <w:r w:rsidRPr="00412829">
        <w:t xml:space="preserve">steoporosis at </w:t>
      </w:r>
      <w:r w:rsidR="0088415B" w:rsidRPr="00412829">
        <w:t>H</w:t>
      </w:r>
      <w:r w:rsidRPr="00412829">
        <w:t xml:space="preserve">igh </w:t>
      </w:r>
      <w:r w:rsidR="0088415B" w:rsidRPr="00412829">
        <w:t xml:space="preserve">risk </w:t>
      </w:r>
      <w:r w:rsidRPr="00412829">
        <w:t xml:space="preserve">of </w:t>
      </w:r>
      <w:r w:rsidR="0088415B" w:rsidRPr="00412829">
        <w:t xml:space="preserve">fracture </w:t>
      </w:r>
      <w:r w:rsidRPr="00412829">
        <w:t>(ARCH):</w:t>
      </w:r>
    </w:p>
    <w:p w14:paraId="5D2D414D" w14:textId="68462EA1" w:rsidR="00C9323F" w:rsidRPr="00412829" w:rsidRDefault="00C9323F" w:rsidP="005A76B5">
      <w:pPr>
        <w:pStyle w:val="RPI-Text"/>
        <w:keepNext/>
      </w:pPr>
      <w:r w:rsidRPr="00412829">
        <w:t xml:space="preserve">The efficacy and safety of EVENITY in the treatment of osteoporosis in postmenopausal women was demonstrated in a multicentre, multinational, randomised, double-blind, alendronate-controlled, superiority study of 4093 postmenopausal women aged 55 to 90 years (mean age of 74.3 years).  </w:t>
      </w:r>
      <w:r w:rsidR="00D53692" w:rsidRPr="00412829">
        <w:t xml:space="preserve">The mean </w:t>
      </w:r>
      <w:r w:rsidR="00440804" w:rsidRPr="00412829">
        <w:t>years</w:t>
      </w:r>
      <w:r w:rsidR="00D53692" w:rsidRPr="00412829">
        <w:t xml:space="preserve"> since menopause was </w:t>
      </w:r>
      <w:r w:rsidR="00D02E38" w:rsidRPr="00412829">
        <w:t>26.9 ye</w:t>
      </w:r>
      <w:r w:rsidR="00426697" w:rsidRPr="00412829">
        <w:t>ars</w:t>
      </w:r>
      <w:r w:rsidR="00D53692" w:rsidRPr="00412829">
        <w:t xml:space="preserve">.  </w:t>
      </w:r>
      <w:r w:rsidR="00426697" w:rsidRPr="00412829">
        <w:t>Prior u</w:t>
      </w:r>
      <w:r w:rsidR="00D53692" w:rsidRPr="00412829">
        <w:t>se of osteoporosis medications</w:t>
      </w:r>
      <w:r w:rsidR="00D02E38" w:rsidRPr="00412829">
        <w:t xml:space="preserve"> </w:t>
      </w:r>
      <w:r w:rsidR="00D53692" w:rsidRPr="00412829">
        <w:t xml:space="preserve">was reported in 9% of patients, with oral bisphosphonates the most frequently </w:t>
      </w:r>
      <w:r w:rsidR="00426697" w:rsidRPr="00412829">
        <w:t>report</w:t>
      </w:r>
      <w:r w:rsidR="00D53692" w:rsidRPr="00412829">
        <w:t>ed (6.2%).</w:t>
      </w:r>
      <w:r w:rsidR="00E10E42" w:rsidRPr="00412829">
        <w:t xml:space="preserve"> </w:t>
      </w:r>
      <w:r w:rsidR="00FF135E">
        <w:t xml:space="preserve"> </w:t>
      </w:r>
      <w:r w:rsidR="00E10E42" w:rsidRPr="00412829">
        <w:t>Baseline characteristics were similar between treatment groups.</w:t>
      </w:r>
      <w:r w:rsidR="007C3B14" w:rsidRPr="00412829">
        <w:t xml:space="preserve"> </w:t>
      </w:r>
      <w:r w:rsidR="00FF135E">
        <w:t xml:space="preserve"> </w:t>
      </w:r>
      <w:r w:rsidR="00870DD2" w:rsidRPr="00412829">
        <w:t xml:space="preserve">The mean 10-year probabilities of major osteoporotic fractures and of hip fractures calculated with femoral neck BMD were </w:t>
      </w:r>
      <w:r w:rsidR="00C703EB" w:rsidRPr="00412829">
        <w:t>20.1</w:t>
      </w:r>
      <w:r w:rsidR="00870DD2" w:rsidRPr="00412829">
        <w:t xml:space="preserve">% and </w:t>
      </w:r>
      <w:r w:rsidR="00C703EB" w:rsidRPr="00412829">
        <w:t>9.8</w:t>
      </w:r>
      <w:r w:rsidR="00870DD2" w:rsidRPr="00412829">
        <w:t>% respectively.</w:t>
      </w:r>
      <w:r w:rsidR="007703CD">
        <w:t xml:space="preserve"> </w:t>
      </w:r>
      <w:r w:rsidR="00FF135E">
        <w:t xml:space="preserve"> </w:t>
      </w:r>
      <w:r w:rsidRPr="00412829">
        <w:t xml:space="preserve">Enrolled women had either: </w:t>
      </w:r>
    </w:p>
    <w:p w14:paraId="57F14F5F" w14:textId="7EAE626B" w:rsidR="0054169D" w:rsidRPr="00412829" w:rsidRDefault="0054169D" w:rsidP="004836C0">
      <w:pPr>
        <w:pStyle w:val="RPI-Text"/>
        <w:numPr>
          <w:ilvl w:val="0"/>
          <w:numId w:val="6"/>
        </w:numPr>
      </w:pPr>
      <w:r w:rsidRPr="00412829">
        <w:t xml:space="preserve">BMD T-score </w:t>
      </w:r>
      <w:r w:rsidRPr="00412829">
        <w:rPr>
          <w:rFonts w:eastAsia="Calibri"/>
        </w:rPr>
        <w:t>at the total hip or femoral neck of ≤</w:t>
      </w:r>
      <w:r w:rsidR="00592E0B" w:rsidRPr="00412829">
        <w:rPr>
          <w:rFonts w:eastAsia="Calibri"/>
        </w:rPr>
        <w:t> </w:t>
      </w:r>
      <w:r w:rsidRPr="00412829">
        <w:rPr>
          <w:rFonts w:eastAsia="Calibri"/>
        </w:rPr>
        <w:t xml:space="preserve">−2.50, and either </w:t>
      </w:r>
      <w:r w:rsidRPr="00412829">
        <w:t>at least 1 moderate or severe vertebral fracture; or at least 2 mild vertebral fractures OR</w:t>
      </w:r>
    </w:p>
    <w:p w14:paraId="5F7ED6B0" w14:textId="6AD97D74" w:rsidR="0054169D" w:rsidRPr="00412829" w:rsidRDefault="0054169D" w:rsidP="004836C0">
      <w:pPr>
        <w:pStyle w:val="RPI-Text"/>
        <w:numPr>
          <w:ilvl w:val="0"/>
          <w:numId w:val="6"/>
        </w:numPr>
      </w:pPr>
      <w:r w:rsidRPr="00412829">
        <w:lastRenderedPageBreak/>
        <w:t>BMD T-score at the</w:t>
      </w:r>
      <w:r w:rsidR="00A03E68" w:rsidRPr="00412829">
        <w:t xml:space="preserve"> total hip or femoral neck of ≤ </w:t>
      </w:r>
      <w:r w:rsidRPr="00412829">
        <w:t xml:space="preserve">-2.00, </w:t>
      </w:r>
      <w:r w:rsidRPr="00412829">
        <w:rPr>
          <w:rFonts w:eastAsia="Calibri"/>
        </w:rPr>
        <w:t>and either</w:t>
      </w:r>
      <w:r w:rsidRPr="00412829">
        <w:t xml:space="preserve"> at least 2 moderate or severe vertebral fractures; or a fracture of the proximal femur that occurred within 3 to 24 months prior to randomisation.  </w:t>
      </w:r>
    </w:p>
    <w:p w14:paraId="04803BBE" w14:textId="27C50254" w:rsidR="00F9081C" w:rsidRPr="00412829" w:rsidRDefault="00F9081C" w:rsidP="001260FB">
      <w:pPr>
        <w:pStyle w:val="RPI-Text"/>
      </w:pPr>
      <w:r w:rsidRPr="00412829">
        <w:t xml:space="preserve">The mean baseline lumbar spine, total hip, and femoral neck BMD T-scores were </w:t>
      </w:r>
      <w:r w:rsidRPr="00412829">
        <w:noBreakHyphen/>
        <w:t xml:space="preserve">2.96, </w:t>
      </w:r>
      <w:r w:rsidRPr="00412829">
        <w:noBreakHyphen/>
        <w:t xml:space="preserve">2.80, and –2.90, respectively, 96.1% of women had a vertebral fracture at baseline, and 99.8% of women had a previous fracture.  Women were randomised (1:1) to receive either monthly subcutaneous injections of EVENITY (N = 2046) or oral weekly alendronate (N = 2047) in a blinded fashion </w:t>
      </w:r>
      <w:r w:rsidRPr="00412829">
        <w:rPr>
          <w:rStyle w:val="SynopsisTextChar"/>
          <w:rFonts w:cs="Arial"/>
          <w:szCs w:val="22"/>
        </w:rPr>
        <w:t>for 12 months.  After the 12-month double</w:t>
      </w:r>
      <w:r w:rsidRPr="00412829">
        <w:rPr>
          <w:rStyle w:val="SynopsisTextChar"/>
          <w:rFonts w:cs="Arial"/>
          <w:szCs w:val="22"/>
        </w:rPr>
        <w:noBreakHyphen/>
        <w:t xml:space="preserve">blind study period, women in both arms transitioned to alendronate while remaining blinded to their initial treatment.  </w:t>
      </w:r>
      <w:r w:rsidRPr="00412829">
        <w:t>The primary analysis was performed when all women had completed the month 24 study visit and clinical fracture events were confirmed for at least 330 women and occurred after a median follow-up time of 2.7 years on stud</w:t>
      </w:r>
      <w:r w:rsidR="00813B9C" w:rsidRPr="00412829">
        <w:t>y.  Women received at least 500 </w:t>
      </w:r>
      <w:r w:rsidRPr="00412829">
        <w:t>mg calcium and 600</w:t>
      </w:r>
      <w:r w:rsidR="00C465BB" w:rsidRPr="00412829">
        <w:t> </w:t>
      </w:r>
      <w:r w:rsidRPr="00412829">
        <w:t>IU vitamin D supplementation daily and could have received a loading dose of 50,000 to 60,000 IU of vitamin D after randomisation.  89.3% of randomi</w:t>
      </w:r>
      <w:r w:rsidR="00267C60" w:rsidRPr="00412829">
        <w:t>s</w:t>
      </w:r>
      <w:r w:rsidRPr="00412829">
        <w:t>ed women completed the 12-month double-blind period and 77% completed the primary analysis period.</w:t>
      </w:r>
    </w:p>
    <w:p w14:paraId="2EBB91EA" w14:textId="77777777" w:rsidR="00E268BD" w:rsidRPr="00412829" w:rsidRDefault="00E268BD" w:rsidP="001260FB">
      <w:pPr>
        <w:pStyle w:val="RPI-Text"/>
      </w:pPr>
      <w:r w:rsidRPr="00412829">
        <w:t>The primary efficacy endpoints were the incidence of new vertebral fracture through month 24 and the incidence of clinical fracture (nonvertebral fracture and clinical vertebral fracture) at primary analysis.  Vertebral fractures were diagnosed based on lateral spine radiographs (T4-L4) using a semiquantitative scoring method.  Secondary efficacy endpoints included the incidence of nonvertebral fractures, hip fractures, and major nonvertebral fractures at the primary analysis, and percent change from baseline in BMD at the lumbar spine, total hip, and femoral neck at month 12 and month 24.</w:t>
      </w:r>
    </w:p>
    <w:p w14:paraId="61DA4EFE" w14:textId="7C8F76F1" w:rsidR="00FD555E" w:rsidRPr="005F3B11" w:rsidRDefault="00FD555E" w:rsidP="00183018">
      <w:pPr>
        <w:pStyle w:val="RPI-Text"/>
        <w:keepNext/>
        <w:rPr>
          <w:i/>
        </w:rPr>
      </w:pPr>
      <w:r w:rsidRPr="005F3B11">
        <w:rPr>
          <w:i/>
        </w:rPr>
        <w:t xml:space="preserve">Effect on </w:t>
      </w:r>
      <w:r w:rsidR="00933381" w:rsidRPr="005F3B11">
        <w:rPr>
          <w:i/>
        </w:rPr>
        <w:t>n</w:t>
      </w:r>
      <w:r w:rsidRPr="005F3B11">
        <w:rPr>
          <w:i/>
        </w:rPr>
        <w:t xml:space="preserve">ew </w:t>
      </w:r>
      <w:r w:rsidR="005F1415" w:rsidRPr="005F3B11">
        <w:rPr>
          <w:i/>
        </w:rPr>
        <w:t>v</w:t>
      </w:r>
      <w:r w:rsidRPr="005F3B11">
        <w:rPr>
          <w:i/>
        </w:rPr>
        <w:t xml:space="preserve">ertebral and </w:t>
      </w:r>
      <w:r w:rsidR="005F1415" w:rsidRPr="005F3B11">
        <w:rPr>
          <w:i/>
        </w:rPr>
        <w:t>c</w:t>
      </w:r>
      <w:r w:rsidRPr="005F3B11">
        <w:rPr>
          <w:i/>
        </w:rPr>
        <w:t xml:space="preserve">linical </w:t>
      </w:r>
      <w:r w:rsidR="005F1415" w:rsidRPr="005F3B11">
        <w:rPr>
          <w:i/>
        </w:rPr>
        <w:t>f</w:t>
      </w:r>
      <w:r w:rsidRPr="005F3B11">
        <w:rPr>
          <w:i/>
        </w:rPr>
        <w:t xml:space="preserve">ractures </w:t>
      </w:r>
    </w:p>
    <w:p w14:paraId="0F1540DD" w14:textId="7ACBB884" w:rsidR="00FD555E" w:rsidRPr="00412829" w:rsidRDefault="00FD555E" w:rsidP="001260FB">
      <w:pPr>
        <w:pStyle w:val="RPI-Text"/>
      </w:pPr>
      <w:r w:rsidRPr="00412829">
        <w:t xml:space="preserve">As shown in Table </w:t>
      </w:r>
      <w:r w:rsidR="00A171C4" w:rsidRPr="00412829">
        <w:t>3</w:t>
      </w:r>
      <w:r w:rsidRPr="00412829">
        <w:t xml:space="preserve">, EVENITY significantly reduced the incidence of new vertebral fracture through month 24 and the incidence of clinical fracture at primary analysis.  The fracture risk was reduced as early as month 12. </w:t>
      </w:r>
    </w:p>
    <w:p w14:paraId="6F508868" w14:textId="7472A912" w:rsidR="009612CE" w:rsidRPr="00412829" w:rsidRDefault="009612CE" w:rsidP="00396561">
      <w:pPr>
        <w:pStyle w:val="RPI-Caption"/>
      </w:pPr>
      <w:r w:rsidRPr="00412829">
        <w:lastRenderedPageBreak/>
        <w:t xml:space="preserve">Table </w:t>
      </w:r>
      <w:r w:rsidR="00A171C4" w:rsidRPr="00412829">
        <w:t>3</w:t>
      </w:r>
      <w:r w:rsidRPr="00412829">
        <w:t xml:space="preserve">. </w:t>
      </w:r>
      <w:r w:rsidR="00246A94" w:rsidRPr="00412829">
        <w:t xml:space="preserve"> </w:t>
      </w:r>
      <w:r w:rsidRPr="00412829">
        <w:t>The Effect of EVENITY on the Incidence and Risk of New Vertebral</w:t>
      </w:r>
      <w:r w:rsidR="00DE2F1E" w:rsidRPr="00412829">
        <w:t xml:space="preserve"> </w:t>
      </w:r>
      <w:r w:rsidRPr="00412829">
        <w:t>and Clinical Fractures</w:t>
      </w:r>
    </w:p>
    <w:tbl>
      <w:tblPr>
        <w:tblW w:w="5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0"/>
        <w:gridCol w:w="1213"/>
        <w:gridCol w:w="1380"/>
        <w:gridCol w:w="1378"/>
        <w:gridCol w:w="1380"/>
        <w:gridCol w:w="1060"/>
        <w:gridCol w:w="1087"/>
      </w:tblGrid>
      <w:tr w:rsidR="009612CE" w:rsidRPr="00412829" w14:paraId="37932ECD" w14:textId="77777777" w:rsidTr="00481928">
        <w:trPr>
          <w:trHeight w:val="93"/>
          <w:tblHeader/>
          <w:jc w:val="center"/>
        </w:trPr>
        <w:tc>
          <w:tcPr>
            <w:tcW w:w="1061" w:type="pct"/>
            <w:vMerge w:val="restart"/>
            <w:tcBorders>
              <w:top w:val="single" w:sz="4" w:space="0" w:color="auto"/>
            </w:tcBorders>
            <w:vAlign w:val="center"/>
          </w:tcPr>
          <w:p w14:paraId="4CAAB0A4" w14:textId="77777777" w:rsidR="009612CE" w:rsidRPr="00412829" w:rsidRDefault="009612CE" w:rsidP="00C04BF2">
            <w:pPr>
              <w:widowControl w:val="0"/>
              <w:spacing w:before="120" w:after="120" w:line="360" w:lineRule="auto"/>
              <w:rPr>
                <w:rFonts w:cs="Arial"/>
                <w:sz w:val="18"/>
                <w:szCs w:val="22"/>
              </w:rPr>
            </w:pPr>
          </w:p>
        </w:tc>
        <w:tc>
          <w:tcPr>
            <w:tcW w:w="1362" w:type="pct"/>
            <w:gridSpan w:val="2"/>
            <w:tcBorders>
              <w:top w:val="single" w:sz="4" w:space="0" w:color="auto"/>
            </w:tcBorders>
            <w:vAlign w:val="center"/>
          </w:tcPr>
          <w:p w14:paraId="4B477133" w14:textId="77777777" w:rsidR="009612CE" w:rsidRPr="00412829" w:rsidRDefault="009612CE" w:rsidP="009E3235">
            <w:pPr>
              <w:pStyle w:val="RPI-TableCenterAligned"/>
              <w:rPr>
                <w:b/>
              </w:rPr>
            </w:pPr>
            <w:r w:rsidRPr="00412829">
              <w:rPr>
                <w:b/>
              </w:rPr>
              <w:t xml:space="preserve">Proportion of Women With Fracture </w:t>
            </w:r>
          </w:p>
        </w:tc>
        <w:tc>
          <w:tcPr>
            <w:tcW w:w="724" w:type="pct"/>
            <w:vMerge w:val="restart"/>
            <w:tcBorders>
              <w:top w:val="single" w:sz="4" w:space="0" w:color="auto"/>
            </w:tcBorders>
            <w:vAlign w:val="center"/>
          </w:tcPr>
          <w:p w14:paraId="0ECE8167" w14:textId="77777777" w:rsidR="009612CE" w:rsidRPr="00412829" w:rsidRDefault="009612CE" w:rsidP="009E3235">
            <w:pPr>
              <w:pStyle w:val="RPI-TableCenterAligned"/>
              <w:rPr>
                <w:b/>
                <w:vertAlign w:val="superscript"/>
              </w:rPr>
            </w:pPr>
            <w:r w:rsidRPr="00412829">
              <w:rPr>
                <w:b/>
              </w:rPr>
              <w:t>Absolute Risk Reduction</w:t>
            </w:r>
            <w:r w:rsidRPr="00412829">
              <w:rPr>
                <w:b/>
              </w:rPr>
              <w:br/>
              <w:t>(%) (95% CI)</w:t>
            </w:r>
          </w:p>
        </w:tc>
        <w:tc>
          <w:tcPr>
            <w:tcW w:w="725" w:type="pct"/>
            <w:vMerge w:val="restart"/>
            <w:tcBorders>
              <w:top w:val="single" w:sz="4" w:space="0" w:color="auto"/>
            </w:tcBorders>
            <w:vAlign w:val="center"/>
          </w:tcPr>
          <w:p w14:paraId="23471806" w14:textId="77777777" w:rsidR="009612CE" w:rsidRPr="00412829" w:rsidRDefault="009612CE" w:rsidP="009E3235">
            <w:pPr>
              <w:pStyle w:val="RPI-TableCenterAligned"/>
              <w:rPr>
                <w:b/>
              </w:rPr>
            </w:pPr>
            <w:r w:rsidRPr="00412829">
              <w:rPr>
                <w:b/>
              </w:rPr>
              <w:t>Relative Risk Reduction (%) (95% CI)</w:t>
            </w:r>
          </w:p>
        </w:tc>
        <w:tc>
          <w:tcPr>
            <w:tcW w:w="557" w:type="pct"/>
            <w:vMerge w:val="restart"/>
            <w:tcBorders>
              <w:top w:val="single" w:sz="4" w:space="0" w:color="auto"/>
            </w:tcBorders>
            <w:vAlign w:val="center"/>
          </w:tcPr>
          <w:p w14:paraId="79715C38" w14:textId="77777777" w:rsidR="009612CE" w:rsidRPr="00412829" w:rsidRDefault="009612CE" w:rsidP="009E3235">
            <w:pPr>
              <w:pStyle w:val="RPI-TableCenterAligned"/>
              <w:rPr>
                <w:b/>
              </w:rPr>
            </w:pPr>
            <w:r w:rsidRPr="00412829">
              <w:rPr>
                <w:b/>
              </w:rPr>
              <w:t>Nominal p-value</w:t>
            </w:r>
          </w:p>
          <w:p w14:paraId="0CEBB979" w14:textId="77777777" w:rsidR="009612CE" w:rsidRPr="00412829" w:rsidRDefault="009612CE" w:rsidP="00C04BF2">
            <w:pPr>
              <w:widowControl w:val="0"/>
              <w:spacing w:before="120" w:after="120" w:line="360" w:lineRule="auto"/>
              <w:jc w:val="center"/>
              <w:rPr>
                <w:rFonts w:cs="Arial"/>
                <w:b/>
                <w:sz w:val="18"/>
                <w:szCs w:val="22"/>
              </w:rPr>
            </w:pPr>
          </w:p>
        </w:tc>
        <w:tc>
          <w:tcPr>
            <w:tcW w:w="570" w:type="pct"/>
            <w:vMerge w:val="restart"/>
            <w:tcBorders>
              <w:top w:val="single" w:sz="4" w:space="0" w:color="auto"/>
            </w:tcBorders>
          </w:tcPr>
          <w:p w14:paraId="3B8F99C6" w14:textId="77777777" w:rsidR="009612CE" w:rsidRPr="00412829" w:rsidRDefault="009612CE" w:rsidP="009E3235">
            <w:pPr>
              <w:pStyle w:val="RPI-TableCenterAligned"/>
              <w:rPr>
                <w:b/>
              </w:rPr>
            </w:pPr>
            <w:r w:rsidRPr="00412829">
              <w:rPr>
                <w:b/>
              </w:rPr>
              <w:t>Adjusted</w:t>
            </w:r>
          </w:p>
          <w:p w14:paraId="0F0B178D" w14:textId="77777777" w:rsidR="009612CE" w:rsidRPr="00412829" w:rsidRDefault="009612CE" w:rsidP="009E3235">
            <w:pPr>
              <w:pStyle w:val="RPI-TableCenterAligned"/>
              <w:rPr>
                <w:b/>
              </w:rPr>
            </w:pPr>
            <w:r w:rsidRPr="00412829">
              <w:rPr>
                <w:b/>
              </w:rPr>
              <w:t>p-value</w:t>
            </w:r>
            <w:r w:rsidRPr="00412829">
              <w:rPr>
                <w:b/>
                <w:vertAlign w:val="superscript"/>
              </w:rPr>
              <w:t>a</w:t>
            </w:r>
          </w:p>
        </w:tc>
      </w:tr>
      <w:tr w:rsidR="009612CE" w:rsidRPr="00412829" w14:paraId="351B1EB4" w14:textId="77777777" w:rsidTr="00481928">
        <w:trPr>
          <w:trHeight w:val="284"/>
          <w:tblHeader/>
          <w:jc w:val="center"/>
        </w:trPr>
        <w:tc>
          <w:tcPr>
            <w:tcW w:w="1061" w:type="pct"/>
            <w:vMerge/>
            <w:tcBorders>
              <w:bottom w:val="single" w:sz="4" w:space="0" w:color="auto"/>
            </w:tcBorders>
            <w:vAlign w:val="center"/>
          </w:tcPr>
          <w:p w14:paraId="24773941" w14:textId="77777777" w:rsidR="009612CE" w:rsidRPr="00412829" w:rsidRDefault="009612CE" w:rsidP="00C04BF2">
            <w:pPr>
              <w:widowControl w:val="0"/>
              <w:spacing w:before="120" w:after="120" w:line="360" w:lineRule="auto"/>
              <w:rPr>
                <w:rFonts w:cs="Arial"/>
                <w:sz w:val="18"/>
                <w:szCs w:val="22"/>
              </w:rPr>
            </w:pPr>
          </w:p>
        </w:tc>
        <w:tc>
          <w:tcPr>
            <w:tcW w:w="637" w:type="pct"/>
            <w:tcBorders>
              <w:bottom w:val="single" w:sz="4" w:space="0" w:color="auto"/>
            </w:tcBorders>
            <w:vAlign w:val="center"/>
          </w:tcPr>
          <w:p w14:paraId="0CDC30BB" w14:textId="77777777" w:rsidR="009612CE" w:rsidRPr="00412829" w:rsidRDefault="009612CE" w:rsidP="009E3235">
            <w:pPr>
              <w:pStyle w:val="RPI-TableCenterAligned"/>
              <w:rPr>
                <w:b/>
              </w:rPr>
            </w:pPr>
            <w:r w:rsidRPr="00412829">
              <w:rPr>
                <w:b/>
              </w:rPr>
              <w:t>Alendronate (%)</w:t>
            </w:r>
          </w:p>
        </w:tc>
        <w:tc>
          <w:tcPr>
            <w:tcW w:w="725" w:type="pct"/>
            <w:tcBorders>
              <w:bottom w:val="single" w:sz="4" w:space="0" w:color="auto"/>
            </w:tcBorders>
            <w:vAlign w:val="center"/>
          </w:tcPr>
          <w:p w14:paraId="76463FA9" w14:textId="77777777" w:rsidR="009612CE" w:rsidRPr="00412829" w:rsidRDefault="009612CE" w:rsidP="009E3235">
            <w:pPr>
              <w:pStyle w:val="RPI-TableCenterAligned"/>
              <w:rPr>
                <w:b/>
              </w:rPr>
            </w:pPr>
            <w:r w:rsidRPr="00412829">
              <w:rPr>
                <w:b/>
              </w:rPr>
              <w:t>EVENITY (%)</w:t>
            </w:r>
          </w:p>
        </w:tc>
        <w:tc>
          <w:tcPr>
            <w:tcW w:w="724" w:type="pct"/>
            <w:vMerge/>
            <w:tcBorders>
              <w:bottom w:val="single" w:sz="4" w:space="0" w:color="auto"/>
            </w:tcBorders>
            <w:vAlign w:val="center"/>
          </w:tcPr>
          <w:p w14:paraId="00052C69" w14:textId="77777777" w:rsidR="009612CE" w:rsidRPr="00412829" w:rsidRDefault="009612CE" w:rsidP="00C04BF2">
            <w:pPr>
              <w:widowControl w:val="0"/>
              <w:spacing w:before="120" w:after="120" w:line="360" w:lineRule="auto"/>
              <w:jc w:val="center"/>
              <w:rPr>
                <w:rFonts w:cs="Arial"/>
                <w:sz w:val="18"/>
                <w:szCs w:val="22"/>
              </w:rPr>
            </w:pPr>
          </w:p>
        </w:tc>
        <w:tc>
          <w:tcPr>
            <w:tcW w:w="725" w:type="pct"/>
            <w:vMerge/>
            <w:tcBorders>
              <w:bottom w:val="single" w:sz="4" w:space="0" w:color="auto"/>
            </w:tcBorders>
            <w:vAlign w:val="center"/>
          </w:tcPr>
          <w:p w14:paraId="61856EEA" w14:textId="77777777" w:rsidR="009612CE" w:rsidRPr="00412829" w:rsidRDefault="009612CE" w:rsidP="00C04BF2">
            <w:pPr>
              <w:widowControl w:val="0"/>
              <w:spacing w:before="120" w:after="120" w:line="360" w:lineRule="auto"/>
              <w:jc w:val="center"/>
              <w:rPr>
                <w:rFonts w:cs="Arial"/>
                <w:sz w:val="18"/>
                <w:szCs w:val="22"/>
              </w:rPr>
            </w:pPr>
          </w:p>
        </w:tc>
        <w:tc>
          <w:tcPr>
            <w:tcW w:w="557" w:type="pct"/>
            <w:vMerge/>
            <w:tcBorders>
              <w:bottom w:val="single" w:sz="4" w:space="0" w:color="auto"/>
            </w:tcBorders>
            <w:vAlign w:val="center"/>
          </w:tcPr>
          <w:p w14:paraId="56FCFEBE" w14:textId="77777777" w:rsidR="009612CE" w:rsidRPr="00412829" w:rsidRDefault="009612CE" w:rsidP="00C04BF2">
            <w:pPr>
              <w:widowControl w:val="0"/>
              <w:spacing w:before="120" w:after="120" w:line="360" w:lineRule="auto"/>
              <w:jc w:val="center"/>
              <w:rPr>
                <w:rFonts w:cs="Arial"/>
                <w:sz w:val="18"/>
                <w:szCs w:val="22"/>
              </w:rPr>
            </w:pPr>
          </w:p>
        </w:tc>
        <w:tc>
          <w:tcPr>
            <w:tcW w:w="570" w:type="pct"/>
            <w:vMerge/>
            <w:tcBorders>
              <w:bottom w:val="single" w:sz="4" w:space="0" w:color="auto"/>
            </w:tcBorders>
          </w:tcPr>
          <w:p w14:paraId="42C5B0C4" w14:textId="77777777" w:rsidR="009612CE" w:rsidRPr="00412829" w:rsidRDefault="009612CE" w:rsidP="00C04BF2">
            <w:pPr>
              <w:widowControl w:val="0"/>
              <w:spacing w:before="120" w:after="120" w:line="360" w:lineRule="auto"/>
              <w:jc w:val="center"/>
              <w:rPr>
                <w:rFonts w:cs="Arial"/>
                <w:sz w:val="18"/>
                <w:szCs w:val="22"/>
              </w:rPr>
            </w:pPr>
          </w:p>
        </w:tc>
      </w:tr>
      <w:tr w:rsidR="009612CE" w:rsidRPr="00412829" w14:paraId="79B4D099" w14:textId="77777777" w:rsidTr="00481928">
        <w:trPr>
          <w:trHeight w:val="52"/>
          <w:jc w:val="center"/>
        </w:trPr>
        <w:tc>
          <w:tcPr>
            <w:tcW w:w="5000" w:type="pct"/>
            <w:gridSpan w:val="7"/>
            <w:vAlign w:val="center"/>
          </w:tcPr>
          <w:p w14:paraId="6C75AE83" w14:textId="77777777" w:rsidR="009612CE" w:rsidRPr="00412829" w:rsidRDefault="009612CE" w:rsidP="009E3235">
            <w:pPr>
              <w:widowControl w:val="0"/>
              <w:spacing w:before="60" w:after="60" w:line="240" w:lineRule="atLeast"/>
              <w:rPr>
                <w:rFonts w:cs="Arial"/>
                <w:b/>
                <w:i/>
                <w:szCs w:val="22"/>
              </w:rPr>
            </w:pPr>
            <w:r w:rsidRPr="00412829">
              <w:rPr>
                <w:rFonts w:cs="Arial"/>
                <w:b/>
                <w:i/>
                <w:szCs w:val="22"/>
              </w:rPr>
              <w:t>New vertebral</w:t>
            </w:r>
            <w:r w:rsidRPr="00412829">
              <w:rPr>
                <w:rFonts w:cs="Arial"/>
                <w:b/>
                <w:i/>
                <w:szCs w:val="22"/>
                <w:vertAlign w:val="superscript"/>
              </w:rPr>
              <w:t>b</w:t>
            </w:r>
          </w:p>
        </w:tc>
      </w:tr>
      <w:tr w:rsidR="009612CE" w:rsidRPr="00412829" w14:paraId="4CBDE373" w14:textId="77777777" w:rsidTr="00481928">
        <w:trPr>
          <w:trHeight w:val="52"/>
          <w:jc w:val="center"/>
        </w:trPr>
        <w:tc>
          <w:tcPr>
            <w:tcW w:w="1061" w:type="pct"/>
            <w:vAlign w:val="center"/>
          </w:tcPr>
          <w:p w14:paraId="28B364E9" w14:textId="77777777" w:rsidR="009612CE" w:rsidRPr="00412829" w:rsidRDefault="009612CE" w:rsidP="009E3235">
            <w:pPr>
              <w:pStyle w:val="RPI-TableLeftAligned"/>
            </w:pPr>
            <w:r w:rsidRPr="00412829">
              <w:t>Through Month 12</w:t>
            </w:r>
          </w:p>
        </w:tc>
        <w:tc>
          <w:tcPr>
            <w:tcW w:w="637" w:type="pct"/>
            <w:vAlign w:val="center"/>
          </w:tcPr>
          <w:p w14:paraId="053304B5" w14:textId="77777777" w:rsidR="009612CE" w:rsidRPr="00412829" w:rsidRDefault="009612CE" w:rsidP="009E3235">
            <w:pPr>
              <w:pStyle w:val="RPI-TableCenterAligned"/>
            </w:pPr>
            <w:r w:rsidRPr="00412829">
              <w:t>85/1703 (5.0)</w:t>
            </w:r>
          </w:p>
        </w:tc>
        <w:tc>
          <w:tcPr>
            <w:tcW w:w="725" w:type="pct"/>
            <w:vAlign w:val="center"/>
          </w:tcPr>
          <w:p w14:paraId="114840DD" w14:textId="77777777" w:rsidR="009612CE" w:rsidRPr="00412829" w:rsidRDefault="009612CE" w:rsidP="009E3235">
            <w:pPr>
              <w:pStyle w:val="RPI-TableCenterAligned"/>
            </w:pPr>
            <w:r w:rsidRPr="00412829">
              <w:t>55/1696 (3.2)</w:t>
            </w:r>
          </w:p>
        </w:tc>
        <w:tc>
          <w:tcPr>
            <w:tcW w:w="724" w:type="pct"/>
            <w:vAlign w:val="center"/>
          </w:tcPr>
          <w:p w14:paraId="1BED1F1A" w14:textId="77777777" w:rsidR="009612CE" w:rsidRPr="00412829" w:rsidRDefault="009612CE" w:rsidP="009E3235">
            <w:pPr>
              <w:pStyle w:val="RPI-TableCenterAligned"/>
            </w:pPr>
            <w:r w:rsidRPr="00412829">
              <w:t>1.84 (0.51, 3.17)</w:t>
            </w:r>
          </w:p>
        </w:tc>
        <w:tc>
          <w:tcPr>
            <w:tcW w:w="725" w:type="pct"/>
            <w:vAlign w:val="center"/>
          </w:tcPr>
          <w:p w14:paraId="72CEE07D" w14:textId="77777777" w:rsidR="009612CE" w:rsidRPr="00412829" w:rsidRDefault="009612CE" w:rsidP="009E3235">
            <w:pPr>
              <w:pStyle w:val="RPI-TableCenterAligned"/>
            </w:pPr>
            <w:r w:rsidRPr="00412829">
              <w:t>36 (11, 54)</w:t>
            </w:r>
          </w:p>
        </w:tc>
        <w:tc>
          <w:tcPr>
            <w:tcW w:w="557" w:type="pct"/>
            <w:vAlign w:val="center"/>
          </w:tcPr>
          <w:p w14:paraId="05871685" w14:textId="77777777" w:rsidR="009612CE" w:rsidRPr="00412829" w:rsidRDefault="009612CE" w:rsidP="009E3235">
            <w:pPr>
              <w:pStyle w:val="RPI-TableCenterAligned"/>
            </w:pPr>
            <w:r w:rsidRPr="00412829">
              <w:t>0.008</w:t>
            </w:r>
          </w:p>
        </w:tc>
        <w:tc>
          <w:tcPr>
            <w:tcW w:w="570" w:type="pct"/>
            <w:vAlign w:val="center"/>
          </w:tcPr>
          <w:p w14:paraId="2A77B094" w14:textId="77777777" w:rsidR="009612CE" w:rsidRPr="00412829" w:rsidRDefault="009612CE" w:rsidP="009E3235">
            <w:pPr>
              <w:pStyle w:val="RPI-TableCenterAligned"/>
            </w:pPr>
            <w:r w:rsidRPr="00412829">
              <w:t>NA</w:t>
            </w:r>
            <w:r w:rsidRPr="00412829">
              <w:rPr>
                <w:vertAlign w:val="superscript"/>
              </w:rPr>
              <w:t>c</w:t>
            </w:r>
          </w:p>
        </w:tc>
      </w:tr>
      <w:tr w:rsidR="009612CE" w:rsidRPr="00412829" w14:paraId="3AB3CD4A" w14:textId="77777777" w:rsidTr="00481928">
        <w:trPr>
          <w:trHeight w:val="52"/>
          <w:jc w:val="center"/>
        </w:trPr>
        <w:tc>
          <w:tcPr>
            <w:tcW w:w="1061" w:type="pct"/>
            <w:vAlign w:val="center"/>
          </w:tcPr>
          <w:p w14:paraId="2BCB89C5" w14:textId="77777777" w:rsidR="009612CE" w:rsidRPr="00412829" w:rsidRDefault="009612CE" w:rsidP="009E3235">
            <w:pPr>
              <w:pStyle w:val="RPI-TableLeftAligned"/>
            </w:pPr>
            <w:r w:rsidRPr="00412829">
              <w:t>Through Month 24</w:t>
            </w:r>
          </w:p>
        </w:tc>
        <w:tc>
          <w:tcPr>
            <w:tcW w:w="637" w:type="pct"/>
            <w:vAlign w:val="center"/>
          </w:tcPr>
          <w:p w14:paraId="3A711FFC" w14:textId="77777777" w:rsidR="009612CE" w:rsidRPr="00412829" w:rsidRDefault="009612CE" w:rsidP="009E3235">
            <w:pPr>
              <w:pStyle w:val="RPI-TableCenterAligned"/>
            </w:pPr>
            <w:r w:rsidRPr="00412829">
              <w:t>147/1834 (8.0)</w:t>
            </w:r>
          </w:p>
        </w:tc>
        <w:tc>
          <w:tcPr>
            <w:tcW w:w="725" w:type="pct"/>
            <w:vAlign w:val="center"/>
          </w:tcPr>
          <w:p w14:paraId="20E4E316" w14:textId="77777777" w:rsidR="009612CE" w:rsidRPr="00412829" w:rsidRDefault="009612CE" w:rsidP="009E3235">
            <w:pPr>
              <w:pStyle w:val="RPI-TableCenterAligned"/>
            </w:pPr>
            <w:r w:rsidRPr="00412829">
              <w:t>74/1825 (4.1)</w:t>
            </w:r>
          </w:p>
        </w:tc>
        <w:tc>
          <w:tcPr>
            <w:tcW w:w="724" w:type="pct"/>
            <w:vAlign w:val="center"/>
          </w:tcPr>
          <w:p w14:paraId="07E882FC" w14:textId="77777777" w:rsidR="009612CE" w:rsidRPr="00412829" w:rsidRDefault="009612CE" w:rsidP="009E3235">
            <w:pPr>
              <w:pStyle w:val="RPI-TableCenterAligned"/>
            </w:pPr>
            <w:r w:rsidRPr="00412829">
              <w:t>4.03 (2.50, 5.57)</w:t>
            </w:r>
          </w:p>
        </w:tc>
        <w:tc>
          <w:tcPr>
            <w:tcW w:w="725" w:type="pct"/>
            <w:vAlign w:val="center"/>
          </w:tcPr>
          <w:p w14:paraId="7DF5B5AA" w14:textId="77777777" w:rsidR="009612CE" w:rsidRPr="00412829" w:rsidRDefault="009612CE" w:rsidP="009E3235">
            <w:pPr>
              <w:pStyle w:val="RPI-TableCenterAligned"/>
            </w:pPr>
            <w:r w:rsidRPr="00412829">
              <w:t>50 (34, 62)</w:t>
            </w:r>
          </w:p>
        </w:tc>
        <w:tc>
          <w:tcPr>
            <w:tcW w:w="557" w:type="pct"/>
            <w:vAlign w:val="center"/>
          </w:tcPr>
          <w:p w14:paraId="56473CD5" w14:textId="66E6DD3B" w:rsidR="009612CE" w:rsidRPr="00412829" w:rsidRDefault="009612CE" w:rsidP="009E3235">
            <w:pPr>
              <w:pStyle w:val="RPI-TableCenterAligned"/>
            </w:pPr>
            <w:r w:rsidRPr="00412829">
              <w:t>&lt;</w:t>
            </w:r>
            <w:r w:rsidR="00AA6C71" w:rsidRPr="00412829">
              <w:t xml:space="preserve"> </w:t>
            </w:r>
            <w:r w:rsidRPr="00412829">
              <w:t>0.001</w:t>
            </w:r>
          </w:p>
        </w:tc>
        <w:tc>
          <w:tcPr>
            <w:tcW w:w="570" w:type="pct"/>
            <w:vAlign w:val="center"/>
          </w:tcPr>
          <w:p w14:paraId="05F59DCF" w14:textId="3766C81C" w:rsidR="009612CE" w:rsidRPr="00412829" w:rsidRDefault="009612CE" w:rsidP="009E3235">
            <w:pPr>
              <w:pStyle w:val="RPI-TableCenterAligned"/>
            </w:pPr>
            <w:r w:rsidRPr="00412829">
              <w:t>&lt;</w:t>
            </w:r>
            <w:r w:rsidR="00AA6C71" w:rsidRPr="00412829">
              <w:t xml:space="preserve"> </w:t>
            </w:r>
            <w:r w:rsidRPr="00412829">
              <w:t>0.001</w:t>
            </w:r>
          </w:p>
        </w:tc>
      </w:tr>
      <w:tr w:rsidR="009E3235" w:rsidRPr="00412829" w14:paraId="0CE5ACF8" w14:textId="77777777" w:rsidTr="00481928">
        <w:trPr>
          <w:trHeight w:val="379"/>
          <w:jc w:val="center"/>
        </w:trPr>
        <w:tc>
          <w:tcPr>
            <w:tcW w:w="5000" w:type="pct"/>
            <w:gridSpan w:val="7"/>
            <w:vAlign w:val="center"/>
          </w:tcPr>
          <w:p w14:paraId="217126AE" w14:textId="61A75233" w:rsidR="009E3235" w:rsidRPr="00412829" w:rsidRDefault="009E3235" w:rsidP="009E3235">
            <w:pPr>
              <w:pStyle w:val="RPI-TableLeftAligned"/>
              <w:rPr>
                <w:b/>
                <w:i/>
              </w:rPr>
            </w:pPr>
            <w:r w:rsidRPr="00412829">
              <w:rPr>
                <w:b/>
                <w:i/>
              </w:rPr>
              <w:t>Clinical</w:t>
            </w:r>
            <w:r w:rsidRPr="00412829">
              <w:rPr>
                <w:b/>
                <w:i/>
                <w:vertAlign w:val="superscript"/>
              </w:rPr>
              <w:t>d</w:t>
            </w:r>
          </w:p>
        </w:tc>
      </w:tr>
      <w:tr w:rsidR="009612CE" w:rsidRPr="00412829" w14:paraId="19F0EDD0" w14:textId="77777777" w:rsidTr="00481928">
        <w:trPr>
          <w:trHeight w:val="379"/>
          <w:jc w:val="center"/>
        </w:trPr>
        <w:tc>
          <w:tcPr>
            <w:tcW w:w="1061" w:type="pct"/>
            <w:vAlign w:val="center"/>
          </w:tcPr>
          <w:p w14:paraId="62294BB5" w14:textId="58AEC918" w:rsidR="009612CE" w:rsidRPr="00412829" w:rsidRDefault="009612CE" w:rsidP="002559C0">
            <w:pPr>
              <w:pStyle w:val="RPI-TableLeftAligned"/>
            </w:pPr>
            <w:r w:rsidRPr="00412829">
              <w:t>Primary analysis</w:t>
            </w:r>
          </w:p>
        </w:tc>
        <w:tc>
          <w:tcPr>
            <w:tcW w:w="637" w:type="pct"/>
            <w:vAlign w:val="center"/>
          </w:tcPr>
          <w:p w14:paraId="654A3FA2" w14:textId="77777777" w:rsidR="009612CE" w:rsidRPr="00412829" w:rsidRDefault="009612CE" w:rsidP="002559C0">
            <w:pPr>
              <w:pStyle w:val="RPI-TableCenterAligned"/>
            </w:pPr>
            <w:r w:rsidRPr="00412829">
              <w:t>266/2047 (13.0)</w:t>
            </w:r>
          </w:p>
        </w:tc>
        <w:tc>
          <w:tcPr>
            <w:tcW w:w="725" w:type="pct"/>
            <w:vAlign w:val="center"/>
          </w:tcPr>
          <w:p w14:paraId="6C7824BB" w14:textId="77777777" w:rsidR="009612CE" w:rsidRPr="00412829" w:rsidRDefault="009612CE" w:rsidP="002559C0">
            <w:pPr>
              <w:pStyle w:val="RPI-TableCenterAligned"/>
            </w:pPr>
            <w:r w:rsidRPr="00412829">
              <w:t>198/2046 (9.7)</w:t>
            </w:r>
          </w:p>
        </w:tc>
        <w:tc>
          <w:tcPr>
            <w:tcW w:w="724" w:type="pct"/>
            <w:vAlign w:val="center"/>
          </w:tcPr>
          <w:p w14:paraId="582615F0" w14:textId="77777777" w:rsidR="009612CE" w:rsidRPr="00412829" w:rsidRDefault="009612CE" w:rsidP="002559C0">
            <w:pPr>
              <w:pStyle w:val="RPI-TableCenterAligned"/>
            </w:pPr>
            <w:r w:rsidRPr="00412829">
              <w:t>NA</w:t>
            </w:r>
            <w:r w:rsidRPr="00412829">
              <w:rPr>
                <w:vertAlign w:val="superscript"/>
              </w:rPr>
              <w:t>e</w:t>
            </w:r>
          </w:p>
        </w:tc>
        <w:tc>
          <w:tcPr>
            <w:tcW w:w="725" w:type="pct"/>
            <w:vAlign w:val="center"/>
          </w:tcPr>
          <w:p w14:paraId="482489B4" w14:textId="77777777" w:rsidR="009612CE" w:rsidRPr="00412829" w:rsidRDefault="009612CE" w:rsidP="002559C0">
            <w:pPr>
              <w:pStyle w:val="RPI-TableCenterAligned"/>
            </w:pPr>
            <w:r w:rsidRPr="00412829">
              <w:t>27 (12, 39)</w:t>
            </w:r>
          </w:p>
        </w:tc>
        <w:tc>
          <w:tcPr>
            <w:tcW w:w="557" w:type="pct"/>
            <w:vAlign w:val="center"/>
          </w:tcPr>
          <w:p w14:paraId="3CC39F59" w14:textId="45F130BA" w:rsidR="009612CE" w:rsidRPr="00412829" w:rsidRDefault="009612CE" w:rsidP="002559C0">
            <w:pPr>
              <w:pStyle w:val="RPI-TableCenterAligned"/>
            </w:pPr>
            <w:r w:rsidRPr="00412829">
              <w:t>&lt;</w:t>
            </w:r>
            <w:r w:rsidR="00AA6C71" w:rsidRPr="00412829">
              <w:t xml:space="preserve"> </w:t>
            </w:r>
            <w:r w:rsidRPr="00412829">
              <w:t>0.001</w:t>
            </w:r>
          </w:p>
        </w:tc>
        <w:tc>
          <w:tcPr>
            <w:tcW w:w="570" w:type="pct"/>
            <w:vAlign w:val="center"/>
          </w:tcPr>
          <w:p w14:paraId="37C4F4D2" w14:textId="0ECC6EAE" w:rsidR="009612CE" w:rsidRPr="00412829" w:rsidRDefault="009612CE" w:rsidP="002559C0">
            <w:pPr>
              <w:pStyle w:val="RPI-TableCenterAligned"/>
            </w:pPr>
            <w:r w:rsidRPr="00412829">
              <w:t>&lt;</w:t>
            </w:r>
            <w:r w:rsidR="00AA6C71" w:rsidRPr="00412829">
              <w:t xml:space="preserve"> </w:t>
            </w:r>
            <w:r w:rsidRPr="00412829">
              <w:t>0.001</w:t>
            </w:r>
          </w:p>
        </w:tc>
      </w:tr>
      <w:tr w:rsidR="009612CE" w:rsidRPr="00412829" w14:paraId="0E72C39F" w14:textId="77777777" w:rsidTr="00481928">
        <w:trPr>
          <w:trHeight w:val="379"/>
          <w:jc w:val="center"/>
        </w:trPr>
        <w:tc>
          <w:tcPr>
            <w:tcW w:w="1061" w:type="pct"/>
            <w:vAlign w:val="center"/>
          </w:tcPr>
          <w:p w14:paraId="4AE01004" w14:textId="053808A6" w:rsidR="009612CE" w:rsidRPr="00412829" w:rsidRDefault="009612CE" w:rsidP="002559C0">
            <w:pPr>
              <w:pStyle w:val="RPI-TableLeftAligned"/>
            </w:pPr>
            <w:r w:rsidRPr="00412829">
              <w:t>Through Month 12</w:t>
            </w:r>
          </w:p>
        </w:tc>
        <w:tc>
          <w:tcPr>
            <w:tcW w:w="637" w:type="pct"/>
            <w:vAlign w:val="center"/>
          </w:tcPr>
          <w:p w14:paraId="10D33FEC" w14:textId="77777777" w:rsidR="009612CE" w:rsidRPr="00412829" w:rsidRDefault="009612CE" w:rsidP="002559C0">
            <w:pPr>
              <w:pStyle w:val="RPI-TableCenterAligned"/>
            </w:pPr>
            <w:r w:rsidRPr="00412829">
              <w:t>110/2047 (5.4)</w:t>
            </w:r>
          </w:p>
        </w:tc>
        <w:tc>
          <w:tcPr>
            <w:tcW w:w="725" w:type="pct"/>
            <w:vAlign w:val="center"/>
          </w:tcPr>
          <w:p w14:paraId="13480BBE" w14:textId="77777777" w:rsidR="009612CE" w:rsidRPr="00412829" w:rsidRDefault="009612CE" w:rsidP="002559C0">
            <w:pPr>
              <w:pStyle w:val="RPI-TableCenterAligned"/>
            </w:pPr>
            <w:r w:rsidRPr="00412829">
              <w:t>79/2046 (3.9)</w:t>
            </w:r>
          </w:p>
        </w:tc>
        <w:tc>
          <w:tcPr>
            <w:tcW w:w="724" w:type="pct"/>
            <w:vAlign w:val="center"/>
          </w:tcPr>
          <w:p w14:paraId="4DF724AE" w14:textId="77777777" w:rsidR="009612CE" w:rsidRPr="00412829" w:rsidRDefault="009612CE" w:rsidP="002559C0">
            <w:pPr>
              <w:pStyle w:val="RPI-TableCenterAligned"/>
            </w:pPr>
            <w:r w:rsidRPr="00412829">
              <w:t>1.8 (0.5, 3.1)</w:t>
            </w:r>
          </w:p>
        </w:tc>
        <w:tc>
          <w:tcPr>
            <w:tcW w:w="725" w:type="pct"/>
            <w:vAlign w:val="center"/>
          </w:tcPr>
          <w:p w14:paraId="1D470AF1" w14:textId="77777777" w:rsidR="009612CE" w:rsidRPr="00412829" w:rsidRDefault="009612CE" w:rsidP="002559C0">
            <w:pPr>
              <w:pStyle w:val="RPI-TableCenterAligned"/>
            </w:pPr>
            <w:r w:rsidRPr="00412829">
              <w:t>28 (4, 46)</w:t>
            </w:r>
          </w:p>
        </w:tc>
        <w:tc>
          <w:tcPr>
            <w:tcW w:w="557" w:type="pct"/>
            <w:vAlign w:val="center"/>
          </w:tcPr>
          <w:p w14:paraId="497B9053" w14:textId="77777777" w:rsidR="009612CE" w:rsidRPr="00412829" w:rsidRDefault="009612CE" w:rsidP="002559C0">
            <w:pPr>
              <w:pStyle w:val="RPI-TableCenterAligned"/>
            </w:pPr>
            <w:r w:rsidRPr="00412829">
              <w:t>0.027</w:t>
            </w:r>
          </w:p>
        </w:tc>
        <w:tc>
          <w:tcPr>
            <w:tcW w:w="570" w:type="pct"/>
            <w:vAlign w:val="center"/>
          </w:tcPr>
          <w:p w14:paraId="245C92A7" w14:textId="77777777" w:rsidR="009612CE" w:rsidRPr="00412829" w:rsidRDefault="009612CE" w:rsidP="002559C0">
            <w:pPr>
              <w:pStyle w:val="RPI-TableCenterAligned"/>
            </w:pPr>
            <w:r w:rsidRPr="00412829">
              <w:t>NA</w:t>
            </w:r>
            <w:r w:rsidRPr="00412829">
              <w:rPr>
                <w:vertAlign w:val="superscript"/>
              </w:rPr>
              <w:t>c</w:t>
            </w:r>
          </w:p>
        </w:tc>
      </w:tr>
      <w:tr w:rsidR="009612CE" w:rsidRPr="00412829" w14:paraId="61AAE67A" w14:textId="77777777" w:rsidTr="00481928">
        <w:trPr>
          <w:trHeight w:val="379"/>
          <w:jc w:val="center"/>
        </w:trPr>
        <w:tc>
          <w:tcPr>
            <w:tcW w:w="1061" w:type="pct"/>
            <w:tcBorders>
              <w:bottom w:val="single" w:sz="4" w:space="0" w:color="auto"/>
            </w:tcBorders>
            <w:vAlign w:val="center"/>
          </w:tcPr>
          <w:p w14:paraId="63C77204" w14:textId="7ADCD593" w:rsidR="009612CE" w:rsidRPr="00412829" w:rsidRDefault="009612CE" w:rsidP="002559C0">
            <w:pPr>
              <w:pStyle w:val="RPI-TableLeftAligned"/>
            </w:pPr>
            <w:r w:rsidRPr="00412829">
              <w:t>Through Month 24</w:t>
            </w:r>
          </w:p>
        </w:tc>
        <w:tc>
          <w:tcPr>
            <w:tcW w:w="637" w:type="pct"/>
            <w:tcBorders>
              <w:bottom w:val="single" w:sz="4" w:space="0" w:color="auto"/>
            </w:tcBorders>
            <w:vAlign w:val="center"/>
          </w:tcPr>
          <w:p w14:paraId="756DF9B0" w14:textId="77777777" w:rsidR="009612CE" w:rsidRPr="00412829" w:rsidRDefault="009612CE" w:rsidP="002559C0">
            <w:pPr>
              <w:pStyle w:val="RPI-TableCenterAligned"/>
            </w:pPr>
            <w:r w:rsidRPr="00412829">
              <w:t>197/2047 (9.6)</w:t>
            </w:r>
          </w:p>
        </w:tc>
        <w:tc>
          <w:tcPr>
            <w:tcW w:w="725" w:type="pct"/>
            <w:tcBorders>
              <w:bottom w:val="single" w:sz="4" w:space="0" w:color="auto"/>
            </w:tcBorders>
            <w:vAlign w:val="center"/>
          </w:tcPr>
          <w:p w14:paraId="1710C6E8" w14:textId="77777777" w:rsidR="009612CE" w:rsidRPr="00412829" w:rsidRDefault="009612CE" w:rsidP="002559C0">
            <w:pPr>
              <w:pStyle w:val="RPI-TableCenterAligned"/>
            </w:pPr>
            <w:r w:rsidRPr="00412829">
              <w:t>146/2046 (7.1)</w:t>
            </w:r>
          </w:p>
        </w:tc>
        <w:tc>
          <w:tcPr>
            <w:tcW w:w="724" w:type="pct"/>
            <w:tcBorders>
              <w:bottom w:val="single" w:sz="4" w:space="0" w:color="auto"/>
            </w:tcBorders>
            <w:vAlign w:val="center"/>
          </w:tcPr>
          <w:p w14:paraId="79AB7065" w14:textId="77777777" w:rsidR="009612CE" w:rsidRPr="00412829" w:rsidRDefault="009612CE" w:rsidP="002559C0">
            <w:pPr>
              <w:pStyle w:val="RPI-TableCenterAligned"/>
            </w:pPr>
            <w:r w:rsidRPr="00412829">
              <w:t>2.7 (0.8, 4.5)</w:t>
            </w:r>
          </w:p>
        </w:tc>
        <w:tc>
          <w:tcPr>
            <w:tcW w:w="725" w:type="pct"/>
            <w:tcBorders>
              <w:bottom w:val="single" w:sz="4" w:space="0" w:color="auto"/>
            </w:tcBorders>
            <w:vAlign w:val="center"/>
          </w:tcPr>
          <w:p w14:paraId="4103C2C9" w14:textId="77777777" w:rsidR="009612CE" w:rsidRPr="00412829" w:rsidRDefault="009612CE" w:rsidP="002559C0">
            <w:pPr>
              <w:pStyle w:val="RPI-TableCenterAligned"/>
            </w:pPr>
            <w:r w:rsidRPr="00412829">
              <w:t>26 (9, 41)</w:t>
            </w:r>
          </w:p>
        </w:tc>
        <w:tc>
          <w:tcPr>
            <w:tcW w:w="557" w:type="pct"/>
            <w:tcBorders>
              <w:bottom w:val="single" w:sz="4" w:space="0" w:color="auto"/>
            </w:tcBorders>
            <w:vAlign w:val="center"/>
          </w:tcPr>
          <w:p w14:paraId="485468AB" w14:textId="77777777" w:rsidR="009612CE" w:rsidRPr="00412829" w:rsidRDefault="009612CE" w:rsidP="002559C0">
            <w:pPr>
              <w:pStyle w:val="RPI-TableCenterAligned"/>
            </w:pPr>
            <w:r w:rsidRPr="00412829">
              <w:t>0.005</w:t>
            </w:r>
          </w:p>
        </w:tc>
        <w:tc>
          <w:tcPr>
            <w:tcW w:w="570" w:type="pct"/>
            <w:tcBorders>
              <w:bottom w:val="single" w:sz="4" w:space="0" w:color="auto"/>
            </w:tcBorders>
            <w:vAlign w:val="center"/>
          </w:tcPr>
          <w:p w14:paraId="6940452E" w14:textId="77777777" w:rsidR="009612CE" w:rsidRPr="00412829" w:rsidRDefault="009612CE" w:rsidP="002559C0">
            <w:pPr>
              <w:pStyle w:val="RPI-TableCenterAligned"/>
            </w:pPr>
            <w:r w:rsidRPr="00412829">
              <w:t>NA</w:t>
            </w:r>
            <w:r w:rsidRPr="00412829">
              <w:rPr>
                <w:vertAlign w:val="superscript"/>
              </w:rPr>
              <w:t>c</w:t>
            </w:r>
          </w:p>
        </w:tc>
      </w:tr>
      <w:tr w:rsidR="009612CE" w:rsidRPr="00412829" w14:paraId="2DE020AF" w14:textId="77777777" w:rsidTr="00481928">
        <w:trPr>
          <w:trHeight w:val="379"/>
          <w:jc w:val="center"/>
        </w:trPr>
        <w:tc>
          <w:tcPr>
            <w:tcW w:w="5000" w:type="pct"/>
            <w:gridSpan w:val="7"/>
            <w:tcBorders>
              <w:left w:val="nil"/>
              <w:bottom w:val="nil"/>
              <w:right w:val="nil"/>
            </w:tcBorders>
            <w:vAlign w:val="center"/>
          </w:tcPr>
          <w:p w14:paraId="7458BE51" w14:textId="60DA7659" w:rsidR="009612CE" w:rsidRPr="00412829" w:rsidRDefault="001260FB" w:rsidP="001260FB">
            <w:pPr>
              <w:pStyle w:val="RPI-FootnoteText"/>
              <w:rPr>
                <w:lang w:val="en-AU" w:eastAsia="en-AU"/>
              </w:rPr>
            </w:pPr>
            <w:r w:rsidRPr="00412829">
              <w:rPr>
                <w:vertAlign w:val="superscript"/>
                <w:lang w:val="en-AU" w:eastAsia="en-AU"/>
              </w:rPr>
              <w:t xml:space="preserve">a </w:t>
            </w:r>
            <w:r w:rsidR="009612CE" w:rsidRPr="00412829">
              <w:rPr>
                <w:lang w:val="en-AU" w:eastAsia="en-AU"/>
              </w:rPr>
              <w:t>Adjusted p-values are based on Hochberg procedure and are to be compared to a significance level of 0.05</w:t>
            </w:r>
            <w:r w:rsidR="009A3259" w:rsidRPr="00412829">
              <w:rPr>
                <w:lang w:val="en-AU" w:eastAsia="en-AU"/>
              </w:rPr>
              <w:t>.</w:t>
            </w:r>
          </w:p>
          <w:p w14:paraId="0B8A2E21" w14:textId="37FB17EA" w:rsidR="009612CE" w:rsidRPr="00412829" w:rsidRDefault="001260FB" w:rsidP="001260FB">
            <w:pPr>
              <w:pStyle w:val="RPI-FootnoteText"/>
              <w:rPr>
                <w:lang w:val="en-AU" w:eastAsia="en-AU"/>
              </w:rPr>
            </w:pPr>
            <w:r w:rsidRPr="00412829">
              <w:rPr>
                <w:vertAlign w:val="superscript"/>
                <w:lang w:val="en-AU" w:eastAsia="en-AU"/>
              </w:rPr>
              <w:t xml:space="preserve">b </w:t>
            </w:r>
            <w:r w:rsidR="009612CE" w:rsidRPr="00412829">
              <w:rPr>
                <w:lang w:val="en-AU" w:eastAsia="en-AU"/>
              </w:rPr>
              <w:t>Absolute risk reduction and relative risk reduction based on Mantel-Haenszel method adjusted for age strata, ba</w:t>
            </w:r>
            <w:r w:rsidR="005D10CC" w:rsidRPr="00412829">
              <w:rPr>
                <w:lang w:val="en-AU" w:eastAsia="en-AU"/>
              </w:rPr>
              <w:t>seline total hip BMD T-score (≤ </w:t>
            </w:r>
            <w:r w:rsidR="009612CE" w:rsidRPr="00412829">
              <w:rPr>
                <w:lang w:val="en-AU" w:eastAsia="en-AU"/>
              </w:rPr>
              <w:t>-2.5, &gt;</w:t>
            </w:r>
            <w:r w:rsidR="00DA7DB7" w:rsidRPr="00412829">
              <w:rPr>
                <w:lang w:val="en-AU" w:eastAsia="en-AU"/>
              </w:rPr>
              <w:t> </w:t>
            </w:r>
            <w:r w:rsidR="009612CE" w:rsidRPr="00412829">
              <w:rPr>
                <w:lang w:val="en-AU" w:eastAsia="en-AU"/>
              </w:rPr>
              <w:t xml:space="preserve">-2.5), and presence of severe vertebral fracture at baseline.  Treatment comparisons are based on logistic regression model adjusted for age strata, baseline total hip BMD T-score, and presence of severe vertebral fracture at baseline. </w:t>
            </w:r>
          </w:p>
          <w:p w14:paraId="4F184F7A" w14:textId="36D12ED8" w:rsidR="009612CE" w:rsidRPr="00412829" w:rsidRDefault="001260FB" w:rsidP="001260FB">
            <w:pPr>
              <w:pStyle w:val="RPI-FootnoteText"/>
              <w:rPr>
                <w:lang w:val="en-AU" w:eastAsia="en-AU"/>
              </w:rPr>
            </w:pPr>
            <w:r w:rsidRPr="00412829">
              <w:rPr>
                <w:vertAlign w:val="superscript"/>
                <w:lang w:val="en-AU" w:eastAsia="en-AU"/>
              </w:rPr>
              <w:t xml:space="preserve">c </w:t>
            </w:r>
            <w:r w:rsidR="009612CE" w:rsidRPr="00412829">
              <w:rPr>
                <w:lang w:val="en-AU" w:eastAsia="en-AU"/>
              </w:rPr>
              <w:t>NA: Endpoint was not part of sequential testing strategy; therefore, p-value adjustment is not applicable.</w:t>
            </w:r>
          </w:p>
          <w:p w14:paraId="72ADCA97" w14:textId="11FEEF36" w:rsidR="009612CE" w:rsidRPr="00412829" w:rsidRDefault="001260FB" w:rsidP="001260FB">
            <w:pPr>
              <w:pStyle w:val="RPI-FootnoteText"/>
              <w:rPr>
                <w:lang w:val="en-AU" w:eastAsia="en-AU"/>
              </w:rPr>
            </w:pPr>
            <w:r w:rsidRPr="00412829">
              <w:rPr>
                <w:vertAlign w:val="superscript"/>
                <w:lang w:val="en-AU" w:eastAsia="en-AU"/>
              </w:rPr>
              <w:t xml:space="preserve">d </w:t>
            </w:r>
            <w:r w:rsidR="009612CE" w:rsidRPr="00412829">
              <w:rPr>
                <w:lang w:val="en-AU" w:eastAsia="en-AU"/>
              </w:rPr>
              <w:t>Clinical fractures include all symptomatic fractures including nonvertebral and painful vertebral fractures.  Treatment comparisons are based on Cox proportional hazards model adjusted for age strata, baseline total hip BMD T-score, and presence of severe vertebral fracture at baseline.</w:t>
            </w:r>
          </w:p>
          <w:p w14:paraId="507EDC8E" w14:textId="7C2B9CD1" w:rsidR="009612CE" w:rsidRPr="00412829" w:rsidRDefault="001260FB" w:rsidP="001260FB">
            <w:pPr>
              <w:pStyle w:val="RPI-FootnoteText"/>
            </w:pPr>
            <w:r w:rsidRPr="00412829">
              <w:rPr>
                <w:vertAlign w:val="superscript"/>
                <w:lang w:val="en-AU" w:eastAsia="en-AU"/>
              </w:rPr>
              <w:t xml:space="preserve">e </w:t>
            </w:r>
            <w:r w:rsidR="009612CE" w:rsidRPr="00412829">
              <w:rPr>
                <w:lang w:val="en-AU" w:eastAsia="en-AU"/>
              </w:rPr>
              <w:t>NA: not available as subjects have various exposure at primary analysis.</w:t>
            </w:r>
          </w:p>
        </w:tc>
      </w:tr>
    </w:tbl>
    <w:p w14:paraId="13948854" w14:textId="2535E3F4" w:rsidR="00D44512" w:rsidRPr="00412829" w:rsidRDefault="00D44512" w:rsidP="00396561">
      <w:pPr>
        <w:pStyle w:val="RPI-Caption"/>
      </w:pPr>
      <w:r w:rsidRPr="00412829">
        <w:lastRenderedPageBreak/>
        <w:t xml:space="preserve">Figure </w:t>
      </w:r>
      <w:r w:rsidR="008B4305" w:rsidRPr="00412829">
        <w:t>1</w:t>
      </w:r>
      <w:r w:rsidRPr="00412829">
        <w:t>.  Effect of EVENITY on Incidence of New Vertebral Fractures Through Month 12 and Month 24</w:t>
      </w:r>
    </w:p>
    <w:p w14:paraId="624F97C7" w14:textId="7237B4D4" w:rsidR="00F9081C" w:rsidRPr="00412829" w:rsidRDefault="00656470" w:rsidP="00472DB3">
      <w:pPr>
        <w:pStyle w:val="RPI-Heading3"/>
        <w:keepNext w:val="0"/>
        <w:jc w:val="center"/>
        <w:rPr>
          <w:u w:val="none"/>
        </w:rPr>
      </w:pPr>
      <w:r w:rsidRPr="00412829">
        <w:rPr>
          <w:noProof/>
          <w:u w:val="none"/>
          <w:lang w:eastAsia="en-AU"/>
        </w:rPr>
        <w:drawing>
          <wp:inline distT="0" distB="0" distL="0" distR="0" wp14:anchorId="5E212ACA" wp14:editId="17E86DE2">
            <wp:extent cx="4000500" cy="4518660"/>
            <wp:effectExtent l="0" t="0" r="0" b="0"/>
            <wp:docPr id="2" name="Picture 1" descr="GRH0594 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4518660"/>
                    </a:xfrm>
                    <a:prstGeom prst="rect">
                      <a:avLst/>
                    </a:prstGeom>
                    <a:noFill/>
                    <a:ln>
                      <a:noFill/>
                    </a:ln>
                  </pic:spPr>
                </pic:pic>
              </a:graphicData>
            </a:graphic>
          </wp:inline>
        </w:drawing>
      </w:r>
    </w:p>
    <w:p w14:paraId="7D199414" w14:textId="29DB1A1F" w:rsidR="006D2B34" w:rsidRPr="00412829" w:rsidRDefault="006D2B34" w:rsidP="00396561">
      <w:pPr>
        <w:pStyle w:val="RPI-Caption"/>
      </w:pPr>
      <w:r w:rsidRPr="00412829">
        <w:t xml:space="preserve">Figure </w:t>
      </w:r>
      <w:r w:rsidR="001B4176" w:rsidRPr="00412829">
        <w:t>2</w:t>
      </w:r>
      <w:r w:rsidRPr="00412829">
        <w:t>.  Cumulative Incidence of Clinical, Nonvertebral, and Hip Fractures</w:t>
      </w:r>
    </w:p>
    <w:p w14:paraId="2266FBD1" w14:textId="74DFE233" w:rsidR="00D44512" w:rsidRPr="00412829" w:rsidRDefault="00885FA3" w:rsidP="00C9323F">
      <w:pPr>
        <w:pStyle w:val="RPI-Heading3"/>
        <w:keepNext w:val="0"/>
        <w:rPr>
          <w:u w:val="none"/>
        </w:rPr>
      </w:pPr>
      <w:r w:rsidRPr="00412829">
        <w:rPr>
          <w:noProof/>
          <w:u w:val="none"/>
          <w:lang w:eastAsia="en-AU"/>
        </w:rPr>
        <w:drawing>
          <wp:inline distT="0" distB="0" distL="0" distR="0" wp14:anchorId="17DB27ED" wp14:editId="10B7436E">
            <wp:extent cx="5504815" cy="2167021"/>
            <wp:effectExtent l="0" t="0" r="635" b="5080"/>
            <wp:docPr id="3" name="Picture 1" descr="GRH0593 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4815" cy="2167021"/>
                    </a:xfrm>
                    <a:prstGeom prst="rect">
                      <a:avLst/>
                    </a:prstGeom>
                    <a:noFill/>
                    <a:ln>
                      <a:noFill/>
                    </a:ln>
                  </pic:spPr>
                </pic:pic>
              </a:graphicData>
            </a:graphic>
          </wp:inline>
        </w:drawing>
      </w:r>
    </w:p>
    <w:p w14:paraId="3DE5C163" w14:textId="5F2C5942" w:rsidR="00F5297E" w:rsidRPr="007E1620" w:rsidRDefault="00F5297E" w:rsidP="005A76B5">
      <w:pPr>
        <w:pStyle w:val="RPI-Text"/>
        <w:keepNext/>
        <w:rPr>
          <w:lang w:val="en-US"/>
        </w:rPr>
      </w:pPr>
      <w:r w:rsidRPr="00412829">
        <w:rPr>
          <w:rFonts w:cs="Arial"/>
          <w:color w:val="000000"/>
        </w:rPr>
        <w:lastRenderedPageBreak/>
        <w:t xml:space="preserve">Subgroup analyses of the primary endpoints showed that romosozumab for 12 months followed by alendronate for 12 months demonstrated a consistent treatment effect, as shown by odds ratios that favoured romosozumab/alendronate over alendronate/alendronate in all subgroups of baseline characteristics examined </w:t>
      </w:r>
      <w:r w:rsidR="00844AE4" w:rsidRPr="00412829">
        <w:rPr>
          <w:rFonts w:cs="Arial"/>
          <w:color w:val="000000"/>
        </w:rPr>
        <w:t xml:space="preserve">including </w:t>
      </w:r>
      <w:r w:rsidRPr="00412829">
        <w:rPr>
          <w:rFonts w:eastAsia="Calibri"/>
        </w:rPr>
        <w:t xml:space="preserve">age, presence or absence of severe vertebral fracture at baseline, number of prevalent vertebral fractures at baseline, race, geographic region, baseline lumbar spine BMD T-score, baseline total hip/femoral neck BMD T-score, baseline BMI, FRAX score, </w:t>
      </w:r>
      <w:r w:rsidR="001417B0" w:rsidRPr="00412829">
        <w:rPr>
          <w:rFonts w:eastAsia="Calibri"/>
        </w:rPr>
        <w:t xml:space="preserve">and </w:t>
      </w:r>
      <w:r w:rsidRPr="00412829">
        <w:rPr>
          <w:rFonts w:eastAsia="Calibri"/>
        </w:rPr>
        <w:t>history of nonvertebral fracture at or after age 55).</w:t>
      </w:r>
    </w:p>
    <w:p w14:paraId="2538B2BF" w14:textId="0ECEAD4D" w:rsidR="00B00456" w:rsidRPr="00867FD2" w:rsidRDefault="00B00456" w:rsidP="00A255B6">
      <w:pPr>
        <w:pStyle w:val="RPI-Text"/>
        <w:keepNext/>
        <w:rPr>
          <w:i/>
        </w:rPr>
      </w:pPr>
      <w:r w:rsidRPr="00867FD2">
        <w:rPr>
          <w:i/>
        </w:rPr>
        <w:t xml:space="preserve">Effect on </w:t>
      </w:r>
      <w:r w:rsidR="009E72C6" w:rsidRPr="00867FD2">
        <w:rPr>
          <w:i/>
        </w:rPr>
        <w:t>o</w:t>
      </w:r>
      <w:r w:rsidRPr="00867FD2">
        <w:rPr>
          <w:i/>
        </w:rPr>
        <w:t xml:space="preserve">ther </w:t>
      </w:r>
      <w:r w:rsidR="005D71E6" w:rsidRPr="00867FD2">
        <w:rPr>
          <w:i/>
        </w:rPr>
        <w:t>f</w:t>
      </w:r>
      <w:r w:rsidRPr="00867FD2">
        <w:rPr>
          <w:i/>
        </w:rPr>
        <w:t xml:space="preserve">racture </w:t>
      </w:r>
      <w:r w:rsidR="005D71E6" w:rsidRPr="00867FD2">
        <w:rPr>
          <w:i/>
        </w:rPr>
        <w:t>t</w:t>
      </w:r>
      <w:r w:rsidRPr="00867FD2">
        <w:rPr>
          <w:i/>
        </w:rPr>
        <w:t>ypes/</w:t>
      </w:r>
      <w:r w:rsidR="005D71E6" w:rsidRPr="00867FD2">
        <w:rPr>
          <w:i/>
        </w:rPr>
        <w:t>g</w:t>
      </w:r>
      <w:r w:rsidRPr="00867FD2">
        <w:rPr>
          <w:i/>
        </w:rPr>
        <w:t>roups</w:t>
      </w:r>
    </w:p>
    <w:p w14:paraId="0B2DFE84" w14:textId="5585E51C" w:rsidR="00B00456" w:rsidRPr="00412829" w:rsidRDefault="00B00456" w:rsidP="00396561">
      <w:pPr>
        <w:pStyle w:val="RPI-Caption"/>
      </w:pPr>
      <w:r w:rsidRPr="00412829">
        <w:t xml:space="preserve">Table </w:t>
      </w:r>
      <w:r w:rsidR="00663652" w:rsidRPr="00412829">
        <w:t>4</w:t>
      </w:r>
      <w:r w:rsidRPr="00412829">
        <w:t xml:space="preserve">. </w:t>
      </w:r>
      <w:r w:rsidR="00EF6740" w:rsidRPr="00412829">
        <w:t xml:space="preserve"> </w:t>
      </w:r>
      <w:r w:rsidRPr="00412829">
        <w:t>The Effect of EVENITY on the Incidence and Risk of Other Fracture Types/Groups Through Primary Analysis</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1561"/>
        <w:gridCol w:w="1530"/>
        <w:gridCol w:w="1530"/>
        <w:gridCol w:w="1162"/>
        <w:gridCol w:w="1162"/>
      </w:tblGrid>
      <w:tr w:rsidR="009135AC" w:rsidRPr="00412829" w14:paraId="54557350" w14:textId="77777777" w:rsidTr="00145A93">
        <w:trPr>
          <w:trHeight w:val="92"/>
          <w:jc w:val="center"/>
        </w:trPr>
        <w:tc>
          <w:tcPr>
            <w:tcW w:w="1894" w:type="dxa"/>
            <w:vMerge w:val="restart"/>
            <w:tcBorders>
              <w:top w:val="single" w:sz="4" w:space="0" w:color="auto"/>
            </w:tcBorders>
            <w:vAlign w:val="center"/>
          </w:tcPr>
          <w:p w14:paraId="2B192FD0" w14:textId="77777777" w:rsidR="009135AC" w:rsidRPr="00412829" w:rsidRDefault="009135AC" w:rsidP="00AF521C">
            <w:pPr>
              <w:keepNext/>
              <w:keepLines/>
              <w:spacing w:before="120" w:after="120" w:line="360" w:lineRule="auto"/>
              <w:ind w:right="282"/>
              <w:rPr>
                <w:rFonts w:cs="Arial"/>
                <w:sz w:val="18"/>
                <w:szCs w:val="22"/>
              </w:rPr>
            </w:pPr>
          </w:p>
        </w:tc>
        <w:tc>
          <w:tcPr>
            <w:tcW w:w="3091" w:type="dxa"/>
            <w:gridSpan w:val="2"/>
            <w:tcBorders>
              <w:top w:val="single" w:sz="4" w:space="0" w:color="auto"/>
            </w:tcBorders>
            <w:vAlign w:val="center"/>
          </w:tcPr>
          <w:p w14:paraId="004C1628" w14:textId="77777777" w:rsidR="009135AC" w:rsidRPr="00412829" w:rsidRDefault="009135AC" w:rsidP="00611EF5">
            <w:pPr>
              <w:pStyle w:val="RPI-TableCenterAligned"/>
              <w:rPr>
                <w:b/>
              </w:rPr>
            </w:pPr>
            <w:r w:rsidRPr="00412829">
              <w:rPr>
                <w:b/>
              </w:rPr>
              <w:t xml:space="preserve">Proportion of Women With Fracture </w:t>
            </w:r>
          </w:p>
        </w:tc>
        <w:tc>
          <w:tcPr>
            <w:tcW w:w="1530" w:type="dxa"/>
            <w:vMerge w:val="restart"/>
            <w:tcBorders>
              <w:top w:val="single" w:sz="4" w:space="0" w:color="auto"/>
            </w:tcBorders>
            <w:vAlign w:val="center"/>
          </w:tcPr>
          <w:p w14:paraId="01FABCF9" w14:textId="77777777" w:rsidR="009135AC" w:rsidRPr="00412829" w:rsidRDefault="009135AC" w:rsidP="00611EF5">
            <w:pPr>
              <w:pStyle w:val="RPI-TableCenterAligned"/>
              <w:rPr>
                <w:b/>
              </w:rPr>
            </w:pPr>
            <w:r w:rsidRPr="00412829">
              <w:rPr>
                <w:b/>
              </w:rPr>
              <w:t>Relative Risk Reduction (%) (95% CI)</w:t>
            </w:r>
          </w:p>
        </w:tc>
        <w:tc>
          <w:tcPr>
            <w:tcW w:w="1162" w:type="dxa"/>
            <w:tcBorders>
              <w:top w:val="single" w:sz="4" w:space="0" w:color="auto"/>
            </w:tcBorders>
          </w:tcPr>
          <w:p w14:paraId="0B305808" w14:textId="77777777" w:rsidR="009135AC" w:rsidRPr="00412829" w:rsidRDefault="009135AC" w:rsidP="00611EF5">
            <w:pPr>
              <w:pStyle w:val="RPI-TableCenterAligned"/>
              <w:rPr>
                <w:b/>
              </w:rPr>
            </w:pPr>
          </w:p>
          <w:p w14:paraId="58ADD5E7" w14:textId="77777777" w:rsidR="009135AC" w:rsidRPr="00412829" w:rsidRDefault="009135AC" w:rsidP="00611EF5">
            <w:pPr>
              <w:pStyle w:val="RPI-TableCenterAligned"/>
              <w:rPr>
                <w:b/>
              </w:rPr>
            </w:pPr>
            <w:r w:rsidRPr="00412829">
              <w:rPr>
                <w:b/>
              </w:rPr>
              <w:t>Nominal p-value</w:t>
            </w:r>
            <w:r w:rsidRPr="00412829">
              <w:rPr>
                <w:b/>
                <w:vertAlign w:val="superscript"/>
              </w:rPr>
              <w:t>a</w:t>
            </w:r>
          </w:p>
        </w:tc>
        <w:tc>
          <w:tcPr>
            <w:tcW w:w="1162" w:type="dxa"/>
            <w:tcBorders>
              <w:top w:val="single" w:sz="4" w:space="0" w:color="auto"/>
            </w:tcBorders>
            <w:vAlign w:val="center"/>
          </w:tcPr>
          <w:p w14:paraId="1FF3E2E9" w14:textId="77777777" w:rsidR="009135AC" w:rsidRPr="00412829" w:rsidRDefault="009135AC" w:rsidP="00611EF5">
            <w:pPr>
              <w:pStyle w:val="RPI-TableCenterAligned"/>
              <w:rPr>
                <w:b/>
              </w:rPr>
            </w:pPr>
            <w:r w:rsidRPr="00412829">
              <w:rPr>
                <w:b/>
              </w:rPr>
              <w:t>Adjusted</w:t>
            </w:r>
          </w:p>
          <w:p w14:paraId="6A54DAA9" w14:textId="77777777" w:rsidR="009135AC" w:rsidRPr="00412829" w:rsidRDefault="009135AC" w:rsidP="00611EF5">
            <w:pPr>
              <w:pStyle w:val="RPI-TableCenterAligned"/>
              <w:rPr>
                <w:b/>
              </w:rPr>
            </w:pPr>
            <w:r w:rsidRPr="00412829">
              <w:rPr>
                <w:b/>
              </w:rPr>
              <w:t>p-value</w:t>
            </w:r>
            <w:r w:rsidRPr="00412829">
              <w:rPr>
                <w:b/>
                <w:vertAlign w:val="superscript"/>
              </w:rPr>
              <w:t>b</w:t>
            </w:r>
          </w:p>
        </w:tc>
      </w:tr>
      <w:tr w:rsidR="009135AC" w:rsidRPr="00412829" w14:paraId="725E6016" w14:textId="77777777" w:rsidTr="00145A93">
        <w:trPr>
          <w:trHeight w:val="280"/>
          <w:jc w:val="center"/>
        </w:trPr>
        <w:tc>
          <w:tcPr>
            <w:tcW w:w="1894" w:type="dxa"/>
            <w:vMerge/>
            <w:tcBorders>
              <w:bottom w:val="single" w:sz="4" w:space="0" w:color="auto"/>
            </w:tcBorders>
            <w:vAlign w:val="center"/>
          </w:tcPr>
          <w:p w14:paraId="6D35AFCF" w14:textId="77777777" w:rsidR="009135AC" w:rsidRPr="00412829" w:rsidRDefault="009135AC" w:rsidP="00AF521C">
            <w:pPr>
              <w:keepNext/>
              <w:keepLines/>
              <w:spacing w:before="120" w:after="120" w:line="360" w:lineRule="auto"/>
              <w:rPr>
                <w:rFonts w:cs="Arial"/>
                <w:sz w:val="18"/>
                <w:szCs w:val="22"/>
              </w:rPr>
            </w:pPr>
          </w:p>
        </w:tc>
        <w:tc>
          <w:tcPr>
            <w:tcW w:w="1561" w:type="dxa"/>
            <w:tcBorders>
              <w:bottom w:val="single" w:sz="4" w:space="0" w:color="auto"/>
            </w:tcBorders>
            <w:vAlign w:val="center"/>
          </w:tcPr>
          <w:p w14:paraId="3FA679AE" w14:textId="77777777" w:rsidR="009135AC" w:rsidRPr="00412829" w:rsidRDefault="009135AC" w:rsidP="00611EF5">
            <w:pPr>
              <w:pStyle w:val="RPI-TableCenterAligned"/>
              <w:rPr>
                <w:b/>
              </w:rPr>
            </w:pPr>
            <w:r w:rsidRPr="00412829">
              <w:rPr>
                <w:b/>
              </w:rPr>
              <w:t>Alendronate (%)</w:t>
            </w:r>
          </w:p>
        </w:tc>
        <w:tc>
          <w:tcPr>
            <w:tcW w:w="1530" w:type="dxa"/>
            <w:tcBorders>
              <w:bottom w:val="single" w:sz="4" w:space="0" w:color="auto"/>
            </w:tcBorders>
            <w:vAlign w:val="center"/>
          </w:tcPr>
          <w:p w14:paraId="7096EE30" w14:textId="77777777" w:rsidR="009135AC" w:rsidRPr="00412829" w:rsidRDefault="009135AC" w:rsidP="00611EF5">
            <w:pPr>
              <w:pStyle w:val="RPI-TableCenterAligned"/>
              <w:rPr>
                <w:b/>
              </w:rPr>
            </w:pPr>
            <w:r w:rsidRPr="00412829">
              <w:rPr>
                <w:b/>
              </w:rPr>
              <w:t>EVENITY (%)</w:t>
            </w:r>
          </w:p>
        </w:tc>
        <w:tc>
          <w:tcPr>
            <w:tcW w:w="1530" w:type="dxa"/>
            <w:vMerge/>
            <w:tcBorders>
              <w:bottom w:val="single" w:sz="4" w:space="0" w:color="auto"/>
            </w:tcBorders>
            <w:vAlign w:val="center"/>
          </w:tcPr>
          <w:p w14:paraId="693C8971" w14:textId="77777777" w:rsidR="009135AC" w:rsidRPr="00412829" w:rsidRDefault="009135AC" w:rsidP="00AF521C">
            <w:pPr>
              <w:keepNext/>
              <w:keepLines/>
              <w:spacing w:before="120" w:after="120" w:line="360" w:lineRule="auto"/>
              <w:jc w:val="center"/>
              <w:rPr>
                <w:rFonts w:cs="Arial"/>
                <w:sz w:val="18"/>
                <w:szCs w:val="22"/>
              </w:rPr>
            </w:pPr>
          </w:p>
        </w:tc>
        <w:tc>
          <w:tcPr>
            <w:tcW w:w="1162" w:type="dxa"/>
            <w:tcBorders>
              <w:bottom w:val="single" w:sz="4" w:space="0" w:color="auto"/>
            </w:tcBorders>
            <w:vAlign w:val="center"/>
          </w:tcPr>
          <w:p w14:paraId="5271A45E" w14:textId="77777777" w:rsidR="009135AC" w:rsidRPr="00412829" w:rsidRDefault="009135AC" w:rsidP="00AF521C">
            <w:pPr>
              <w:keepNext/>
              <w:keepLines/>
              <w:spacing w:before="120" w:after="120" w:line="360" w:lineRule="auto"/>
              <w:jc w:val="center"/>
              <w:rPr>
                <w:rFonts w:cs="Arial"/>
                <w:sz w:val="18"/>
                <w:szCs w:val="22"/>
              </w:rPr>
            </w:pPr>
          </w:p>
        </w:tc>
        <w:tc>
          <w:tcPr>
            <w:tcW w:w="1162" w:type="dxa"/>
            <w:tcBorders>
              <w:bottom w:val="single" w:sz="4" w:space="0" w:color="auto"/>
            </w:tcBorders>
          </w:tcPr>
          <w:p w14:paraId="6CBB8EB3" w14:textId="77777777" w:rsidR="009135AC" w:rsidRPr="00412829" w:rsidRDefault="009135AC" w:rsidP="00AF521C">
            <w:pPr>
              <w:keepNext/>
              <w:keepLines/>
              <w:spacing w:before="120" w:after="120" w:line="360" w:lineRule="auto"/>
              <w:jc w:val="center"/>
              <w:rPr>
                <w:rFonts w:cs="Arial"/>
                <w:sz w:val="18"/>
                <w:szCs w:val="22"/>
              </w:rPr>
            </w:pPr>
          </w:p>
        </w:tc>
      </w:tr>
      <w:tr w:rsidR="009135AC" w:rsidRPr="00412829" w14:paraId="6CAA9EB0" w14:textId="77777777" w:rsidTr="0010021C">
        <w:trPr>
          <w:trHeight w:val="368"/>
          <w:jc w:val="center"/>
        </w:trPr>
        <w:tc>
          <w:tcPr>
            <w:tcW w:w="1894" w:type="dxa"/>
            <w:vAlign w:val="center"/>
          </w:tcPr>
          <w:p w14:paraId="29991DF6" w14:textId="77777777" w:rsidR="009135AC" w:rsidRPr="00412829" w:rsidRDefault="009135AC" w:rsidP="00611EF5">
            <w:pPr>
              <w:pStyle w:val="RPI-TableLeftAligned"/>
              <w:rPr>
                <w:b/>
              </w:rPr>
            </w:pPr>
            <w:r w:rsidRPr="00412829">
              <w:rPr>
                <w:b/>
              </w:rPr>
              <w:t>Nonvertebral</w:t>
            </w:r>
          </w:p>
        </w:tc>
        <w:tc>
          <w:tcPr>
            <w:tcW w:w="1561" w:type="dxa"/>
            <w:vAlign w:val="center"/>
          </w:tcPr>
          <w:p w14:paraId="721F247B" w14:textId="77777777" w:rsidR="009135AC" w:rsidRPr="00412829" w:rsidRDefault="009135AC" w:rsidP="00611EF5">
            <w:pPr>
              <w:pStyle w:val="RPI-TableCenterAligned"/>
            </w:pPr>
            <w:r w:rsidRPr="00412829">
              <w:t>217/2047 (10.6)</w:t>
            </w:r>
          </w:p>
        </w:tc>
        <w:tc>
          <w:tcPr>
            <w:tcW w:w="1530" w:type="dxa"/>
            <w:vAlign w:val="center"/>
          </w:tcPr>
          <w:p w14:paraId="2FC772C7" w14:textId="77777777" w:rsidR="009135AC" w:rsidRPr="00412829" w:rsidRDefault="009135AC" w:rsidP="00611EF5">
            <w:pPr>
              <w:pStyle w:val="RPI-TableCenterAligned"/>
            </w:pPr>
            <w:r w:rsidRPr="00412829">
              <w:t>178/2046 (8.7)</w:t>
            </w:r>
          </w:p>
        </w:tc>
        <w:tc>
          <w:tcPr>
            <w:tcW w:w="1530" w:type="dxa"/>
            <w:vAlign w:val="center"/>
          </w:tcPr>
          <w:p w14:paraId="118B0BF2" w14:textId="77777777" w:rsidR="009135AC" w:rsidRPr="00412829" w:rsidRDefault="009135AC" w:rsidP="00611EF5">
            <w:pPr>
              <w:pStyle w:val="RPI-TableCenterAligned"/>
            </w:pPr>
            <w:r w:rsidRPr="00412829">
              <w:t>19 (1, 34)</w:t>
            </w:r>
          </w:p>
        </w:tc>
        <w:tc>
          <w:tcPr>
            <w:tcW w:w="1162" w:type="dxa"/>
            <w:vAlign w:val="center"/>
          </w:tcPr>
          <w:p w14:paraId="1E55F99D" w14:textId="77777777" w:rsidR="009135AC" w:rsidRPr="00412829" w:rsidRDefault="009135AC" w:rsidP="00611EF5">
            <w:pPr>
              <w:pStyle w:val="RPI-TableCenterAligned"/>
            </w:pPr>
            <w:r w:rsidRPr="00412829">
              <w:t>0.040</w:t>
            </w:r>
            <w:r w:rsidRPr="00412829">
              <w:rPr>
                <w:vertAlign w:val="superscript"/>
              </w:rPr>
              <w:t>c</w:t>
            </w:r>
            <w:r w:rsidRPr="00412829">
              <w:t xml:space="preserve"> </w:t>
            </w:r>
          </w:p>
        </w:tc>
        <w:tc>
          <w:tcPr>
            <w:tcW w:w="1162" w:type="dxa"/>
            <w:vAlign w:val="center"/>
          </w:tcPr>
          <w:p w14:paraId="6355C670" w14:textId="6DB4CAAD" w:rsidR="009135AC" w:rsidRPr="00412829" w:rsidRDefault="009135AC" w:rsidP="0010021C">
            <w:pPr>
              <w:pStyle w:val="RPI-TableCenterAligned"/>
            </w:pPr>
            <w:r w:rsidRPr="00412829">
              <w:t>0.019</w:t>
            </w:r>
            <w:r w:rsidRPr="00412829">
              <w:rPr>
                <w:vertAlign w:val="superscript"/>
              </w:rPr>
              <w:t>d</w:t>
            </w:r>
          </w:p>
        </w:tc>
      </w:tr>
      <w:tr w:rsidR="009135AC" w:rsidRPr="00412829" w14:paraId="02993F43" w14:textId="77777777" w:rsidTr="00145A93">
        <w:trPr>
          <w:trHeight w:val="374"/>
          <w:jc w:val="center"/>
        </w:trPr>
        <w:tc>
          <w:tcPr>
            <w:tcW w:w="1894" w:type="dxa"/>
            <w:tcBorders>
              <w:top w:val="single" w:sz="4" w:space="0" w:color="auto"/>
              <w:left w:val="single" w:sz="4" w:space="0" w:color="auto"/>
              <w:bottom w:val="single" w:sz="4" w:space="0" w:color="auto"/>
              <w:right w:val="single" w:sz="4" w:space="0" w:color="auto"/>
            </w:tcBorders>
            <w:vAlign w:val="center"/>
          </w:tcPr>
          <w:p w14:paraId="6896A445" w14:textId="77777777" w:rsidR="009135AC" w:rsidRPr="00412829" w:rsidRDefault="009135AC" w:rsidP="00611EF5">
            <w:pPr>
              <w:pStyle w:val="RPI-TableLeftAligned"/>
              <w:rPr>
                <w:b/>
              </w:rPr>
            </w:pPr>
            <w:r w:rsidRPr="00412829">
              <w:rPr>
                <w:b/>
              </w:rPr>
              <w:t>Hip</w:t>
            </w:r>
          </w:p>
        </w:tc>
        <w:tc>
          <w:tcPr>
            <w:tcW w:w="1561" w:type="dxa"/>
            <w:tcBorders>
              <w:top w:val="single" w:sz="4" w:space="0" w:color="auto"/>
              <w:left w:val="single" w:sz="4" w:space="0" w:color="auto"/>
              <w:bottom w:val="single" w:sz="4" w:space="0" w:color="auto"/>
              <w:right w:val="single" w:sz="4" w:space="0" w:color="auto"/>
            </w:tcBorders>
            <w:vAlign w:val="center"/>
          </w:tcPr>
          <w:p w14:paraId="7628DF47" w14:textId="77777777" w:rsidR="009135AC" w:rsidRPr="00412829" w:rsidRDefault="009135AC" w:rsidP="00611EF5">
            <w:pPr>
              <w:pStyle w:val="RPI-TableCenterAligned"/>
            </w:pPr>
            <w:r w:rsidRPr="00412829">
              <w:t>66/2047 (3.2)</w:t>
            </w:r>
          </w:p>
        </w:tc>
        <w:tc>
          <w:tcPr>
            <w:tcW w:w="1530" w:type="dxa"/>
            <w:tcBorders>
              <w:top w:val="single" w:sz="4" w:space="0" w:color="auto"/>
              <w:left w:val="single" w:sz="4" w:space="0" w:color="auto"/>
              <w:bottom w:val="single" w:sz="4" w:space="0" w:color="auto"/>
              <w:right w:val="single" w:sz="4" w:space="0" w:color="auto"/>
            </w:tcBorders>
            <w:vAlign w:val="center"/>
          </w:tcPr>
          <w:p w14:paraId="190A9C6F" w14:textId="77777777" w:rsidR="009135AC" w:rsidRPr="00412829" w:rsidRDefault="009135AC" w:rsidP="00611EF5">
            <w:pPr>
              <w:pStyle w:val="RPI-TableCenterAligned"/>
            </w:pPr>
            <w:r w:rsidRPr="00412829">
              <w:t>41/2046 (2.0)</w:t>
            </w:r>
          </w:p>
        </w:tc>
        <w:tc>
          <w:tcPr>
            <w:tcW w:w="1530" w:type="dxa"/>
            <w:tcBorders>
              <w:top w:val="single" w:sz="4" w:space="0" w:color="auto"/>
              <w:left w:val="single" w:sz="4" w:space="0" w:color="auto"/>
              <w:bottom w:val="single" w:sz="4" w:space="0" w:color="auto"/>
              <w:right w:val="single" w:sz="4" w:space="0" w:color="auto"/>
            </w:tcBorders>
            <w:vAlign w:val="center"/>
          </w:tcPr>
          <w:p w14:paraId="472008B1" w14:textId="77777777" w:rsidR="009135AC" w:rsidRPr="00412829" w:rsidRDefault="009135AC" w:rsidP="00611EF5">
            <w:pPr>
              <w:pStyle w:val="RPI-TableCenterAligned"/>
            </w:pPr>
            <w:r w:rsidRPr="00412829">
              <w:t>38 (8, 58)</w:t>
            </w:r>
          </w:p>
        </w:tc>
        <w:tc>
          <w:tcPr>
            <w:tcW w:w="1162" w:type="dxa"/>
            <w:tcBorders>
              <w:top w:val="single" w:sz="4" w:space="0" w:color="auto"/>
              <w:left w:val="single" w:sz="4" w:space="0" w:color="auto"/>
              <w:bottom w:val="single" w:sz="4" w:space="0" w:color="auto"/>
              <w:right w:val="single" w:sz="4" w:space="0" w:color="auto"/>
            </w:tcBorders>
            <w:vAlign w:val="center"/>
          </w:tcPr>
          <w:p w14:paraId="32FA5B3F" w14:textId="77777777" w:rsidR="009135AC" w:rsidRPr="00412829" w:rsidRDefault="009135AC" w:rsidP="00611EF5">
            <w:pPr>
              <w:pStyle w:val="RPI-TableCenterAligned"/>
            </w:pPr>
            <w:r w:rsidRPr="00412829">
              <w:t>NA</w:t>
            </w:r>
            <w:r w:rsidRPr="00412829">
              <w:rPr>
                <w:vertAlign w:val="superscript"/>
              </w:rPr>
              <w:t>e</w:t>
            </w:r>
          </w:p>
        </w:tc>
        <w:tc>
          <w:tcPr>
            <w:tcW w:w="1162" w:type="dxa"/>
            <w:tcBorders>
              <w:top w:val="single" w:sz="4" w:space="0" w:color="auto"/>
              <w:left w:val="single" w:sz="4" w:space="0" w:color="auto"/>
              <w:bottom w:val="single" w:sz="4" w:space="0" w:color="auto"/>
              <w:right w:val="single" w:sz="4" w:space="0" w:color="auto"/>
            </w:tcBorders>
          </w:tcPr>
          <w:p w14:paraId="498B5DC6" w14:textId="77777777" w:rsidR="009135AC" w:rsidRPr="00412829" w:rsidRDefault="009135AC" w:rsidP="00611EF5">
            <w:pPr>
              <w:pStyle w:val="RPI-TableCenterAligned"/>
            </w:pPr>
            <w:r w:rsidRPr="00412829">
              <w:t>0.015</w:t>
            </w:r>
          </w:p>
        </w:tc>
      </w:tr>
      <w:tr w:rsidR="009135AC" w:rsidRPr="00412829" w14:paraId="4EF8DE33" w14:textId="77777777" w:rsidTr="00145A93">
        <w:trPr>
          <w:trHeight w:val="374"/>
          <w:jc w:val="center"/>
        </w:trPr>
        <w:tc>
          <w:tcPr>
            <w:tcW w:w="1894" w:type="dxa"/>
            <w:tcBorders>
              <w:top w:val="single" w:sz="4" w:space="0" w:color="auto"/>
              <w:left w:val="single" w:sz="4" w:space="0" w:color="auto"/>
              <w:bottom w:val="single" w:sz="4" w:space="0" w:color="auto"/>
              <w:right w:val="single" w:sz="4" w:space="0" w:color="auto"/>
            </w:tcBorders>
            <w:vAlign w:val="center"/>
          </w:tcPr>
          <w:p w14:paraId="4C1CA802" w14:textId="77777777" w:rsidR="009135AC" w:rsidRPr="00412829" w:rsidRDefault="009135AC" w:rsidP="00611EF5">
            <w:pPr>
              <w:pStyle w:val="RPI-TableLeftAligned"/>
              <w:rPr>
                <w:b/>
              </w:rPr>
            </w:pPr>
            <w:r w:rsidRPr="00412829">
              <w:rPr>
                <w:b/>
              </w:rPr>
              <w:t>Major nonvertebral</w:t>
            </w:r>
            <w:r w:rsidRPr="00412829">
              <w:rPr>
                <w:b/>
                <w:vertAlign w:val="superscript"/>
              </w:rPr>
              <w:t>f</w:t>
            </w:r>
          </w:p>
        </w:tc>
        <w:tc>
          <w:tcPr>
            <w:tcW w:w="1561" w:type="dxa"/>
            <w:tcBorders>
              <w:top w:val="single" w:sz="4" w:space="0" w:color="auto"/>
              <w:left w:val="single" w:sz="4" w:space="0" w:color="auto"/>
              <w:bottom w:val="single" w:sz="4" w:space="0" w:color="auto"/>
              <w:right w:val="single" w:sz="4" w:space="0" w:color="auto"/>
            </w:tcBorders>
            <w:vAlign w:val="center"/>
          </w:tcPr>
          <w:p w14:paraId="02663730" w14:textId="77777777" w:rsidR="009135AC" w:rsidRPr="00412829" w:rsidRDefault="009135AC" w:rsidP="00611EF5">
            <w:pPr>
              <w:pStyle w:val="RPI-TableCenterAligned"/>
            </w:pPr>
            <w:r w:rsidRPr="00412829">
              <w:t>196/2047 (9.6)</w:t>
            </w:r>
          </w:p>
        </w:tc>
        <w:tc>
          <w:tcPr>
            <w:tcW w:w="1530" w:type="dxa"/>
            <w:tcBorders>
              <w:top w:val="single" w:sz="4" w:space="0" w:color="auto"/>
              <w:left w:val="single" w:sz="4" w:space="0" w:color="auto"/>
              <w:bottom w:val="single" w:sz="4" w:space="0" w:color="auto"/>
              <w:right w:val="single" w:sz="4" w:space="0" w:color="auto"/>
            </w:tcBorders>
            <w:vAlign w:val="center"/>
          </w:tcPr>
          <w:p w14:paraId="265FEA7B" w14:textId="77777777" w:rsidR="009135AC" w:rsidRPr="00412829" w:rsidRDefault="009135AC" w:rsidP="00611EF5">
            <w:pPr>
              <w:pStyle w:val="RPI-TableCenterAligned"/>
            </w:pPr>
            <w:r w:rsidRPr="00412829">
              <w:t>146/2046 (7.1)</w:t>
            </w:r>
          </w:p>
        </w:tc>
        <w:tc>
          <w:tcPr>
            <w:tcW w:w="1530" w:type="dxa"/>
            <w:tcBorders>
              <w:top w:val="single" w:sz="4" w:space="0" w:color="auto"/>
              <w:left w:val="single" w:sz="4" w:space="0" w:color="auto"/>
              <w:bottom w:val="single" w:sz="4" w:space="0" w:color="auto"/>
              <w:right w:val="single" w:sz="4" w:space="0" w:color="auto"/>
            </w:tcBorders>
            <w:vAlign w:val="center"/>
          </w:tcPr>
          <w:p w14:paraId="48B33372" w14:textId="77777777" w:rsidR="009135AC" w:rsidRPr="00412829" w:rsidRDefault="009135AC" w:rsidP="00611EF5">
            <w:pPr>
              <w:pStyle w:val="RPI-TableCenterAligned"/>
            </w:pPr>
            <w:r w:rsidRPr="00412829">
              <w:t>27 (10, 41)</w:t>
            </w:r>
          </w:p>
        </w:tc>
        <w:tc>
          <w:tcPr>
            <w:tcW w:w="1162" w:type="dxa"/>
            <w:tcBorders>
              <w:top w:val="single" w:sz="4" w:space="0" w:color="auto"/>
              <w:left w:val="single" w:sz="4" w:space="0" w:color="auto"/>
              <w:bottom w:val="single" w:sz="4" w:space="0" w:color="auto"/>
              <w:right w:val="single" w:sz="4" w:space="0" w:color="auto"/>
            </w:tcBorders>
            <w:vAlign w:val="center"/>
          </w:tcPr>
          <w:p w14:paraId="1DC98730" w14:textId="77777777" w:rsidR="009135AC" w:rsidRPr="00412829" w:rsidRDefault="009135AC" w:rsidP="00611EF5">
            <w:pPr>
              <w:pStyle w:val="RPI-TableCenterAligned"/>
            </w:pPr>
            <w:r w:rsidRPr="00412829">
              <w:t>NA</w:t>
            </w:r>
            <w:r w:rsidRPr="00412829">
              <w:rPr>
                <w:vertAlign w:val="superscript"/>
              </w:rPr>
              <w:t>c</w:t>
            </w:r>
          </w:p>
        </w:tc>
        <w:tc>
          <w:tcPr>
            <w:tcW w:w="1162" w:type="dxa"/>
            <w:tcBorders>
              <w:top w:val="single" w:sz="4" w:space="0" w:color="auto"/>
              <w:left w:val="single" w:sz="4" w:space="0" w:color="auto"/>
              <w:bottom w:val="single" w:sz="4" w:space="0" w:color="auto"/>
              <w:right w:val="single" w:sz="4" w:space="0" w:color="auto"/>
            </w:tcBorders>
          </w:tcPr>
          <w:p w14:paraId="5754100E" w14:textId="77777777" w:rsidR="009135AC" w:rsidRPr="00412829" w:rsidRDefault="009135AC" w:rsidP="00611EF5">
            <w:pPr>
              <w:pStyle w:val="RPI-TableCenterAligned"/>
            </w:pPr>
            <w:r w:rsidRPr="00412829">
              <w:t>0.004</w:t>
            </w:r>
          </w:p>
        </w:tc>
      </w:tr>
      <w:tr w:rsidR="009135AC" w:rsidRPr="00412829" w14:paraId="187111E3" w14:textId="77777777" w:rsidTr="00145A93">
        <w:trPr>
          <w:trHeight w:val="374"/>
          <w:jc w:val="center"/>
        </w:trPr>
        <w:tc>
          <w:tcPr>
            <w:tcW w:w="8839" w:type="dxa"/>
            <w:gridSpan w:val="6"/>
            <w:tcBorders>
              <w:top w:val="single" w:sz="4" w:space="0" w:color="auto"/>
              <w:left w:val="nil"/>
              <w:bottom w:val="nil"/>
              <w:right w:val="nil"/>
            </w:tcBorders>
            <w:vAlign w:val="center"/>
          </w:tcPr>
          <w:p w14:paraId="3C7120B2" w14:textId="4BF72123" w:rsidR="009135AC" w:rsidRPr="00412829" w:rsidRDefault="001260FB" w:rsidP="001260FB">
            <w:pPr>
              <w:pStyle w:val="RPI-FootnoteText"/>
              <w:rPr>
                <w:lang w:val="en-AU" w:eastAsia="en-AU"/>
              </w:rPr>
            </w:pPr>
            <w:r w:rsidRPr="00412829">
              <w:rPr>
                <w:vertAlign w:val="superscript"/>
                <w:lang w:val="en-AU" w:eastAsia="en-AU"/>
              </w:rPr>
              <w:t xml:space="preserve">a </w:t>
            </w:r>
            <w:r w:rsidR="009135AC" w:rsidRPr="00412829">
              <w:rPr>
                <w:lang w:val="en-AU" w:eastAsia="en-AU"/>
              </w:rPr>
              <w:t xml:space="preserve">Nominal p-values based on Cox proportional hazards model adjusted for age strata, baseline total hip BMD T-score, and presence of severe vertebral fracture at baseline.  </w:t>
            </w:r>
          </w:p>
          <w:p w14:paraId="5B002228" w14:textId="0E1EEF1D" w:rsidR="009135AC" w:rsidRPr="00412829" w:rsidRDefault="001260FB" w:rsidP="001260FB">
            <w:pPr>
              <w:pStyle w:val="RPI-FootnoteText"/>
              <w:rPr>
                <w:lang w:val="en-AU" w:eastAsia="en-AU"/>
              </w:rPr>
            </w:pPr>
            <w:r w:rsidRPr="00412829">
              <w:rPr>
                <w:vertAlign w:val="superscript"/>
                <w:lang w:val="en-AU" w:eastAsia="en-AU"/>
              </w:rPr>
              <w:t xml:space="preserve">b </w:t>
            </w:r>
            <w:r w:rsidR="009135AC" w:rsidRPr="00412829">
              <w:rPr>
                <w:lang w:val="en-AU" w:eastAsia="en-AU"/>
              </w:rPr>
              <w:t>Adjusted p-values are based on a combination of Hochberg, fixed sequential, and group sequential testing procedures and are to be compared to a significance level of 0.05.</w:t>
            </w:r>
          </w:p>
          <w:p w14:paraId="2F2B3C0A" w14:textId="53C7DF3C" w:rsidR="009135AC" w:rsidRPr="00412829" w:rsidRDefault="001260FB" w:rsidP="001260FB">
            <w:pPr>
              <w:pStyle w:val="RPI-FootnoteText"/>
              <w:rPr>
                <w:lang w:val="en-AU" w:eastAsia="en-AU"/>
              </w:rPr>
            </w:pPr>
            <w:r w:rsidRPr="00412829">
              <w:rPr>
                <w:vertAlign w:val="superscript"/>
                <w:lang w:val="en-AU" w:eastAsia="en-AU"/>
              </w:rPr>
              <w:t xml:space="preserve">c </w:t>
            </w:r>
            <w:r w:rsidR="009135AC" w:rsidRPr="00412829">
              <w:rPr>
                <w:lang w:val="en-AU" w:eastAsia="en-AU"/>
              </w:rPr>
              <w:t>2-sided</w:t>
            </w:r>
          </w:p>
          <w:p w14:paraId="28AB0781" w14:textId="35CBE760" w:rsidR="009135AC" w:rsidRPr="00412829" w:rsidRDefault="001260FB" w:rsidP="001260FB">
            <w:pPr>
              <w:pStyle w:val="RPI-FootnoteText"/>
              <w:rPr>
                <w:lang w:val="en-AU" w:eastAsia="en-AU"/>
              </w:rPr>
            </w:pPr>
            <w:r w:rsidRPr="00412829">
              <w:rPr>
                <w:vertAlign w:val="superscript"/>
                <w:lang w:val="en-AU" w:eastAsia="en-AU"/>
              </w:rPr>
              <w:t xml:space="preserve">d </w:t>
            </w:r>
            <w:r w:rsidR="009135AC" w:rsidRPr="00412829">
              <w:rPr>
                <w:lang w:val="en-AU" w:eastAsia="en-AU"/>
              </w:rPr>
              <w:t>1-sided</w:t>
            </w:r>
          </w:p>
          <w:p w14:paraId="444B985C" w14:textId="6A781AE6" w:rsidR="009135AC" w:rsidRPr="00412829" w:rsidRDefault="001260FB" w:rsidP="001260FB">
            <w:pPr>
              <w:pStyle w:val="RPI-FootnoteText"/>
              <w:rPr>
                <w:lang w:val="en-AU" w:eastAsia="en-AU"/>
              </w:rPr>
            </w:pPr>
            <w:r w:rsidRPr="00412829">
              <w:rPr>
                <w:vertAlign w:val="superscript"/>
                <w:lang w:val="en-AU" w:eastAsia="en-AU"/>
              </w:rPr>
              <w:t xml:space="preserve">e </w:t>
            </w:r>
            <w:r w:rsidR="009135AC" w:rsidRPr="00412829">
              <w:rPr>
                <w:lang w:val="en-AU" w:eastAsia="en-AU"/>
              </w:rPr>
              <w:t>NA: Endpoint was not part of sequential testing strategy; therefore, p-value adjustment is not applicable.</w:t>
            </w:r>
          </w:p>
          <w:p w14:paraId="3E492DDB" w14:textId="1F76C77B" w:rsidR="009135AC" w:rsidRPr="00412829" w:rsidRDefault="001260FB" w:rsidP="001260FB">
            <w:pPr>
              <w:pStyle w:val="RPI-FootnoteText"/>
            </w:pPr>
            <w:r w:rsidRPr="00412829">
              <w:rPr>
                <w:vertAlign w:val="superscript"/>
                <w:lang w:val="en-AU" w:eastAsia="en-AU"/>
              </w:rPr>
              <w:t xml:space="preserve">f </w:t>
            </w:r>
            <w:r w:rsidR="00A57EA1" w:rsidRPr="00412829">
              <w:rPr>
                <w:lang w:val="en-AU" w:eastAsia="en-AU"/>
              </w:rPr>
              <w:t>P</w:t>
            </w:r>
            <w:r w:rsidR="009135AC" w:rsidRPr="00412829">
              <w:rPr>
                <w:lang w:val="en-AU" w:eastAsia="en-AU"/>
              </w:rPr>
              <w:t xml:space="preserve">elvis, distal femur, proximal tibia, ribs, proximal humerus, forearm, </w:t>
            </w:r>
            <w:bookmarkStart w:id="3" w:name="_Hlk511737783"/>
            <w:r w:rsidR="009135AC" w:rsidRPr="00412829">
              <w:rPr>
                <w:lang w:val="en-AU" w:eastAsia="en-AU"/>
              </w:rPr>
              <w:t xml:space="preserve">and hip, </w:t>
            </w:r>
            <w:bookmarkEnd w:id="3"/>
            <w:r w:rsidR="009135AC" w:rsidRPr="00412829">
              <w:rPr>
                <w:lang w:val="en-AU" w:eastAsia="en-AU"/>
              </w:rPr>
              <w:t>hip fracture, multiple new or worsening vertebral fracture, and clinical vertebral fracture</w:t>
            </w:r>
            <w:r w:rsidR="002D7A15" w:rsidRPr="00412829">
              <w:rPr>
                <w:lang w:val="en-AU" w:eastAsia="en-AU"/>
              </w:rPr>
              <w:t>.</w:t>
            </w:r>
          </w:p>
        </w:tc>
      </w:tr>
    </w:tbl>
    <w:p w14:paraId="4BF5AD6C" w14:textId="48861122" w:rsidR="00A86568" w:rsidRPr="00412829" w:rsidRDefault="00EF3686" w:rsidP="001260FB">
      <w:pPr>
        <w:pStyle w:val="RPI-Text"/>
      </w:pPr>
      <w:r w:rsidRPr="00412829">
        <w:t xml:space="preserve">EVENITY reduced the incidence of major nonvertebral fractures compared to alendronate as early as Month 12 and through Month 24. </w:t>
      </w:r>
    </w:p>
    <w:p w14:paraId="267893C3" w14:textId="7FE65E03" w:rsidR="006D528A" w:rsidRPr="00512C61" w:rsidRDefault="006D528A" w:rsidP="00A255B6">
      <w:pPr>
        <w:pStyle w:val="RPI-Text"/>
        <w:keepNext/>
        <w:rPr>
          <w:i/>
        </w:rPr>
      </w:pPr>
      <w:r w:rsidRPr="00512C61">
        <w:rPr>
          <w:i/>
        </w:rPr>
        <w:t xml:space="preserve">Effect on </w:t>
      </w:r>
      <w:r w:rsidR="00B409A4" w:rsidRPr="00512C61">
        <w:rPr>
          <w:i/>
        </w:rPr>
        <w:t>b</w:t>
      </w:r>
      <w:r w:rsidRPr="00512C61">
        <w:rPr>
          <w:i/>
        </w:rPr>
        <w:t xml:space="preserve">one </w:t>
      </w:r>
      <w:r w:rsidR="00B40267" w:rsidRPr="00512C61">
        <w:rPr>
          <w:i/>
        </w:rPr>
        <w:t>m</w:t>
      </w:r>
      <w:r w:rsidRPr="00512C61">
        <w:rPr>
          <w:i/>
        </w:rPr>
        <w:t xml:space="preserve">ineral </w:t>
      </w:r>
      <w:r w:rsidR="00B40267" w:rsidRPr="00512C61">
        <w:rPr>
          <w:i/>
        </w:rPr>
        <w:t>d</w:t>
      </w:r>
      <w:r w:rsidRPr="00512C61">
        <w:rPr>
          <w:i/>
        </w:rPr>
        <w:t>ensity (BMD)</w:t>
      </w:r>
    </w:p>
    <w:p w14:paraId="1D11A81C" w14:textId="1346B7E0" w:rsidR="006D528A" w:rsidRPr="00412829" w:rsidRDefault="006D528A" w:rsidP="001260FB">
      <w:pPr>
        <w:pStyle w:val="RPI-Text"/>
      </w:pPr>
      <w:r w:rsidRPr="00412829">
        <w:t xml:space="preserve">In postmenopausal women with osteoporosis, EVENITY significantly increased BMD at the lumbar spine, total hip, and femoral neck compared with alendronate at month 12.  At month 24, EVENITY for 12 months followed by alendronate for 12 months, significantly </w:t>
      </w:r>
      <w:r w:rsidRPr="00412829">
        <w:lastRenderedPageBreak/>
        <w:t xml:space="preserve">increased BMD compared with alendronate alone at the lumbar spine, total hip, and femoral neck. </w:t>
      </w:r>
    </w:p>
    <w:p w14:paraId="496B0C85" w14:textId="77777777" w:rsidR="006D528A" w:rsidRPr="00412829" w:rsidRDefault="006D528A" w:rsidP="001260FB">
      <w:pPr>
        <w:pStyle w:val="RPI-Text"/>
      </w:pPr>
      <w:r w:rsidRPr="00412829">
        <w:t>Consistent effects on BMD were observed regardless of baseline age, baseline BMD, and geographic region at the lumbar spine and total hip.</w:t>
      </w:r>
    </w:p>
    <w:p w14:paraId="3A1875F8" w14:textId="06E320AB" w:rsidR="00D80788" w:rsidRPr="00412829" w:rsidRDefault="00D80788" w:rsidP="00396561">
      <w:pPr>
        <w:pStyle w:val="RPI-Caption"/>
      </w:pPr>
      <w:r w:rsidRPr="00412829">
        <w:t xml:space="preserve">Table </w:t>
      </w:r>
      <w:r w:rsidR="00B8748A" w:rsidRPr="00412829">
        <w:t>5</w:t>
      </w:r>
      <w:r w:rsidRPr="00412829">
        <w:t xml:space="preserve">. </w:t>
      </w:r>
      <w:r w:rsidR="00EF6740" w:rsidRPr="00412829">
        <w:t xml:space="preserve"> </w:t>
      </w:r>
      <w:r w:rsidRPr="00412829">
        <w:t>Mean Percent Change in BMD From Baseline through Month 12 and Month 24</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2268"/>
        <w:gridCol w:w="2413"/>
        <w:gridCol w:w="2268"/>
      </w:tblGrid>
      <w:tr w:rsidR="00F03C3C" w:rsidRPr="00412829" w14:paraId="33B3DB46" w14:textId="77777777" w:rsidTr="00472DB3">
        <w:trPr>
          <w:trHeight w:val="1196"/>
          <w:jc w:val="center"/>
        </w:trPr>
        <w:tc>
          <w:tcPr>
            <w:tcW w:w="1758" w:type="dxa"/>
            <w:shd w:val="clear" w:color="auto" w:fill="auto"/>
            <w:vAlign w:val="center"/>
          </w:tcPr>
          <w:p w14:paraId="19E79172" w14:textId="77777777" w:rsidR="00F03C3C" w:rsidRPr="00412829" w:rsidRDefault="00F03C3C" w:rsidP="00575625">
            <w:pPr>
              <w:pStyle w:val="TableLeftAlign"/>
              <w:keepNext/>
              <w:keepLines/>
              <w:tabs>
                <w:tab w:val="left" w:pos="270"/>
              </w:tabs>
              <w:spacing w:before="120" w:after="120" w:line="360" w:lineRule="auto"/>
              <w:jc w:val="center"/>
              <w:rPr>
                <w:rFonts w:cs="Arial"/>
                <w:b/>
                <w:sz w:val="18"/>
                <w:szCs w:val="22"/>
              </w:rPr>
            </w:pPr>
          </w:p>
        </w:tc>
        <w:tc>
          <w:tcPr>
            <w:tcW w:w="2268" w:type="dxa"/>
            <w:shd w:val="clear" w:color="auto" w:fill="auto"/>
            <w:vAlign w:val="center"/>
          </w:tcPr>
          <w:p w14:paraId="63C394E9" w14:textId="77777777" w:rsidR="00F03C3C" w:rsidRPr="00412829" w:rsidRDefault="00F03C3C" w:rsidP="002F75FA">
            <w:pPr>
              <w:pStyle w:val="RPI-TableCenterAligned"/>
              <w:rPr>
                <w:b/>
              </w:rPr>
            </w:pPr>
            <w:r w:rsidRPr="00412829">
              <w:rPr>
                <w:b/>
              </w:rPr>
              <w:t>Alendronate-to-alendronate</w:t>
            </w:r>
          </w:p>
          <w:p w14:paraId="613487F5" w14:textId="77777777" w:rsidR="00F03C3C" w:rsidRPr="00412829" w:rsidRDefault="00F03C3C" w:rsidP="002F75FA">
            <w:pPr>
              <w:pStyle w:val="RPI-TableCenterAligned"/>
              <w:rPr>
                <w:b/>
              </w:rPr>
            </w:pPr>
            <w:r w:rsidRPr="00412829">
              <w:rPr>
                <w:b/>
              </w:rPr>
              <w:t>Mean (95% CI)</w:t>
            </w:r>
          </w:p>
          <w:p w14:paraId="3750AFA0" w14:textId="77777777" w:rsidR="00F03C3C" w:rsidRPr="00412829" w:rsidRDefault="00F03C3C" w:rsidP="002F75FA">
            <w:pPr>
              <w:pStyle w:val="RPI-TableCenterAligned"/>
            </w:pPr>
            <w:r w:rsidRPr="00412829">
              <w:t>N = 1757</w:t>
            </w:r>
            <w:r w:rsidRPr="00412829">
              <w:rPr>
                <w:vertAlign w:val="superscript"/>
              </w:rPr>
              <w:t>a</w:t>
            </w:r>
          </w:p>
        </w:tc>
        <w:tc>
          <w:tcPr>
            <w:tcW w:w="2413" w:type="dxa"/>
            <w:shd w:val="clear" w:color="auto" w:fill="auto"/>
            <w:vAlign w:val="center"/>
          </w:tcPr>
          <w:p w14:paraId="2D6E5D00" w14:textId="77777777" w:rsidR="00F03C3C" w:rsidRPr="00412829" w:rsidRDefault="00F03C3C" w:rsidP="002F75FA">
            <w:pPr>
              <w:pStyle w:val="RPI-TableCenterAligned"/>
              <w:rPr>
                <w:b/>
              </w:rPr>
            </w:pPr>
            <w:r w:rsidRPr="00412829">
              <w:rPr>
                <w:b/>
              </w:rPr>
              <w:t>EVENITY-to-alendronate</w:t>
            </w:r>
          </w:p>
          <w:p w14:paraId="7DF29499" w14:textId="77777777" w:rsidR="00F03C3C" w:rsidRPr="00412829" w:rsidRDefault="00F03C3C" w:rsidP="002F75FA">
            <w:pPr>
              <w:pStyle w:val="RPI-TableCenterAligned"/>
              <w:rPr>
                <w:b/>
              </w:rPr>
            </w:pPr>
            <w:r w:rsidRPr="00412829">
              <w:rPr>
                <w:b/>
              </w:rPr>
              <w:t>Mean (95% CI)</w:t>
            </w:r>
          </w:p>
          <w:p w14:paraId="5E3BBC59" w14:textId="77777777" w:rsidR="00F03C3C" w:rsidRPr="00412829" w:rsidRDefault="00F03C3C" w:rsidP="002F75FA">
            <w:pPr>
              <w:pStyle w:val="RPI-TableCenterAligned"/>
            </w:pPr>
            <w:r w:rsidRPr="00412829">
              <w:t>N = 1750</w:t>
            </w:r>
            <w:r w:rsidRPr="00412829">
              <w:rPr>
                <w:vertAlign w:val="superscript"/>
              </w:rPr>
              <w:t>a</w:t>
            </w:r>
          </w:p>
        </w:tc>
        <w:tc>
          <w:tcPr>
            <w:tcW w:w="2268" w:type="dxa"/>
            <w:shd w:val="clear" w:color="auto" w:fill="auto"/>
            <w:vAlign w:val="center"/>
          </w:tcPr>
          <w:p w14:paraId="34B58B75" w14:textId="77777777" w:rsidR="00F03C3C" w:rsidRPr="00412829" w:rsidRDefault="00F03C3C" w:rsidP="002F75FA">
            <w:pPr>
              <w:pStyle w:val="RPI-TableCenterAligned"/>
              <w:rPr>
                <w:b/>
              </w:rPr>
            </w:pPr>
            <w:r w:rsidRPr="00412829">
              <w:rPr>
                <w:b/>
              </w:rPr>
              <w:t>Treatment Difference From Alendronate-to-alendronate</w:t>
            </w:r>
          </w:p>
        </w:tc>
      </w:tr>
      <w:tr w:rsidR="00F03C3C" w:rsidRPr="00412829" w14:paraId="2FCEF1D3" w14:textId="77777777" w:rsidTr="00472DB3">
        <w:trPr>
          <w:trHeight w:val="219"/>
          <w:jc w:val="center"/>
        </w:trPr>
        <w:tc>
          <w:tcPr>
            <w:tcW w:w="8707" w:type="dxa"/>
            <w:gridSpan w:val="4"/>
            <w:shd w:val="clear" w:color="auto" w:fill="auto"/>
          </w:tcPr>
          <w:p w14:paraId="15EFE91E" w14:textId="77777777" w:rsidR="00F03C3C" w:rsidRPr="00412829" w:rsidRDefault="00F03C3C" w:rsidP="00751A83">
            <w:pPr>
              <w:pStyle w:val="RPI-TableLeftAligned"/>
              <w:keepNext/>
              <w:rPr>
                <w:b/>
                <w:i/>
              </w:rPr>
            </w:pPr>
            <w:r w:rsidRPr="00412829">
              <w:rPr>
                <w:b/>
                <w:i/>
              </w:rPr>
              <w:t>At Month 12</w:t>
            </w:r>
          </w:p>
        </w:tc>
      </w:tr>
      <w:tr w:rsidR="00F03C3C" w:rsidRPr="00412829" w14:paraId="1E461ADB" w14:textId="77777777" w:rsidTr="00472DB3">
        <w:trPr>
          <w:trHeight w:val="254"/>
          <w:jc w:val="center"/>
        </w:trPr>
        <w:tc>
          <w:tcPr>
            <w:tcW w:w="1758" w:type="dxa"/>
            <w:shd w:val="clear" w:color="auto" w:fill="auto"/>
          </w:tcPr>
          <w:p w14:paraId="312001E5" w14:textId="77777777" w:rsidR="00F03C3C" w:rsidRPr="00412829" w:rsidRDefault="00F03C3C" w:rsidP="002F75FA">
            <w:pPr>
              <w:pStyle w:val="RPI-TableLeftAligned"/>
            </w:pPr>
            <w:r w:rsidRPr="00412829">
              <w:t>Lumbar spine</w:t>
            </w:r>
          </w:p>
        </w:tc>
        <w:tc>
          <w:tcPr>
            <w:tcW w:w="2268" w:type="dxa"/>
            <w:shd w:val="clear" w:color="auto" w:fill="auto"/>
            <w:vAlign w:val="center"/>
          </w:tcPr>
          <w:p w14:paraId="33F58AA7" w14:textId="77777777" w:rsidR="00F03C3C" w:rsidRPr="00412829" w:rsidRDefault="00F03C3C" w:rsidP="002F75FA">
            <w:pPr>
              <w:pStyle w:val="RPI-TableCenterAligned"/>
              <w:rPr>
                <w:rFonts w:cs="Arial"/>
              </w:rPr>
            </w:pPr>
            <w:r w:rsidRPr="00412829">
              <w:t>5.0 (4.73, 5.21)</w:t>
            </w:r>
          </w:p>
        </w:tc>
        <w:tc>
          <w:tcPr>
            <w:tcW w:w="2413" w:type="dxa"/>
            <w:shd w:val="clear" w:color="auto" w:fill="auto"/>
            <w:vAlign w:val="center"/>
          </w:tcPr>
          <w:p w14:paraId="6DD5080D" w14:textId="77777777" w:rsidR="00F03C3C" w:rsidRPr="00412829" w:rsidRDefault="00F03C3C" w:rsidP="002F75FA">
            <w:pPr>
              <w:pStyle w:val="RPI-TableCenterAligned"/>
              <w:rPr>
                <w:rFonts w:cs="Arial"/>
              </w:rPr>
            </w:pPr>
            <w:r w:rsidRPr="00412829">
              <w:t>13.7 (13.36, 13.99)</w:t>
            </w:r>
          </w:p>
        </w:tc>
        <w:tc>
          <w:tcPr>
            <w:tcW w:w="2268" w:type="dxa"/>
            <w:shd w:val="clear" w:color="auto" w:fill="auto"/>
            <w:vAlign w:val="center"/>
          </w:tcPr>
          <w:p w14:paraId="20A2BD55" w14:textId="540E29A3" w:rsidR="00F03C3C" w:rsidRPr="00412829" w:rsidRDefault="00F03C3C" w:rsidP="002F75FA">
            <w:pPr>
              <w:pStyle w:val="RPI-TableCenterAligned"/>
              <w:rPr>
                <w:rFonts w:cs="Arial"/>
              </w:rPr>
            </w:pPr>
            <w:r w:rsidRPr="00412829">
              <w:t>8.7</w:t>
            </w:r>
            <w:r w:rsidRPr="00412829">
              <w:rPr>
                <w:vertAlign w:val="superscript"/>
              </w:rPr>
              <w:t>b</w:t>
            </w:r>
            <w:r w:rsidRPr="00412829">
              <w:t xml:space="preserve"> (8.31, 9.09)</w:t>
            </w:r>
          </w:p>
        </w:tc>
      </w:tr>
      <w:tr w:rsidR="00F03C3C" w:rsidRPr="00412829" w14:paraId="6129F4AD" w14:textId="77777777" w:rsidTr="00472DB3">
        <w:trPr>
          <w:trHeight w:val="228"/>
          <w:jc w:val="center"/>
        </w:trPr>
        <w:tc>
          <w:tcPr>
            <w:tcW w:w="1758" w:type="dxa"/>
            <w:shd w:val="clear" w:color="auto" w:fill="auto"/>
          </w:tcPr>
          <w:p w14:paraId="02810726" w14:textId="77777777" w:rsidR="00F03C3C" w:rsidRPr="00412829" w:rsidRDefault="00F03C3C" w:rsidP="002F75FA">
            <w:pPr>
              <w:pStyle w:val="RPI-TableLeftAligned"/>
            </w:pPr>
            <w:r w:rsidRPr="00412829">
              <w:t xml:space="preserve">Total hip </w:t>
            </w:r>
          </w:p>
        </w:tc>
        <w:tc>
          <w:tcPr>
            <w:tcW w:w="2268" w:type="dxa"/>
            <w:shd w:val="clear" w:color="auto" w:fill="auto"/>
            <w:vAlign w:val="center"/>
          </w:tcPr>
          <w:p w14:paraId="2AFBEA23" w14:textId="77777777" w:rsidR="00F03C3C" w:rsidRPr="00412829" w:rsidRDefault="00F03C3C" w:rsidP="002F75FA">
            <w:pPr>
              <w:pStyle w:val="RPI-TableCenterAligned"/>
              <w:rPr>
                <w:rFonts w:cs="Arial"/>
              </w:rPr>
            </w:pPr>
            <w:r w:rsidRPr="00412829">
              <w:t>2.8 (2.67, 3.02)</w:t>
            </w:r>
          </w:p>
        </w:tc>
        <w:tc>
          <w:tcPr>
            <w:tcW w:w="2413" w:type="dxa"/>
            <w:shd w:val="clear" w:color="auto" w:fill="auto"/>
            <w:vAlign w:val="center"/>
          </w:tcPr>
          <w:p w14:paraId="1D521670" w14:textId="77777777" w:rsidR="00F03C3C" w:rsidRPr="00412829" w:rsidRDefault="00F03C3C" w:rsidP="002F75FA">
            <w:pPr>
              <w:pStyle w:val="RPI-TableCenterAligned"/>
              <w:rPr>
                <w:rFonts w:cs="Arial"/>
              </w:rPr>
            </w:pPr>
            <w:r w:rsidRPr="00412829">
              <w:t>6.2 (5.94, 6.39)</w:t>
            </w:r>
          </w:p>
        </w:tc>
        <w:tc>
          <w:tcPr>
            <w:tcW w:w="2268" w:type="dxa"/>
            <w:shd w:val="clear" w:color="auto" w:fill="auto"/>
            <w:vAlign w:val="center"/>
          </w:tcPr>
          <w:p w14:paraId="7133895F" w14:textId="3E603605" w:rsidR="00F03C3C" w:rsidRPr="00412829" w:rsidRDefault="00F03C3C" w:rsidP="002F75FA">
            <w:pPr>
              <w:pStyle w:val="RPI-TableCenterAligned"/>
              <w:rPr>
                <w:rFonts w:cs="Arial"/>
              </w:rPr>
            </w:pPr>
            <w:r w:rsidRPr="00412829">
              <w:t>3.3</w:t>
            </w:r>
            <w:r w:rsidRPr="00412829">
              <w:rPr>
                <w:vertAlign w:val="superscript"/>
              </w:rPr>
              <w:t>b</w:t>
            </w:r>
            <w:r w:rsidRPr="00412829">
              <w:t xml:space="preserve"> (3.03, 3.60)</w:t>
            </w:r>
          </w:p>
        </w:tc>
      </w:tr>
      <w:tr w:rsidR="00F03C3C" w:rsidRPr="00412829" w14:paraId="1D034D13" w14:textId="77777777" w:rsidTr="00472DB3">
        <w:trPr>
          <w:trHeight w:val="281"/>
          <w:jc w:val="center"/>
        </w:trPr>
        <w:tc>
          <w:tcPr>
            <w:tcW w:w="1758" w:type="dxa"/>
            <w:shd w:val="clear" w:color="auto" w:fill="auto"/>
          </w:tcPr>
          <w:p w14:paraId="219C71BB" w14:textId="77777777" w:rsidR="00F03C3C" w:rsidRPr="00412829" w:rsidRDefault="00F03C3C" w:rsidP="002F75FA">
            <w:pPr>
              <w:pStyle w:val="RPI-TableLeftAligned"/>
            </w:pPr>
            <w:r w:rsidRPr="00412829">
              <w:t>Femoral neck</w:t>
            </w:r>
          </w:p>
        </w:tc>
        <w:tc>
          <w:tcPr>
            <w:tcW w:w="2268" w:type="dxa"/>
            <w:shd w:val="clear" w:color="auto" w:fill="auto"/>
            <w:vAlign w:val="center"/>
          </w:tcPr>
          <w:p w14:paraId="09C3E775" w14:textId="77777777" w:rsidR="00F03C3C" w:rsidRPr="00412829" w:rsidRDefault="00F03C3C" w:rsidP="002F75FA">
            <w:pPr>
              <w:pStyle w:val="RPI-TableCenterAligned"/>
              <w:rPr>
                <w:rFonts w:cs="Arial"/>
              </w:rPr>
            </w:pPr>
            <w:r w:rsidRPr="00412829">
              <w:t>1.7 (1.46, 1.98)</w:t>
            </w:r>
          </w:p>
        </w:tc>
        <w:tc>
          <w:tcPr>
            <w:tcW w:w="2413" w:type="dxa"/>
            <w:shd w:val="clear" w:color="auto" w:fill="auto"/>
            <w:vAlign w:val="center"/>
          </w:tcPr>
          <w:p w14:paraId="3B9322C9" w14:textId="77777777" w:rsidR="00F03C3C" w:rsidRPr="00412829" w:rsidRDefault="00F03C3C" w:rsidP="002F75FA">
            <w:pPr>
              <w:pStyle w:val="RPI-TableCenterAligned"/>
              <w:rPr>
                <w:rFonts w:cs="Arial"/>
              </w:rPr>
            </w:pPr>
            <w:r w:rsidRPr="00412829">
              <w:t>4.9 (4.65, 5.23)</w:t>
            </w:r>
          </w:p>
        </w:tc>
        <w:tc>
          <w:tcPr>
            <w:tcW w:w="2268" w:type="dxa"/>
            <w:shd w:val="clear" w:color="auto" w:fill="auto"/>
            <w:vAlign w:val="center"/>
          </w:tcPr>
          <w:p w14:paraId="16AA441A" w14:textId="0C053590" w:rsidR="00F03C3C" w:rsidRPr="00412829" w:rsidRDefault="00F03C3C" w:rsidP="002F75FA">
            <w:pPr>
              <w:pStyle w:val="RPI-TableCenterAligned"/>
              <w:rPr>
                <w:rFonts w:cs="Arial"/>
              </w:rPr>
            </w:pPr>
            <w:r w:rsidRPr="00412829">
              <w:t>3.2</w:t>
            </w:r>
            <w:r w:rsidRPr="00412829">
              <w:rPr>
                <w:vertAlign w:val="superscript"/>
              </w:rPr>
              <w:t>b</w:t>
            </w:r>
            <w:r w:rsidRPr="00412829">
              <w:t xml:space="preserve"> (2.90, 3.54)</w:t>
            </w:r>
          </w:p>
        </w:tc>
      </w:tr>
      <w:tr w:rsidR="00F03C3C" w:rsidRPr="00412829" w14:paraId="69D701F3" w14:textId="77777777" w:rsidTr="00472DB3">
        <w:trPr>
          <w:trHeight w:val="219"/>
          <w:jc w:val="center"/>
        </w:trPr>
        <w:tc>
          <w:tcPr>
            <w:tcW w:w="8707" w:type="dxa"/>
            <w:gridSpan w:val="4"/>
            <w:shd w:val="clear" w:color="auto" w:fill="auto"/>
          </w:tcPr>
          <w:p w14:paraId="22B08B26" w14:textId="77777777" w:rsidR="00F03C3C" w:rsidRPr="00412829" w:rsidRDefault="00F03C3C" w:rsidP="002F75FA">
            <w:pPr>
              <w:pStyle w:val="RPI-TableLeftAligned"/>
              <w:rPr>
                <w:b/>
                <w:i/>
              </w:rPr>
            </w:pPr>
            <w:r w:rsidRPr="00412829">
              <w:rPr>
                <w:b/>
                <w:i/>
              </w:rPr>
              <w:t>At Month 24</w:t>
            </w:r>
          </w:p>
        </w:tc>
      </w:tr>
      <w:tr w:rsidR="00F03C3C" w:rsidRPr="00412829" w14:paraId="06581482" w14:textId="77777777" w:rsidTr="00472DB3">
        <w:trPr>
          <w:trHeight w:val="254"/>
          <w:jc w:val="center"/>
        </w:trPr>
        <w:tc>
          <w:tcPr>
            <w:tcW w:w="1758" w:type="dxa"/>
            <w:shd w:val="clear" w:color="auto" w:fill="auto"/>
          </w:tcPr>
          <w:p w14:paraId="7872BC9D" w14:textId="77777777" w:rsidR="00F03C3C" w:rsidRPr="00412829" w:rsidRDefault="00F03C3C" w:rsidP="002F75FA">
            <w:pPr>
              <w:pStyle w:val="RPI-TableLeftAligned"/>
            </w:pPr>
            <w:r w:rsidRPr="00412829">
              <w:t>Lumbar spine</w:t>
            </w:r>
          </w:p>
        </w:tc>
        <w:tc>
          <w:tcPr>
            <w:tcW w:w="2268" w:type="dxa"/>
            <w:shd w:val="clear" w:color="auto" w:fill="auto"/>
            <w:vAlign w:val="center"/>
          </w:tcPr>
          <w:p w14:paraId="64BABE1B" w14:textId="77777777" w:rsidR="00F03C3C" w:rsidRPr="00412829" w:rsidRDefault="00F03C3C" w:rsidP="002F75FA">
            <w:pPr>
              <w:pStyle w:val="RPI-TableCenterAligned"/>
              <w:rPr>
                <w:rFonts w:cs="Arial"/>
              </w:rPr>
            </w:pPr>
            <w:r w:rsidRPr="00412829">
              <w:t>7.2 (6.90, 7.53)</w:t>
            </w:r>
          </w:p>
        </w:tc>
        <w:tc>
          <w:tcPr>
            <w:tcW w:w="2413" w:type="dxa"/>
            <w:shd w:val="clear" w:color="auto" w:fill="auto"/>
            <w:vAlign w:val="center"/>
          </w:tcPr>
          <w:p w14:paraId="6B1C0160" w14:textId="77777777" w:rsidR="00F03C3C" w:rsidRPr="00412829" w:rsidRDefault="00F03C3C" w:rsidP="002F75FA">
            <w:pPr>
              <w:pStyle w:val="RPI-TableCenterAligned"/>
              <w:rPr>
                <w:rFonts w:cs="Arial"/>
              </w:rPr>
            </w:pPr>
            <w:r w:rsidRPr="00412829">
              <w:t>15.3 (14.89, 15.69)</w:t>
            </w:r>
          </w:p>
        </w:tc>
        <w:tc>
          <w:tcPr>
            <w:tcW w:w="2268" w:type="dxa"/>
            <w:shd w:val="clear" w:color="auto" w:fill="auto"/>
            <w:vAlign w:val="center"/>
          </w:tcPr>
          <w:p w14:paraId="2C6DAB79" w14:textId="3EE47D53" w:rsidR="00F03C3C" w:rsidRPr="00412829" w:rsidRDefault="00F03C3C" w:rsidP="002F75FA">
            <w:pPr>
              <w:pStyle w:val="RPI-TableCenterAligned"/>
              <w:rPr>
                <w:rFonts w:cs="Arial"/>
              </w:rPr>
            </w:pPr>
            <w:r w:rsidRPr="00412829">
              <w:t>8.1</w:t>
            </w:r>
            <w:r w:rsidRPr="00412829">
              <w:rPr>
                <w:vertAlign w:val="superscript"/>
              </w:rPr>
              <w:t>b</w:t>
            </w:r>
            <w:r w:rsidRPr="00412829">
              <w:t xml:space="preserve"> (7.58, 8.57)</w:t>
            </w:r>
          </w:p>
        </w:tc>
      </w:tr>
      <w:tr w:rsidR="00F03C3C" w:rsidRPr="00412829" w14:paraId="1FFB099E" w14:textId="77777777" w:rsidTr="00472DB3">
        <w:trPr>
          <w:trHeight w:val="228"/>
          <w:jc w:val="center"/>
        </w:trPr>
        <w:tc>
          <w:tcPr>
            <w:tcW w:w="1758" w:type="dxa"/>
            <w:shd w:val="clear" w:color="auto" w:fill="auto"/>
          </w:tcPr>
          <w:p w14:paraId="7C1760A4" w14:textId="77777777" w:rsidR="00F03C3C" w:rsidRPr="00412829" w:rsidRDefault="00F03C3C" w:rsidP="002F75FA">
            <w:pPr>
              <w:pStyle w:val="RPI-TableLeftAligned"/>
            </w:pPr>
            <w:r w:rsidRPr="00412829">
              <w:t xml:space="preserve">Total hip </w:t>
            </w:r>
          </w:p>
        </w:tc>
        <w:tc>
          <w:tcPr>
            <w:tcW w:w="2268" w:type="dxa"/>
            <w:shd w:val="clear" w:color="auto" w:fill="auto"/>
            <w:vAlign w:val="center"/>
          </w:tcPr>
          <w:p w14:paraId="27E3743B" w14:textId="77777777" w:rsidR="00F03C3C" w:rsidRPr="00412829" w:rsidRDefault="00F03C3C" w:rsidP="002F75FA">
            <w:pPr>
              <w:pStyle w:val="RPI-TableCenterAligned"/>
              <w:rPr>
                <w:rFonts w:cs="Arial"/>
              </w:rPr>
            </w:pPr>
            <w:r w:rsidRPr="00412829">
              <w:t>3.5 (3.23, 3.68)</w:t>
            </w:r>
          </w:p>
        </w:tc>
        <w:tc>
          <w:tcPr>
            <w:tcW w:w="2413" w:type="dxa"/>
            <w:shd w:val="clear" w:color="auto" w:fill="auto"/>
            <w:vAlign w:val="center"/>
          </w:tcPr>
          <w:p w14:paraId="5BEED0A0" w14:textId="77777777" w:rsidR="00F03C3C" w:rsidRPr="00412829" w:rsidRDefault="00F03C3C" w:rsidP="002F75FA">
            <w:pPr>
              <w:pStyle w:val="RPI-TableCenterAligned"/>
              <w:rPr>
                <w:rFonts w:cs="Arial"/>
              </w:rPr>
            </w:pPr>
            <w:r w:rsidRPr="00412829">
              <w:t>7.2 (6.95, 7.48)</w:t>
            </w:r>
          </w:p>
        </w:tc>
        <w:tc>
          <w:tcPr>
            <w:tcW w:w="2268" w:type="dxa"/>
            <w:shd w:val="clear" w:color="auto" w:fill="auto"/>
            <w:vAlign w:val="center"/>
          </w:tcPr>
          <w:p w14:paraId="73C6781E" w14:textId="5EA8B2D7" w:rsidR="00F03C3C" w:rsidRPr="00412829" w:rsidRDefault="00F03C3C" w:rsidP="002F75FA">
            <w:pPr>
              <w:pStyle w:val="RPI-TableCenterAligned"/>
              <w:rPr>
                <w:rFonts w:cs="Arial"/>
              </w:rPr>
            </w:pPr>
            <w:r w:rsidRPr="00412829">
              <w:t>3.8</w:t>
            </w:r>
            <w:r w:rsidRPr="00412829">
              <w:rPr>
                <w:vertAlign w:val="superscript"/>
              </w:rPr>
              <w:t>b</w:t>
            </w:r>
            <w:r w:rsidRPr="00412829">
              <w:t xml:space="preserve"> (3.42, 4.10)</w:t>
            </w:r>
          </w:p>
        </w:tc>
      </w:tr>
      <w:tr w:rsidR="00F03C3C" w:rsidRPr="00412829" w14:paraId="26BA1038" w14:textId="77777777" w:rsidTr="00472DB3">
        <w:trPr>
          <w:trHeight w:val="281"/>
          <w:jc w:val="center"/>
        </w:trPr>
        <w:tc>
          <w:tcPr>
            <w:tcW w:w="1758" w:type="dxa"/>
            <w:shd w:val="clear" w:color="auto" w:fill="auto"/>
          </w:tcPr>
          <w:p w14:paraId="7CACA978" w14:textId="77777777" w:rsidR="00F03C3C" w:rsidRPr="00412829" w:rsidRDefault="00F03C3C" w:rsidP="002F75FA">
            <w:pPr>
              <w:pStyle w:val="RPI-TableLeftAligned"/>
            </w:pPr>
            <w:r w:rsidRPr="00412829">
              <w:t>Femoral neck</w:t>
            </w:r>
          </w:p>
        </w:tc>
        <w:tc>
          <w:tcPr>
            <w:tcW w:w="2268" w:type="dxa"/>
            <w:shd w:val="clear" w:color="auto" w:fill="auto"/>
            <w:vAlign w:val="center"/>
          </w:tcPr>
          <w:p w14:paraId="06EE4DD8" w14:textId="77777777" w:rsidR="00F03C3C" w:rsidRPr="00412829" w:rsidRDefault="00F03C3C" w:rsidP="002F75FA">
            <w:pPr>
              <w:pStyle w:val="RPI-TableCenterAligned"/>
              <w:rPr>
                <w:rFonts w:cs="Arial"/>
              </w:rPr>
            </w:pPr>
            <w:r w:rsidRPr="00412829">
              <w:t>2.3 (1.96, 2.57)</w:t>
            </w:r>
          </w:p>
        </w:tc>
        <w:tc>
          <w:tcPr>
            <w:tcW w:w="2413" w:type="dxa"/>
            <w:shd w:val="clear" w:color="auto" w:fill="auto"/>
            <w:vAlign w:val="center"/>
          </w:tcPr>
          <w:p w14:paraId="7F2D04A6" w14:textId="77777777" w:rsidR="00F03C3C" w:rsidRPr="00412829" w:rsidRDefault="00F03C3C" w:rsidP="002F75FA">
            <w:pPr>
              <w:pStyle w:val="RPI-TableCenterAligned"/>
              <w:rPr>
                <w:rFonts w:cs="Arial"/>
              </w:rPr>
            </w:pPr>
            <w:r w:rsidRPr="00412829">
              <w:t>6.0 (5.69, 6.37)</w:t>
            </w:r>
          </w:p>
        </w:tc>
        <w:tc>
          <w:tcPr>
            <w:tcW w:w="2268" w:type="dxa"/>
            <w:shd w:val="clear" w:color="auto" w:fill="auto"/>
            <w:vAlign w:val="center"/>
          </w:tcPr>
          <w:p w14:paraId="7D184272" w14:textId="08E1CC35" w:rsidR="00F03C3C" w:rsidRPr="00412829" w:rsidRDefault="00F03C3C" w:rsidP="002F75FA">
            <w:pPr>
              <w:pStyle w:val="RPI-TableCenterAligned"/>
              <w:rPr>
                <w:rFonts w:cs="Arial"/>
              </w:rPr>
            </w:pPr>
            <w:r w:rsidRPr="00412829">
              <w:t>3.8</w:t>
            </w:r>
            <w:r w:rsidRPr="00412829">
              <w:rPr>
                <w:vertAlign w:val="superscript"/>
              </w:rPr>
              <w:t>b</w:t>
            </w:r>
            <w:r w:rsidRPr="00412829">
              <w:t xml:space="preserve"> (3.40, 4.14)</w:t>
            </w:r>
          </w:p>
        </w:tc>
      </w:tr>
    </w:tbl>
    <w:p w14:paraId="4B0CF11C" w14:textId="2EFE1B41" w:rsidR="00F03C3C" w:rsidRPr="00412829" w:rsidRDefault="001260FB" w:rsidP="001260FB">
      <w:pPr>
        <w:pStyle w:val="RPI-FootnoteText"/>
        <w:rPr>
          <w:lang w:val="en-AU" w:eastAsia="en-AU"/>
        </w:rPr>
      </w:pPr>
      <w:r w:rsidRPr="00412829">
        <w:rPr>
          <w:vertAlign w:val="superscript"/>
          <w:lang w:val="en-AU" w:eastAsia="en-AU"/>
        </w:rPr>
        <w:t xml:space="preserve">a </w:t>
      </w:r>
      <w:r w:rsidR="00F03C3C" w:rsidRPr="00412829">
        <w:rPr>
          <w:lang w:val="en-AU" w:eastAsia="en-AU"/>
        </w:rPr>
        <w:t>Number of women randomi</w:t>
      </w:r>
      <w:r w:rsidR="00476A94" w:rsidRPr="00412829">
        <w:rPr>
          <w:lang w:val="en-AU" w:eastAsia="en-AU"/>
        </w:rPr>
        <w:t>s</w:t>
      </w:r>
      <w:r w:rsidR="00F03C3C" w:rsidRPr="00412829">
        <w:rPr>
          <w:lang w:val="en-AU" w:eastAsia="en-AU"/>
        </w:rPr>
        <w:t>ed</w:t>
      </w:r>
    </w:p>
    <w:p w14:paraId="57726CCE" w14:textId="65686780" w:rsidR="00D80788" w:rsidRPr="00412829" w:rsidRDefault="001260FB" w:rsidP="001260FB">
      <w:pPr>
        <w:pStyle w:val="RPI-FootnoteText"/>
        <w:rPr>
          <w:lang w:val="en-AU" w:eastAsia="en-AU"/>
        </w:rPr>
      </w:pPr>
      <w:r w:rsidRPr="00412829">
        <w:rPr>
          <w:vertAlign w:val="superscript"/>
          <w:lang w:val="en-AU" w:eastAsia="en-AU"/>
        </w:rPr>
        <w:t xml:space="preserve">b </w:t>
      </w:r>
      <w:r w:rsidR="00F03C3C" w:rsidRPr="00412829">
        <w:rPr>
          <w:lang w:val="en-AU" w:eastAsia="en-AU"/>
        </w:rPr>
        <w:t>p-value &lt;</w:t>
      </w:r>
      <w:r w:rsidR="001F363F" w:rsidRPr="00412829">
        <w:rPr>
          <w:lang w:val="en-AU" w:eastAsia="en-AU"/>
        </w:rPr>
        <w:t> </w:t>
      </w:r>
      <w:r w:rsidR="00F03C3C" w:rsidRPr="00412829">
        <w:rPr>
          <w:lang w:val="en-AU" w:eastAsia="en-AU"/>
        </w:rPr>
        <w:t>0.001 based on an ANCOVA model</w:t>
      </w:r>
    </w:p>
    <w:p w14:paraId="52C73507" w14:textId="5268FFE2" w:rsidR="007423AE" w:rsidRPr="00412829" w:rsidRDefault="007423AE" w:rsidP="001260FB">
      <w:pPr>
        <w:pStyle w:val="RPI-Text"/>
      </w:pPr>
      <w:r w:rsidRPr="00412829">
        <w:t>Among women with BMD assessed at baseline and every 6 months, EVENITY significantly increased BMD at the lumbar spine, total hip, and femoral neck compared to alendronate alone through month 24.  Following the double</w:t>
      </w:r>
      <w:r w:rsidR="00735FF9" w:rsidRPr="00412829">
        <w:t>-</w:t>
      </w:r>
      <w:r w:rsidRPr="00412829">
        <w:t xml:space="preserve">blind period, in patients who transitioned from EVENITY to alendronate and in patients who continued on alendronate, BMD continued to increase through month 24.  The differences in BMD achieved at month 12 between patients who initially received EVENITY or alendronate were maintained at month 24 (Figure </w:t>
      </w:r>
      <w:r w:rsidR="00567B60" w:rsidRPr="00412829">
        <w:t>3</w:t>
      </w:r>
      <w:r w:rsidRPr="00412829">
        <w:t xml:space="preserve">).  </w:t>
      </w:r>
    </w:p>
    <w:p w14:paraId="22DDE405" w14:textId="77777777" w:rsidR="00161A6E" w:rsidRPr="00412829" w:rsidRDefault="00161A6E" w:rsidP="001260FB">
      <w:pPr>
        <w:pStyle w:val="RPI-Text"/>
        <w:rPr>
          <w:bCs/>
        </w:rPr>
      </w:pPr>
      <w:r w:rsidRPr="00412829">
        <w:rPr>
          <w:bCs/>
        </w:rPr>
        <w:t xml:space="preserve">Treatment differences in BMD at 6 months were 7.6% at the lumbar spine, 2.2% at the total hip, and 2.9% at the femoral neck.  After 12 months, the treatment differences were 8.9% at the lumbar spine, 3.7% at the total hip, and 4.1% at the femoral neck.  At 18 months, women who received EVENITY followed by alendronate maintained gains in BMD compared to women who continued on alendronate, with treatment differences of 9.3% at the lumbar spine, 4.3% at the total hip, and 5.4% at the femoral neck.  At 24 </w:t>
      </w:r>
      <w:r w:rsidRPr="00412829">
        <w:rPr>
          <w:bCs/>
        </w:rPr>
        <w:lastRenderedPageBreak/>
        <w:t>months, women who received EVENITY followed by alendronate maintained gains in BMD compared to women who continued on alendronate, with treatment differences of 9.4% at the lumbar spine, 4.3% at the total hip, and 5.3% at the femoral neck.</w:t>
      </w:r>
    </w:p>
    <w:p w14:paraId="1C59C535" w14:textId="6777CD53" w:rsidR="00FE7A34" w:rsidRPr="00412829" w:rsidRDefault="00FE7A34" w:rsidP="00396561">
      <w:pPr>
        <w:pStyle w:val="RPI-Caption"/>
      </w:pPr>
      <w:r w:rsidRPr="00412829">
        <w:t xml:space="preserve">Figure </w:t>
      </w:r>
      <w:r w:rsidR="006854F9" w:rsidRPr="00412829">
        <w:t>3</w:t>
      </w:r>
      <w:r w:rsidRPr="00412829">
        <w:t xml:space="preserve">. </w:t>
      </w:r>
      <w:r w:rsidR="00FF135E">
        <w:t xml:space="preserve"> </w:t>
      </w:r>
      <w:r w:rsidRPr="00412829">
        <w:t>Percent Change in BMD at Lumbar Spine, Total Hip, and Femoral Neck From Baseline Over 24 Months</w:t>
      </w:r>
    </w:p>
    <w:p w14:paraId="5A4C15AC" w14:textId="0F097CC7" w:rsidR="006D528A" w:rsidRPr="00412829" w:rsidRDefault="00472DB3" w:rsidP="00472DB3">
      <w:pPr>
        <w:pStyle w:val="RPI-Heading3"/>
        <w:keepNext w:val="0"/>
        <w:jc w:val="center"/>
        <w:rPr>
          <w:bCs/>
          <w:u w:val="none"/>
        </w:rPr>
      </w:pPr>
      <w:r>
        <w:rPr>
          <w:bCs/>
          <w:noProof/>
          <w:u w:val="none"/>
          <w:lang w:eastAsia="en-AU"/>
        </w:rPr>
        <w:drawing>
          <wp:inline distT="0" distB="0" distL="0" distR="0" wp14:anchorId="6A49B4F0" wp14:editId="3973E74D">
            <wp:extent cx="5505450" cy="2737485"/>
            <wp:effectExtent l="0" t="0" r="0" b="5715"/>
            <wp:docPr id="9" name="Picture 9" descr="GRH0596 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5450" cy="2737485"/>
                    </a:xfrm>
                    <a:prstGeom prst="rect">
                      <a:avLst/>
                    </a:prstGeom>
                    <a:noFill/>
                  </pic:spPr>
                </pic:pic>
              </a:graphicData>
            </a:graphic>
          </wp:inline>
        </w:drawing>
      </w:r>
    </w:p>
    <w:p w14:paraId="06CA4F8F" w14:textId="77777777" w:rsidR="00740499" w:rsidRPr="00412829" w:rsidRDefault="00740499" w:rsidP="005A76B5">
      <w:pPr>
        <w:pStyle w:val="RPI-Textbold"/>
        <w:keepNext/>
      </w:pPr>
      <w:r w:rsidRPr="00412829">
        <w:t>Study 2 (placebo-controlled)</w:t>
      </w:r>
    </w:p>
    <w:p w14:paraId="1A5AD6FA" w14:textId="40C243EA" w:rsidR="00740499" w:rsidRPr="00412829" w:rsidRDefault="00740499" w:rsidP="002556DE">
      <w:pPr>
        <w:pStyle w:val="RPI-Textbold"/>
      </w:pPr>
      <w:r w:rsidRPr="00412829">
        <w:t xml:space="preserve">Placebo-controlled FRActure </w:t>
      </w:r>
      <w:r w:rsidR="002D46B1" w:rsidRPr="00412829">
        <w:t xml:space="preserve">study </w:t>
      </w:r>
      <w:r w:rsidRPr="00412829">
        <w:t xml:space="preserve">in </w:t>
      </w:r>
      <w:r w:rsidR="0088415B" w:rsidRPr="00412829">
        <w:t xml:space="preserve">postmenopausal woMen </w:t>
      </w:r>
      <w:r w:rsidRPr="00412829">
        <w:t xml:space="preserve">with </w:t>
      </w:r>
      <w:r w:rsidR="004A6266">
        <w:t>o</w:t>
      </w:r>
      <w:r w:rsidR="004A6266" w:rsidRPr="00412829">
        <w:t xml:space="preserve">stEoporosis </w:t>
      </w:r>
      <w:r w:rsidRPr="00412829">
        <w:t>(FRAME):</w:t>
      </w:r>
    </w:p>
    <w:p w14:paraId="29F5E6E0" w14:textId="440AB464" w:rsidR="00740499" w:rsidRPr="00412829" w:rsidRDefault="00740499" w:rsidP="001260FB">
      <w:pPr>
        <w:pStyle w:val="RPI-Text"/>
      </w:pPr>
      <w:r w:rsidRPr="00412829">
        <w:t>The efficacy and safety of EVENITY in the treatment of postmenopausal osteoporosis was demonstrated in a multicentr</w:t>
      </w:r>
      <w:r w:rsidR="000248D3" w:rsidRPr="00412829">
        <w:t>e</w:t>
      </w:r>
      <w:r w:rsidRPr="00412829">
        <w:t>, multinational, randomised, double-blind, placebo</w:t>
      </w:r>
      <w:r w:rsidR="00EC51C0">
        <w:noBreakHyphen/>
      </w:r>
      <w:r w:rsidRPr="00412829">
        <w:t>controlled, parallel-group study of 7180 postmenopausal women aged 55 to 90 years (mean age of 70.9 years)</w:t>
      </w:r>
      <w:r w:rsidR="00171809" w:rsidRPr="00412829">
        <w:t xml:space="preserve">, with a mean of </w:t>
      </w:r>
      <w:r w:rsidR="00E76A76" w:rsidRPr="00412829">
        <w:t>23.0</w:t>
      </w:r>
      <w:r w:rsidR="00171809" w:rsidRPr="00412829">
        <w:t xml:space="preserve"> years since menopause</w:t>
      </w:r>
      <w:r w:rsidRPr="00412829">
        <w:t xml:space="preserve">. </w:t>
      </w:r>
      <w:r w:rsidR="00FF135E">
        <w:t xml:space="preserve"> </w:t>
      </w:r>
      <w:r w:rsidR="00426697" w:rsidRPr="00412829">
        <w:rPr>
          <w:lang w:val="en-US"/>
        </w:rPr>
        <w:t xml:space="preserve">Prior use of osteoporosis medications was reported in </w:t>
      </w:r>
      <w:r w:rsidR="00D478CE" w:rsidRPr="00412829">
        <w:t>6.</w:t>
      </w:r>
      <w:r w:rsidR="00EF3CA5" w:rsidRPr="00412829">
        <w:t>8</w:t>
      </w:r>
      <w:r w:rsidR="00C04E69" w:rsidRPr="00412829">
        <w:t>% of women</w:t>
      </w:r>
      <w:r w:rsidR="00463680" w:rsidRPr="00412829">
        <w:t xml:space="preserve">, with </w:t>
      </w:r>
      <w:r w:rsidR="00C04E69" w:rsidRPr="00412829">
        <w:t>oral bisphosphonates the most frequently reported (4.9%).</w:t>
      </w:r>
      <w:r w:rsidRPr="00412829">
        <w:t xml:space="preserve"> </w:t>
      </w:r>
      <w:r w:rsidR="00FF135E">
        <w:t xml:space="preserve"> </w:t>
      </w:r>
      <w:r w:rsidRPr="00412829">
        <w:t xml:space="preserve">Enrolled women had a baseline bone mineral density (BMD) T-score </w:t>
      </w:r>
      <w:r w:rsidRPr="00412829">
        <w:rPr>
          <w:rFonts w:eastAsia="Calibri"/>
        </w:rPr>
        <w:t>at the</w:t>
      </w:r>
      <w:r w:rsidR="004138C1" w:rsidRPr="00412829">
        <w:rPr>
          <w:rFonts w:eastAsia="Calibri"/>
        </w:rPr>
        <w:t xml:space="preserve"> total hip or femoral neck of ≤ </w:t>
      </w:r>
      <w:r w:rsidRPr="00412829">
        <w:rPr>
          <w:rFonts w:eastAsia="Calibri"/>
        </w:rPr>
        <w:t>−</w:t>
      </w:r>
      <w:r w:rsidR="0089353A" w:rsidRPr="00412829">
        <w:rPr>
          <w:rFonts w:eastAsia="Calibri"/>
        </w:rPr>
        <w:t>2.50 to &gt; </w:t>
      </w:r>
      <w:r w:rsidRPr="00412829">
        <w:rPr>
          <w:rFonts w:eastAsia="Calibri"/>
        </w:rPr>
        <w:t>−3.5</w:t>
      </w:r>
      <w:r w:rsidRPr="00412829">
        <w:t xml:space="preserve">.  The mean baseline lumbar spine, total hip, and femoral neck BMD T-scores were –2.72, </w:t>
      </w:r>
      <w:r w:rsidRPr="00412829">
        <w:rPr>
          <w:rFonts w:eastAsia="Calibri"/>
        </w:rPr>
        <w:t>−</w:t>
      </w:r>
      <w:r w:rsidRPr="00412829">
        <w:t xml:space="preserve">2.47, and –2.75, respectively, and 18.3% of women had a vertebral fracture at baseline. </w:t>
      </w:r>
      <w:r w:rsidR="00FF135E">
        <w:t xml:space="preserve"> </w:t>
      </w:r>
      <w:r w:rsidR="005E434E" w:rsidRPr="00412829">
        <w:t>The mean 10</w:t>
      </w:r>
      <w:r w:rsidR="00FF135E">
        <w:noBreakHyphen/>
      </w:r>
      <w:r w:rsidR="005E434E" w:rsidRPr="00412829">
        <w:t>year probabilities of major osteoporotic</w:t>
      </w:r>
      <w:r w:rsidR="00C703EB" w:rsidRPr="00412829">
        <w:t xml:space="preserve"> fractures and hip fractures calculated with femoral neck BMD were </w:t>
      </w:r>
      <w:r w:rsidR="00020E9D" w:rsidRPr="00412829">
        <w:t>13.2</w:t>
      </w:r>
      <w:r w:rsidR="00C703EB" w:rsidRPr="00412829">
        <w:t xml:space="preserve">% and </w:t>
      </w:r>
      <w:r w:rsidR="00020E9D" w:rsidRPr="00412829">
        <w:t>5.7</w:t>
      </w:r>
      <w:r w:rsidR="00C703EB" w:rsidRPr="00412829">
        <w:t>% respectively.</w:t>
      </w:r>
      <w:r w:rsidRPr="00412829">
        <w:t xml:space="preserve"> </w:t>
      </w:r>
      <w:r w:rsidR="00FF135E">
        <w:t xml:space="preserve"> </w:t>
      </w:r>
      <w:r w:rsidRPr="00412829">
        <w:t xml:space="preserve">Women were randomised to </w:t>
      </w:r>
      <w:r w:rsidRPr="00412829">
        <w:lastRenderedPageBreak/>
        <w:t xml:space="preserve">receive subcutaneous injections of either EVENITY (N = 3589) or placebo (N = 3591) once every month in a blinded fashion </w:t>
      </w:r>
      <w:r w:rsidRPr="00412829">
        <w:rPr>
          <w:rStyle w:val="SynopsisTextChar"/>
        </w:rPr>
        <w:t>for 12 months.  After the 12-month double</w:t>
      </w:r>
      <w:r w:rsidRPr="00412829">
        <w:rPr>
          <w:rStyle w:val="SynopsisTextChar"/>
        </w:rPr>
        <w:noBreakHyphen/>
        <w:t xml:space="preserve">blind study period, women in both arms transitioned to open-label denosumab 60 mg subcutaneous every 6 months for 12 months while remaining blinded to initial treatment.  </w:t>
      </w:r>
      <w:r w:rsidR="00EE3AF9" w:rsidRPr="00412829">
        <w:t>Women received at least 500 </w:t>
      </w:r>
      <w:r w:rsidRPr="00412829">
        <w:t>mg calcium and 600</w:t>
      </w:r>
      <w:r w:rsidR="002A45F5" w:rsidRPr="00412829">
        <w:t> </w:t>
      </w:r>
      <w:r w:rsidRPr="00412829">
        <w:t>IU vitamin D supplementation daily and could have received a loading dose of 50,000 to 60,000</w:t>
      </w:r>
      <w:r w:rsidR="00FB6E10" w:rsidRPr="00412829">
        <w:t> </w:t>
      </w:r>
      <w:r w:rsidRPr="00412829">
        <w:t>IU of vitamin D after randomisation.  Eighty-nine percent of randomised women completed the 12-month double-blind period and 83.9% completed the 24-month study period.</w:t>
      </w:r>
    </w:p>
    <w:p w14:paraId="2C0D20DE" w14:textId="1B11C63D" w:rsidR="00740499" w:rsidRPr="00412829" w:rsidRDefault="00740499" w:rsidP="001260FB">
      <w:pPr>
        <w:pStyle w:val="RPI-Text"/>
        <w:rPr>
          <w:b/>
        </w:rPr>
      </w:pPr>
      <w:r w:rsidRPr="00412829">
        <w:t xml:space="preserve">The co-primary efficacy endpoints were the incidence of new vertebral fractures through month 12 and through month 24.  </w:t>
      </w:r>
      <w:r w:rsidRPr="00412829">
        <w:rPr>
          <w:shd w:val="clear" w:color="auto" w:fill="FFFFFF"/>
        </w:rPr>
        <w:t>Vertebral fractures were diagnosed based on lateral spine radiographs (T4-L4) using a semi-quantitative scoring method.</w:t>
      </w:r>
      <w:r w:rsidRPr="00412829">
        <w:rPr>
          <w:rStyle w:val="apple-converted-space"/>
          <w:shd w:val="clear" w:color="auto" w:fill="FFFFFF"/>
        </w:rPr>
        <w:t xml:space="preserve">  </w:t>
      </w:r>
      <w:r w:rsidRPr="00412829">
        <w:t xml:space="preserve">Secondary efficacy endpoints included the incidence of </w:t>
      </w:r>
      <w:r w:rsidRPr="00412829">
        <w:rPr>
          <w:rFonts w:eastAsia="Calibri"/>
        </w:rPr>
        <w:t>clinical fractures (all symptomatic fractures including nonvertebral and painful vertebral fractures), nonvertebral fractures, new or worsening vertebral fractures, major nonvertebral fractures, hip fractures, and percent change from baseline in BMD at the lumbar spine, total hip, and femoral neck</w:t>
      </w:r>
      <w:r w:rsidRPr="00412829">
        <w:t>, and were evaluated th</w:t>
      </w:r>
      <w:r w:rsidR="00833493">
        <w:t>r</w:t>
      </w:r>
      <w:r w:rsidRPr="00412829">
        <w:t>ough 24 months.</w:t>
      </w:r>
      <w:r w:rsidRPr="00412829">
        <w:rPr>
          <w:b/>
        </w:rPr>
        <w:t xml:space="preserve"> </w:t>
      </w:r>
    </w:p>
    <w:p w14:paraId="28E26EE5" w14:textId="4BAEDF23" w:rsidR="00470A69" w:rsidRPr="00412829" w:rsidRDefault="00470A69" w:rsidP="00BE0784">
      <w:pPr>
        <w:pStyle w:val="RPI-Text"/>
        <w:rPr>
          <w:rFonts w:eastAsia="Calibri"/>
        </w:rPr>
      </w:pPr>
      <w:r w:rsidRPr="00412829">
        <w:rPr>
          <w:rFonts w:eastAsia="Calibri"/>
        </w:rPr>
        <w:t>Subgroup analyses of the primary endpoints indicated that the efficacy of romosozumab was consistent regardless of baseline characteristics examined</w:t>
      </w:r>
      <w:r w:rsidR="00BE0784" w:rsidRPr="00412829">
        <w:rPr>
          <w:rFonts w:eastAsia="Calibri"/>
        </w:rPr>
        <w:t>, including age, race, geographic region, baseline lumbar spine BMD T-score, baseline total hip/femoral neck BMD T-score,</w:t>
      </w:r>
      <w:r w:rsidR="00AE26A7">
        <w:rPr>
          <w:rFonts w:eastAsia="Calibri"/>
        </w:rPr>
        <w:t xml:space="preserve"> </w:t>
      </w:r>
      <w:r w:rsidR="00BE0784" w:rsidRPr="00412829">
        <w:rPr>
          <w:rFonts w:eastAsia="Calibri"/>
        </w:rPr>
        <w:t>baseline BMI, fracture history, and FRAX score.</w:t>
      </w:r>
    </w:p>
    <w:p w14:paraId="6ECE32C2" w14:textId="61A804A5" w:rsidR="00740499" w:rsidRPr="00C644A8" w:rsidRDefault="00740499" w:rsidP="00AB1877">
      <w:pPr>
        <w:pStyle w:val="RPI-Text"/>
        <w:keepNext/>
        <w:rPr>
          <w:i/>
        </w:rPr>
      </w:pPr>
      <w:r w:rsidRPr="00C644A8">
        <w:rPr>
          <w:i/>
        </w:rPr>
        <w:t xml:space="preserve">Effect on </w:t>
      </w:r>
      <w:r w:rsidR="00E16669" w:rsidRPr="00C644A8">
        <w:rPr>
          <w:i/>
        </w:rPr>
        <w:t>n</w:t>
      </w:r>
      <w:r w:rsidRPr="00C644A8">
        <w:rPr>
          <w:i/>
        </w:rPr>
        <w:t xml:space="preserve">ew </w:t>
      </w:r>
      <w:r w:rsidR="00E16669" w:rsidRPr="00C644A8">
        <w:rPr>
          <w:i/>
        </w:rPr>
        <w:t>v</w:t>
      </w:r>
      <w:r w:rsidRPr="00C644A8">
        <w:rPr>
          <w:i/>
        </w:rPr>
        <w:t xml:space="preserve">ertebral and </w:t>
      </w:r>
      <w:r w:rsidR="00E16669" w:rsidRPr="00C644A8">
        <w:rPr>
          <w:i/>
        </w:rPr>
        <w:t>c</w:t>
      </w:r>
      <w:r w:rsidRPr="00C644A8">
        <w:rPr>
          <w:i/>
        </w:rPr>
        <w:t xml:space="preserve">linical </w:t>
      </w:r>
      <w:r w:rsidR="00E16669" w:rsidRPr="00C644A8">
        <w:rPr>
          <w:i/>
        </w:rPr>
        <w:t>f</w:t>
      </w:r>
      <w:r w:rsidRPr="00C644A8">
        <w:rPr>
          <w:i/>
        </w:rPr>
        <w:t xml:space="preserve">ractures </w:t>
      </w:r>
    </w:p>
    <w:p w14:paraId="3DBA55B0" w14:textId="76F6DD63" w:rsidR="00740499" w:rsidRPr="00412829" w:rsidRDefault="00740499" w:rsidP="001260FB">
      <w:pPr>
        <w:pStyle w:val="RPI-Text"/>
      </w:pPr>
      <w:r w:rsidRPr="00412829">
        <w:t>EVENITY reduced the incidence of new vertebral fract</w:t>
      </w:r>
      <w:r w:rsidR="000D7C8B" w:rsidRPr="00412829">
        <w:t>ures by 73% (adjusted p-value &lt; </w:t>
      </w:r>
      <w:r w:rsidRPr="00412829">
        <w:t xml:space="preserve">0.001) through month 12, as shown in Table </w:t>
      </w:r>
      <w:r w:rsidR="00B8748A" w:rsidRPr="00412829">
        <w:t>6</w:t>
      </w:r>
      <w:r w:rsidRPr="00412829">
        <w:t xml:space="preserve">.  Additionally, in those women who received EVENITY during the first year, the reduction in fracture risk persisted through the second year in women who transitioned from EVENITY to denosumab compared to those who transitioned from placebo to denosumab (month 24; p &lt; 0.001). </w:t>
      </w:r>
      <w:r w:rsidR="00E84262" w:rsidRPr="00412829">
        <w:t xml:space="preserve"> </w:t>
      </w:r>
      <w:r w:rsidRPr="00412829">
        <w:t>EVENITY reduced the risk of new vertebral frac</w:t>
      </w:r>
      <w:r w:rsidR="009C5B95" w:rsidRPr="00412829">
        <w:t>ture by 75% (adjusted p-value &lt; </w:t>
      </w:r>
      <w:r w:rsidRPr="00412829">
        <w:t>0.001) through month 24.</w:t>
      </w:r>
    </w:p>
    <w:p w14:paraId="2CC9F885" w14:textId="0CCAA369" w:rsidR="00EF596E" w:rsidRDefault="00740499" w:rsidP="001260FB">
      <w:pPr>
        <w:pStyle w:val="RPI-Text"/>
      </w:pPr>
      <w:r w:rsidRPr="00412829">
        <w:t xml:space="preserve">EVENITY also reduced the incidence of clinical fractures by 36% (p-value = 0.008) through month 12 and by 33% (adjusted p-value = 0.096) through month 24 (see Table </w:t>
      </w:r>
      <w:r w:rsidR="00B8748A" w:rsidRPr="00412829">
        <w:t>6</w:t>
      </w:r>
      <w:r w:rsidRPr="00412829">
        <w:t xml:space="preserve"> and Figure </w:t>
      </w:r>
      <w:r w:rsidR="00A959D2" w:rsidRPr="00412829">
        <w:t>4</w:t>
      </w:r>
      <w:r w:rsidRPr="00412829">
        <w:t xml:space="preserve"> for ti</w:t>
      </w:r>
      <w:r w:rsidR="006C20DA" w:rsidRPr="00412829">
        <w:t>me to first clinical fracture).</w:t>
      </w:r>
    </w:p>
    <w:p w14:paraId="30F31B79" w14:textId="39F8B807" w:rsidR="006C20DA" w:rsidRPr="00412829" w:rsidRDefault="006C20DA" w:rsidP="00472DB3">
      <w:pPr>
        <w:pStyle w:val="RPI-Caption"/>
        <w:pageBreakBefore/>
      </w:pPr>
      <w:r w:rsidRPr="00412829">
        <w:lastRenderedPageBreak/>
        <w:t xml:space="preserve">Table </w:t>
      </w:r>
      <w:r w:rsidR="00B8748A" w:rsidRPr="00412829">
        <w:t>6</w:t>
      </w:r>
      <w:r w:rsidRPr="00412829">
        <w:t xml:space="preserve">. </w:t>
      </w:r>
      <w:r w:rsidR="00EF6740" w:rsidRPr="00412829">
        <w:t xml:space="preserve"> </w:t>
      </w:r>
      <w:r w:rsidRPr="00412829">
        <w:t>The Effect of EVENITY on the Incidence and Risk of New Vertebral and Clinical Fractures Through Month 12 and Month 24</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0"/>
        <w:gridCol w:w="1843"/>
        <w:gridCol w:w="1618"/>
        <w:gridCol w:w="1392"/>
        <w:gridCol w:w="1301"/>
        <w:gridCol w:w="992"/>
      </w:tblGrid>
      <w:tr w:rsidR="006C20DA" w:rsidRPr="00412829" w14:paraId="056756A5" w14:textId="77777777" w:rsidTr="001F6F34">
        <w:trPr>
          <w:trHeight w:val="92"/>
          <w:tblHeader/>
          <w:jc w:val="center"/>
        </w:trPr>
        <w:tc>
          <w:tcPr>
            <w:tcW w:w="1620" w:type="dxa"/>
            <w:vMerge w:val="restart"/>
            <w:tcBorders>
              <w:top w:val="single" w:sz="4" w:space="0" w:color="auto"/>
            </w:tcBorders>
            <w:vAlign w:val="center"/>
          </w:tcPr>
          <w:p w14:paraId="501E2B5F" w14:textId="77777777" w:rsidR="006C20DA" w:rsidRPr="00412829" w:rsidRDefault="006C20DA" w:rsidP="006C20DA">
            <w:pPr>
              <w:spacing w:before="120" w:after="120" w:line="360" w:lineRule="auto"/>
              <w:rPr>
                <w:rFonts w:cs="Arial"/>
                <w:sz w:val="18"/>
                <w:szCs w:val="22"/>
              </w:rPr>
            </w:pPr>
          </w:p>
        </w:tc>
        <w:tc>
          <w:tcPr>
            <w:tcW w:w="3461" w:type="dxa"/>
            <w:gridSpan w:val="2"/>
            <w:tcBorders>
              <w:top w:val="single" w:sz="4" w:space="0" w:color="auto"/>
            </w:tcBorders>
            <w:vAlign w:val="center"/>
          </w:tcPr>
          <w:p w14:paraId="3072C383" w14:textId="77777777" w:rsidR="006C20DA" w:rsidRPr="00412829" w:rsidRDefault="006C20DA" w:rsidP="00677E95">
            <w:pPr>
              <w:pStyle w:val="RPI-TableCenterAligned"/>
              <w:rPr>
                <w:b/>
              </w:rPr>
            </w:pPr>
            <w:r w:rsidRPr="00412829">
              <w:rPr>
                <w:b/>
              </w:rPr>
              <w:t xml:space="preserve">Proportion of Women With Fracture </w:t>
            </w:r>
          </w:p>
        </w:tc>
        <w:tc>
          <w:tcPr>
            <w:tcW w:w="1392" w:type="dxa"/>
            <w:vMerge w:val="restart"/>
            <w:tcBorders>
              <w:top w:val="single" w:sz="4" w:space="0" w:color="auto"/>
            </w:tcBorders>
            <w:vAlign w:val="center"/>
          </w:tcPr>
          <w:p w14:paraId="3DC356ED" w14:textId="77777777" w:rsidR="006C20DA" w:rsidRPr="00412829" w:rsidRDefault="006C20DA" w:rsidP="00677E95">
            <w:pPr>
              <w:pStyle w:val="RPI-TableCenterAligned"/>
              <w:rPr>
                <w:b/>
                <w:vertAlign w:val="superscript"/>
              </w:rPr>
            </w:pPr>
            <w:r w:rsidRPr="00412829">
              <w:rPr>
                <w:b/>
              </w:rPr>
              <w:t>Absolute Risk Reduction</w:t>
            </w:r>
            <w:r w:rsidRPr="00412829">
              <w:rPr>
                <w:b/>
              </w:rPr>
              <w:br/>
              <w:t>(%) (95% CI)</w:t>
            </w:r>
          </w:p>
        </w:tc>
        <w:tc>
          <w:tcPr>
            <w:tcW w:w="1301" w:type="dxa"/>
            <w:vMerge w:val="restart"/>
            <w:tcBorders>
              <w:top w:val="single" w:sz="4" w:space="0" w:color="auto"/>
            </w:tcBorders>
            <w:vAlign w:val="center"/>
          </w:tcPr>
          <w:p w14:paraId="09EA8FE0" w14:textId="77777777" w:rsidR="006C20DA" w:rsidRPr="00412829" w:rsidRDefault="006C20DA" w:rsidP="00677E95">
            <w:pPr>
              <w:pStyle w:val="RPI-TableCenterAligned"/>
              <w:rPr>
                <w:b/>
              </w:rPr>
            </w:pPr>
            <w:r w:rsidRPr="00412829">
              <w:rPr>
                <w:b/>
              </w:rPr>
              <w:t>Relative Risk Reduction (%) (95% CI)</w:t>
            </w:r>
          </w:p>
        </w:tc>
        <w:tc>
          <w:tcPr>
            <w:tcW w:w="992" w:type="dxa"/>
            <w:vMerge w:val="restart"/>
            <w:tcBorders>
              <w:top w:val="single" w:sz="4" w:space="0" w:color="auto"/>
            </w:tcBorders>
            <w:vAlign w:val="center"/>
          </w:tcPr>
          <w:p w14:paraId="069E4CAF" w14:textId="77777777" w:rsidR="006C20DA" w:rsidRPr="00412829" w:rsidRDefault="006C20DA" w:rsidP="00677E95">
            <w:pPr>
              <w:pStyle w:val="RPI-TableCenterAligned"/>
              <w:rPr>
                <w:b/>
              </w:rPr>
            </w:pPr>
            <w:r w:rsidRPr="00412829">
              <w:rPr>
                <w:b/>
              </w:rPr>
              <w:t>Adjusted</w:t>
            </w:r>
          </w:p>
          <w:p w14:paraId="01F093EB" w14:textId="77777777" w:rsidR="006C20DA" w:rsidRPr="00412829" w:rsidRDefault="006C20DA" w:rsidP="00677E95">
            <w:pPr>
              <w:pStyle w:val="RPI-TableCenterAligned"/>
              <w:rPr>
                <w:b/>
              </w:rPr>
            </w:pPr>
            <w:r w:rsidRPr="00412829">
              <w:rPr>
                <w:b/>
              </w:rPr>
              <w:t>p-value</w:t>
            </w:r>
            <w:r w:rsidRPr="00412829">
              <w:rPr>
                <w:b/>
                <w:vertAlign w:val="superscript"/>
              </w:rPr>
              <w:t>a</w:t>
            </w:r>
          </w:p>
        </w:tc>
      </w:tr>
      <w:tr w:rsidR="006C20DA" w:rsidRPr="00412829" w14:paraId="78BF33FA" w14:textId="77777777" w:rsidTr="001F6F34">
        <w:trPr>
          <w:trHeight w:val="280"/>
          <w:tblHeader/>
          <w:jc w:val="center"/>
        </w:trPr>
        <w:tc>
          <w:tcPr>
            <w:tcW w:w="1620" w:type="dxa"/>
            <w:vMerge/>
            <w:tcBorders>
              <w:bottom w:val="single" w:sz="4" w:space="0" w:color="auto"/>
            </w:tcBorders>
            <w:vAlign w:val="center"/>
          </w:tcPr>
          <w:p w14:paraId="6873BB3A" w14:textId="77777777" w:rsidR="006C20DA" w:rsidRPr="00412829" w:rsidRDefault="006C20DA" w:rsidP="006C20DA">
            <w:pPr>
              <w:spacing w:before="120" w:after="120" w:line="360" w:lineRule="auto"/>
              <w:rPr>
                <w:rFonts w:cs="Arial"/>
                <w:sz w:val="18"/>
                <w:szCs w:val="22"/>
              </w:rPr>
            </w:pPr>
          </w:p>
        </w:tc>
        <w:tc>
          <w:tcPr>
            <w:tcW w:w="1843" w:type="dxa"/>
            <w:tcBorders>
              <w:bottom w:val="single" w:sz="4" w:space="0" w:color="auto"/>
            </w:tcBorders>
            <w:vAlign w:val="center"/>
          </w:tcPr>
          <w:p w14:paraId="3AE29540" w14:textId="77777777" w:rsidR="006C20DA" w:rsidRPr="00412829" w:rsidRDefault="006C20DA" w:rsidP="00677E95">
            <w:pPr>
              <w:pStyle w:val="RPI-TableCenterAligned"/>
              <w:rPr>
                <w:b/>
              </w:rPr>
            </w:pPr>
            <w:r w:rsidRPr="00412829">
              <w:rPr>
                <w:b/>
              </w:rPr>
              <w:t>Placebo (%)</w:t>
            </w:r>
          </w:p>
          <w:p w14:paraId="2184861A" w14:textId="77777777" w:rsidR="006C20DA" w:rsidRPr="00412829" w:rsidRDefault="006C20DA" w:rsidP="00677E95">
            <w:pPr>
              <w:pStyle w:val="RPI-TableCenterAligned"/>
              <w:rPr>
                <w:b/>
              </w:rPr>
            </w:pPr>
          </w:p>
        </w:tc>
        <w:tc>
          <w:tcPr>
            <w:tcW w:w="1618" w:type="dxa"/>
            <w:tcBorders>
              <w:bottom w:val="single" w:sz="4" w:space="0" w:color="auto"/>
            </w:tcBorders>
            <w:vAlign w:val="center"/>
          </w:tcPr>
          <w:p w14:paraId="741962B7" w14:textId="77777777" w:rsidR="006C20DA" w:rsidRPr="00412829" w:rsidRDefault="006C20DA" w:rsidP="00677E95">
            <w:pPr>
              <w:pStyle w:val="RPI-TableCenterAligned"/>
              <w:rPr>
                <w:b/>
              </w:rPr>
            </w:pPr>
            <w:r w:rsidRPr="00412829">
              <w:rPr>
                <w:b/>
              </w:rPr>
              <w:t>EVENITY (%)</w:t>
            </w:r>
          </w:p>
          <w:p w14:paraId="0CED0D6E" w14:textId="77777777" w:rsidR="006C20DA" w:rsidRPr="00412829" w:rsidRDefault="006C20DA" w:rsidP="00677E95">
            <w:pPr>
              <w:pStyle w:val="RPI-TableCenterAligned"/>
              <w:rPr>
                <w:b/>
              </w:rPr>
            </w:pPr>
          </w:p>
        </w:tc>
        <w:tc>
          <w:tcPr>
            <w:tcW w:w="1392" w:type="dxa"/>
            <w:vMerge/>
            <w:tcBorders>
              <w:bottom w:val="single" w:sz="4" w:space="0" w:color="auto"/>
            </w:tcBorders>
            <w:vAlign w:val="center"/>
          </w:tcPr>
          <w:p w14:paraId="7D28EDAE" w14:textId="77777777" w:rsidR="006C20DA" w:rsidRPr="00412829" w:rsidRDefault="006C20DA" w:rsidP="006C20DA">
            <w:pPr>
              <w:spacing w:before="120" w:after="120" w:line="360" w:lineRule="auto"/>
              <w:jc w:val="center"/>
              <w:rPr>
                <w:rFonts w:cs="Arial"/>
                <w:sz w:val="18"/>
                <w:szCs w:val="22"/>
              </w:rPr>
            </w:pPr>
          </w:p>
        </w:tc>
        <w:tc>
          <w:tcPr>
            <w:tcW w:w="1301" w:type="dxa"/>
            <w:vMerge/>
            <w:tcBorders>
              <w:bottom w:val="single" w:sz="4" w:space="0" w:color="auto"/>
            </w:tcBorders>
            <w:vAlign w:val="center"/>
          </w:tcPr>
          <w:p w14:paraId="2633194F" w14:textId="77777777" w:rsidR="006C20DA" w:rsidRPr="00412829" w:rsidRDefault="006C20DA" w:rsidP="006C20DA">
            <w:pPr>
              <w:spacing w:before="120" w:after="120" w:line="360" w:lineRule="auto"/>
              <w:jc w:val="center"/>
              <w:rPr>
                <w:rFonts w:cs="Arial"/>
                <w:sz w:val="18"/>
                <w:szCs w:val="22"/>
              </w:rPr>
            </w:pPr>
          </w:p>
        </w:tc>
        <w:tc>
          <w:tcPr>
            <w:tcW w:w="992" w:type="dxa"/>
            <w:vMerge/>
            <w:tcBorders>
              <w:bottom w:val="single" w:sz="4" w:space="0" w:color="auto"/>
            </w:tcBorders>
            <w:vAlign w:val="center"/>
          </w:tcPr>
          <w:p w14:paraId="115EB129" w14:textId="77777777" w:rsidR="006C20DA" w:rsidRPr="00412829" w:rsidRDefault="006C20DA" w:rsidP="006C20DA">
            <w:pPr>
              <w:spacing w:before="120" w:after="120" w:line="360" w:lineRule="auto"/>
              <w:jc w:val="center"/>
              <w:rPr>
                <w:rFonts w:cs="Arial"/>
                <w:sz w:val="18"/>
                <w:szCs w:val="22"/>
              </w:rPr>
            </w:pPr>
          </w:p>
        </w:tc>
      </w:tr>
      <w:tr w:rsidR="006C20DA" w:rsidRPr="00412829" w14:paraId="7F03B037" w14:textId="77777777" w:rsidTr="00145A93">
        <w:trPr>
          <w:trHeight w:val="52"/>
          <w:jc w:val="center"/>
        </w:trPr>
        <w:tc>
          <w:tcPr>
            <w:tcW w:w="8766" w:type="dxa"/>
            <w:gridSpan w:val="6"/>
            <w:vAlign w:val="center"/>
          </w:tcPr>
          <w:p w14:paraId="5A3A05F7" w14:textId="77777777" w:rsidR="006C20DA" w:rsidRPr="00412829" w:rsidRDefault="006C20DA" w:rsidP="00CF5910">
            <w:pPr>
              <w:pStyle w:val="RPI-TableLeftAligned"/>
              <w:rPr>
                <w:b/>
                <w:i/>
              </w:rPr>
            </w:pPr>
            <w:r w:rsidRPr="00412829">
              <w:rPr>
                <w:b/>
                <w:i/>
              </w:rPr>
              <w:t>Through Month 12</w:t>
            </w:r>
          </w:p>
        </w:tc>
      </w:tr>
      <w:tr w:rsidR="006C20DA" w:rsidRPr="00412829" w14:paraId="067569B2" w14:textId="77777777" w:rsidTr="00145A93">
        <w:trPr>
          <w:trHeight w:val="52"/>
          <w:jc w:val="center"/>
        </w:trPr>
        <w:tc>
          <w:tcPr>
            <w:tcW w:w="1620" w:type="dxa"/>
            <w:vAlign w:val="center"/>
          </w:tcPr>
          <w:p w14:paraId="4B8C25DE" w14:textId="77777777" w:rsidR="006C20DA" w:rsidRPr="00412829" w:rsidRDefault="006C20DA" w:rsidP="00CF5910">
            <w:pPr>
              <w:pStyle w:val="RPI-TableCenterAligned"/>
            </w:pPr>
            <w:r w:rsidRPr="00412829">
              <w:t>New vertebral</w:t>
            </w:r>
            <w:r w:rsidRPr="00412829">
              <w:rPr>
                <w:vertAlign w:val="superscript"/>
              </w:rPr>
              <w:t>b</w:t>
            </w:r>
          </w:p>
        </w:tc>
        <w:tc>
          <w:tcPr>
            <w:tcW w:w="1843" w:type="dxa"/>
            <w:vAlign w:val="center"/>
          </w:tcPr>
          <w:p w14:paraId="5A95811A" w14:textId="77777777" w:rsidR="006C20DA" w:rsidRPr="00412829" w:rsidRDefault="006C20DA" w:rsidP="00677E95">
            <w:pPr>
              <w:pStyle w:val="RPI-TableCenterAligned"/>
            </w:pPr>
            <w:r w:rsidRPr="00412829">
              <w:t>59/3322 (1.8)</w:t>
            </w:r>
          </w:p>
        </w:tc>
        <w:tc>
          <w:tcPr>
            <w:tcW w:w="1618" w:type="dxa"/>
            <w:vAlign w:val="center"/>
          </w:tcPr>
          <w:p w14:paraId="348698EA" w14:textId="77777777" w:rsidR="006C20DA" w:rsidRPr="00412829" w:rsidRDefault="006C20DA" w:rsidP="00677E95">
            <w:pPr>
              <w:pStyle w:val="RPI-TableCenterAligned"/>
            </w:pPr>
            <w:r w:rsidRPr="00412829">
              <w:t>16/3321 (0.5)</w:t>
            </w:r>
          </w:p>
        </w:tc>
        <w:tc>
          <w:tcPr>
            <w:tcW w:w="1392" w:type="dxa"/>
            <w:vAlign w:val="center"/>
          </w:tcPr>
          <w:p w14:paraId="2AA51403" w14:textId="77777777" w:rsidR="006C20DA" w:rsidRPr="00412829" w:rsidRDefault="006C20DA" w:rsidP="00677E95">
            <w:pPr>
              <w:pStyle w:val="RPI-TableCenterAligned"/>
            </w:pPr>
            <w:r w:rsidRPr="00412829">
              <w:t>1.30 (0.79, 1.80)</w:t>
            </w:r>
          </w:p>
        </w:tc>
        <w:tc>
          <w:tcPr>
            <w:tcW w:w="1301" w:type="dxa"/>
            <w:vAlign w:val="center"/>
          </w:tcPr>
          <w:p w14:paraId="19FD8A1D" w14:textId="77777777" w:rsidR="006C20DA" w:rsidRPr="00412829" w:rsidRDefault="006C20DA" w:rsidP="00677E95">
            <w:pPr>
              <w:pStyle w:val="RPI-TableCenterAligned"/>
            </w:pPr>
            <w:r w:rsidRPr="00412829">
              <w:t>73 (53, 84)</w:t>
            </w:r>
          </w:p>
        </w:tc>
        <w:tc>
          <w:tcPr>
            <w:tcW w:w="992" w:type="dxa"/>
            <w:vAlign w:val="center"/>
          </w:tcPr>
          <w:p w14:paraId="2EA837E7" w14:textId="77777777" w:rsidR="006C20DA" w:rsidRPr="00412829" w:rsidRDefault="006C20DA" w:rsidP="00677E95">
            <w:pPr>
              <w:pStyle w:val="RPI-TableCenterAligned"/>
            </w:pPr>
            <w:r w:rsidRPr="00412829">
              <w:t>&lt; 0.001</w:t>
            </w:r>
          </w:p>
        </w:tc>
      </w:tr>
      <w:tr w:rsidR="006C20DA" w:rsidRPr="00412829" w14:paraId="1896997F" w14:textId="77777777" w:rsidTr="00145A93">
        <w:trPr>
          <w:trHeight w:val="374"/>
          <w:jc w:val="center"/>
        </w:trPr>
        <w:tc>
          <w:tcPr>
            <w:tcW w:w="1620" w:type="dxa"/>
            <w:vAlign w:val="center"/>
          </w:tcPr>
          <w:p w14:paraId="61647DCC" w14:textId="77777777" w:rsidR="006C20DA" w:rsidRPr="00412829" w:rsidRDefault="006C20DA" w:rsidP="00CF5910">
            <w:pPr>
              <w:pStyle w:val="RPI-TableCenterAligned"/>
            </w:pPr>
            <w:r w:rsidRPr="00412829">
              <w:t>Clinical</w:t>
            </w:r>
            <w:r w:rsidRPr="00412829">
              <w:rPr>
                <w:vertAlign w:val="superscript"/>
              </w:rPr>
              <w:t>c</w:t>
            </w:r>
          </w:p>
        </w:tc>
        <w:tc>
          <w:tcPr>
            <w:tcW w:w="1843" w:type="dxa"/>
            <w:vAlign w:val="center"/>
          </w:tcPr>
          <w:p w14:paraId="673AD46C" w14:textId="77777777" w:rsidR="006C20DA" w:rsidRPr="00412829" w:rsidRDefault="006C20DA" w:rsidP="00677E95">
            <w:pPr>
              <w:pStyle w:val="RPI-TableCenterAligned"/>
            </w:pPr>
            <w:r w:rsidRPr="00412829">
              <w:t>90/3591 (2.5)</w:t>
            </w:r>
          </w:p>
        </w:tc>
        <w:tc>
          <w:tcPr>
            <w:tcW w:w="1618" w:type="dxa"/>
            <w:vAlign w:val="center"/>
          </w:tcPr>
          <w:p w14:paraId="56F420DA" w14:textId="77777777" w:rsidR="006C20DA" w:rsidRPr="00412829" w:rsidRDefault="006C20DA" w:rsidP="00677E95">
            <w:pPr>
              <w:pStyle w:val="RPI-TableCenterAligned"/>
            </w:pPr>
            <w:r w:rsidRPr="00412829">
              <w:t>58/3589 (1.6)</w:t>
            </w:r>
          </w:p>
        </w:tc>
        <w:tc>
          <w:tcPr>
            <w:tcW w:w="1392" w:type="dxa"/>
            <w:vAlign w:val="center"/>
          </w:tcPr>
          <w:p w14:paraId="6E9D416E" w14:textId="77777777" w:rsidR="006C20DA" w:rsidRPr="00412829" w:rsidRDefault="006C20DA" w:rsidP="00677E95">
            <w:pPr>
              <w:pStyle w:val="RPI-TableCenterAligned"/>
            </w:pPr>
            <w:r w:rsidRPr="00412829">
              <w:t>1.2 (0.4, 1.9)</w:t>
            </w:r>
          </w:p>
        </w:tc>
        <w:tc>
          <w:tcPr>
            <w:tcW w:w="1301" w:type="dxa"/>
            <w:vAlign w:val="center"/>
          </w:tcPr>
          <w:p w14:paraId="21E40AEE" w14:textId="77777777" w:rsidR="006C20DA" w:rsidRPr="00412829" w:rsidRDefault="006C20DA" w:rsidP="00677E95">
            <w:pPr>
              <w:pStyle w:val="RPI-TableCenterAligned"/>
            </w:pPr>
            <w:r w:rsidRPr="00412829">
              <w:t>36 (11, 54)</w:t>
            </w:r>
          </w:p>
        </w:tc>
        <w:tc>
          <w:tcPr>
            <w:tcW w:w="992" w:type="dxa"/>
            <w:vAlign w:val="center"/>
          </w:tcPr>
          <w:p w14:paraId="44840A94" w14:textId="77777777" w:rsidR="006C20DA" w:rsidRPr="00412829" w:rsidRDefault="006C20DA" w:rsidP="00677E95">
            <w:pPr>
              <w:pStyle w:val="RPI-TableCenterAligned"/>
            </w:pPr>
            <w:r w:rsidRPr="00412829">
              <w:t>0.008</w:t>
            </w:r>
          </w:p>
        </w:tc>
      </w:tr>
      <w:tr w:rsidR="006C20DA" w:rsidRPr="00412829" w14:paraId="19DC9C9E" w14:textId="77777777" w:rsidTr="00145A93">
        <w:trPr>
          <w:trHeight w:val="52"/>
          <w:jc w:val="center"/>
        </w:trPr>
        <w:tc>
          <w:tcPr>
            <w:tcW w:w="1620" w:type="dxa"/>
            <w:vAlign w:val="center"/>
          </w:tcPr>
          <w:p w14:paraId="648B6CC9" w14:textId="77777777" w:rsidR="006C20DA" w:rsidRPr="00412829" w:rsidRDefault="006C20DA" w:rsidP="001F6F34">
            <w:pPr>
              <w:keepNext/>
              <w:spacing w:before="120" w:after="120" w:line="360" w:lineRule="auto"/>
              <w:rPr>
                <w:rFonts w:cs="Arial"/>
                <w:sz w:val="18"/>
                <w:szCs w:val="22"/>
              </w:rPr>
            </w:pPr>
          </w:p>
        </w:tc>
        <w:tc>
          <w:tcPr>
            <w:tcW w:w="1843" w:type="dxa"/>
            <w:vAlign w:val="center"/>
          </w:tcPr>
          <w:p w14:paraId="53D93814" w14:textId="69B7397E" w:rsidR="006C20DA" w:rsidRPr="00412829" w:rsidRDefault="006C20DA" w:rsidP="00677E95">
            <w:pPr>
              <w:pStyle w:val="RPI-TableCenterAligned"/>
              <w:rPr>
                <w:b/>
              </w:rPr>
            </w:pPr>
            <w:r w:rsidRPr="00412829">
              <w:rPr>
                <w:b/>
              </w:rPr>
              <w:t>Placebo-to-denosumab (%)</w:t>
            </w:r>
          </w:p>
        </w:tc>
        <w:tc>
          <w:tcPr>
            <w:tcW w:w="1618" w:type="dxa"/>
            <w:vAlign w:val="center"/>
          </w:tcPr>
          <w:p w14:paraId="4F494808" w14:textId="35257675" w:rsidR="006C20DA" w:rsidRPr="00412829" w:rsidRDefault="006C20DA" w:rsidP="00677E95">
            <w:pPr>
              <w:pStyle w:val="RPI-TableCenterAligned"/>
              <w:rPr>
                <w:b/>
              </w:rPr>
            </w:pPr>
            <w:r w:rsidRPr="00412829">
              <w:rPr>
                <w:b/>
              </w:rPr>
              <w:t>EVENITY-to-denosumab (%)</w:t>
            </w:r>
          </w:p>
        </w:tc>
        <w:tc>
          <w:tcPr>
            <w:tcW w:w="3685" w:type="dxa"/>
            <w:gridSpan w:val="3"/>
            <w:vAlign w:val="center"/>
          </w:tcPr>
          <w:p w14:paraId="495D42E8" w14:textId="77777777" w:rsidR="006C20DA" w:rsidRPr="00412829" w:rsidRDefault="006C20DA" w:rsidP="001F6F34">
            <w:pPr>
              <w:keepNext/>
              <w:spacing w:before="120" w:after="120" w:line="360" w:lineRule="auto"/>
              <w:jc w:val="center"/>
              <w:rPr>
                <w:rFonts w:cs="Arial"/>
                <w:sz w:val="18"/>
                <w:szCs w:val="22"/>
              </w:rPr>
            </w:pPr>
          </w:p>
        </w:tc>
      </w:tr>
      <w:tr w:rsidR="006C20DA" w:rsidRPr="00412829" w14:paraId="72F8B1A7" w14:textId="77777777" w:rsidTr="00145A93">
        <w:trPr>
          <w:trHeight w:val="290"/>
          <w:jc w:val="center"/>
        </w:trPr>
        <w:tc>
          <w:tcPr>
            <w:tcW w:w="8766" w:type="dxa"/>
            <w:gridSpan w:val="6"/>
            <w:vAlign w:val="center"/>
          </w:tcPr>
          <w:p w14:paraId="3F71272D" w14:textId="77777777" w:rsidR="006C20DA" w:rsidRPr="00412829" w:rsidRDefault="006C20DA" w:rsidP="00CF5910">
            <w:pPr>
              <w:pStyle w:val="RPI-TableLeftAligned"/>
              <w:rPr>
                <w:b/>
                <w:i/>
              </w:rPr>
            </w:pPr>
            <w:r w:rsidRPr="00412829">
              <w:rPr>
                <w:b/>
                <w:i/>
              </w:rPr>
              <w:t>Through Month 24</w:t>
            </w:r>
          </w:p>
        </w:tc>
      </w:tr>
      <w:tr w:rsidR="006C20DA" w:rsidRPr="00412829" w14:paraId="38400757" w14:textId="77777777" w:rsidTr="00145A93">
        <w:trPr>
          <w:trHeight w:val="52"/>
          <w:jc w:val="center"/>
        </w:trPr>
        <w:tc>
          <w:tcPr>
            <w:tcW w:w="1620" w:type="dxa"/>
            <w:vAlign w:val="center"/>
          </w:tcPr>
          <w:p w14:paraId="49C4385F" w14:textId="77777777" w:rsidR="006C20DA" w:rsidRPr="00412829" w:rsidRDefault="006C20DA" w:rsidP="00CF5910">
            <w:pPr>
              <w:pStyle w:val="RPI-TableLeftAligned"/>
            </w:pPr>
            <w:r w:rsidRPr="00412829">
              <w:t>New vertebral</w:t>
            </w:r>
            <w:r w:rsidRPr="00412829">
              <w:rPr>
                <w:vertAlign w:val="superscript"/>
              </w:rPr>
              <w:t>b</w:t>
            </w:r>
          </w:p>
        </w:tc>
        <w:tc>
          <w:tcPr>
            <w:tcW w:w="1843" w:type="dxa"/>
            <w:vAlign w:val="center"/>
          </w:tcPr>
          <w:p w14:paraId="07B37326" w14:textId="77777777" w:rsidR="006C20DA" w:rsidRPr="00412829" w:rsidRDefault="006C20DA" w:rsidP="00CF5910">
            <w:pPr>
              <w:pStyle w:val="RPI-TableCenterAligned"/>
            </w:pPr>
            <w:r w:rsidRPr="00412829">
              <w:t>84/3327 (2.5)</w:t>
            </w:r>
          </w:p>
        </w:tc>
        <w:tc>
          <w:tcPr>
            <w:tcW w:w="1618" w:type="dxa"/>
            <w:vAlign w:val="center"/>
          </w:tcPr>
          <w:p w14:paraId="0A553C18" w14:textId="77777777" w:rsidR="006C20DA" w:rsidRPr="00412829" w:rsidRDefault="006C20DA" w:rsidP="00CF5910">
            <w:pPr>
              <w:pStyle w:val="RPI-TableCenterAligned"/>
            </w:pPr>
            <w:r w:rsidRPr="00412829">
              <w:t>21/3325 (0.6)</w:t>
            </w:r>
          </w:p>
        </w:tc>
        <w:tc>
          <w:tcPr>
            <w:tcW w:w="1392" w:type="dxa"/>
            <w:vAlign w:val="center"/>
          </w:tcPr>
          <w:p w14:paraId="02EF1C8B" w14:textId="77777777" w:rsidR="006C20DA" w:rsidRPr="00412829" w:rsidRDefault="006C20DA" w:rsidP="00CF5910">
            <w:pPr>
              <w:pStyle w:val="RPI-TableCenterAligned"/>
            </w:pPr>
            <w:r w:rsidRPr="00412829">
              <w:t>1.89 (1.30, 2.49)</w:t>
            </w:r>
          </w:p>
        </w:tc>
        <w:tc>
          <w:tcPr>
            <w:tcW w:w="1301" w:type="dxa"/>
            <w:vAlign w:val="center"/>
          </w:tcPr>
          <w:p w14:paraId="2A26C056" w14:textId="77777777" w:rsidR="006C20DA" w:rsidRPr="00412829" w:rsidRDefault="006C20DA" w:rsidP="00CF5910">
            <w:pPr>
              <w:pStyle w:val="RPI-TableCenterAligned"/>
            </w:pPr>
            <w:r w:rsidRPr="00412829">
              <w:t>75 (60, 84)</w:t>
            </w:r>
          </w:p>
        </w:tc>
        <w:tc>
          <w:tcPr>
            <w:tcW w:w="992" w:type="dxa"/>
            <w:vAlign w:val="center"/>
          </w:tcPr>
          <w:p w14:paraId="2BAD73CB" w14:textId="77777777" w:rsidR="006C20DA" w:rsidRPr="00412829" w:rsidRDefault="006C20DA" w:rsidP="00CF5910">
            <w:pPr>
              <w:pStyle w:val="RPI-TableCenterAligned"/>
            </w:pPr>
            <w:r w:rsidRPr="00412829">
              <w:t>&lt; 0.001</w:t>
            </w:r>
          </w:p>
        </w:tc>
      </w:tr>
      <w:tr w:rsidR="006C20DA" w:rsidRPr="00412829" w14:paraId="7AAC2142" w14:textId="77777777" w:rsidTr="00145A93">
        <w:trPr>
          <w:trHeight w:val="374"/>
          <w:jc w:val="center"/>
        </w:trPr>
        <w:tc>
          <w:tcPr>
            <w:tcW w:w="1620" w:type="dxa"/>
            <w:vAlign w:val="center"/>
          </w:tcPr>
          <w:p w14:paraId="0B667138" w14:textId="77777777" w:rsidR="006C20DA" w:rsidRPr="00412829" w:rsidRDefault="006C20DA" w:rsidP="00CF5910">
            <w:pPr>
              <w:pStyle w:val="RPI-TableLeftAligned"/>
              <w:rPr>
                <w:vertAlign w:val="superscript"/>
              </w:rPr>
            </w:pPr>
            <w:r w:rsidRPr="00412829">
              <w:t>Clinical</w:t>
            </w:r>
            <w:r w:rsidRPr="00412829">
              <w:rPr>
                <w:vertAlign w:val="superscript"/>
              </w:rPr>
              <w:t>c,d</w:t>
            </w:r>
          </w:p>
        </w:tc>
        <w:tc>
          <w:tcPr>
            <w:tcW w:w="1843" w:type="dxa"/>
            <w:vAlign w:val="center"/>
          </w:tcPr>
          <w:p w14:paraId="7412384C" w14:textId="77777777" w:rsidR="006C20DA" w:rsidRPr="00412829" w:rsidRDefault="006C20DA" w:rsidP="00CF5910">
            <w:pPr>
              <w:pStyle w:val="RPI-TableCenterAligned"/>
            </w:pPr>
            <w:r w:rsidRPr="00412829">
              <w:t>147/3591 (4.1)</w:t>
            </w:r>
          </w:p>
        </w:tc>
        <w:tc>
          <w:tcPr>
            <w:tcW w:w="1618" w:type="dxa"/>
            <w:vAlign w:val="center"/>
          </w:tcPr>
          <w:p w14:paraId="7A06BC55" w14:textId="77777777" w:rsidR="006C20DA" w:rsidRPr="00412829" w:rsidRDefault="006C20DA" w:rsidP="00CF5910">
            <w:pPr>
              <w:pStyle w:val="RPI-TableCenterAligned"/>
            </w:pPr>
            <w:r w:rsidRPr="00412829">
              <w:t>99/3589 (2.8)</w:t>
            </w:r>
          </w:p>
        </w:tc>
        <w:tc>
          <w:tcPr>
            <w:tcW w:w="1392" w:type="dxa"/>
            <w:vAlign w:val="center"/>
          </w:tcPr>
          <w:p w14:paraId="6F740B7A" w14:textId="77777777" w:rsidR="006C20DA" w:rsidRPr="00412829" w:rsidRDefault="006C20DA" w:rsidP="00CF5910">
            <w:pPr>
              <w:pStyle w:val="RPI-TableCenterAligned"/>
            </w:pPr>
            <w:r w:rsidRPr="00412829">
              <w:t>1.4 (0.5, 2.4)</w:t>
            </w:r>
          </w:p>
        </w:tc>
        <w:tc>
          <w:tcPr>
            <w:tcW w:w="1301" w:type="dxa"/>
            <w:vAlign w:val="center"/>
          </w:tcPr>
          <w:p w14:paraId="51E9383D" w14:textId="77777777" w:rsidR="006C20DA" w:rsidRPr="00412829" w:rsidRDefault="006C20DA" w:rsidP="00CF5910">
            <w:pPr>
              <w:pStyle w:val="RPI-TableCenterAligned"/>
            </w:pPr>
            <w:r w:rsidRPr="00412829">
              <w:t>33 (13, 48)</w:t>
            </w:r>
          </w:p>
        </w:tc>
        <w:tc>
          <w:tcPr>
            <w:tcW w:w="992" w:type="dxa"/>
            <w:vAlign w:val="center"/>
          </w:tcPr>
          <w:p w14:paraId="7B1F4BCE" w14:textId="767F9B19" w:rsidR="006C20DA" w:rsidRPr="00AE26A7" w:rsidRDefault="00346EFD" w:rsidP="00CF5910">
            <w:pPr>
              <w:pStyle w:val="RPI-TableCenterAligned"/>
            </w:pPr>
            <w:r w:rsidRPr="00412829">
              <w:t>0.096</w:t>
            </w:r>
          </w:p>
        </w:tc>
      </w:tr>
    </w:tbl>
    <w:p w14:paraId="2A4C579B" w14:textId="71578000" w:rsidR="00987B4E" w:rsidRPr="00412829" w:rsidRDefault="001260FB" w:rsidP="001260FB">
      <w:pPr>
        <w:pStyle w:val="RPI-FootnoteText"/>
        <w:rPr>
          <w:lang w:val="en-AU" w:eastAsia="en-AU"/>
        </w:rPr>
      </w:pPr>
      <w:r w:rsidRPr="00412829">
        <w:rPr>
          <w:vertAlign w:val="superscript"/>
          <w:lang w:val="en-AU" w:eastAsia="en-AU"/>
        </w:rPr>
        <w:t xml:space="preserve">a </w:t>
      </w:r>
      <w:r w:rsidR="00987B4E" w:rsidRPr="00412829">
        <w:rPr>
          <w:lang w:val="en-AU" w:eastAsia="en-AU"/>
        </w:rPr>
        <w:t>Adjusted p-values are based on a sequential testing procedure and are to be compared to a significance level of 0.05.</w:t>
      </w:r>
    </w:p>
    <w:p w14:paraId="4DC98D5B" w14:textId="44D66C6C" w:rsidR="00987B4E" w:rsidRPr="00412829" w:rsidRDefault="001260FB" w:rsidP="001260FB">
      <w:pPr>
        <w:pStyle w:val="RPI-FootnoteText"/>
        <w:rPr>
          <w:lang w:val="en-AU" w:eastAsia="en-AU"/>
        </w:rPr>
      </w:pPr>
      <w:r w:rsidRPr="00412829">
        <w:rPr>
          <w:vertAlign w:val="superscript"/>
          <w:lang w:val="en-AU" w:eastAsia="en-AU"/>
        </w:rPr>
        <w:t xml:space="preserve">b </w:t>
      </w:r>
      <w:r w:rsidR="00987B4E" w:rsidRPr="00412829">
        <w:rPr>
          <w:lang w:val="en-AU" w:eastAsia="en-AU"/>
        </w:rPr>
        <w:t xml:space="preserve">Absolute risk reduction and relative risk reduction based on Mantel-Haenszel method adjusting for age and prevalent vertebral fracture stratification factors.  Treatment comparisons are based on logistic regression model adjusted for stratification factors. </w:t>
      </w:r>
    </w:p>
    <w:p w14:paraId="4840C7CE" w14:textId="455C11D2" w:rsidR="00987B4E" w:rsidRPr="00412829" w:rsidRDefault="001260FB" w:rsidP="001260FB">
      <w:pPr>
        <w:pStyle w:val="RPI-FootnoteText"/>
        <w:rPr>
          <w:lang w:val="en-AU" w:eastAsia="en-AU"/>
        </w:rPr>
      </w:pPr>
      <w:r w:rsidRPr="00412829">
        <w:rPr>
          <w:vertAlign w:val="superscript"/>
          <w:lang w:val="en-AU" w:eastAsia="en-AU"/>
        </w:rPr>
        <w:t xml:space="preserve">c </w:t>
      </w:r>
      <w:r w:rsidR="00987B4E" w:rsidRPr="00412829">
        <w:rPr>
          <w:lang w:val="en-AU" w:eastAsia="en-AU"/>
        </w:rPr>
        <w:t>Clinical fractures include all symptomatic fractures including nonvertebral and painful vertebral fractures.  Treatment comparisons are based on Cox proportional hazards model adjusted for age and prevalent vertebral fracture stratification factors.</w:t>
      </w:r>
    </w:p>
    <w:p w14:paraId="783E0B51" w14:textId="31174670" w:rsidR="00987B4E" w:rsidRPr="00412829" w:rsidRDefault="001260FB" w:rsidP="001260FB">
      <w:pPr>
        <w:pStyle w:val="RPI-FootnoteText"/>
        <w:rPr>
          <w:lang w:val="en-AU" w:eastAsia="en-AU"/>
        </w:rPr>
      </w:pPr>
      <w:r w:rsidRPr="00412829">
        <w:rPr>
          <w:vertAlign w:val="superscript"/>
          <w:lang w:val="en-AU" w:eastAsia="en-AU"/>
        </w:rPr>
        <w:t xml:space="preserve">d </w:t>
      </w:r>
      <w:r w:rsidR="00987B4E" w:rsidRPr="00412829">
        <w:rPr>
          <w:lang w:val="en-AU" w:eastAsia="en-AU"/>
        </w:rPr>
        <w:t>Not significant as a result of failing to achieve statistical significance for an endpoint that was earlier in the testing sequence; nominal p-value: 0.002.</w:t>
      </w:r>
    </w:p>
    <w:p w14:paraId="6B7C0AD9" w14:textId="0A5EFBA5" w:rsidR="005D7841" w:rsidRPr="00412829" w:rsidRDefault="005D7841" w:rsidP="00396561">
      <w:pPr>
        <w:pStyle w:val="RPI-Caption"/>
      </w:pPr>
      <w:r w:rsidRPr="00412829">
        <w:lastRenderedPageBreak/>
        <w:t xml:space="preserve">Figure </w:t>
      </w:r>
      <w:r w:rsidR="00DA35E0" w:rsidRPr="00412829">
        <w:t>4</w:t>
      </w:r>
      <w:r w:rsidRPr="00412829">
        <w:t xml:space="preserve">. </w:t>
      </w:r>
      <w:r w:rsidR="00374D60">
        <w:t xml:space="preserve"> </w:t>
      </w:r>
      <w:r w:rsidRPr="00412829">
        <w:t>Effect of EVENITY on Incidence of New Vertebral Fractures Through Month 12 and Month 24</w:t>
      </w:r>
    </w:p>
    <w:p w14:paraId="6B8C20DF" w14:textId="212D5097" w:rsidR="005D7841" w:rsidRPr="00412829" w:rsidRDefault="0038206A" w:rsidP="00472DB3">
      <w:pPr>
        <w:pStyle w:val="RPI-Heading3"/>
        <w:keepNext w:val="0"/>
        <w:jc w:val="center"/>
        <w:rPr>
          <w:bCs/>
          <w:u w:val="none"/>
        </w:rPr>
      </w:pPr>
      <w:r w:rsidRPr="00412829">
        <w:rPr>
          <w:noProof/>
          <w:u w:val="none"/>
          <w:lang w:eastAsia="en-AU"/>
        </w:rPr>
        <w:drawing>
          <wp:inline distT="0" distB="0" distL="0" distR="0" wp14:anchorId="0C9443AE" wp14:editId="23B85101">
            <wp:extent cx="4472305" cy="5208104"/>
            <wp:effectExtent l="0" t="0" r="4445" b="0"/>
            <wp:docPr id="13" name="Picture 1" descr="GRH0333 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6122" cy="5235839"/>
                    </a:xfrm>
                    <a:prstGeom prst="rect">
                      <a:avLst/>
                    </a:prstGeom>
                    <a:noFill/>
                    <a:ln>
                      <a:noFill/>
                    </a:ln>
                  </pic:spPr>
                </pic:pic>
              </a:graphicData>
            </a:graphic>
          </wp:inline>
        </w:drawing>
      </w:r>
    </w:p>
    <w:p w14:paraId="77CAD9A3" w14:textId="630931F0" w:rsidR="001E55E0" w:rsidRPr="007E1620" w:rsidRDefault="001E55E0" w:rsidP="00396561">
      <w:pPr>
        <w:pStyle w:val="RPI-Caption"/>
      </w:pPr>
      <w:r w:rsidRPr="00412829">
        <w:lastRenderedPageBreak/>
        <w:t xml:space="preserve">Figure </w:t>
      </w:r>
      <w:r w:rsidR="00F62426" w:rsidRPr="007E1620">
        <w:t>5</w:t>
      </w:r>
      <w:r w:rsidRPr="007E1620">
        <w:t>.</w:t>
      </w:r>
      <w:r w:rsidR="00374D60">
        <w:t xml:space="preserve"> </w:t>
      </w:r>
      <w:r w:rsidRPr="007E1620">
        <w:t xml:space="preserve"> Cumulative Incidence of Clinical Fractures Through Month 24</w:t>
      </w:r>
    </w:p>
    <w:p w14:paraId="3C0C4856" w14:textId="78272D89" w:rsidR="001E55E0" w:rsidRPr="00412829" w:rsidRDefault="00D7200B" w:rsidP="00472DB3">
      <w:pPr>
        <w:pStyle w:val="RPI-Heading3"/>
        <w:keepNext w:val="0"/>
        <w:jc w:val="center"/>
        <w:rPr>
          <w:bCs/>
        </w:rPr>
      </w:pPr>
      <w:r w:rsidRPr="00412829">
        <w:rPr>
          <w:rFonts w:cs="Arial"/>
          <w:noProof/>
          <w:szCs w:val="22"/>
          <w:u w:val="none"/>
          <w:lang w:eastAsia="en-AU"/>
        </w:rPr>
        <w:drawing>
          <wp:inline distT="0" distB="0" distL="0" distR="0" wp14:anchorId="120AE193" wp14:editId="74E15C63">
            <wp:extent cx="4403090" cy="4508390"/>
            <wp:effectExtent l="0" t="0" r="0" b="6985"/>
            <wp:docPr id="6" name="Picture 3" descr="GRH0331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9627" cy="4525323"/>
                    </a:xfrm>
                    <a:prstGeom prst="rect">
                      <a:avLst/>
                    </a:prstGeom>
                    <a:noFill/>
                    <a:ln>
                      <a:noFill/>
                    </a:ln>
                  </pic:spPr>
                </pic:pic>
              </a:graphicData>
            </a:graphic>
          </wp:inline>
        </w:drawing>
      </w:r>
    </w:p>
    <w:p w14:paraId="539FF676" w14:textId="5A79D3FA" w:rsidR="00D7200B" w:rsidRPr="00412829" w:rsidRDefault="00D7200B" w:rsidP="00AB1877">
      <w:pPr>
        <w:pStyle w:val="RPI-Text"/>
        <w:keepNext/>
        <w:rPr>
          <w:i/>
        </w:rPr>
      </w:pPr>
      <w:r w:rsidRPr="00412829">
        <w:rPr>
          <w:i/>
        </w:rPr>
        <w:t xml:space="preserve">Effect on </w:t>
      </w:r>
      <w:r w:rsidR="00F579AC" w:rsidRPr="00412829">
        <w:rPr>
          <w:i/>
        </w:rPr>
        <w:t>o</w:t>
      </w:r>
      <w:r w:rsidRPr="00412829">
        <w:rPr>
          <w:i/>
        </w:rPr>
        <w:t xml:space="preserve">ther </w:t>
      </w:r>
      <w:r w:rsidR="00F579AC" w:rsidRPr="00412829">
        <w:rPr>
          <w:i/>
        </w:rPr>
        <w:t>f</w:t>
      </w:r>
      <w:r w:rsidRPr="00412829">
        <w:rPr>
          <w:i/>
        </w:rPr>
        <w:t xml:space="preserve">racture </w:t>
      </w:r>
      <w:r w:rsidR="00F579AC" w:rsidRPr="00412829">
        <w:rPr>
          <w:i/>
        </w:rPr>
        <w:t>t</w:t>
      </w:r>
      <w:r w:rsidRPr="00412829">
        <w:rPr>
          <w:i/>
        </w:rPr>
        <w:t>ypes/</w:t>
      </w:r>
      <w:r w:rsidR="00F579AC" w:rsidRPr="00412829">
        <w:rPr>
          <w:i/>
        </w:rPr>
        <w:t>g</w:t>
      </w:r>
      <w:r w:rsidRPr="00412829">
        <w:rPr>
          <w:i/>
        </w:rPr>
        <w:t>roups</w:t>
      </w:r>
    </w:p>
    <w:p w14:paraId="3ABEF0BF" w14:textId="04AD670C" w:rsidR="00D7200B" w:rsidRPr="00412829" w:rsidRDefault="00D7200B" w:rsidP="00F54EFB">
      <w:pPr>
        <w:pStyle w:val="RPI-Text"/>
      </w:pPr>
      <w:r w:rsidRPr="00412829">
        <w:t xml:space="preserve">See Table </w:t>
      </w:r>
      <w:r w:rsidR="00732FF6" w:rsidRPr="00412829">
        <w:t>7</w:t>
      </w:r>
      <w:r w:rsidRPr="00412829">
        <w:t xml:space="preserve"> for effect of EVENITY on other Fracture Types/Groups through Month 24.  </w:t>
      </w:r>
    </w:p>
    <w:p w14:paraId="7D422554" w14:textId="0B56E538" w:rsidR="00F87805" w:rsidRPr="00412829" w:rsidRDefault="00F87805" w:rsidP="00396561">
      <w:pPr>
        <w:pStyle w:val="RPI-Caption"/>
      </w:pPr>
      <w:r w:rsidRPr="00412829">
        <w:t xml:space="preserve">Table </w:t>
      </w:r>
      <w:r w:rsidR="00732FF6" w:rsidRPr="00412829">
        <w:t>7</w:t>
      </w:r>
      <w:r w:rsidRPr="00412829">
        <w:t xml:space="preserve">. </w:t>
      </w:r>
      <w:r w:rsidR="00EF6740" w:rsidRPr="00412829">
        <w:t xml:space="preserve"> </w:t>
      </w:r>
      <w:r w:rsidRPr="00412829">
        <w:t>The Effect of EVENITY on the Incidence and Risk of Other Fracture Types/Groups Through Month 12 and Month 24</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1"/>
        <w:gridCol w:w="1339"/>
        <w:gridCol w:w="1361"/>
        <w:gridCol w:w="1194"/>
        <w:gridCol w:w="1194"/>
        <w:gridCol w:w="1005"/>
        <w:gridCol w:w="148"/>
        <w:gridCol w:w="924"/>
      </w:tblGrid>
      <w:tr w:rsidR="00885714" w:rsidRPr="00472DB3" w14:paraId="36E01927" w14:textId="77777777" w:rsidTr="00472DB3">
        <w:trPr>
          <w:cantSplit/>
          <w:trHeight w:val="87"/>
          <w:tblHeader/>
          <w:jc w:val="center"/>
        </w:trPr>
        <w:tc>
          <w:tcPr>
            <w:tcW w:w="846" w:type="pct"/>
            <w:vMerge w:val="restart"/>
            <w:tcBorders>
              <w:top w:val="single" w:sz="4" w:space="0" w:color="auto"/>
            </w:tcBorders>
            <w:vAlign w:val="center"/>
          </w:tcPr>
          <w:p w14:paraId="17F51B52" w14:textId="77777777" w:rsidR="00F87805" w:rsidRPr="00472DB3" w:rsidRDefault="00F87805" w:rsidP="00AF1FE1">
            <w:pPr>
              <w:spacing w:before="120" w:after="120" w:line="360" w:lineRule="auto"/>
              <w:rPr>
                <w:rFonts w:cs="Arial"/>
                <w:sz w:val="20"/>
              </w:rPr>
            </w:pPr>
          </w:p>
        </w:tc>
        <w:tc>
          <w:tcPr>
            <w:tcW w:w="1558" w:type="pct"/>
            <w:gridSpan w:val="2"/>
            <w:tcBorders>
              <w:top w:val="single" w:sz="4" w:space="0" w:color="auto"/>
            </w:tcBorders>
            <w:vAlign w:val="center"/>
          </w:tcPr>
          <w:p w14:paraId="3125E930" w14:textId="77777777" w:rsidR="00F87805" w:rsidRPr="00472DB3" w:rsidRDefault="00F87805" w:rsidP="001E0095">
            <w:pPr>
              <w:pStyle w:val="RPI-TableCenterAligned"/>
              <w:rPr>
                <w:b/>
                <w:sz w:val="20"/>
              </w:rPr>
            </w:pPr>
            <w:r w:rsidRPr="00472DB3">
              <w:rPr>
                <w:b/>
                <w:sz w:val="20"/>
              </w:rPr>
              <w:t xml:space="preserve">Proportion of Women With Fracture </w:t>
            </w:r>
          </w:p>
        </w:tc>
        <w:tc>
          <w:tcPr>
            <w:tcW w:w="689" w:type="pct"/>
            <w:vMerge w:val="restart"/>
            <w:tcBorders>
              <w:top w:val="single" w:sz="4" w:space="0" w:color="auto"/>
            </w:tcBorders>
            <w:vAlign w:val="center"/>
          </w:tcPr>
          <w:p w14:paraId="166FAC75" w14:textId="77777777" w:rsidR="00F87805" w:rsidRPr="00472DB3" w:rsidRDefault="00F87805" w:rsidP="001E0095">
            <w:pPr>
              <w:pStyle w:val="RPI-TableCenterAligned"/>
              <w:rPr>
                <w:b/>
                <w:sz w:val="20"/>
              </w:rPr>
            </w:pPr>
            <w:r w:rsidRPr="00472DB3">
              <w:rPr>
                <w:b/>
                <w:sz w:val="20"/>
              </w:rPr>
              <w:t>Absolute Risk Reduction</w:t>
            </w:r>
            <w:r w:rsidRPr="00472DB3">
              <w:rPr>
                <w:b/>
                <w:sz w:val="20"/>
              </w:rPr>
              <w:br/>
              <w:t xml:space="preserve">(%) </w:t>
            </w:r>
          </w:p>
          <w:p w14:paraId="5537CC0F" w14:textId="77777777" w:rsidR="00F87805" w:rsidRPr="00472DB3" w:rsidRDefault="00F87805" w:rsidP="001E0095">
            <w:pPr>
              <w:pStyle w:val="RPI-TableCenterAligned"/>
              <w:rPr>
                <w:b/>
                <w:sz w:val="20"/>
                <w:vertAlign w:val="superscript"/>
              </w:rPr>
            </w:pPr>
            <w:r w:rsidRPr="00472DB3">
              <w:rPr>
                <w:b/>
                <w:sz w:val="20"/>
              </w:rPr>
              <w:t>(95% CI)</w:t>
            </w:r>
          </w:p>
        </w:tc>
        <w:tc>
          <w:tcPr>
            <w:tcW w:w="689" w:type="pct"/>
            <w:vMerge w:val="restart"/>
            <w:tcBorders>
              <w:top w:val="single" w:sz="4" w:space="0" w:color="auto"/>
            </w:tcBorders>
            <w:vAlign w:val="center"/>
          </w:tcPr>
          <w:p w14:paraId="589C4732" w14:textId="77777777" w:rsidR="00F87805" w:rsidRPr="00472DB3" w:rsidRDefault="00F87805" w:rsidP="001E0095">
            <w:pPr>
              <w:pStyle w:val="RPI-TableCenterAligned"/>
              <w:rPr>
                <w:b/>
                <w:sz w:val="20"/>
              </w:rPr>
            </w:pPr>
            <w:r w:rsidRPr="00472DB3">
              <w:rPr>
                <w:b/>
                <w:sz w:val="20"/>
              </w:rPr>
              <w:t>Relative Risk Reduction (%) (95% CI)</w:t>
            </w:r>
          </w:p>
        </w:tc>
        <w:tc>
          <w:tcPr>
            <w:tcW w:w="580" w:type="pct"/>
            <w:vMerge w:val="restart"/>
            <w:tcBorders>
              <w:top w:val="single" w:sz="4" w:space="0" w:color="auto"/>
            </w:tcBorders>
            <w:vAlign w:val="center"/>
          </w:tcPr>
          <w:p w14:paraId="7E642AA4" w14:textId="77777777" w:rsidR="00F87805" w:rsidRPr="00472DB3" w:rsidRDefault="00F87805" w:rsidP="001E0095">
            <w:pPr>
              <w:pStyle w:val="RPI-TableCenterAligned"/>
              <w:rPr>
                <w:b/>
                <w:sz w:val="20"/>
              </w:rPr>
            </w:pPr>
            <w:r w:rsidRPr="00472DB3">
              <w:rPr>
                <w:b/>
                <w:sz w:val="20"/>
              </w:rPr>
              <w:t>Nominal</w:t>
            </w:r>
          </w:p>
          <w:p w14:paraId="63C4E1D8" w14:textId="77777777" w:rsidR="00F87805" w:rsidRPr="00472DB3" w:rsidRDefault="00F87805" w:rsidP="001E0095">
            <w:pPr>
              <w:pStyle w:val="RPI-TableCenterAligned"/>
              <w:rPr>
                <w:b/>
                <w:sz w:val="20"/>
              </w:rPr>
            </w:pPr>
            <w:r w:rsidRPr="00472DB3">
              <w:rPr>
                <w:b/>
                <w:sz w:val="20"/>
              </w:rPr>
              <w:t>p-value</w:t>
            </w:r>
            <w:r w:rsidRPr="00472DB3">
              <w:rPr>
                <w:b/>
                <w:sz w:val="20"/>
                <w:vertAlign w:val="superscript"/>
              </w:rPr>
              <w:t>a</w:t>
            </w:r>
          </w:p>
        </w:tc>
        <w:tc>
          <w:tcPr>
            <w:tcW w:w="639" w:type="pct"/>
            <w:gridSpan w:val="2"/>
            <w:vMerge w:val="restart"/>
            <w:tcBorders>
              <w:top w:val="single" w:sz="4" w:space="0" w:color="auto"/>
            </w:tcBorders>
            <w:vAlign w:val="center"/>
          </w:tcPr>
          <w:p w14:paraId="1318F682" w14:textId="77777777" w:rsidR="00F87805" w:rsidRPr="00472DB3" w:rsidRDefault="00F87805" w:rsidP="001E0095">
            <w:pPr>
              <w:pStyle w:val="RPI-TableCenterAligned"/>
              <w:rPr>
                <w:b/>
                <w:sz w:val="20"/>
              </w:rPr>
            </w:pPr>
            <w:r w:rsidRPr="00472DB3">
              <w:rPr>
                <w:b/>
                <w:sz w:val="20"/>
              </w:rPr>
              <w:t>Adjusted</w:t>
            </w:r>
          </w:p>
          <w:p w14:paraId="3FB5A74D" w14:textId="77777777" w:rsidR="00F87805" w:rsidRPr="00472DB3" w:rsidRDefault="00F87805" w:rsidP="001E0095">
            <w:pPr>
              <w:pStyle w:val="RPI-TableCenterAligned"/>
              <w:rPr>
                <w:b/>
                <w:sz w:val="20"/>
              </w:rPr>
            </w:pPr>
            <w:r w:rsidRPr="00472DB3">
              <w:rPr>
                <w:b/>
                <w:sz w:val="20"/>
              </w:rPr>
              <w:t>p-value</w:t>
            </w:r>
            <w:r w:rsidRPr="00472DB3">
              <w:rPr>
                <w:b/>
                <w:sz w:val="20"/>
                <w:vertAlign w:val="superscript"/>
              </w:rPr>
              <w:t>b</w:t>
            </w:r>
          </w:p>
        </w:tc>
      </w:tr>
      <w:tr w:rsidR="00885714" w:rsidRPr="00472DB3" w14:paraId="75D77556" w14:textId="77777777" w:rsidTr="00472DB3">
        <w:trPr>
          <w:trHeight w:val="264"/>
          <w:jc w:val="center"/>
        </w:trPr>
        <w:tc>
          <w:tcPr>
            <w:tcW w:w="846" w:type="pct"/>
            <w:vMerge/>
            <w:tcBorders>
              <w:bottom w:val="single" w:sz="4" w:space="0" w:color="auto"/>
            </w:tcBorders>
            <w:vAlign w:val="center"/>
          </w:tcPr>
          <w:p w14:paraId="4E31C163" w14:textId="77777777" w:rsidR="00F87805" w:rsidRPr="00472DB3" w:rsidRDefault="00F87805" w:rsidP="00AF1FE1">
            <w:pPr>
              <w:spacing w:before="120" w:after="120" w:line="360" w:lineRule="auto"/>
              <w:rPr>
                <w:rFonts w:cs="Arial"/>
                <w:sz w:val="20"/>
              </w:rPr>
            </w:pPr>
          </w:p>
        </w:tc>
        <w:tc>
          <w:tcPr>
            <w:tcW w:w="773" w:type="pct"/>
            <w:tcBorders>
              <w:bottom w:val="single" w:sz="4" w:space="0" w:color="auto"/>
            </w:tcBorders>
            <w:vAlign w:val="center"/>
          </w:tcPr>
          <w:p w14:paraId="65D4D319" w14:textId="77777777" w:rsidR="00F87805" w:rsidRPr="00472DB3" w:rsidRDefault="00F87805" w:rsidP="001E0095">
            <w:pPr>
              <w:pStyle w:val="RPI-TableCenterAligned"/>
              <w:rPr>
                <w:b/>
                <w:sz w:val="20"/>
              </w:rPr>
            </w:pPr>
            <w:r w:rsidRPr="00472DB3">
              <w:rPr>
                <w:b/>
                <w:sz w:val="20"/>
              </w:rPr>
              <w:t>Placebo (%)</w:t>
            </w:r>
          </w:p>
        </w:tc>
        <w:tc>
          <w:tcPr>
            <w:tcW w:w="785" w:type="pct"/>
            <w:tcBorders>
              <w:bottom w:val="single" w:sz="4" w:space="0" w:color="auto"/>
            </w:tcBorders>
            <w:vAlign w:val="center"/>
          </w:tcPr>
          <w:p w14:paraId="30B341A5" w14:textId="77777777" w:rsidR="00F87805" w:rsidRPr="00472DB3" w:rsidRDefault="00F87805" w:rsidP="001E0095">
            <w:pPr>
              <w:pStyle w:val="RPI-TableCenterAligned"/>
              <w:rPr>
                <w:b/>
                <w:sz w:val="20"/>
              </w:rPr>
            </w:pPr>
            <w:r w:rsidRPr="00472DB3">
              <w:rPr>
                <w:b/>
                <w:sz w:val="20"/>
              </w:rPr>
              <w:t>EVENITY (%)</w:t>
            </w:r>
          </w:p>
        </w:tc>
        <w:tc>
          <w:tcPr>
            <w:tcW w:w="689" w:type="pct"/>
            <w:vMerge/>
            <w:tcBorders>
              <w:bottom w:val="single" w:sz="4" w:space="0" w:color="auto"/>
            </w:tcBorders>
            <w:vAlign w:val="center"/>
          </w:tcPr>
          <w:p w14:paraId="67EA2F6E" w14:textId="77777777" w:rsidR="00F87805" w:rsidRPr="00472DB3" w:rsidRDefault="00F87805" w:rsidP="00AF1FE1">
            <w:pPr>
              <w:spacing w:before="120" w:after="120" w:line="360" w:lineRule="auto"/>
              <w:jc w:val="center"/>
              <w:rPr>
                <w:rFonts w:cs="Arial"/>
                <w:sz w:val="20"/>
              </w:rPr>
            </w:pPr>
          </w:p>
        </w:tc>
        <w:tc>
          <w:tcPr>
            <w:tcW w:w="689" w:type="pct"/>
            <w:vMerge/>
            <w:tcBorders>
              <w:bottom w:val="single" w:sz="4" w:space="0" w:color="auto"/>
            </w:tcBorders>
            <w:vAlign w:val="center"/>
          </w:tcPr>
          <w:p w14:paraId="1E2A7CA9" w14:textId="77777777" w:rsidR="00F87805" w:rsidRPr="00472DB3" w:rsidRDefault="00F87805" w:rsidP="00AF1FE1">
            <w:pPr>
              <w:spacing w:before="120" w:after="120" w:line="360" w:lineRule="auto"/>
              <w:jc w:val="center"/>
              <w:rPr>
                <w:rFonts w:cs="Arial"/>
                <w:sz w:val="20"/>
              </w:rPr>
            </w:pPr>
          </w:p>
        </w:tc>
        <w:tc>
          <w:tcPr>
            <w:tcW w:w="580" w:type="pct"/>
            <w:vMerge/>
            <w:tcBorders>
              <w:bottom w:val="single" w:sz="4" w:space="0" w:color="auto"/>
            </w:tcBorders>
            <w:vAlign w:val="center"/>
          </w:tcPr>
          <w:p w14:paraId="5EFD0FDF" w14:textId="77777777" w:rsidR="00F87805" w:rsidRPr="00472DB3" w:rsidRDefault="00F87805" w:rsidP="00AF1FE1">
            <w:pPr>
              <w:spacing w:before="120" w:after="120" w:line="360" w:lineRule="auto"/>
              <w:jc w:val="center"/>
              <w:rPr>
                <w:rFonts w:cs="Arial"/>
                <w:sz w:val="20"/>
              </w:rPr>
            </w:pPr>
          </w:p>
        </w:tc>
        <w:tc>
          <w:tcPr>
            <w:tcW w:w="639" w:type="pct"/>
            <w:gridSpan w:val="2"/>
            <w:vMerge/>
            <w:tcBorders>
              <w:bottom w:val="single" w:sz="4" w:space="0" w:color="auto"/>
            </w:tcBorders>
            <w:vAlign w:val="center"/>
          </w:tcPr>
          <w:p w14:paraId="2D56CBDC" w14:textId="77777777" w:rsidR="00F87805" w:rsidRPr="00472DB3" w:rsidRDefault="00F87805" w:rsidP="00AF1FE1">
            <w:pPr>
              <w:spacing w:before="120" w:after="120" w:line="360" w:lineRule="auto"/>
              <w:jc w:val="center"/>
              <w:rPr>
                <w:rFonts w:cs="Arial"/>
                <w:sz w:val="20"/>
              </w:rPr>
            </w:pPr>
          </w:p>
        </w:tc>
      </w:tr>
      <w:tr w:rsidR="00885714" w:rsidRPr="00472DB3" w14:paraId="29C6C900" w14:textId="77777777" w:rsidTr="00472DB3">
        <w:trPr>
          <w:trHeight w:val="49"/>
          <w:jc w:val="center"/>
        </w:trPr>
        <w:tc>
          <w:tcPr>
            <w:tcW w:w="5000" w:type="pct"/>
            <w:gridSpan w:val="8"/>
            <w:vAlign w:val="center"/>
          </w:tcPr>
          <w:p w14:paraId="65BD49D8" w14:textId="77777777" w:rsidR="00F87805" w:rsidRPr="00472DB3" w:rsidRDefault="00F87805" w:rsidP="001E0095">
            <w:pPr>
              <w:pStyle w:val="RPI-TableLeftAligned"/>
              <w:rPr>
                <w:b/>
                <w:i/>
                <w:sz w:val="20"/>
              </w:rPr>
            </w:pPr>
            <w:r w:rsidRPr="00472DB3">
              <w:rPr>
                <w:b/>
                <w:i/>
                <w:sz w:val="20"/>
              </w:rPr>
              <w:t>Through Month 12</w:t>
            </w:r>
          </w:p>
        </w:tc>
      </w:tr>
      <w:tr w:rsidR="00885714" w:rsidRPr="00472DB3" w14:paraId="29BDE6D2" w14:textId="77777777" w:rsidTr="00472DB3">
        <w:trPr>
          <w:trHeight w:val="353"/>
          <w:jc w:val="center"/>
        </w:trPr>
        <w:tc>
          <w:tcPr>
            <w:tcW w:w="846" w:type="pct"/>
            <w:vAlign w:val="center"/>
          </w:tcPr>
          <w:p w14:paraId="4A19BD32" w14:textId="77777777" w:rsidR="00F87805" w:rsidRPr="00472DB3" w:rsidRDefault="00F87805" w:rsidP="001E0095">
            <w:pPr>
              <w:pStyle w:val="RPI-TableLeftAligned"/>
              <w:rPr>
                <w:sz w:val="20"/>
              </w:rPr>
            </w:pPr>
            <w:r w:rsidRPr="00472DB3">
              <w:rPr>
                <w:sz w:val="20"/>
              </w:rPr>
              <w:t>New or worsening vertebral</w:t>
            </w:r>
          </w:p>
        </w:tc>
        <w:tc>
          <w:tcPr>
            <w:tcW w:w="773" w:type="pct"/>
            <w:vAlign w:val="center"/>
          </w:tcPr>
          <w:p w14:paraId="587C09D8" w14:textId="77777777" w:rsidR="00F87805" w:rsidRPr="00472DB3" w:rsidRDefault="00F87805" w:rsidP="001E0095">
            <w:pPr>
              <w:pStyle w:val="RPI-TableCenterAligned"/>
              <w:rPr>
                <w:sz w:val="20"/>
              </w:rPr>
            </w:pPr>
            <w:r w:rsidRPr="00472DB3">
              <w:rPr>
                <w:sz w:val="20"/>
              </w:rPr>
              <w:t>59/3322 (1.8)</w:t>
            </w:r>
          </w:p>
        </w:tc>
        <w:tc>
          <w:tcPr>
            <w:tcW w:w="785" w:type="pct"/>
            <w:vAlign w:val="center"/>
          </w:tcPr>
          <w:p w14:paraId="299285C7" w14:textId="77777777" w:rsidR="00F87805" w:rsidRPr="00472DB3" w:rsidRDefault="00F87805" w:rsidP="001E0095">
            <w:pPr>
              <w:pStyle w:val="RPI-TableCenterAligned"/>
              <w:rPr>
                <w:sz w:val="20"/>
              </w:rPr>
            </w:pPr>
            <w:r w:rsidRPr="00472DB3">
              <w:rPr>
                <w:sz w:val="20"/>
              </w:rPr>
              <w:t>17/3321 (0.5)</w:t>
            </w:r>
          </w:p>
        </w:tc>
        <w:tc>
          <w:tcPr>
            <w:tcW w:w="689" w:type="pct"/>
            <w:vAlign w:val="center"/>
          </w:tcPr>
          <w:p w14:paraId="7522E2C1" w14:textId="77777777" w:rsidR="00F87805" w:rsidRPr="00472DB3" w:rsidRDefault="00F87805" w:rsidP="001E0095">
            <w:pPr>
              <w:pStyle w:val="RPI-TableCenterAligned"/>
              <w:rPr>
                <w:sz w:val="20"/>
              </w:rPr>
            </w:pPr>
            <w:r w:rsidRPr="00472DB3">
              <w:rPr>
                <w:sz w:val="20"/>
              </w:rPr>
              <w:t>1.3</w:t>
            </w:r>
          </w:p>
          <w:p w14:paraId="5662008C" w14:textId="77777777" w:rsidR="00F87805" w:rsidRPr="00472DB3" w:rsidRDefault="00F87805" w:rsidP="001E0095">
            <w:pPr>
              <w:pStyle w:val="RPI-TableCenterAligned"/>
              <w:rPr>
                <w:sz w:val="20"/>
              </w:rPr>
            </w:pPr>
            <w:r w:rsidRPr="00472DB3">
              <w:rPr>
                <w:sz w:val="20"/>
              </w:rPr>
              <w:t>(0.76, 1.77)</w:t>
            </w:r>
          </w:p>
        </w:tc>
        <w:tc>
          <w:tcPr>
            <w:tcW w:w="689" w:type="pct"/>
            <w:vAlign w:val="center"/>
          </w:tcPr>
          <w:p w14:paraId="206C1A92" w14:textId="77777777" w:rsidR="005D4AB5" w:rsidRPr="00472DB3" w:rsidRDefault="00F87805" w:rsidP="001E0095">
            <w:pPr>
              <w:pStyle w:val="RPI-TableCenterAligned"/>
              <w:rPr>
                <w:sz w:val="20"/>
              </w:rPr>
            </w:pPr>
            <w:r w:rsidRPr="00472DB3">
              <w:rPr>
                <w:sz w:val="20"/>
              </w:rPr>
              <w:t>71</w:t>
            </w:r>
          </w:p>
          <w:p w14:paraId="08BBCD36" w14:textId="6A2F42EA" w:rsidR="00F87805" w:rsidRPr="00472DB3" w:rsidRDefault="00F87805" w:rsidP="001E0095">
            <w:pPr>
              <w:pStyle w:val="RPI-TableCenterAligned"/>
              <w:rPr>
                <w:sz w:val="20"/>
              </w:rPr>
            </w:pPr>
            <w:r w:rsidRPr="00472DB3">
              <w:rPr>
                <w:sz w:val="20"/>
              </w:rPr>
              <w:t>(51, 83)</w:t>
            </w:r>
          </w:p>
        </w:tc>
        <w:tc>
          <w:tcPr>
            <w:tcW w:w="580" w:type="pct"/>
            <w:vAlign w:val="center"/>
          </w:tcPr>
          <w:p w14:paraId="27BC35A2" w14:textId="77777777" w:rsidR="00F87805" w:rsidRPr="00472DB3" w:rsidRDefault="00F87805" w:rsidP="001E0095">
            <w:pPr>
              <w:pStyle w:val="RPI-TableCenterAligned"/>
              <w:rPr>
                <w:sz w:val="20"/>
              </w:rPr>
            </w:pPr>
            <w:r w:rsidRPr="00472DB3">
              <w:rPr>
                <w:sz w:val="20"/>
              </w:rPr>
              <w:t>&lt; 0.001</w:t>
            </w:r>
          </w:p>
        </w:tc>
        <w:tc>
          <w:tcPr>
            <w:tcW w:w="639" w:type="pct"/>
            <w:gridSpan w:val="2"/>
            <w:vAlign w:val="center"/>
          </w:tcPr>
          <w:p w14:paraId="7A625759" w14:textId="77777777" w:rsidR="00F87805" w:rsidRPr="00472DB3" w:rsidRDefault="00F87805" w:rsidP="001E0095">
            <w:pPr>
              <w:pStyle w:val="RPI-TableCenterAligned"/>
              <w:rPr>
                <w:sz w:val="20"/>
              </w:rPr>
            </w:pPr>
            <w:r w:rsidRPr="00472DB3">
              <w:rPr>
                <w:sz w:val="20"/>
              </w:rPr>
              <w:t>0.096</w:t>
            </w:r>
          </w:p>
        </w:tc>
      </w:tr>
      <w:tr w:rsidR="00885714" w:rsidRPr="00472DB3" w14:paraId="586BF2CF" w14:textId="77777777" w:rsidTr="00472DB3">
        <w:trPr>
          <w:trHeight w:val="49"/>
          <w:jc w:val="center"/>
        </w:trPr>
        <w:tc>
          <w:tcPr>
            <w:tcW w:w="846" w:type="pct"/>
            <w:vAlign w:val="center"/>
          </w:tcPr>
          <w:p w14:paraId="754CD8EF" w14:textId="77777777" w:rsidR="00F87805" w:rsidRPr="00472DB3" w:rsidRDefault="00F87805" w:rsidP="001E0095">
            <w:pPr>
              <w:pStyle w:val="RPI-TableLeftAligned"/>
              <w:rPr>
                <w:sz w:val="20"/>
              </w:rPr>
            </w:pPr>
            <w:r w:rsidRPr="00472DB3">
              <w:rPr>
                <w:sz w:val="20"/>
              </w:rPr>
              <w:lastRenderedPageBreak/>
              <w:t>Multiple new/worsening vertebral</w:t>
            </w:r>
          </w:p>
        </w:tc>
        <w:tc>
          <w:tcPr>
            <w:tcW w:w="773" w:type="pct"/>
            <w:vAlign w:val="center"/>
          </w:tcPr>
          <w:p w14:paraId="202B3014" w14:textId="77777777" w:rsidR="00F87805" w:rsidRPr="00472DB3" w:rsidRDefault="00F87805" w:rsidP="001E0095">
            <w:pPr>
              <w:pStyle w:val="RPI-TableCenterAligned"/>
              <w:rPr>
                <w:sz w:val="20"/>
              </w:rPr>
            </w:pPr>
            <w:r w:rsidRPr="00472DB3">
              <w:rPr>
                <w:sz w:val="20"/>
              </w:rPr>
              <w:t>9/3322 (0.3)</w:t>
            </w:r>
          </w:p>
        </w:tc>
        <w:tc>
          <w:tcPr>
            <w:tcW w:w="785" w:type="pct"/>
            <w:vAlign w:val="center"/>
          </w:tcPr>
          <w:p w14:paraId="33E02E6E" w14:textId="3D11A178" w:rsidR="00F87805" w:rsidRPr="00472DB3" w:rsidRDefault="00F87805" w:rsidP="001E0095">
            <w:pPr>
              <w:pStyle w:val="RPI-TableCenterAligned"/>
              <w:rPr>
                <w:sz w:val="20"/>
              </w:rPr>
            </w:pPr>
            <w:r w:rsidRPr="00472DB3">
              <w:rPr>
                <w:sz w:val="20"/>
              </w:rPr>
              <w:t>1/3321 (&lt;</w:t>
            </w:r>
            <w:r w:rsidR="000E11F8" w:rsidRPr="00472DB3">
              <w:rPr>
                <w:sz w:val="20"/>
              </w:rPr>
              <w:t> </w:t>
            </w:r>
            <w:r w:rsidRPr="00472DB3">
              <w:rPr>
                <w:sz w:val="20"/>
              </w:rPr>
              <w:t>0.1)</w:t>
            </w:r>
          </w:p>
        </w:tc>
        <w:tc>
          <w:tcPr>
            <w:tcW w:w="689" w:type="pct"/>
            <w:vAlign w:val="center"/>
          </w:tcPr>
          <w:p w14:paraId="3A621085" w14:textId="77777777" w:rsidR="00F87805" w:rsidRPr="00472DB3" w:rsidRDefault="00F87805" w:rsidP="001E0095">
            <w:pPr>
              <w:pStyle w:val="RPI-TableCenterAligned"/>
              <w:rPr>
                <w:sz w:val="20"/>
              </w:rPr>
            </w:pPr>
            <w:r w:rsidRPr="00472DB3">
              <w:rPr>
                <w:sz w:val="20"/>
              </w:rPr>
              <w:t xml:space="preserve">0.24 </w:t>
            </w:r>
          </w:p>
          <w:p w14:paraId="5F20A0FF" w14:textId="77777777" w:rsidR="00F87805" w:rsidRPr="00472DB3" w:rsidRDefault="00F87805" w:rsidP="001E0095">
            <w:pPr>
              <w:pStyle w:val="RPI-TableCenterAligned"/>
              <w:rPr>
                <w:sz w:val="20"/>
              </w:rPr>
            </w:pPr>
            <w:r w:rsidRPr="00472DB3">
              <w:rPr>
                <w:sz w:val="20"/>
              </w:rPr>
              <w:t>(0.05, 0.43)</w:t>
            </w:r>
          </w:p>
          <w:p w14:paraId="01CD38F2" w14:textId="77777777" w:rsidR="00F87805" w:rsidRPr="00472DB3" w:rsidRDefault="00F87805" w:rsidP="001E0095">
            <w:pPr>
              <w:pStyle w:val="RPI-TableCenterAligned"/>
              <w:rPr>
                <w:sz w:val="20"/>
              </w:rPr>
            </w:pPr>
          </w:p>
        </w:tc>
        <w:tc>
          <w:tcPr>
            <w:tcW w:w="689" w:type="pct"/>
            <w:vAlign w:val="center"/>
          </w:tcPr>
          <w:p w14:paraId="390E5B61" w14:textId="77777777" w:rsidR="00F87805" w:rsidRPr="00472DB3" w:rsidRDefault="00F87805" w:rsidP="001E0095">
            <w:pPr>
              <w:pStyle w:val="RPI-TableCenterAligned"/>
              <w:rPr>
                <w:sz w:val="20"/>
              </w:rPr>
            </w:pPr>
            <w:r w:rsidRPr="00472DB3">
              <w:rPr>
                <w:sz w:val="20"/>
              </w:rPr>
              <w:t xml:space="preserve">89 </w:t>
            </w:r>
            <w:r w:rsidRPr="00472DB3">
              <w:rPr>
                <w:sz w:val="20"/>
              </w:rPr>
              <w:br/>
              <w:t>(13, 99)</w:t>
            </w:r>
          </w:p>
          <w:p w14:paraId="76D46C4F" w14:textId="77777777" w:rsidR="00F87805" w:rsidRPr="00472DB3" w:rsidRDefault="00F87805" w:rsidP="001E0095">
            <w:pPr>
              <w:pStyle w:val="RPI-TableCenterAligned"/>
              <w:rPr>
                <w:sz w:val="20"/>
              </w:rPr>
            </w:pPr>
          </w:p>
        </w:tc>
        <w:tc>
          <w:tcPr>
            <w:tcW w:w="580" w:type="pct"/>
            <w:vAlign w:val="center"/>
          </w:tcPr>
          <w:p w14:paraId="4E4BFBE6" w14:textId="77777777" w:rsidR="00F87805" w:rsidRPr="00472DB3" w:rsidRDefault="00F87805" w:rsidP="001E0095">
            <w:pPr>
              <w:pStyle w:val="RPI-TableCenterAligned"/>
              <w:rPr>
                <w:sz w:val="20"/>
              </w:rPr>
            </w:pPr>
            <w:r w:rsidRPr="00472DB3">
              <w:rPr>
                <w:sz w:val="20"/>
              </w:rPr>
              <w:t>0.011</w:t>
            </w:r>
          </w:p>
        </w:tc>
        <w:tc>
          <w:tcPr>
            <w:tcW w:w="639" w:type="pct"/>
            <w:gridSpan w:val="2"/>
            <w:vAlign w:val="center"/>
          </w:tcPr>
          <w:p w14:paraId="540B814B" w14:textId="77777777" w:rsidR="00F87805" w:rsidRPr="00472DB3" w:rsidRDefault="00F87805" w:rsidP="001E0095">
            <w:pPr>
              <w:pStyle w:val="RPI-TableCenterAligned"/>
              <w:rPr>
                <w:sz w:val="20"/>
              </w:rPr>
            </w:pPr>
            <w:r w:rsidRPr="00472DB3">
              <w:rPr>
                <w:sz w:val="20"/>
              </w:rPr>
              <w:t>NA</w:t>
            </w:r>
            <w:r w:rsidRPr="00472DB3">
              <w:rPr>
                <w:sz w:val="20"/>
                <w:vertAlign w:val="superscript"/>
              </w:rPr>
              <w:t>c</w:t>
            </w:r>
          </w:p>
        </w:tc>
      </w:tr>
      <w:tr w:rsidR="00885714" w:rsidRPr="00472DB3" w14:paraId="2CE345EA" w14:textId="77777777" w:rsidTr="00472DB3">
        <w:trPr>
          <w:trHeight w:val="49"/>
          <w:jc w:val="center"/>
        </w:trPr>
        <w:tc>
          <w:tcPr>
            <w:tcW w:w="846" w:type="pct"/>
            <w:vAlign w:val="center"/>
          </w:tcPr>
          <w:p w14:paraId="404EE3DD" w14:textId="78248B6A" w:rsidR="00F87805" w:rsidRPr="00472DB3" w:rsidRDefault="00F87805" w:rsidP="001E0095">
            <w:pPr>
              <w:pStyle w:val="RPI-TableLeftAligned"/>
              <w:rPr>
                <w:sz w:val="20"/>
              </w:rPr>
            </w:pPr>
            <w:r w:rsidRPr="00472DB3">
              <w:rPr>
                <w:sz w:val="20"/>
              </w:rPr>
              <w:t>Nonvertebral</w:t>
            </w:r>
          </w:p>
        </w:tc>
        <w:tc>
          <w:tcPr>
            <w:tcW w:w="773" w:type="pct"/>
            <w:vAlign w:val="center"/>
          </w:tcPr>
          <w:p w14:paraId="2D886802" w14:textId="77777777" w:rsidR="00F87805" w:rsidRPr="00472DB3" w:rsidRDefault="00F87805" w:rsidP="001E0095">
            <w:pPr>
              <w:pStyle w:val="RPI-TableCenterAligned"/>
              <w:rPr>
                <w:sz w:val="20"/>
              </w:rPr>
            </w:pPr>
            <w:r w:rsidRPr="00472DB3">
              <w:rPr>
                <w:sz w:val="20"/>
              </w:rPr>
              <w:t>75/3591 (2.1)</w:t>
            </w:r>
          </w:p>
        </w:tc>
        <w:tc>
          <w:tcPr>
            <w:tcW w:w="785" w:type="pct"/>
            <w:vAlign w:val="center"/>
          </w:tcPr>
          <w:p w14:paraId="650ADC95" w14:textId="77777777" w:rsidR="00F87805" w:rsidRPr="00472DB3" w:rsidRDefault="00F87805" w:rsidP="001E0095">
            <w:pPr>
              <w:pStyle w:val="RPI-TableCenterAligned"/>
              <w:rPr>
                <w:sz w:val="20"/>
              </w:rPr>
            </w:pPr>
            <w:r w:rsidRPr="00472DB3">
              <w:rPr>
                <w:sz w:val="20"/>
              </w:rPr>
              <w:t>56/3589 (1.6)</w:t>
            </w:r>
          </w:p>
        </w:tc>
        <w:tc>
          <w:tcPr>
            <w:tcW w:w="689" w:type="pct"/>
            <w:vAlign w:val="center"/>
          </w:tcPr>
          <w:p w14:paraId="6CBD2162" w14:textId="77777777" w:rsidR="00F87805" w:rsidRPr="00472DB3" w:rsidRDefault="00F87805" w:rsidP="001E0095">
            <w:pPr>
              <w:pStyle w:val="RPI-TableCenterAligned"/>
              <w:rPr>
                <w:sz w:val="20"/>
              </w:rPr>
            </w:pPr>
            <w:r w:rsidRPr="00472DB3">
              <w:rPr>
                <w:sz w:val="20"/>
              </w:rPr>
              <w:t>0.8</w:t>
            </w:r>
          </w:p>
          <w:p w14:paraId="2EB6A3F7" w14:textId="77777777" w:rsidR="00F87805" w:rsidRPr="00472DB3" w:rsidRDefault="00F87805" w:rsidP="001E0095">
            <w:pPr>
              <w:pStyle w:val="RPI-TableCenterAligned"/>
              <w:rPr>
                <w:sz w:val="20"/>
              </w:rPr>
            </w:pPr>
            <w:r w:rsidRPr="00472DB3">
              <w:rPr>
                <w:sz w:val="20"/>
              </w:rPr>
              <w:t>(0.1, 1.4)</w:t>
            </w:r>
          </w:p>
        </w:tc>
        <w:tc>
          <w:tcPr>
            <w:tcW w:w="689" w:type="pct"/>
            <w:vAlign w:val="center"/>
          </w:tcPr>
          <w:p w14:paraId="2FBCFBD8" w14:textId="77777777" w:rsidR="00F87805" w:rsidRPr="00472DB3" w:rsidRDefault="00F87805" w:rsidP="001E0095">
            <w:pPr>
              <w:pStyle w:val="RPI-TableCenterAligned"/>
              <w:rPr>
                <w:sz w:val="20"/>
              </w:rPr>
            </w:pPr>
            <w:r w:rsidRPr="00472DB3">
              <w:rPr>
                <w:sz w:val="20"/>
              </w:rPr>
              <w:t xml:space="preserve">25 </w:t>
            </w:r>
          </w:p>
          <w:p w14:paraId="00166165" w14:textId="77777777" w:rsidR="00F87805" w:rsidRPr="00472DB3" w:rsidRDefault="00F87805" w:rsidP="001E0095">
            <w:pPr>
              <w:pStyle w:val="RPI-TableCenterAligned"/>
              <w:rPr>
                <w:sz w:val="20"/>
              </w:rPr>
            </w:pPr>
            <w:r w:rsidRPr="00472DB3">
              <w:rPr>
                <w:sz w:val="20"/>
              </w:rPr>
              <w:t>(−5, 47)</w:t>
            </w:r>
          </w:p>
        </w:tc>
        <w:tc>
          <w:tcPr>
            <w:tcW w:w="580" w:type="pct"/>
            <w:vAlign w:val="center"/>
          </w:tcPr>
          <w:p w14:paraId="75A2FD96" w14:textId="77777777" w:rsidR="00F87805" w:rsidRPr="00472DB3" w:rsidRDefault="00F87805" w:rsidP="001E0095">
            <w:pPr>
              <w:pStyle w:val="RPI-TableCenterAligned"/>
              <w:rPr>
                <w:sz w:val="20"/>
              </w:rPr>
            </w:pPr>
            <w:r w:rsidRPr="00472DB3">
              <w:rPr>
                <w:sz w:val="20"/>
              </w:rPr>
              <w:t>0.096</w:t>
            </w:r>
          </w:p>
        </w:tc>
        <w:tc>
          <w:tcPr>
            <w:tcW w:w="639" w:type="pct"/>
            <w:gridSpan w:val="2"/>
            <w:vAlign w:val="center"/>
          </w:tcPr>
          <w:p w14:paraId="08E74F8B" w14:textId="77777777" w:rsidR="00F87805" w:rsidRPr="00472DB3" w:rsidRDefault="00F87805" w:rsidP="001E0095">
            <w:pPr>
              <w:pStyle w:val="RPI-TableCenterAligned"/>
              <w:rPr>
                <w:sz w:val="20"/>
              </w:rPr>
            </w:pPr>
            <w:r w:rsidRPr="00472DB3">
              <w:rPr>
                <w:sz w:val="20"/>
              </w:rPr>
              <w:t>0.096</w:t>
            </w:r>
          </w:p>
        </w:tc>
      </w:tr>
      <w:tr w:rsidR="00885714" w:rsidRPr="00472DB3" w14:paraId="2BE95569" w14:textId="77777777" w:rsidTr="00472DB3">
        <w:trPr>
          <w:trHeight w:val="49"/>
          <w:jc w:val="center"/>
        </w:trPr>
        <w:tc>
          <w:tcPr>
            <w:tcW w:w="846" w:type="pct"/>
            <w:vAlign w:val="center"/>
          </w:tcPr>
          <w:p w14:paraId="25FDE140" w14:textId="2D055174" w:rsidR="00F87805" w:rsidRPr="00472DB3" w:rsidRDefault="00F87805" w:rsidP="001E0095">
            <w:pPr>
              <w:pStyle w:val="RPI-TableLeftAligned"/>
              <w:rPr>
                <w:sz w:val="20"/>
              </w:rPr>
            </w:pPr>
            <w:r w:rsidRPr="00472DB3">
              <w:rPr>
                <w:sz w:val="20"/>
              </w:rPr>
              <w:t>Major nonvertebral</w:t>
            </w:r>
          </w:p>
        </w:tc>
        <w:tc>
          <w:tcPr>
            <w:tcW w:w="773" w:type="pct"/>
            <w:vAlign w:val="center"/>
          </w:tcPr>
          <w:p w14:paraId="17B7136B" w14:textId="77777777" w:rsidR="00F87805" w:rsidRPr="00472DB3" w:rsidRDefault="00F87805" w:rsidP="001E0095">
            <w:pPr>
              <w:pStyle w:val="RPI-TableCenterAligned"/>
              <w:rPr>
                <w:sz w:val="20"/>
              </w:rPr>
            </w:pPr>
            <w:r w:rsidRPr="00472DB3">
              <w:rPr>
                <w:sz w:val="20"/>
              </w:rPr>
              <w:t>55/3591 (1.5)</w:t>
            </w:r>
          </w:p>
        </w:tc>
        <w:tc>
          <w:tcPr>
            <w:tcW w:w="785" w:type="pct"/>
            <w:vAlign w:val="center"/>
          </w:tcPr>
          <w:p w14:paraId="6570A811" w14:textId="77777777" w:rsidR="00F87805" w:rsidRPr="00472DB3" w:rsidRDefault="00F87805" w:rsidP="001E0095">
            <w:pPr>
              <w:pStyle w:val="RPI-TableCenterAligned"/>
              <w:rPr>
                <w:sz w:val="20"/>
              </w:rPr>
            </w:pPr>
            <w:r w:rsidRPr="00472DB3">
              <w:rPr>
                <w:sz w:val="20"/>
              </w:rPr>
              <w:t>37/3589 (1.1)</w:t>
            </w:r>
          </w:p>
        </w:tc>
        <w:tc>
          <w:tcPr>
            <w:tcW w:w="689" w:type="pct"/>
            <w:vAlign w:val="center"/>
          </w:tcPr>
          <w:p w14:paraId="2DEC76DC" w14:textId="77777777" w:rsidR="00F87805" w:rsidRPr="00472DB3" w:rsidRDefault="00F87805" w:rsidP="001E0095">
            <w:pPr>
              <w:pStyle w:val="RPI-TableCenterAligned"/>
              <w:rPr>
                <w:sz w:val="20"/>
              </w:rPr>
            </w:pPr>
            <w:r w:rsidRPr="00472DB3">
              <w:rPr>
                <w:sz w:val="20"/>
              </w:rPr>
              <w:t xml:space="preserve">0.6 </w:t>
            </w:r>
            <w:r w:rsidRPr="00472DB3">
              <w:rPr>
                <w:sz w:val="20"/>
              </w:rPr>
              <w:br/>
              <w:t>(0.1, 1.2)</w:t>
            </w:r>
          </w:p>
        </w:tc>
        <w:tc>
          <w:tcPr>
            <w:tcW w:w="689" w:type="pct"/>
            <w:vAlign w:val="center"/>
          </w:tcPr>
          <w:p w14:paraId="639891DD" w14:textId="77777777" w:rsidR="00F87805" w:rsidRPr="00472DB3" w:rsidRDefault="00F87805" w:rsidP="001E0095">
            <w:pPr>
              <w:pStyle w:val="RPI-TableCenterAligned"/>
              <w:rPr>
                <w:sz w:val="20"/>
              </w:rPr>
            </w:pPr>
            <w:r w:rsidRPr="00472DB3">
              <w:rPr>
                <w:sz w:val="20"/>
              </w:rPr>
              <w:t xml:space="preserve">33 </w:t>
            </w:r>
          </w:p>
          <w:p w14:paraId="6F20B11C" w14:textId="77777777" w:rsidR="00F87805" w:rsidRPr="00472DB3" w:rsidRDefault="00F87805" w:rsidP="001E0095">
            <w:pPr>
              <w:pStyle w:val="RPI-TableCenterAligned"/>
              <w:rPr>
                <w:sz w:val="20"/>
              </w:rPr>
            </w:pPr>
            <w:r w:rsidRPr="00472DB3">
              <w:rPr>
                <w:sz w:val="20"/>
              </w:rPr>
              <w:t>(−2, 56)</w:t>
            </w:r>
          </w:p>
        </w:tc>
        <w:tc>
          <w:tcPr>
            <w:tcW w:w="580" w:type="pct"/>
            <w:vAlign w:val="center"/>
          </w:tcPr>
          <w:p w14:paraId="5437799B" w14:textId="77777777" w:rsidR="00F87805" w:rsidRPr="00472DB3" w:rsidRDefault="00F87805" w:rsidP="001E0095">
            <w:pPr>
              <w:pStyle w:val="RPI-TableCenterAligned"/>
              <w:rPr>
                <w:sz w:val="20"/>
              </w:rPr>
            </w:pPr>
            <w:r w:rsidRPr="00472DB3">
              <w:rPr>
                <w:sz w:val="20"/>
              </w:rPr>
              <w:t>0.060</w:t>
            </w:r>
          </w:p>
        </w:tc>
        <w:tc>
          <w:tcPr>
            <w:tcW w:w="639" w:type="pct"/>
            <w:gridSpan w:val="2"/>
            <w:vAlign w:val="center"/>
          </w:tcPr>
          <w:p w14:paraId="6F4101A7" w14:textId="77777777" w:rsidR="00F87805" w:rsidRPr="00472DB3" w:rsidRDefault="00F87805" w:rsidP="001E0095">
            <w:pPr>
              <w:pStyle w:val="RPI-TableCenterAligned"/>
              <w:rPr>
                <w:sz w:val="20"/>
              </w:rPr>
            </w:pPr>
            <w:r w:rsidRPr="00472DB3">
              <w:rPr>
                <w:sz w:val="20"/>
              </w:rPr>
              <w:t>0.096</w:t>
            </w:r>
          </w:p>
        </w:tc>
      </w:tr>
      <w:tr w:rsidR="00885714" w:rsidRPr="00472DB3" w14:paraId="69B3D69C" w14:textId="77777777" w:rsidTr="00472DB3">
        <w:trPr>
          <w:trHeight w:val="49"/>
          <w:jc w:val="center"/>
        </w:trPr>
        <w:tc>
          <w:tcPr>
            <w:tcW w:w="846" w:type="pct"/>
            <w:vAlign w:val="center"/>
          </w:tcPr>
          <w:p w14:paraId="317E6CCB" w14:textId="77777777" w:rsidR="00F87805" w:rsidRPr="00472DB3" w:rsidRDefault="00F87805" w:rsidP="001E0095">
            <w:pPr>
              <w:pStyle w:val="RPI-TableLeftAligned"/>
              <w:rPr>
                <w:sz w:val="20"/>
              </w:rPr>
            </w:pPr>
            <w:r w:rsidRPr="00472DB3">
              <w:rPr>
                <w:sz w:val="20"/>
              </w:rPr>
              <w:t>Hip</w:t>
            </w:r>
          </w:p>
        </w:tc>
        <w:tc>
          <w:tcPr>
            <w:tcW w:w="773" w:type="pct"/>
            <w:vAlign w:val="center"/>
          </w:tcPr>
          <w:p w14:paraId="5A2084CE" w14:textId="77777777" w:rsidR="00F87805" w:rsidRPr="00472DB3" w:rsidRDefault="00F87805" w:rsidP="001E0095">
            <w:pPr>
              <w:pStyle w:val="RPI-TableCenterAligned"/>
              <w:rPr>
                <w:sz w:val="20"/>
              </w:rPr>
            </w:pPr>
            <w:r w:rsidRPr="00472DB3">
              <w:rPr>
                <w:sz w:val="20"/>
              </w:rPr>
              <w:t>13/3591 (0.4)</w:t>
            </w:r>
          </w:p>
        </w:tc>
        <w:tc>
          <w:tcPr>
            <w:tcW w:w="785" w:type="pct"/>
            <w:vAlign w:val="center"/>
          </w:tcPr>
          <w:p w14:paraId="2C93C39B" w14:textId="77777777" w:rsidR="00F87805" w:rsidRPr="00472DB3" w:rsidRDefault="00F87805" w:rsidP="001E0095">
            <w:pPr>
              <w:pStyle w:val="RPI-TableCenterAligned"/>
              <w:rPr>
                <w:sz w:val="20"/>
              </w:rPr>
            </w:pPr>
            <w:r w:rsidRPr="00472DB3">
              <w:rPr>
                <w:sz w:val="20"/>
              </w:rPr>
              <w:t>7/3589 (0.2)</w:t>
            </w:r>
          </w:p>
        </w:tc>
        <w:tc>
          <w:tcPr>
            <w:tcW w:w="689" w:type="pct"/>
            <w:vAlign w:val="center"/>
          </w:tcPr>
          <w:p w14:paraId="3BC3D2F2" w14:textId="77777777" w:rsidR="00F87805" w:rsidRPr="00472DB3" w:rsidRDefault="00F87805" w:rsidP="001E0095">
            <w:pPr>
              <w:pStyle w:val="RPI-TableCenterAligned"/>
              <w:rPr>
                <w:sz w:val="20"/>
              </w:rPr>
            </w:pPr>
            <w:r w:rsidRPr="00472DB3">
              <w:rPr>
                <w:sz w:val="20"/>
              </w:rPr>
              <w:t xml:space="preserve">0.3 </w:t>
            </w:r>
            <w:r w:rsidRPr="00472DB3">
              <w:rPr>
                <w:sz w:val="20"/>
              </w:rPr>
              <w:br/>
              <w:t>(0.0, 0.6)</w:t>
            </w:r>
          </w:p>
        </w:tc>
        <w:tc>
          <w:tcPr>
            <w:tcW w:w="689" w:type="pct"/>
            <w:vAlign w:val="center"/>
          </w:tcPr>
          <w:p w14:paraId="62806C3F" w14:textId="77777777" w:rsidR="00F87805" w:rsidRPr="00472DB3" w:rsidRDefault="00F87805" w:rsidP="001E0095">
            <w:pPr>
              <w:pStyle w:val="RPI-TableCenterAligned"/>
              <w:rPr>
                <w:sz w:val="20"/>
              </w:rPr>
            </w:pPr>
            <w:r w:rsidRPr="00472DB3">
              <w:rPr>
                <w:sz w:val="20"/>
              </w:rPr>
              <w:t xml:space="preserve">46 </w:t>
            </w:r>
            <w:r w:rsidRPr="00472DB3">
              <w:rPr>
                <w:sz w:val="20"/>
              </w:rPr>
              <w:br/>
              <w:t>(−35, 78)</w:t>
            </w:r>
          </w:p>
        </w:tc>
        <w:tc>
          <w:tcPr>
            <w:tcW w:w="580" w:type="pct"/>
            <w:vAlign w:val="center"/>
          </w:tcPr>
          <w:p w14:paraId="73C5A106" w14:textId="77777777" w:rsidR="00F87805" w:rsidRPr="00472DB3" w:rsidRDefault="00F87805" w:rsidP="001E0095">
            <w:pPr>
              <w:pStyle w:val="RPI-TableCenterAligned"/>
              <w:rPr>
                <w:sz w:val="20"/>
              </w:rPr>
            </w:pPr>
            <w:r w:rsidRPr="00472DB3">
              <w:rPr>
                <w:sz w:val="20"/>
              </w:rPr>
              <w:t>0.18</w:t>
            </w:r>
          </w:p>
        </w:tc>
        <w:tc>
          <w:tcPr>
            <w:tcW w:w="639" w:type="pct"/>
            <w:gridSpan w:val="2"/>
            <w:vAlign w:val="center"/>
          </w:tcPr>
          <w:p w14:paraId="7FBF51D8" w14:textId="77777777" w:rsidR="00F87805" w:rsidRPr="00472DB3" w:rsidRDefault="00F87805" w:rsidP="001E0095">
            <w:pPr>
              <w:pStyle w:val="RPI-TableCenterAligned"/>
              <w:rPr>
                <w:sz w:val="20"/>
              </w:rPr>
            </w:pPr>
            <w:r w:rsidRPr="00472DB3">
              <w:rPr>
                <w:sz w:val="20"/>
              </w:rPr>
              <w:t>0.18</w:t>
            </w:r>
          </w:p>
        </w:tc>
      </w:tr>
      <w:tr w:rsidR="00885714" w:rsidRPr="00472DB3" w14:paraId="5D1420E4" w14:textId="77777777" w:rsidTr="00472DB3">
        <w:trPr>
          <w:trHeight w:val="49"/>
          <w:jc w:val="center"/>
        </w:trPr>
        <w:tc>
          <w:tcPr>
            <w:tcW w:w="846" w:type="pct"/>
            <w:vAlign w:val="center"/>
          </w:tcPr>
          <w:p w14:paraId="333D045A" w14:textId="77777777" w:rsidR="00F87805" w:rsidRPr="00472DB3" w:rsidRDefault="00F87805" w:rsidP="001E0095">
            <w:pPr>
              <w:pStyle w:val="RPI-TableLeftAligned"/>
              <w:rPr>
                <w:sz w:val="20"/>
              </w:rPr>
            </w:pPr>
            <w:r w:rsidRPr="00472DB3">
              <w:rPr>
                <w:sz w:val="20"/>
              </w:rPr>
              <w:t>Major osteoporotic</w:t>
            </w:r>
          </w:p>
        </w:tc>
        <w:tc>
          <w:tcPr>
            <w:tcW w:w="773" w:type="pct"/>
            <w:vAlign w:val="center"/>
          </w:tcPr>
          <w:p w14:paraId="46DCB6D4" w14:textId="77777777" w:rsidR="00F87805" w:rsidRPr="00472DB3" w:rsidRDefault="00F87805" w:rsidP="001E0095">
            <w:pPr>
              <w:pStyle w:val="RPI-TableCenterAligned"/>
              <w:rPr>
                <w:sz w:val="20"/>
              </w:rPr>
            </w:pPr>
            <w:r w:rsidRPr="00472DB3">
              <w:rPr>
                <w:sz w:val="20"/>
              </w:rPr>
              <w:t>63/3591 (1.8)</w:t>
            </w:r>
          </w:p>
        </w:tc>
        <w:tc>
          <w:tcPr>
            <w:tcW w:w="785" w:type="pct"/>
            <w:vAlign w:val="center"/>
          </w:tcPr>
          <w:p w14:paraId="1C5EBD75" w14:textId="77777777" w:rsidR="00F87805" w:rsidRPr="00472DB3" w:rsidRDefault="00F87805" w:rsidP="001E0095">
            <w:pPr>
              <w:pStyle w:val="RPI-TableCenterAligned"/>
              <w:rPr>
                <w:sz w:val="20"/>
              </w:rPr>
            </w:pPr>
            <w:r w:rsidRPr="00472DB3">
              <w:rPr>
                <w:sz w:val="20"/>
              </w:rPr>
              <w:t>38/3589 (1.1)</w:t>
            </w:r>
          </w:p>
        </w:tc>
        <w:tc>
          <w:tcPr>
            <w:tcW w:w="689" w:type="pct"/>
            <w:vAlign w:val="center"/>
          </w:tcPr>
          <w:p w14:paraId="7996EE31" w14:textId="77777777" w:rsidR="00F87805" w:rsidRPr="00472DB3" w:rsidRDefault="00F87805" w:rsidP="001E0095">
            <w:pPr>
              <w:pStyle w:val="RPI-TableCenterAligned"/>
              <w:rPr>
                <w:sz w:val="20"/>
              </w:rPr>
            </w:pPr>
            <w:r w:rsidRPr="00472DB3">
              <w:rPr>
                <w:sz w:val="20"/>
              </w:rPr>
              <w:t>0.9</w:t>
            </w:r>
            <w:r w:rsidRPr="00472DB3">
              <w:rPr>
                <w:sz w:val="20"/>
              </w:rPr>
              <w:br/>
              <w:t>(0.3, 1.5)</w:t>
            </w:r>
          </w:p>
        </w:tc>
        <w:tc>
          <w:tcPr>
            <w:tcW w:w="689" w:type="pct"/>
            <w:vAlign w:val="center"/>
          </w:tcPr>
          <w:p w14:paraId="2E3CD2F3" w14:textId="77777777" w:rsidR="00F87805" w:rsidRPr="00472DB3" w:rsidRDefault="00F87805" w:rsidP="001E0095">
            <w:pPr>
              <w:pStyle w:val="RPI-TableCenterAligned"/>
              <w:rPr>
                <w:sz w:val="20"/>
              </w:rPr>
            </w:pPr>
            <w:r w:rsidRPr="00472DB3">
              <w:rPr>
                <w:sz w:val="20"/>
              </w:rPr>
              <w:t xml:space="preserve">40 </w:t>
            </w:r>
            <w:r w:rsidRPr="00472DB3">
              <w:rPr>
                <w:sz w:val="20"/>
              </w:rPr>
              <w:br/>
              <w:t>(10, 60)</w:t>
            </w:r>
          </w:p>
        </w:tc>
        <w:tc>
          <w:tcPr>
            <w:tcW w:w="580" w:type="pct"/>
            <w:vAlign w:val="center"/>
          </w:tcPr>
          <w:p w14:paraId="6E758592" w14:textId="77777777" w:rsidR="00F87805" w:rsidRPr="00472DB3" w:rsidRDefault="00F87805" w:rsidP="001E0095">
            <w:pPr>
              <w:pStyle w:val="RPI-TableCenterAligned"/>
              <w:rPr>
                <w:sz w:val="20"/>
              </w:rPr>
            </w:pPr>
            <w:r w:rsidRPr="00472DB3">
              <w:rPr>
                <w:sz w:val="20"/>
              </w:rPr>
              <w:t>0.012</w:t>
            </w:r>
          </w:p>
        </w:tc>
        <w:tc>
          <w:tcPr>
            <w:tcW w:w="639" w:type="pct"/>
            <w:gridSpan w:val="2"/>
            <w:vAlign w:val="center"/>
          </w:tcPr>
          <w:p w14:paraId="2D923551" w14:textId="77777777" w:rsidR="00F87805" w:rsidRPr="00472DB3" w:rsidRDefault="00F87805" w:rsidP="001E0095">
            <w:pPr>
              <w:pStyle w:val="RPI-TableCenterAligned"/>
              <w:rPr>
                <w:sz w:val="20"/>
              </w:rPr>
            </w:pPr>
            <w:r w:rsidRPr="00472DB3">
              <w:rPr>
                <w:sz w:val="20"/>
              </w:rPr>
              <w:t>NA</w:t>
            </w:r>
            <w:r w:rsidRPr="00472DB3">
              <w:rPr>
                <w:sz w:val="20"/>
                <w:vertAlign w:val="superscript"/>
              </w:rPr>
              <w:t>c</w:t>
            </w:r>
          </w:p>
        </w:tc>
      </w:tr>
      <w:tr w:rsidR="00C92836" w:rsidRPr="00472DB3" w14:paraId="58A19CB0" w14:textId="77777777" w:rsidTr="00472DB3">
        <w:trPr>
          <w:trHeight w:val="1247"/>
          <w:jc w:val="center"/>
        </w:trPr>
        <w:tc>
          <w:tcPr>
            <w:tcW w:w="846" w:type="pct"/>
            <w:vAlign w:val="center"/>
          </w:tcPr>
          <w:p w14:paraId="1E486D5E" w14:textId="77777777" w:rsidR="00863E2A" w:rsidRPr="00472DB3" w:rsidRDefault="00863E2A" w:rsidP="00AF1FE1">
            <w:pPr>
              <w:spacing w:before="120" w:after="120" w:line="360" w:lineRule="auto"/>
              <w:rPr>
                <w:rFonts w:cs="Arial"/>
                <w:sz w:val="20"/>
              </w:rPr>
            </w:pPr>
          </w:p>
        </w:tc>
        <w:tc>
          <w:tcPr>
            <w:tcW w:w="773" w:type="pct"/>
            <w:vAlign w:val="center"/>
          </w:tcPr>
          <w:p w14:paraId="5B987B46" w14:textId="77777777" w:rsidR="00863E2A" w:rsidRPr="00472DB3" w:rsidRDefault="00863E2A" w:rsidP="001E0095">
            <w:pPr>
              <w:pStyle w:val="RPI-TableCenterAligned"/>
              <w:rPr>
                <w:b/>
                <w:sz w:val="20"/>
              </w:rPr>
            </w:pPr>
            <w:r w:rsidRPr="00472DB3">
              <w:rPr>
                <w:b/>
                <w:sz w:val="20"/>
              </w:rPr>
              <w:t>Placebo-to- denosumab (%)</w:t>
            </w:r>
          </w:p>
        </w:tc>
        <w:tc>
          <w:tcPr>
            <w:tcW w:w="785" w:type="pct"/>
            <w:vAlign w:val="center"/>
          </w:tcPr>
          <w:p w14:paraId="03BE1B41" w14:textId="77777777" w:rsidR="00863E2A" w:rsidRPr="00472DB3" w:rsidRDefault="00863E2A" w:rsidP="001E0095">
            <w:pPr>
              <w:pStyle w:val="RPI-TableCenterAligned"/>
              <w:rPr>
                <w:b/>
                <w:sz w:val="20"/>
              </w:rPr>
            </w:pPr>
            <w:r w:rsidRPr="00472DB3">
              <w:rPr>
                <w:b/>
                <w:sz w:val="20"/>
              </w:rPr>
              <w:t>EVENITY-to-</w:t>
            </w:r>
          </w:p>
          <w:p w14:paraId="2F283287" w14:textId="77777777" w:rsidR="00863E2A" w:rsidRPr="00472DB3" w:rsidRDefault="00863E2A" w:rsidP="001E0095">
            <w:pPr>
              <w:pStyle w:val="RPI-TableCenterAligned"/>
              <w:rPr>
                <w:b/>
                <w:sz w:val="20"/>
              </w:rPr>
            </w:pPr>
            <w:r w:rsidRPr="00472DB3">
              <w:rPr>
                <w:b/>
                <w:sz w:val="20"/>
              </w:rPr>
              <w:t>Denosumab (%)</w:t>
            </w:r>
          </w:p>
        </w:tc>
        <w:tc>
          <w:tcPr>
            <w:tcW w:w="1378" w:type="pct"/>
            <w:gridSpan w:val="2"/>
            <w:vAlign w:val="center"/>
          </w:tcPr>
          <w:p w14:paraId="34273B70" w14:textId="77777777" w:rsidR="00863E2A" w:rsidRPr="00472DB3" w:rsidRDefault="00863E2A" w:rsidP="00AF1FE1">
            <w:pPr>
              <w:spacing w:before="120" w:after="120" w:line="360" w:lineRule="auto"/>
              <w:jc w:val="center"/>
              <w:rPr>
                <w:rFonts w:cs="Arial"/>
                <w:sz w:val="20"/>
              </w:rPr>
            </w:pPr>
          </w:p>
        </w:tc>
        <w:tc>
          <w:tcPr>
            <w:tcW w:w="668" w:type="pct"/>
            <w:gridSpan w:val="2"/>
            <w:vAlign w:val="center"/>
          </w:tcPr>
          <w:p w14:paraId="601FFBB9" w14:textId="77777777" w:rsidR="00863E2A" w:rsidRPr="00472DB3" w:rsidRDefault="00863E2A" w:rsidP="00AF1FE1">
            <w:pPr>
              <w:spacing w:before="120" w:after="120" w:line="360" w:lineRule="auto"/>
              <w:jc w:val="center"/>
              <w:rPr>
                <w:rFonts w:cs="Arial"/>
                <w:b/>
                <w:sz w:val="20"/>
              </w:rPr>
            </w:pPr>
          </w:p>
        </w:tc>
        <w:tc>
          <w:tcPr>
            <w:tcW w:w="550" w:type="pct"/>
            <w:vAlign w:val="center"/>
          </w:tcPr>
          <w:p w14:paraId="4608BF59" w14:textId="77777777" w:rsidR="00863E2A" w:rsidRPr="00472DB3" w:rsidRDefault="00863E2A" w:rsidP="00AF1FE1">
            <w:pPr>
              <w:spacing w:before="120" w:after="120" w:line="360" w:lineRule="auto"/>
              <w:jc w:val="center"/>
              <w:rPr>
                <w:rFonts w:cs="Arial"/>
                <w:sz w:val="20"/>
              </w:rPr>
            </w:pPr>
          </w:p>
        </w:tc>
      </w:tr>
      <w:tr w:rsidR="00885714" w:rsidRPr="00472DB3" w14:paraId="151B1E8A" w14:textId="77777777" w:rsidTr="00472DB3">
        <w:trPr>
          <w:trHeight w:val="49"/>
          <w:jc w:val="center"/>
        </w:trPr>
        <w:tc>
          <w:tcPr>
            <w:tcW w:w="5000" w:type="pct"/>
            <w:gridSpan w:val="8"/>
            <w:vAlign w:val="center"/>
          </w:tcPr>
          <w:p w14:paraId="4B04E03B" w14:textId="77777777" w:rsidR="00863E2A" w:rsidRPr="00472DB3" w:rsidRDefault="00863E2A" w:rsidP="001E0095">
            <w:pPr>
              <w:pStyle w:val="RPI-TableLeftAligned"/>
              <w:rPr>
                <w:b/>
                <w:i/>
                <w:sz w:val="20"/>
              </w:rPr>
            </w:pPr>
            <w:r w:rsidRPr="00472DB3">
              <w:rPr>
                <w:b/>
                <w:i/>
                <w:sz w:val="20"/>
              </w:rPr>
              <w:t>Through Month 24</w:t>
            </w:r>
          </w:p>
        </w:tc>
      </w:tr>
      <w:tr w:rsidR="00885714" w:rsidRPr="00472DB3" w14:paraId="5E3493A9" w14:textId="77777777" w:rsidTr="00472DB3">
        <w:trPr>
          <w:trHeight w:val="353"/>
          <w:jc w:val="center"/>
        </w:trPr>
        <w:tc>
          <w:tcPr>
            <w:tcW w:w="846" w:type="pct"/>
            <w:vAlign w:val="center"/>
          </w:tcPr>
          <w:p w14:paraId="4C6F4536" w14:textId="77777777" w:rsidR="00863E2A" w:rsidRPr="00472DB3" w:rsidRDefault="00863E2A" w:rsidP="001E0095">
            <w:pPr>
              <w:pStyle w:val="RPI-TableLeftAligned"/>
              <w:rPr>
                <w:sz w:val="20"/>
              </w:rPr>
            </w:pPr>
            <w:r w:rsidRPr="00472DB3">
              <w:rPr>
                <w:sz w:val="20"/>
              </w:rPr>
              <w:t>New or worsening vertebral</w:t>
            </w:r>
          </w:p>
        </w:tc>
        <w:tc>
          <w:tcPr>
            <w:tcW w:w="773" w:type="pct"/>
            <w:vAlign w:val="center"/>
          </w:tcPr>
          <w:p w14:paraId="63BF017B" w14:textId="77777777" w:rsidR="00863E2A" w:rsidRPr="00472DB3" w:rsidRDefault="00863E2A" w:rsidP="001E0095">
            <w:pPr>
              <w:pStyle w:val="RPI-TableCenterAligned"/>
              <w:rPr>
                <w:sz w:val="20"/>
              </w:rPr>
            </w:pPr>
            <w:r w:rsidRPr="00472DB3">
              <w:rPr>
                <w:sz w:val="20"/>
              </w:rPr>
              <w:t>84/3327 (2.5)</w:t>
            </w:r>
          </w:p>
        </w:tc>
        <w:tc>
          <w:tcPr>
            <w:tcW w:w="785" w:type="pct"/>
            <w:vAlign w:val="center"/>
          </w:tcPr>
          <w:p w14:paraId="31A8B5DC" w14:textId="77777777" w:rsidR="00863E2A" w:rsidRPr="00472DB3" w:rsidRDefault="00863E2A" w:rsidP="001E0095">
            <w:pPr>
              <w:pStyle w:val="RPI-TableCenterAligned"/>
              <w:rPr>
                <w:sz w:val="20"/>
              </w:rPr>
            </w:pPr>
            <w:r w:rsidRPr="00472DB3">
              <w:rPr>
                <w:sz w:val="20"/>
              </w:rPr>
              <w:t>22/3325 (0.7)</w:t>
            </w:r>
          </w:p>
        </w:tc>
        <w:tc>
          <w:tcPr>
            <w:tcW w:w="689" w:type="pct"/>
            <w:vAlign w:val="center"/>
          </w:tcPr>
          <w:p w14:paraId="30557B29" w14:textId="77777777" w:rsidR="00863E2A" w:rsidRPr="00472DB3" w:rsidRDefault="00863E2A" w:rsidP="001E0095">
            <w:pPr>
              <w:pStyle w:val="RPI-TableCenterAligned"/>
              <w:rPr>
                <w:sz w:val="20"/>
              </w:rPr>
            </w:pPr>
            <w:r w:rsidRPr="00472DB3">
              <w:rPr>
                <w:sz w:val="20"/>
              </w:rPr>
              <w:t xml:space="preserve">1.86 </w:t>
            </w:r>
            <w:r w:rsidRPr="00472DB3">
              <w:rPr>
                <w:sz w:val="20"/>
              </w:rPr>
              <w:br/>
              <w:t>(1.27, 2.46)</w:t>
            </w:r>
          </w:p>
        </w:tc>
        <w:tc>
          <w:tcPr>
            <w:tcW w:w="689" w:type="pct"/>
            <w:vAlign w:val="center"/>
          </w:tcPr>
          <w:p w14:paraId="5A629D3F" w14:textId="77777777" w:rsidR="00863E2A" w:rsidRPr="00472DB3" w:rsidRDefault="00863E2A" w:rsidP="001E0095">
            <w:pPr>
              <w:pStyle w:val="RPI-TableCenterAligned"/>
              <w:rPr>
                <w:sz w:val="20"/>
              </w:rPr>
            </w:pPr>
            <w:r w:rsidRPr="00472DB3">
              <w:rPr>
                <w:sz w:val="20"/>
              </w:rPr>
              <w:t xml:space="preserve">74 </w:t>
            </w:r>
            <w:r w:rsidRPr="00472DB3">
              <w:rPr>
                <w:sz w:val="20"/>
              </w:rPr>
              <w:br/>
              <w:t>(58, 84)</w:t>
            </w:r>
          </w:p>
        </w:tc>
        <w:tc>
          <w:tcPr>
            <w:tcW w:w="668" w:type="pct"/>
            <w:gridSpan w:val="2"/>
            <w:vAlign w:val="center"/>
          </w:tcPr>
          <w:p w14:paraId="1437736C" w14:textId="77777777" w:rsidR="00863E2A" w:rsidRPr="00472DB3" w:rsidRDefault="00863E2A" w:rsidP="001E0095">
            <w:pPr>
              <w:pStyle w:val="RPI-TableCenterAligned"/>
              <w:rPr>
                <w:sz w:val="20"/>
              </w:rPr>
            </w:pPr>
            <w:r w:rsidRPr="00472DB3">
              <w:rPr>
                <w:sz w:val="20"/>
              </w:rPr>
              <w:t>&lt; 0.001</w:t>
            </w:r>
          </w:p>
        </w:tc>
        <w:tc>
          <w:tcPr>
            <w:tcW w:w="550" w:type="pct"/>
            <w:vAlign w:val="center"/>
          </w:tcPr>
          <w:p w14:paraId="2E53C18A" w14:textId="77777777" w:rsidR="00863E2A" w:rsidRPr="00472DB3" w:rsidRDefault="00863E2A" w:rsidP="001E0095">
            <w:pPr>
              <w:pStyle w:val="RPI-TableCenterAligned"/>
              <w:rPr>
                <w:sz w:val="20"/>
              </w:rPr>
            </w:pPr>
            <w:r w:rsidRPr="00472DB3">
              <w:rPr>
                <w:sz w:val="20"/>
              </w:rPr>
              <w:t>0.096</w:t>
            </w:r>
          </w:p>
        </w:tc>
      </w:tr>
      <w:tr w:rsidR="00885714" w:rsidRPr="00472DB3" w14:paraId="1E1641BA" w14:textId="77777777" w:rsidTr="00472DB3">
        <w:trPr>
          <w:trHeight w:val="353"/>
          <w:jc w:val="center"/>
        </w:trPr>
        <w:tc>
          <w:tcPr>
            <w:tcW w:w="846" w:type="pct"/>
            <w:tcBorders>
              <w:top w:val="single" w:sz="4" w:space="0" w:color="auto"/>
              <w:left w:val="single" w:sz="4" w:space="0" w:color="auto"/>
              <w:bottom w:val="single" w:sz="4" w:space="0" w:color="auto"/>
              <w:right w:val="single" w:sz="4" w:space="0" w:color="auto"/>
            </w:tcBorders>
            <w:vAlign w:val="center"/>
          </w:tcPr>
          <w:p w14:paraId="2211B401" w14:textId="77777777" w:rsidR="00863E2A" w:rsidRPr="00472DB3" w:rsidRDefault="00863E2A" w:rsidP="001E0095">
            <w:pPr>
              <w:pStyle w:val="RPI-TableLeftAligned"/>
              <w:rPr>
                <w:sz w:val="20"/>
              </w:rPr>
            </w:pPr>
            <w:r w:rsidRPr="00472DB3">
              <w:rPr>
                <w:sz w:val="20"/>
              </w:rPr>
              <w:t>Multiple new/worsening vertebral</w:t>
            </w:r>
          </w:p>
        </w:tc>
        <w:tc>
          <w:tcPr>
            <w:tcW w:w="773" w:type="pct"/>
            <w:tcBorders>
              <w:top w:val="single" w:sz="4" w:space="0" w:color="auto"/>
              <w:left w:val="single" w:sz="4" w:space="0" w:color="auto"/>
              <w:bottom w:val="single" w:sz="4" w:space="0" w:color="auto"/>
              <w:right w:val="single" w:sz="4" w:space="0" w:color="auto"/>
            </w:tcBorders>
            <w:vAlign w:val="center"/>
          </w:tcPr>
          <w:p w14:paraId="1C335CA3" w14:textId="77777777" w:rsidR="00863E2A" w:rsidRPr="00472DB3" w:rsidRDefault="00863E2A" w:rsidP="001E0095">
            <w:pPr>
              <w:pStyle w:val="RPI-TableCenterAligned"/>
              <w:rPr>
                <w:sz w:val="20"/>
              </w:rPr>
            </w:pPr>
            <w:r w:rsidRPr="00472DB3">
              <w:rPr>
                <w:sz w:val="20"/>
              </w:rPr>
              <w:t>17/3327 (0.5)</w:t>
            </w:r>
          </w:p>
        </w:tc>
        <w:tc>
          <w:tcPr>
            <w:tcW w:w="785" w:type="pct"/>
            <w:tcBorders>
              <w:top w:val="single" w:sz="4" w:space="0" w:color="auto"/>
              <w:left w:val="single" w:sz="4" w:space="0" w:color="auto"/>
              <w:bottom w:val="single" w:sz="4" w:space="0" w:color="auto"/>
              <w:right w:val="single" w:sz="4" w:space="0" w:color="auto"/>
            </w:tcBorders>
            <w:vAlign w:val="center"/>
          </w:tcPr>
          <w:p w14:paraId="79759D9F" w14:textId="77777777" w:rsidR="00863E2A" w:rsidRPr="00472DB3" w:rsidRDefault="00863E2A" w:rsidP="001E0095">
            <w:pPr>
              <w:pStyle w:val="RPI-TableCenterAligned"/>
              <w:rPr>
                <w:sz w:val="20"/>
              </w:rPr>
            </w:pPr>
            <w:r w:rsidRPr="00472DB3">
              <w:rPr>
                <w:sz w:val="20"/>
              </w:rPr>
              <w:t>1/3325 (&lt; 0.1)</w:t>
            </w:r>
          </w:p>
        </w:tc>
        <w:tc>
          <w:tcPr>
            <w:tcW w:w="689" w:type="pct"/>
            <w:tcBorders>
              <w:top w:val="single" w:sz="4" w:space="0" w:color="auto"/>
              <w:left w:val="single" w:sz="4" w:space="0" w:color="auto"/>
              <w:bottom w:val="single" w:sz="4" w:space="0" w:color="auto"/>
              <w:right w:val="single" w:sz="4" w:space="0" w:color="auto"/>
            </w:tcBorders>
            <w:vAlign w:val="center"/>
          </w:tcPr>
          <w:p w14:paraId="302CD6BF" w14:textId="77777777" w:rsidR="00863E2A" w:rsidRPr="00472DB3" w:rsidRDefault="00863E2A" w:rsidP="001E0095">
            <w:pPr>
              <w:pStyle w:val="RPI-TableCenterAligned"/>
              <w:rPr>
                <w:sz w:val="20"/>
              </w:rPr>
            </w:pPr>
            <w:r w:rsidRPr="00472DB3">
              <w:rPr>
                <w:sz w:val="20"/>
              </w:rPr>
              <w:t>0.48 (0.23, 0.73)</w:t>
            </w:r>
          </w:p>
        </w:tc>
        <w:tc>
          <w:tcPr>
            <w:tcW w:w="689" w:type="pct"/>
            <w:tcBorders>
              <w:top w:val="single" w:sz="4" w:space="0" w:color="auto"/>
              <w:left w:val="single" w:sz="4" w:space="0" w:color="auto"/>
              <w:bottom w:val="single" w:sz="4" w:space="0" w:color="auto"/>
              <w:right w:val="single" w:sz="4" w:space="0" w:color="auto"/>
            </w:tcBorders>
            <w:vAlign w:val="center"/>
          </w:tcPr>
          <w:p w14:paraId="43372C23" w14:textId="77777777" w:rsidR="00863E2A" w:rsidRPr="00472DB3" w:rsidRDefault="00863E2A" w:rsidP="001E0095">
            <w:pPr>
              <w:pStyle w:val="RPI-TableCenterAligned"/>
              <w:rPr>
                <w:sz w:val="20"/>
              </w:rPr>
            </w:pPr>
            <w:r w:rsidRPr="00472DB3">
              <w:rPr>
                <w:sz w:val="20"/>
              </w:rPr>
              <w:t xml:space="preserve">94 </w:t>
            </w:r>
            <w:r w:rsidRPr="00472DB3">
              <w:rPr>
                <w:sz w:val="20"/>
              </w:rPr>
              <w:br/>
              <w:t>(56, 99)</w:t>
            </w:r>
          </w:p>
        </w:tc>
        <w:tc>
          <w:tcPr>
            <w:tcW w:w="668" w:type="pct"/>
            <w:gridSpan w:val="2"/>
            <w:tcBorders>
              <w:top w:val="single" w:sz="4" w:space="0" w:color="auto"/>
              <w:left w:val="single" w:sz="4" w:space="0" w:color="auto"/>
              <w:bottom w:val="single" w:sz="4" w:space="0" w:color="auto"/>
              <w:right w:val="single" w:sz="4" w:space="0" w:color="auto"/>
            </w:tcBorders>
            <w:vAlign w:val="center"/>
          </w:tcPr>
          <w:p w14:paraId="36A510E2" w14:textId="7609065C" w:rsidR="00863E2A" w:rsidRPr="00472DB3" w:rsidRDefault="00863E2A" w:rsidP="001E0095">
            <w:pPr>
              <w:pStyle w:val="RPI-TableCenterAligned"/>
              <w:rPr>
                <w:sz w:val="20"/>
              </w:rPr>
            </w:pPr>
            <w:r w:rsidRPr="00472DB3">
              <w:rPr>
                <w:sz w:val="20"/>
              </w:rPr>
              <w:t>&lt;</w:t>
            </w:r>
            <w:r w:rsidR="00EE3EB2" w:rsidRPr="00472DB3">
              <w:rPr>
                <w:sz w:val="20"/>
              </w:rPr>
              <w:t xml:space="preserve"> </w:t>
            </w:r>
            <w:r w:rsidRPr="00472DB3">
              <w:rPr>
                <w:sz w:val="20"/>
              </w:rPr>
              <w:t>0.001</w:t>
            </w:r>
          </w:p>
        </w:tc>
        <w:tc>
          <w:tcPr>
            <w:tcW w:w="550" w:type="pct"/>
            <w:tcBorders>
              <w:top w:val="single" w:sz="4" w:space="0" w:color="auto"/>
              <w:left w:val="single" w:sz="4" w:space="0" w:color="auto"/>
              <w:bottom w:val="single" w:sz="4" w:space="0" w:color="auto"/>
              <w:right w:val="single" w:sz="4" w:space="0" w:color="auto"/>
            </w:tcBorders>
            <w:vAlign w:val="center"/>
          </w:tcPr>
          <w:p w14:paraId="75858398" w14:textId="29D433A4" w:rsidR="00863E2A" w:rsidRPr="00472DB3" w:rsidRDefault="00863E2A" w:rsidP="001E0095">
            <w:pPr>
              <w:pStyle w:val="RPI-TableCenterAligned"/>
              <w:rPr>
                <w:sz w:val="20"/>
              </w:rPr>
            </w:pPr>
            <w:r w:rsidRPr="00472DB3">
              <w:rPr>
                <w:sz w:val="20"/>
              </w:rPr>
              <w:t>NA</w:t>
            </w:r>
            <w:r w:rsidR="00EE3EB2" w:rsidRPr="00472DB3">
              <w:rPr>
                <w:sz w:val="20"/>
                <w:vertAlign w:val="superscript"/>
              </w:rPr>
              <w:t>c</w:t>
            </w:r>
          </w:p>
        </w:tc>
      </w:tr>
      <w:tr w:rsidR="00885714" w:rsidRPr="00472DB3" w14:paraId="49747942" w14:textId="77777777" w:rsidTr="00472DB3">
        <w:trPr>
          <w:trHeight w:val="49"/>
          <w:jc w:val="center"/>
        </w:trPr>
        <w:tc>
          <w:tcPr>
            <w:tcW w:w="846" w:type="pct"/>
            <w:vAlign w:val="center"/>
          </w:tcPr>
          <w:p w14:paraId="56E43870" w14:textId="77777777" w:rsidR="00863E2A" w:rsidRPr="00472DB3" w:rsidRDefault="00863E2A" w:rsidP="001E0095">
            <w:pPr>
              <w:pStyle w:val="RPI-TableLeftAligned"/>
              <w:rPr>
                <w:sz w:val="20"/>
                <w:vertAlign w:val="superscript"/>
              </w:rPr>
            </w:pPr>
            <w:r w:rsidRPr="00472DB3">
              <w:rPr>
                <w:sz w:val="20"/>
              </w:rPr>
              <w:t>Nonvertebral</w:t>
            </w:r>
          </w:p>
        </w:tc>
        <w:tc>
          <w:tcPr>
            <w:tcW w:w="773" w:type="pct"/>
            <w:vAlign w:val="center"/>
          </w:tcPr>
          <w:p w14:paraId="0C55FF8D" w14:textId="77777777" w:rsidR="00863E2A" w:rsidRPr="00472DB3" w:rsidRDefault="00863E2A" w:rsidP="001E0095">
            <w:pPr>
              <w:pStyle w:val="RPI-TableCenterAligned"/>
              <w:rPr>
                <w:sz w:val="20"/>
              </w:rPr>
            </w:pPr>
            <w:r w:rsidRPr="00472DB3">
              <w:rPr>
                <w:sz w:val="20"/>
              </w:rPr>
              <w:t>129/3591 (3.6)</w:t>
            </w:r>
          </w:p>
        </w:tc>
        <w:tc>
          <w:tcPr>
            <w:tcW w:w="785" w:type="pct"/>
            <w:vAlign w:val="center"/>
          </w:tcPr>
          <w:p w14:paraId="5A39760C" w14:textId="77777777" w:rsidR="00863E2A" w:rsidRPr="00472DB3" w:rsidRDefault="00863E2A" w:rsidP="001E0095">
            <w:pPr>
              <w:pStyle w:val="RPI-TableCenterAligned"/>
              <w:rPr>
                <w:sz w:val="20"/>
              </w:rPr>
            </w:pPr>
            <w:r w:rsidRPr="00472DB3">
              <w:rPr>
                <w:sz w:val="20"/>
              </w:rPr>
              <w:t>96/3589 (2.7)</w:t>
            </w:r>
          </w:p>
        </w:tc>
        <w:tc>
          <w:tcPr>
            <w:tcW w:w="689" w:type="pct"/>
            <w:vAlign w:val="center"/>
          </w:tcPr>
          <w:p w14:paraId="6972A28B" w14:textId="77777777" w:rsidR="00863E2A" w:rsidRPr="00472DB3" w:rsidRDefault="00863E2A" w:rsidP="001E0095">
            <w:pPr>
              <w:pStyle w:val="RPI-TableCenterAligned"/>
              <w:rPr>
                <w:sz w:val="20"/>
              </w:rPr>
            </w:pPr>
            <w:r w:rsidRPr="00472DB3">
              <w:rPr>
                <w:sz w:val="20"/>
              </w:rPr>
              <w:t xml:space="preserve">1.0 </w:t>
            </w:r>
            <w:r w:rsidRPr="00472DB3">
              <w:rPr>
                <w:sz w:val="20"/>
              </w:rPr>
              <w:br/>
              <w:t>(0.2, 1.9)</w:t>
            </w:r>
          </w:p>
        </w:tc>
        <w:tc>
          <w:tcPr>
            <w:tcW w:w="689" w:type="pct"/>
            <w:vAlign w:val="center"/>
          </w:tcPr>
          <w:p w14:paraId="6DD295D2" w14:textId="77777777" w:rsidR="00863E2A" w:rsidRPr="00472DB3" w:rsidRDefault="00863E2A" w:rsidP="001E0095">
            <w:pPr>
              <w:pStyle w:val="RPI-TableCenterAligned"/>
              <w:rPr>
                <w:sz w:val="20"/>
              </w:rPr>
            </w:pPr>
            <w:r w:rsidRPr="00472DB3">
              <w:rPr>
                <w:sz w:val="20"/>
              </w:rPr>
              <w:t xml:space="preserve">25 </w:t>
            </w:r>
          </w:p>
          <w:p w14:paraId="42CA85A3" w14:textId="77777777" w:rsidR="00863E2A" w:rsidRPr="00472DB3" w:rsidRDefault="00863E2A" w:rsidP="001E0095">
            <w:pPr>
              <w:pStyle w:val="RPI-TableCenterAligned"/>
              <w:rPr>
                <w:sz w:val="20"/>
              </w:rPr>
            </w:pPr>
            <w:r w:rsidRPr="00472DB3">
              <w:rPr>
                <w:sz w:val="20"/>
              </w:rPr>
              <w:t>(3, 43)</w:t>
            </w:r>
          </w:p>
        </w:tc>
        <w:tc>
          <w:tcPr>
            <w:tcW w:w="668" w:type="pct"/>
            <w:gridSpan w:val="2"/>
            <w:vAlign w:val="center"/>
          </w:tcPr>
          <w:p w14:paraId="6E758ADD" w14:textId="77777777" w:rsidR="00863E2A" w:rsidRPr="00472DB3" w:rsidRDefault="00863E2A" w:rsidP="001E0095">
            <w:pPr>
              <w:pStyle w:val="RPI-TableCenterAligned"/>
              <w:rPr>
                <w:sz w:val="20"/>
              </w:rPr>
            </w:pPr>
            <w:r w:rsidRPr="00472DB3">
              <w:rPr>
                <w:sz w:val="20"/>
              </w:rPr>
              <w:t>0.029</w:t>
            </w:r>
          </w:p>
        </w:tc>
        <w:tc>
          <w:tcPr>
            <w:tcW w:w="550" w:type="pct"/>
            <w:vAlign w:val="center"/>
          </w:tcPr>
          <w:p w14:paraId="2E5D3985" w14:textId="77777777" w:rsidR="00863E2A" w:rsidRPr="00472DB3" w:rsidRDefault="00863E2A" w:rsidP="001E0095">
            <w:pPr>
              <w:pStyle w:val="RPI-TableCenterAligned"/>
              <w:rPr>
                <w:sz w:val="20"/>
              </w:rPr>
            </w:pPr>
            <w:r w:rsidRPr="00472DB3">
              <w:rPr>
                <w:sz w:val="20"/>
              </w:rPr>
              <w:t>0.057</w:t>
            </w:r>
          </w:p>
        </w:tc>
      </w:tr>
      <w:tr w:rsidR="00885714" w:rsidRPr="00472DB3" w14:paraId="02A81261" w14:textId="77777777" w:rsidTr="00472DB3">
        <w:trPr>
          <w:trHeight w:val="49"/>
          <w:jc w:val="center"/>
        </w:trPr>
        <w:tc>
          <w:tcPr>
            <w:tcW w:w="846" w:type="pct"/>
            <w:vAlign w:val="center"/>
          </w:tcPr>
          <w:p w14:paraId="145CBFEE" w14:textId="77777777" w:rsidR="00863E2A" w:rsidRPr="00472DB3" w:rsidRDefault="00863E2A" w:rsidP="001E0095">
            <w:pPr>
              <w:pStyle w:val="RPI-TableLeftAligned"/>
              <w:rPr>
                <w:sz w:val="20"/>
              </w:rPr>
            </w:pPr>
            <w:r w:rsidRPr="00472DB3">
              <w:rPr>
                <w:sz w:val="20"/>
              </w:rPr>
              <w:t>Major nonvertebral</w:t>
            </w:r>
          </w:p>
        </w:tc>
        <w:tc>
          <w:tcPr>
            <w:tcW w:w="773" w:type="pct"/>
            <w:vAlign w:val="center"/>
          </w:tcPr>
          <w:p w14:paraId="453BD6F7" w14:textId="77777777" w:rsidR="00863E2A" w:rsidRPr="00472DB3" w:rsidRDefault="00863E2A" w:rsidP="001E0095">
            <w:pPr>
              <w:pStyle w:val="RPI-TableCenterAligned"/>
              <w:rPr>
                <w:sz w:val="20"/>
              </w:rPr>
            </w:pPr>
            <w:r w:rsidRPr="00472DB3">
              <w:rPr>
                <w:sz w:val="20"/>
              </w:rPr>
              <w:t>101/3591 (2.8)</w:t>
            </w:r>
          </w:p>
        </w:tc>
        <w:tc>
          <w:tcPr>
            <w:tcW w:w="785" w:type="pct"/>
            <w:vAlign w:val="center"/>
          </w:tcPr>
          <w:p w14:paraId="23B2A2D7" w14:textId="77777777" w:rsidR="00863E2A" w:rsidRPr="00472DB3" w:rsidRDefault="00863E2A" w:rsidP="001E0095">
            <w:pPr>
              <w:pStyle w:val="RPI-TableCenterAligned"/>
              <w:rPr>
                <w:sz w:val="20"/>
              </w:rPr>
            </w:pPr>
            <w:r w:rsidRPr="00472DB3">
              <w:rPr>
                <w:sz w:val="20"/>
              </w:rPr>
              <w:t>67/3589 (1.9)</w:t>
            </w:r>
          </w:p>
        </w:tc>
        <w:tc>
          <w:tcPr>
            <w:tcW w:w="689" w:type="pct"/>
            <w:vAlign w:val="center"/>
          </w:tcPr>
          <w:p w14:paraId="171DD52B" w14:textId="77777777" w:rsidR="00863E2A" w:rsidRPr="00472DB3" w:rsidRDefault="00863E2A" w:rsidP="001E0095">
            <w:pPr>
              <w:pStyle w:val="RPI-TableCenterAligned"/>
              <w:rPr>
                <w:sz w:val="20"/>
              </w:rPr>
            </w:pPr>
            <w:r w:rsidRPr="00472DB3">
              <w:rPr>
                <w:sz w:val="20"/>
              </w:rPr>
              <w:t xml:space="preserve">1.1 </w:t>
            </w:r>
            <w:r w:rsidRPr="00472DB3">
              <w:rPr>
                <w:sz w:val="20"/>
              </w:rPr>
              <w:br/>
              <w:t>(0.3, 1.8)</w:t>
            </w:r>
          </w:p>
        </w:tc>
        <w:tc>
          <w:tcPr>
            <w:tcW w:w="689" w:type="pct"/>
            <w:vAlign w:val="center"/>
          </w:tcPr>
          <w:p w14:paraId="6E879BE6" w14:textId="77777777" w:rsidR="00863E2A" w:rsidRPr="00472DB3" w:rsidRDefault="00863E2A" w:rsidP="001E0095">
            <w:pPr>
              <w:pStyle w:val="RPI-TableCenterAligned"/>
              <w:rPr>
                <w:sz w:val="20"/>
              </w:rPr>
            </w:pPr>
            <w:r w:rsidRPr="00472DB3">
              <w:rPr>
                <w:sz w:val="20"/>
              </w:rPr>
              <w:t xml:space="preserve">33 </w:t>
            </w:r>
          </w:p>
          <w:p w14:paraId="6374B91E" w14:textId="77777777" w:rsidR="00863E2A" w:rsidRPr="00472DB3" w:rsidRDefault="00863E2A" w:rsidP="001E0095">
            <w:pPr>
              <w:pStyle w:val="RPI-TableCenterAligned"/>
              <w:rPr>
                <w:sz w:val="20"/>
              </w:rPr>
            </w:pPr>
            <w:r w:rsidRPr="00472DB3">
              <w:rPr>
                <w:sz w:val="20"/>
              </w:rPr>
              <w:t>(9, 51)</w:t>
            </w:r>
          </w:p>
        </w:tc>
        <w:tc>
          <w:tcPr>
            <w:tcW w:w="668" w:type="pct"/>
            <w:gridSpan w:val="2"/>
            <w:vAlign w:val="center"/>
          </w:tcPr>
          <w:p w14:paraId="0FEEA9C4" w14:textId="77777777" w:rsidR="00863E2A" w:rsidRPr="00472DB3" w:rsidRDefault="00863E2A" w:rsidP="001E0095">
            <w:pPr>
              <w:pStyle w:val="RPI-TableCenterAligned"/>
              <w:rPr>
                <w:sz w:val="20"/>
              </w:rPr>
            </w:pPr>
            <w:r w:rsidRPr="00472DB3">
              <w:rPr>
                <w:sz w:val="20"/>
              </w:rPr>
              <w:t>0.009</w:t>
            </w:r>
          </w:p>
        </w:tc>
        <w:tc>
          <w:tcPr>
            <w:tcW w:w="550" w:type="pct"/>
            <w:vAlign w:val="center"/>
          </w:tcPr>
          <w:p w14:paraId="51F36CF7" w14:textId="77777777" w:rsidR="00863E2A" w:rsidRPr="00472DB3" w:rsidRDefault="00863E2A" w:rsidP="001E0095">
            <w:pPr>
              <w:pStyle w:val="RPI-TableCenterAligned"/>
              <w:rPr>
                <w:sz w:val="20"/>
              </w:rPr>
            </w:pPr>
            <w:r w:rsidRPr="00472DB3">
              <w:rPr>
                <w:sz w:val="20"/>
              </w:rPr>
              <w:t>0.096</w:t>
            </w:r>
          </w:p>
        </w:tc>
      </w:tr>
      <w:tr w:rsidR="00885714" w:rsidRPr="00472DB3" w14:paraId="1697DEC6" w14:textId="77777777" w:rsidTr="00472DB3">
        <w:trPr>
          <w:trHeight w:val="49"/>
          <w:jc w:val="center"/>
        </w:trPr>
        <w:tc>
          <w:tcPr>
            <w:tcW w:w="846" w:type="pct"/>
            <w:vAlign w:val="center"/>
          </w:tcPr>
          <w:p w14:paraId="04D5D421" w14:textId="77777777" w:rsidR="00863E2A" w:rsidRPr="00472DB3" w:rsidRDefault="00863E2A" w:rsidP="001E0095">
            <w:pPr>
              <w:pStyle w:val="RPI-TableLeftAligned"/>
              <w:rPr>
                <w:sz w:val="20"/>
              </w:rPr>
            </w:pPr>
            <w:r w:rsidRPr="00472DB3">
              <w:rPr>
                <w:sz w:val="20"/>
              </w:rPr>
              <w:t>Hip</w:t>
            </w:r>
          </w:p>
        </w:tc>
        <w:tc>
          <w:tcPr>
            <w:tcW w:w="773" w:type="pct"/>
            <w:vAlign w:val="center"/>
          </w:tcPr>
          <w:p w14:paraId="1A37B502" w14:textId="77777777" w:rsidR="00863E2A" w:rsidRPr="00472DB3" w:rsidRDefault="00863E2A" w:rsidP="001E0095">
            <w:pPr>
              <w:pStyle w:val="RPI-TableCenterAligned"/>
              <w:rPr>
                <w:sz w:val="20"/>
              </w:rPr>
            </w:pPr>
            <w:r w:rsidRPr="00472DB3">
              <w:rPr>
                <w:sz w:val="20"/>
              </w:rPr>
              <w:t>22/3591 (0.6)</w:t>
            </w:r>
          </w:p>
        </w:tc>
        <w:tc>
          <w:tcPr>
            <w:tcW w:w="785" w:type="pct"/>
            <w:vAlign w:val="center"/>
          </w:tcPr>
          <w:p w14:paraId="6627CEFA" w14:textId="77777777" w:rsidR="00863E2A" w:rsidRPr="00472DB3" w:rsidRDefault="00863E2A" w:rsidP="001E0095">
            <w:pPr>
              <w:pStyle w:val="RPI-TableCenterAligned"/>
              <w:rPr>
                <w:sz w:val="20"/>
              </w:rPr>
            </w:pPr>
            <w:r w:rsidRPr="00472DB3">
              <w:rPr>
                <w:sz w:val="20"/>
              </w:rPr>
              <w:t>11/3589 (0.3)</w:t>
            </w:r>
          </w:p>
        </w:tc>
        <w:tc>
          <w:tcPr>
            <w:tcW w:w="689" w:type="pct"/>
            <w:vAlign w:val="center"/>
          </w:tcPr>
          <w:p w14:paraId="203C45CB" w14:textId="77777777" w:rsidR="00863E2A" w:rsidRPr="00472DB3" w:rsidRDefault="00863E2A" w:rsidP="001E0095">
            <w:pPr>
              <w:pStyle w:val="RPI-TableCenterAligned"/>
              <w:rPr>
                <w:sz w:val="20"/>
              </w:rPr>
            </w:pPr>
            <w:r w:rsidRPr="00472DB3">
              <w:rPr>
                <w:sz w:val="20"/>
              </w:rPr>
              <w:t xml:space="preserve">0.4 </w:t>
            </w:r>
            <w:r w:rsidRPr="00472DB3">
              <w:rPr>
                <w:sz w:val="20"/>
              </w:rPr>
              <w:br/>
              <w:t>(0.0, 0.7)</w:t>
            </w:r>
          </w:p>
        </w:tc>
        <w:tc>
          <w:tcPr>
            <w:tcW w:w="689" w:type="pct"/>
            <w:vAlign w:val="center"/>
          </w:tcPr>
          <w:p w14:paraId="434E4D5E" w14:textId="77777777" w:rsidR="00863E2A" w:rsidRPr="00472DB3" w:rsidRDefault="00863E2A" w:rsidP="001E0095">
            <w:pPr>
              <w:pStyle w:val="RPI-TableCenterAligned"/>
              <w:rPr>
                <w:sz w:val="20"/>
              </w:rPr>
            </w:pPr>
            <w:r w:rsidRPr="00472DB3">
              <w:rPr>
                <w:sz w:val="20"/>
              </w:rPr>
              <w:t xml:space="preserve">50 </w:t>
            </w:r>
          </w:p>
          <w:p w14:paraId="2DFAFA13" w14:textId="77777777" w:rsidR="00863E2A" w:rsidRPr="00472DB3" w:rsidRDefault="00863E2A" w:rsidP="001E0095">
            <w:pPr>
              <w:pStyle w:val="RPI-TableCenterAligned"/>
              <w:rPr>
                <w:sz w:val="20"/>
              </w:rPr>
            </w:pPr>
            <w:r w:rsidRPr="00472DB3">
              <w:rPr>
                <w:sz w:val="20"/>
              </w:rPr>
              <w:t>(−4, 76)</w:t>
            </w:r>
          </w:p>
        </w:tc>
        <w:tc>
          <w:tcPr>
            <w:tcW w:w="668" w:type="pct"/>
            <w:gridSpan w:val="2"/>
            <w:vAlign w:val="center"/>
          </w:tcPr>
          <w:p w14:paraId="10586619" w14:textId="77777777" w:rsidR="00863E2A" w:rsidRPr="00472DB3" w:rsidRDefault="00863E2A" w:rsidP="001E0095">
            <w:pPr>
              <w:pStyle w:val="RPI-TableCenterAligned"/>
              <w:rPr>
                <w:sz w:val="20"/>
              </w:rPr>
            </w:pPr>
            <w:r w:rsidRPr="00472DB3">
              <w:rPr>
                <w:sz w:val="20"/>
              </w:rPr>
              <w:t>0.059</w:t>
            </w:r>
          </w:p>
        </w:tc>
        <w:tc>
          <w:tcPr>
            <w:tcW w:w="550" w:type="pct"/>
            <w:vAlign w:val="center"/>
          </w:tcPr>
          <w:p w14:paraId="2A519397" w14:textId="77777777" w:rsidR="00863E2A" w:rsidRPr="00472DB3" w:rsidRDefault="00863E2A" w:rsidP="001E0095">
            <w:pPr>
              <w:pStyle w:val="RPI-TableCenterAligned"/>
              <w:rPr>
                <w:sz w:val="20"/>
              </w:rPr>
            </w:pPr>
            <w:r w:rsidRPr="00472DB3">
              <w:rPr>
                <w:sz w:val="20"/>
              </w:rPr>
              <w:t>0.12</w:t>
            </w:r>
          </w:p>
        </w:tc>
      </w:tr>
      <w:tr w:rsidR="00885714" w:rsidRPr="00472DB3" w14:paraId="06FF4D26" w14:textId="77777777" w:rsidTr="00472DB3">
        <w:trPr>
          <w:trHeight w:val="49"/>
          <w:jc w:val="center"/>
        </w:trPr>
        <w:tc>
          <w:tcPr>
            <w:tcW w:w="846" w:type="pct"/>
            <w:vAlign w:val="center"/>
          </w:tcPr>
          <w:p w14:paraId="5B4A2061" w14:textId="77777777" w:rsidR="00863E2A" w:rsidRPr="00472DB3" w:rsidRDefault="00863E2A" w:rsidP="001E0095">
            <w:pPr>
              <w:pStyle w:val="RPI-TableLeftAligned"/>
              <w:rPr>
                <w:sz w:val="20"/>
              </w:rPr>
            </w:pPr>
            <w:r w:rsidRPr="00472DB3">
              <w:rPr>
                <w:sz w:val="20"/>
              </w:rPr>
              <w:t>Major osteoporotic</w:t>
            </w:r>
          </w:p>
        </w:tc>
        <w:tc>
          <w:tcPr>
            <w:tcW w:w="773" w:type="pct"/>
            <w:vAlign w:val="center"/>
          </w:tcPr>
          <w:p w14:paraId="45C909E5" w14:textId="77777777" w:rsidR="00863E2A" w:rsidRPr="00472DB3" w:rsidRDefault="00863E2A" w:rsidP="001E0095">
            <w:pPr>
              <w:pStyle w:val="RPI-TableCenterAligned"/>
              <w:rPr>
                <w:sz w:val="20"/>
              </w:rPr>
            </w:pPr>
            <w:r w:rsidRPr="00472DB3">
              <w:rPr>
                <w:sz w:val="20"/>
              </w:rPr>
              <w:t>110/3591 (3.1)</w:t>
            </w:r>
          </w:p>
        </w:tc>
        <w:tc>
          <w:tcPr>
            <w:tcW w:w="785" w:type="pct"/>
            <w:vAlign w:val="center"/>
          </w:tcPr>
          <w:p w14:paraId="4C8D7C2B" w14:textId="77777777" w:rsidR="00863E2A" w:rsidRPr="00472DB3" w:rsidRDefault="00863E2A" w:rsidP="001E0095">
            <w:pPr>
              <w:pStyle w:val="RPI-TableCenterAligned"/>
              <w:rPr>
                <w:sz w:val="20"/>
              </w:rPr>
            </w:pPr>
            <w:r w:rsidRPr="00472DB3">
              <w:rPr>
                <w:sz w:val="20"/>
              </w:rPr>
              <w:t>68/3589 (1.9)</w:t>
            </w:r>
          </w:p>
        </w:tc>
        <w:tc>
          <w:tcPr>
            <w:tcW w:w="689" w:type="pct"/>
            <w:vAlign w:val="center"/>
          </w:tcPr>
          <w:p w14:paraId="6AE15FA0" w14:textId="77777777" w:rsidR="00863E2A" w:rsidRPr="00472DB3" w:rsidRDefault="00863E2A" w:rsidP="001E0095">
            <w:pPr>
              <w:pStyle w:val="RPI-TableCenterAligned"/>
              <w:rPr>
                <w:sz w:val="20"/>
              </w:rPr>
            </w:pPr>
            <w:r w:rsidRPr="00472DB3">
              <w:rPr>
                <w:sz w:val="20"/>
              </w:rPr>
              <w:t>1.2</w:t>
            </w:r>
            <w:r w:rsidRPr="00472DB3">
              <w:rPr>
                <w:sz w:val="20"/>
              </w:rPr>
              <w:br/>
              <w:t>(0.5, 2.0)</w:t>
            </w:r>
          </w:p>
        </w:tc>
        <w:tc>
          <w:tcPr>
            <w:tcW w:w="689" w:type="pct"/>
            <w:vAlign w:val="center"/>
          </w:tcPr>
          <w:p w14:paraId="631E6D71" w14:textId="77777777" w:rsidR="00863E2A" w:rsidRPr="00472DB3" w:rsidRDefault="00863E2A" w:rsidP="001E0095">
            <w:pPr>
              <w:pStyle w:val="RPI-TableCenterAligned"/>
              <w:rPr>
                <w:sz w:val="20"/>
              </w:rPr>
            </w:pPr>
            <w:r w:rsidRPr="00472DB3">
              <w:rPr>
                <w:sz w:val="20"/>
              </w:rPr>
              <w:t xml:space="preserve">38 </w:t>
            </w:r>
            <w:r w:rsidRPr="00472DB3">
              <w:rPr>
                <w:sz w:val="20"/>
              </w:rPr>
              <w:br/>
              <w:t>(16, 54)</w:t>
            </w:r>
          </w:p>
        </w:tc>
        <w:tc>
          <w:tcPr>
            <w:tcW w:w="668" w:type="pct"/>
            <w:gridSpan w:val="2"/>
            <w:vAlign w:val="center"/>
          </w:tcPr>
          <w:p w14:paraId="21596CAF" w14:textId="77777777" w:rsidR="00863E2A" w:rsidRPr="00472DB3" w:rsidRDefault="00863E2A" w:rsidP="001E0095">
            <w:pPr>
              <w:pStyle w:val="RPI-TableCenterAligned"/>
              <w:rPr>
                <w:sz w:val="20"/>
              </w:rPr>
            </w:pPr>
            <w:r w:rsidRPr="00472DB3">
              <w:rPr>
                <w:sz w:val="20"/>
              </w:rPr>
              <w:t>0.002</w:t>
            </w:r>
          </w:p>
        </w:tc>
        <w:tc>
          <w:tcPr>
            <w:tcW w:w="550" w:type="pct"/>
            <w:vAlign w:val="center"/>
          </w:tcPr>
          <w:p w14:paraId="7EAB26E0" w14:textId="77777777" w:rsidR="00863E2A" w:rsidRPr="00472DB3" w:rsidRDefault="00863E2A" w:rsidP="001E0095">
            <w:pPr>
              <w:pStyle w:val="RPI-TableCenterAligned"/>
              <w:rPr>
                <w:sz w:val="20"/>
              </w:rPr>
            </w:pPr>
            <w:r w:rsidRPr="00472DB3">
              <w:rPr>
                <w:sz w:val="20"/>
              </w:rPr>
              <w:t>NA</w:t>
            </w:r>
            <w:r w:rsidRPr="00472DB3">
              <w:rPr>
                <w:sz w:val="20"/>
                <w:vertAlign w:val="superscript"/>
              </w:rPr>
              <w:t>c</w:t>
            </w:r>
          </w:p>
        </w:tc>
      </w:tr>
    </w:tbl>
    <w:p w14:paraId="0B3F6255" w14:textId="781156A9" w:rsidR="00863E2A" w:rsidRPr="00412829" w:rsidRDefault="00F54EFB" w:rsidP="00F54EFB">
      <w:pPr>
        <w:pStyle w:val="RPI-FootnoteText"/>
        <w:rPr>
          <w:lang w:val="en-AU" w:eastAsia="en-AU"/>
        </w:rPr>
      </w:pPr>
      <w:r w:rsidRPr="00412829">
        <w:rPr>
          <w:vertAlign w:val="superscript"/>
          <w:lang w:val="en-AU" w:eastAsia="en-AU"/>
        </w:rPr>
        <w:t xml:space="preserve">a </w:t>
      </w:r>
      <w:r w:rsidR="00863E2A" w:rsidRPr="00412829">
        <w:rPr>
          <w:lang w:val="en-AU" w:eastAsia="en-AU"/>
        </w:rPr>
        <w:t xml:space="preserve">Nominal p-values based on logistic regression model (new or worsening and multiple new/worsening vertebral fracture) or Cox proportional hazards model (nonvertebral, major nonvertebral, hip, major osteoporotic) adjusted for age and prevalent vertebral fracture stratification factors.  </w:t>
      </w:r>
    </w:p>
    <w:p w14:paraId="19ABFAD9" w14:textId="4C3698DD" w:rsidR="00863E2A" w:rsidRPr="00412829" w:rsidRDefault="00F54EFB" w:rsidP="00F54EFB">
      <w:pPr>
        <w:pStyle w:val="RPI-FootnoteText"/>
        <w:rPr>
          <w:lang w:val="en-AU" w:eastAsia="en-AU"/>
        </w:rPr>
      </w:pPr>
      <w:r w:rsidRPr="00412829">
        <w:rPr>
          <w:vertAlign w:val="superscript"/>
          <w:lang w:val="en-AU" w:eastAsia="en-AU"/>
        </w:rPr>
        <w:t xml:space="preserve">b </w:t>
      </w:r>
      <w:r w:rsidR="00863E2A" w:rsidRPr="00412829">
        <w:rPr>
          <w:lang w:val="en-AU" w:eastAsia="en-AU"/>
        </w:rPr>
        <w:t>Adjusted p-values are based on a sequential testing procedure and are to be compared to a significance level of 0.05.</w:t>
      </w:r>
    </w:p>
    <w:p w14:paraId="75C3117F" w14:textId="65933FB5" w:rsidR="00863E2A" w:rsidRPr="00412829" w:rsidRDefault="00F54EFB" w:rsidP="00F54EFB">
      <w:pPr>
        <w:pStyle w:val="RPI-FootnoteText"/>
        <w:rPr>
          <w:lang w:val="en-AU" w:eastAsia="en-AU"/>
        </w:rPr>
      </w:pPr>
      <w:r w:rsidRPr="00412829">
        <w:rPr>
          <w:vertAlign w:val="superscript"/>
          <w:lang w:val="en-AU" w:eastAsia="en-AU"/>
        </w:rPr>
        <w:t xml:space="preserve">c </w:t>
      </w:r>
      <w:r w:rsidR="00863E2A" w:rsidRPr="00412829">
        <w:rPr>
          <w:lang w:val="en-AU" w:eastAsia="en-AU"/>
        </w:rPr>
        <w:t>NA: Endpoint was not part of sequential testing strategy; therefore, p-value adjustment is not applicable.</w:t>
      </w:r>
    </w:p>
    <w:p w14:paraId="46C7B8CE" w14:textId="77777777" w:rsidR="00770177" w:rsidRPr="00412829" w:rsidRDefault="00770177" w:rsidP="006002D8">
      <w:pPr>
        <w:pStyle w:val="RPI-Text"/>
      </w:pPr>
    </w:p>
    <w:p w14:paraId="19E78736" w14:textId="202ABCA6" w:rsidR="00BF0C35" w:rsidRPr="007E1620" w:rsidRDefault="00BE0784" w:rsidP="006002D8">
      <w:pPr>
        <w:pStyle w:val="RPI-Text"/>
      </w:pPr>
      <w:r w:rsidRPr="00412829">
        <w:t>The secondary endpoint of nonvertebral fracture did</w:t>
      </w:r>
      <w:r w:rsidR="00984317" w:rsidRPr="00412829">
        <w:t xml:space="preserve"> not</w:t>
      </w:r>
      <w:r w:rsidRPr="00412829">
        <w:t xml:space="preserve"> reach statistical significance at month 12 (p = 0.096) or month 24 (p = 0.057) with EVENITY treatment.</w:t>
      </w:r>
      <w:r w:rsidRPr="007E1620">
        <w:t xml:space="preserve"> </w:t>
      </w:r>
    </w:p>
    <w:p w14:paraId="0D5D5E60" w14:textId="4ABAED03" w:rsidR="00BE0784" w:rsidRPr="00412829" w:rsidRDefault="002E4949" w:rsidP="006002D8">
      <w:pPr>
        <w:pStyle w:val="RPI-Text"/>
        <w:rPr>
          <w:lang w:val="en-US"/>
        </w:rPr>
      </w:pPr>
      <w:r w:rsidRPr="007E1620">
        <w:t>Subgroup analysis showed a</w:t>
      </w:r>
      <w:r w:rsidR="00BE0784" w:rsidRPr="007E1620">
        <w:t xml:space="preserve"> significant treatment-by-region interaction was noted for the nonvertebral fracture and clinical fracture endpoints through month 12.</w:t>
      </w:r>
      <w:r w:rsidR="00BE0784" w:rsidRPr="00412829">
        <w:t xml:space="preserve"> </w:t>
      </w:r>
      <w:r w:rsidR="00FF135E">
        <w:t xml:space="preserve"> </w:t>
      </w:r>
      <w:r w:rsidR="00BE0784" w:rsidRPr="00412829">
        <w:t>In Central/Latin America (accounting for 43.0% of the randomi</w:t>
      </w:r>
      <w:r w:rsidR="00057C1A" w:rsidRPr="00412829">
        <w:t>s</w:t>
      </w:r>
      <w:r w:rsidR="00BE0784" w:rsidRPr="00412829">
        <w:t xml:space="preserve">ed population in Study 20070337), the nonvertebral fracture rate observed in the placebo group in the first 12 months was low (1.2%), with no reduction seen with romosozumab treatment (1.5%). </w:t>
      </w:r>
      <w:r w:rsidR="00FF135E">
        <w:t xml:space="preserve"> </w:t>
      </w:r>
      <w:r w:rsidR="00BE0784" w:rsidRPr="00412829">
        <w:t>In addition, lower FRAX 10-year probabilities of major osteoporotic and hip</w:t>
      </w:r>
      <w:r w:rsidR="00057C1A" w:rsidRPr="00412829">
        <w:t xml:space="preserve"> </w:t>
      </w:r>
      <w:r w:rsidR="00BE0784" w:rsidRPr="00412829">
        <w:t xml:space="preserve">fracture in Central/Latin America reflected a population with a lower than expected fracture risk, despite low baseline BMD T-scores. </w:t>
      </w:r>
      <w:r w:rsidR="00FF135E">
        <w:t xml:space="preserve"> </w:t>
      </w:r>
      <w:r w:rsidR="00057C1A" w:rsidRPr="00412829">
        <w:t xml:space="preserve">In </w:t>
      </w:r>
      <w:r w:rsidR="00BE0784" w:rsidRPr="00412829">
        <w:t>the rest-of-world population</w:t>
      </w:r>
      <w:r w:rsidR="003F3FDD" w:rsidRPr="00412829">
        <w:t>,</w:t>
      </w:r>
      <w:r w:rsidR="00BE0784" w:rsidRPr="00412829">
        <w:t xml:space="preserve"> the nonvertebral fracture rate was 2.7% in the placebo group</w:t>
      </w:r>
      <w:r w:rsidR="003F3FDD" w:rsidRPr="00412829">
        <w:t xml:space="preserve"> and 1.6% in the romosozumab group (</w:t>
      </w:r>
      <w:r w:rsidR="00BE0784" w:rsidRPr="00412829">
        <w:t xml:space="preserve">relative risk reduction </w:t>
      </w:r>
      <w:r w:rsidR="003F3FDD" w:rsidRPr="00412829">
        <w:t>42% [</w:t>
      </w:r>
      <w:r w:rsidR="00BE0784" w:rsidRPr="00412829">
        <w:t>95% CI: 11, 63</w:t>
      </w:r>
      <w:r w:rsidR="003F3FDD" w:rsidRPr="00412829">
        <w:t>],</w:t>
      </w:r>
      <w:r w:rsidR="00BE0784" w:rsidRPr="00412829">
        <w:t xml:space="preserve"> nominal p = 0.012)</w:t>
      </w:r>
      <w:r w:rsidR="003F3FDD" w:rsidRPr="00412829">
        <w:t>.</w:t>
      </w:r>
    </w:p>
    <w:p w14:paraId="48C12261" w14:textId="02FA257D" w:rsidR="00620EFD" w:rsidRPr="00C644A8" w:rsidRDefault="00620EFD" w:rsidP="00AB1877">
      <w:pPr>
        <w:pStyle w:val="RPI-Text"/>
        <w:keepNext/>
        <w:rPr>
          <w:i/>
        </w:rPr>
      </w:pPr>
      <w:r w:rsidRPr="00C644A8">
        <w:rPr>
          <w:i/>
        </w:rPr>
        <w:t xml:space="preserve">Effect on </w:t>
      </w:r>
      <w:r w:rsidR="00264D18" w:rsidRPr="00C644A8">
        <w:rPr>
          <w:i/>
        </w:rPr>
        <w:t>b</w:t>
      </w:r>
      <w:r w:rsidRPr="00C644A8">
        <w:rPr>
          <w:i/>
        </w:rPr>
        <w:t xml:space="preserve">one </w:t>
      </w:r>
      <w:r w:rsidR="00264D18" w:rsidRPr="00C644A8">
        <w:rPr>
          <w:i/>
        </w:rPr>
        <w:t>m</w:t>
      </w:r>
      <w:r w:rsidRPr="00C644A8">
        <w:rPr>
          <w:i/>
        </w:rPr>
        <w:t xml:space="preserve">ineral </w:t>
      </w:r>
      <w:r w:rsidR="00264D18" w:rsidRPr="00C644A8">
        <w:rPr>
          <w:i/>
        </w:rPr>
        <w:t>d</w:t>
      </w:r>
      <w:r w:rsidRPr="00C644A8">
        <w:rPr>
          <w:i/>
        </w:rPr>
        <w:t>ensity (BMD)</w:t>
      </w:r>
    </w:p>
    <w:p w14:paraId="3450C6E5" w14:textId="1FA44F1E" w:rsidR="00620EFD" w:rsidRPr="00412829" w:rsidRDefault="00620EFD" w:rsidP="00F54EFB">
      <w:pPr>
        <w:pStyle w:val="RPI-Text"/>
      </w:pPr>
      <w:r w:rsidRPr="00412829">
        <w:t xml:space="preserve">In postmenopausal women with osteoporosis, EVENITY significantly increased BMD at the lumbar spine, total hip, and femoral neck relative to placebo at month 12.  Following 12 months of treatment, EVENITY increased BMD at the lumbar spine from baseline in 99% of postmenopausal women.  Ninety-two percent of women treated with EVENITY achieved at least a 5% increase from baseline in BMD at lumbar spine by month 12 and 68% gained 10% or more.  These effects were sustained with transition to another osteoporosis treatment; women who received EVENITY followed by denosumab had greater increases in BMD at the lumbar spine, total hip, and femoral neck at month 24 compared to women who received placebo followed by denosumab (Table </w:t>
      </w:r>
      <w:r w:rsidR="00126FE5" w:rsidRPr="00412829">
        <w:t>8</w:t>
      </w:r>
      <w:r w:rsidRPr="00412829">
        <w:t xml:space="preserve">).  </w:t>
      </w:r>
    </w:p>
    <w:p w14:paraId="19EB0900" w14:textId="77777777" w:rsidR="00620EFD" w:rsidRPr="00412829" w:rsidRDefault="00620EFD" w:rsidP="00F54EFB">
      <w:pPr>
        <w:pStyle w:val="RPI-Text"/>
      </w:pPr>
      <w:r w:rsidRPr="00412829">
        <w:t>Consistent effects on BMD were observed regardless of baseline age, baseline BMD, and geographic region at the lumbar spine and total hip.</w:t>
      </w:r>
      <w:r w:rsidRPr="00412829">
        <w:rPr>
          <w:b/>
        </w:rPr>
        <w:t xml:space="preserve"> </w:t>
      </w:r>
    </w:p>
    <w:p w14:paraId="1B60A78A" w14:textId="7D7BE718" w:rsidR="009F639D" w:rsidRPr="00412829" w:rsidRDefault="009F639D" w:rsidP="00396561">
      <w:pPr>
        <w:pStyle w:val="RPI-Caption"/>
      </w:pPr>
      <w:r w:rsidRPr="00412829">
        <w:rPr>
          <w:bCs/>
        </w:rPr>
        <w:t xml:space="preserve">Table </w:t>
      </w:r>
      <w:r w:rsidR="00126FE5" w:rsidRPr="00412829">
        <w:rPr>
          <w:bCs/>
        </w:rPr>
        <w:t>8</w:t>
      </w:r>
      <w:r w:rsidRPr="00412829">
        <w:rPr>
          <w:bCs/>
        </w:rPr>
        <w:t xml:space="preserve">. </w:t>
      </w:r>
      <w:r w:rsidR="00EF6740" w:rsidRPr="00412829">
        <w:rPr>
          <w:bCs/>
        </w:rPr>
        <w:t xml:space="preserve"> </w:t>
      </w:r>
      <w:r w:rsidRPr="00412829">
        <w:t>Mean Percent Change in BMD From Baseline through Month 12 and Month 24</w:t>
      </w: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4"/>
        <w:gridCol w:w="2410"/>
        <w:gridCol w:w="2451"/>
        <w:gridCol w:w="1640"/>
      </w:tblGrid>
      <w:tr w:rsidR="009F639D" w:rsidRPr="00412829" w14:paraId="1D15EE22" w14:textId="77777777" w:rsidTr="00472DB3">
        <w:trPr>
          <w:trHeight w:val="1196"/>
          <w:jc w:val="center"/>
        </w:trPr>
        <w:tc>
          <w:tcPr>
            <w:tcW w:w="2224" w:type="dxa"/>
            <w:shd w:val="clear" w:color="auto" w:fill="auto"/>
            <w:vAlign w:val="center"/>
          </w:tcPr>
          <w:p w14:paraId="7B24C627" w14:textId="77777777" w:rsidR="009F639D" w:rsidRPr="00412829" w:rsidRDefault="009F639D" w:rsidP="008B5AEA">
            <w:pPr>
              <w:pStyle w:val="TableLeftAlign"/>
              <w:tabs>
                <w:tab w:val="left" w:pos="270"/>
              </w:tabs>
              <w:spacing w:before="120" w:after="120" w:line="360" w:lineRule="auto"/>
              <w:jc w:val="center"/>
              <w:rPr>
                <w:rFonts w:cs="Arial"/>
                <w:b/>
                <w:sz w:val="18"/>
                <w:szCs w:val="22"/>
              </w:rPr>
            </w:pPr>
          </w:p>
        </w:tc>
        <w:tc>
          <w:tcPr>
            <w:tcW w:w="2410" w:type="dxa"/>
            <w:shd w:val="clear" w:color="auto" w:fill="auto"/>
            <w:vAlign w:val="center"/>
          </w:tcPr>
          <w:p w14:paraId="4CD2BA02" w14:textId="77777777" w:rsidR="009F639D" w:rsidRPr="00412829" w:rsidRDefault="009F639D" w:rsidP="00BF3075">
            <w:pPr>
              <w:pStyle w:val="RPI-TableCenterAligned"/>
              <w:rPr>
                <w:b/>
              </w:rPr>
            </w:pPr>
            <w:r w:rsidRPr="00412829">
              <w:rPr>
                <w:b/>
              </w:rPr>
              <w:t>Placebo</w:t>
            </w:r>
            <w:r w:rsidRPr="00412829">
              <w:rPr>
                <w:b/>
              </w:rPr>
              <w:br/>
              <w:t>Mean (95% CI)</w:t>
            </w:r>
          </w:p>
          <w:p w14:paraId="4B36B1AC" w14:textId="77777777" w:rsidR="009F639D" w:rsidRPr="00412829" w:rsidRDefault="009F639D" w:rsidP="00BF3075">
            <w:pPr>
              <w:pStyle w:val="RPI-TableCenterAligned"/>
            </w:pPr>
            <w:r w:rsidRPr="00412829">
              <w:t>N = 3591</w:t>
            </w:r>
            <w:r w:rsidRPr="00412829">
              <w:rPr>
                <w:vertAlign w:val="superscript"/>
              </w:rPr>
              <w:t>a</w:t>
            </w:r>
          </w:p>
        </w:tc>
        <w:tc>
          <w:tcPr>
            <w:tcW w:w="2451" w:type="dxa"/>
            <w:shd w:val="clear" w:color="auto" w:fill="auto"/>
            <w:vAlign w:val="center"/>
          </w:tcPr>
          <w:p w14:paraId="0C4AF040" w14:textId="77777777" w:rsidR="009F639D" w:rsidRPr="00412829" w:rsidRDefault="009F639D" w:rsidP="00BF3075">
            <w:pPr>
              <w:pStyle w:val="RPI-TableCenterAligned"/>
              <w:rPr>
                <w:b/>
              </w:rPr>
            </w:pPr>
            <w:r w:rsidRPr="00412829">
              <w:rPr>
                <w:b/>
              </w:rPr>
              <w:t xml:space="preserve">EVENITY </w:t>
            </w:r>
            <w:r w:rsidRPr="00412829">
              <w:rPr>
                <w:b/>
              </w:rPr>
              <w:br/>
              <w:t>Mean (95% CI)</w:t>
            </w:r>
          </w:p>
          <w:p w14:paraId="31EF75C8" w14:textId="77777777" w:rsidR="009F639D" w:rsidRPr="00412829" w:rsidRDefault="009F639D" w:rsidP="00BF3075">
            <w:pPr>
              <w:pStyle w:val="RPI-TableCenterAligned"/>
            </w:pPr>
            <w:r w:rsidRPr="00412829">
              <w:t>N = 3589</w:t>
            </w:r>
            <w:r w:rsidRPr="00412829">
              <w:rPr>
                <w:vertAlign w:val="superscript"/>
              </w:rPr>
              <w:t>a</w:t>
            </w:r>
          </w:p>
        </w:tc>
        <w:tc>
          <w:tcPr>
            <w:tcW w:w="1640" w:type="dxa"/>
            <w:shd w:val="clear" w:color="auto" w:fill="auto"/>
            <w:vAlign w:val="center"/>
          </w:tcPr>
          <w:p w14:paraId="4A864BC7" w14:textId="77777777" w:rsidR="009F639D" w:rsidRPr="00412829" w:rsidRDefault="009F639D" w:rsidP="00BF3075">
            <w:pPr>
              <w:pStyle w:val="RPI-TableCenterAligned"/>
              <w:rPr>
                <w:b/>
              </w:rPr>
            </w:pPr>
            <w:r w:rsidRPr="00412829">
              <w:rPr>
                <w:b/>
              </w:rPr>
              <w:t>Treatment Difference From Placebo</w:t>
            </w:r>
            <w:r w:rsidRPr="00412829">
              <w:rPr>
                <w:b/>
              </w:rPr>
              <w:br/>
            </w:r>
            <w:r w:rsidRPr="00412829">
              <w:rPr>
                <w:b/>
              </w:rPr>
              <w:lastRenderedPageBreak/>
              <w:t>Mean (95% CI)</w:t>
            </w:r>
          </w:p>
        </w:tc>
      </w:tr>
      <w:tr w:rsidR="009F639D" w:rsidRPr="00412829" w14:paraId="2E00D032" w14:textId="77777777" w:rsidTr="00472DB3">
        <w:trPr>
          <w:trHeight w:val="219"/>
          <w:jc w:val="center"/>
        </w:trPr>
        <w:tc>
          <w:tcPr>
            <w:tcW w:w="8725" w:type="dxa"/>
            <w:gridSpan w:val="4"/>
            <w:shd w:val="clear" w:color="auto" w:fill="auto"/>
          </w:tcPr>
          <w:p w14:paraId="6D5D43D9" w14:textId="77777777" w:rsidR="009F639D" w:rsidRPr="00412829" w:rsidRDefault="009F639D" w:rsidP="00BF3075">
            <w:pPr>
              <w:pStyle w:val="RPI-TableLeftAligned"/>
              <w:rPr>
                <w:b/>
                <w:i/>
              </w:rPr>
            </w:pPr>
            <w:r w:rsidRPr="00412829">
              <w:rPr>
                <w:b/>
                <w:i/>
              </w:rPr>
              <w:lastRenderedPageBreak/>
              <w:t>At Month 12</w:t>
            </w:r>
          </w:p>
        </w:tc>
      </w:tr>
      <w:tr w:rsidR="009F639D" w:rsidRPr="00412829" w14:paraId="445FD17D" w14:textId="77777777" w:rsidTr="00472DB3">
        <w:trPr>
          <w:trHeight w:val="254"/>
          <w:jc w:val="center"/>
        </w:trPr>
        <w:tc>
          <w:tcPr>
            <w:tcW w:w="2224" w:type="dxa"/>
            <w:shd w:val="clear" w:color="auto" w:fill="auto"/>
          </w:tcPr>
          <w:p w14:paraId="703FEB72" w14:textId="77777777" w:rsidR="009F639D" w:rsidRPr="00412829" w:rsidRDefault="009F639D" w:rsidP="00BF3075">
            <w:pPr>
              <w:pStyle w:val="RPI-TableLeftAligned"/>
            </w:pPr>
            <w:r w:rsidRPr="00412829">
              <w:t>Lumbar spine</w:t>
            </w:r>
          </w:p>
        </w:tc>
        <w:tc>
          <w:tcPr>
            <w:tcW w:w="2410" w:type="dxa"/>
            <w:shd w:val="clear" w:color="auto" w:fill="auto"/>
          </w:tcPr>
          <w:p w14:paraId="5F387A16" w14:textId="77777777" w:rsidR="009F639D" w:rsidRPr="00412829" w:rsidRDefault="009F639D" w:rsidP="00BF3075">
            <w:pPr>
              <w:pStyle w:val="RPI-TableCenterAligned"/>
            </w:pPr>
            <w:r w:rsidRPr="00412829">
              <w:t>0.4 (0.2, 0.5)</w:t>
            </w:r>
          </w:p>
        </w:tc>
        <w:tc>
          <w:tcPr>
            <w:tcW w:w="2451" w:type="dxa"/>
            <w:shd w:val="clear" w:color="auto" w:fill="auto"/>
          </w:tcPr>
          <w:p w14:paraId="14B079A2" w14:textId="77777777" w:rsidR="009F639D" w:rsidRPr="00412829" w:rsidRDefault="009F639D" w:rsidP="00BF3075">
            <w:pPr>
              <w:pStyle w:val="RPI-TableCenterAligned"/>
            </w:pPr>
            <w:r w:rsidRPr="00412829">
              <w:t>13.1 (12.8, 13.3)</w:t>
            </w:r>
          </w:p>
        </w:tc>
        <w:tc>
          <w:tcPr>
            <w:tcW w:w="1640" w:type="dxa"/>
            <w:shd w:val="clear" w:color="auto" w:fill="auto"/>
          </w:tcPr>
          <w:p w14:paraId="5136F4F2" w14:textId="77777777" w:rsidR="009F639D" w:rsidRPr="00412829" w:rsidRDefault="009F639D" w:rsidP="00BF3075">
            <w:pPr>
              <w:pStyle w:val="RPI-TableCenterAligned"/>
            </w:pPr>
            <w:r w:rsidRPr="00412829">
              <w:t>12.7</w:t>
            </w:r>
            <w:r w:rsidRPr="00412829">
              <w:rPr>
                <w:vertAlign w:val="superscript"/>
              </w:rPr>
              <w:t>b</w:t>
            </w:r>
            <w:r w:rsidRPr="00412829">
              <w:t xml:space="preserve"> (12.4, 12.9)</w:t>
            </w:r>
          </w:p>
        </w:tc>
      </w:tr>
      <w:tr w:rsidR="009F639D" w:rsidRPr="00412829" w14:paraId="125CFEA6" w14:textId="77777777" w:rsidTr="00472DB3">
        <w:trPr>
          <w:trHeight w:val="228"/>
          <w:jc w:val="center"/>
        </w:trPr>
        <w:tc>
          <w:tcPr>
            <w:tcW w:w="2224" w:type="dxa"/>
            <w:shd w:val="clear" w:color="auto" w:fill="auto"/>
          </w:tcPr>
          <w:p w14:paraId="2AF47FA1" w14:textId="77777777" w:rsidR="009F639D" w:rsidRPr="00412829" w:rsidRDefault="009F639D" w:rsidP="00BF3075">
            <w:pPr>
              <w:pStyle w:val="RPI-TableLeftAligned"/>
            </w:pPr>
            <w:r w:rsidRPr="00412829">
              <w:t xml:space="preserve">Total hip </w:t>
            </w:r>
          </w:p>
        </w:tc>
        <w:tc>
          <w:tcPr>
            <w:tcW w:w="2410" w:type="dxa"/>
            <w:shd w:val="clear" w:color="auto" w:fill="auto"/>
          </w:tcPr>
          <w:p w14:paraId="00D10774" w14:textId="77777777" w:rsidR="009F639D" w:rsidRPr="00412829" w:rsidRDefault="009F639D" w:rsidP="00BF3075">
            <w:pPr>
              <w:pStyle w:val="RPI-TableCenterAligned"/>
            </w:pPr>
            <w:r w:rsidRPr="00412829">
              <w:t>0.3 (0.1, 0.4)</w:t>
            </w:r>
          </w:p>
        </w:tc>
        <w:tc>
          <w:tcPr>
            <w:tcW w:w="2451" w:type="dxa"/>
            <w:shd w:val="clear" w:color="auto" w:fill="auto"/>
          </w:tcPr>
          <w:p w14:paraId="6E1796F3" w14:textId="77777777" w:rsidR="009F639D" w:rsidRPr="00412829" w:rsidRDefault="009F639D" w:rsidP="00BF3075">
            <w:pPr>
              <w:pStyle w:val="RPI-TableCenterAligned"/>
            </w:pPr>
            <w:r w:rsidRPr="00412829">
              <w:t>6.0 (5.9, 6.2)</w:t>
            </w:r>
          </w:p>
        </w:tc>
        <w:tc>
          <w:tcPr>
            <w:tcW w:w="1640" w:type="dxa"/>
            <w:shd w:val="clear" w:color="auto" w:fill="auto"/>
          </w:tcPr>
          <w:p w14:paraId="1A06CFC2" w14:textId="77777777" w:rsidR="009F639D" w:rsidRPr="00412829" w:rsidRDefault="009F639D" w:rsidP="00BF3075">
            <w:pPr>
              <w:pStyle w:val="RPI-TableCenterAligned"/>
            </w:pPr>
            <w:r w:rsidRPr="00412829">
              <w:t>5.8</w:t>
            </w:r>
            <w:r w:rsidRPr="00412829">
              <w:rPr>
                <w:vertAlign w:val="superscript"/>
              </w:rPr>
              <w:t>b</w:t>
            </w:r>
            <w:r w:rsidRPr="00412829">
              <w:t xml:space="preserve"> (5.6, 6.0)</w:t>
            </w:r>
          </w:p>
        </w:tc>
      </w:tr>
      <w:tr w:rsidR="009F639D" w:rsidRPr="00412829" w14:paraId="4C757BDC" w14:textId="77777777" w:rsidTr="00472DB3">
        <w:trPr>
          <w:trHeight w:val="281"/>
          <w:jc w:val="center"/>
        </w:trPr>
        <w:tc>
          <w:tcPr>
            <w:tcW w:w="2224" w:type="dxa"/>
            <w:shd w:val="clear" w:color="auto" w:fill="auto"/>
          </w:tcPr>
          <w:p w14:paraId="14A1F07D" w14:textId="77777777" w:rsidR="009F639D" w:rsidRPr="00412829" w:rsidRDefault="009F639D" w:rsidP="00BF3075">
            <w:pPr>
              <w:pStyle w:val="RPI-TableLeftAligned"/>
            </w:pPr>
            <w:r w:rsidRPr="00412829">
              <w:t>Femoral neck</w:t>
            </w:r>
          </w:p>
        </w:tc>
        <w:tc>
          <w:tcPr>
            <w:tcW w:w="2410" w:type="dxa"/>
            <w:shd w:val="clear" w:color="auto" w:fill="auto"/>
          </w:tcPr>
          <w:p w14:paraId="23939825" w14:textId="77777777" w:rsidR="009F639D" w:rsidRPr="00412829" w:rsidRDefault="009F639D" w:rsidP="00BF3075">
            <w:pPr>
              <w:pStyle w:val="RPI-TableCenterAligned"/>
            </w:pPr>
            <w:r w:rsidRPr="00412829">
              <w:t>0.3 (0.1, 0.5)</w:t>
            </w:r>
          </w:p>
        </w:tc>
        <w:tc>
          <w:tcPr>
            <w:tcW w:w="2451" w:type="dxa"/>
            <w:shd w:val="clear" w:color="auto" w:fill="auto"/>
          </w:tcPr>
          <w:p w14:paraId="704087C6" w14:textId="77777777" w:rsidR="009F639D" w:rsidRPr="00412829" w:rsidRDefault="009F639D" w:rsidP="00BF3075">
            <w:pPr>
              <w:pStyle w:val="RPI-TableCenterAligned"/>
            </w:pPr>
            <w:r w:rsidRPr="00412829">
              <w:t>5.5 (5.2, 5.7)</w:t>
            </w:r>
          </w:p>
        </w:tc>
        <w:tc>
          <w:tcPr>
            <w:tcW w:w="1640" w:type="dxa"/>
            <w:shd w:val="clear" w:color="auto" w:fill="auto"/>
          </w:tcPr>
          <w:p w14:paraId="76A5A9F1" w14:textId="77777777" w:rsidR="009F639D" w:rsidRPr="00412829" w:rsidRDefault="009F639D" w:rsidP="00BF3075">
            <w:pPr>
              <w:pStyle w:val="RPI-TableCenterAligned"/>
            </w:pPr>
            <w:r w:rsidRPr="00412829">
              <w:t>5.2</w:t>
            </w:r>
            <w:r w:rsidRPr="00412829">
              <w:rPr>
                <w:vertAlign w:val="superscript"/>
              </w:rPr>
              <w:t>b</w:t>
            </w:r>
            <w:r w:rsidRPr="00412829">
              <w:t xml:space="preserve"> (4.9, 5.4)</w:t>
            </w:r>
          </w:p>
        </w:tc>
      </w:tr>
      <w:tr w:rsidR="009F639D" w:rsidRPr="00412829" w14:paraId="268C2EFA" w14:textId="77777777" w:rsidTr="00472DB3">
        <w:trPr>
          <w:trHeight w:val="281"/>
          <w:jc w:val="center"/>
        </w:trPr>
        <w:tc>
          <w:tcPr>
            <w:tcW w:w="2224" w:type="dxa"/>
            <w:shd w:val="clear" w:color="auto" w:fill="auto"/>
            <w:vAlign w:val="center"/>
          </w:tcPr>
          <w:p w14:paraId="521D83C2" w14:textId="77777777" w:rsidR="009F639D" w:rsidRPr="00412829" w:rsidRDefault="009F639D" w:rsidP="00827B18">
            <w:pPr>
              <w:pStyle w:val="TableLeftAlign"/>
              <w:keepNext/>
              <w:tabs>
                <w:tab w:val="left" w:pos="270"/>
              </w:tabs>
              <w:spacing w:before="120" w:after="120" w:line="360" w:lineRule="auto"/>
              <w:jc w:val="center"/>
              <w:rPr>
                <w:rFonts w:cs="Arial"/>
                <w:sz w:val="18"/>
                <w:szCs w:val="22"/>
              </w:rPr>
            </w:pPr>
          </w:p>
        </w:tc>
        <w:tc>
          <w:tcPr>
            <w:tcW w:w="2410" w:type="dxa"/>
            <w:shd w:val="clear" w:color="auto" w:fill="auto"/>
            <w:vAlign w:val="center"/>
          </w:tcPr>
          <w:p w14:paraId="51548557" w14:textId="77777777" w:rsidR="009F639D" w:rsidRPr="00412829" w:rsidRDefault="009F639D" w:rsidP="00BF3075">
            <w:pPr>
              <w:pStyle w:val="RPI-TableCenterAligned"/>
              <w:rPr>
                <w:b/>
              </w:rPr>
            </w:pPr>
            <w:r w:rsidRPr="00412829">
              <w:rPr>
                <w:b/>
              </w:rPr>
              <w:t>Placebo-to-denosumab</w:t>
            </w:r>
          </w:p>
          <w:p w14:paraId="328C289B" w14:textId="77777777" w:rsidR="009F639D" w:rsidRPr="00412829" w:rsidRDefault="009F639D" w:rsidP="00BF3075">
            <w:pPr>
              <w:pStyle w:val="RPI-TableCenterAligned"/>
              <w:rPr>
                <w:b/>
              </w:rPr>
            </w:pPr>
            <w:r w:rsidRPr="00412829">
              <w:rPr>
                <w:b/>
              </w:rPr>
              <w:t>Mean (95% CI)</w:t>
            </w:r>
          </w:p>
          <w:p w14:paraId="45FE9F85" w14:textId="77777777" w:rsidR="009F639D" w:rsidRPr="00412829" w:rsidRDefault="009F639D" w:rsidP="00BF3075">
            <w:pPr>
              <w:pStyle w:val="RPI-TableCenterAligned"/>
            </w:pPr>
            <w:r w:rsidRPr="00412829">
              <w:t>N = 3591</w:t>
            </w:r>
            <w:r w:rsidRPr="00412829">
              <w:rPr>
                <w:vertAlign w:val="superscript"/>
              </w:rPr>
              <w:t xml:space="preserve"> a</w:t>
            </w:r>
          </w:p>
        </w:tc>
        <w:tc>
          <w:tcPr>
            <w:tcW w:w="2451" w:type="dxa"/>
            <w:shd w:val="clear" w:color="auto" w:fill="auto"/>
            <w:vAlign w:val="center"/>
          </w:tcPr>
          <w:p w14:paraId="543A89A8" w14:textId="77777777" w:rsidR="009F639D" w:rsidRPr="00412829" w:rsidRDefault="009F639D" w:rsidP="00BF3075">
            <w:pPr>
              <w:pStyle w:val="RPI-TableCenterAligned"/>
              <w:rPr>
                <w:b/>
              </w:rPr>
            </w:pPr>
            <w:r w:rsidRPr="00412829">
              <w:rPr>
                <w:b/>
              </w:rPr>
              <w:t>EVENITY-to-denosumab</w:t>
            </w:r>
          </w:p>
          <w:p w14:paraId="64BFD1CA" w14:textId="77777777" w:rsidR="009F639D" w:rsidRPr="00412829" w:rsidRDefault="009F639D" w:rsidP="00BF3075">
            <w:pPr>
              <w:pStyle w:val="RPI-TableCenterAligned"/>
              <w:rPr>
                <w:b/>
              </w:rPr>
            </w:pPr>
            <w:r w:rsidRPr="00412829">
              <w:rPr>
                <w:b/>
              </w:rPr>
              <w:t>Mean (95% CI)</w:t>
            </w:r>
          </w:p>
          <w:p w14:paraId="2DE01178" w14:textId="77777777" w:rsidR="009F639D" w:rsidRPr="00412829" w:rsidRDefault="009F639D" w:rsidP="00BF3075">
            <w:pPr>
              <w:pStyle w:val="RPI-TableCenterAligned"/>
            </w:pPr>
            <w:r w:rsidRPr="00412829">
              <w:t>N = 3589</w:t>
            </w:r>
            <w:r w:rsidRPr="00412829">
              <w:rPr>
                <w:vertAlign w:val="superscript"/>
              </w:rPr>
              <w:t xml:space="preserve"> a</w:t>
            </w:r>
          </w:p>
        </w:tc>
        <w:tc>
          <w:tcPr>
            <w:tcW w:w="1640" w:type="dxa"/>
            <w:shd w:val="clear" w:color="auto" w:fill="auto"/>
            <w:vAlign w:val="center"/>
          </w:tcPr>
          <w:p w14:paraId="080AEF54" w14:textId="77777777" w:rsidR="009F639D" w:rsidRPr="00412829" w:rsidRDefault="009F639D" w:rsidP="00BF3075">
            <w:pPr>
              <w:pStyle w:val="RPI-TableCenterAligned"/>
              <w:rPr>
                <w:b/>
              </w:rPr>
            </w:pPr>
            <w:r w:rsidRPr="00412829">
              <w:rPr>
                <w:b/>
              </w:rPr>
              <w:t>Treatment Difference From Placebo-to-denosumab</w:t>
            </w:r>
          </w:p>
        </w:tc>
      </w:tr>
      <w:tr w:rsidR="009F639D" w:rsidRPr="00412829" w14:paraId="04C41C11" w14:textId="77777777" w:rsidTr="00472DB3">
        <w:trPr>
          <w:trHeight w:val="219"/>
          <w:jc w:val="center"/>
        </w:trPr>
        <w:tc>
          <w:tcPr>
            <w:tcW w:w="8725" w:type="dxa"/>
            <w:gridSpan w:val="4"/>
            <w:shd w:val="clear" w:color="auto" w:fill="auto"/>
          </w:tcPr>
          <w:p w14:paraId="6AF2EEE8" w14:textId="77777777" w:rsidR="009F639D" w:rsidRPr="00412829" w:rsidRDefault="009F639D" w:rsidP="00BF3075">
            <w:pPr>
              <w:pStyle w:val="RPI-TableLeftAligned"/>
              <w:rPr>
                <w:b/>
                <w:i/>
              </w:rPr>
            </w:pPr>
            <w:r w:rsidRPr="00412829">
              <w:rPr>
                <w:b/>
                <w:i/>
              </w:rPr>
              <w:t>At Month 24</w:t>
            </w:r>
          </w:p>
        </w:tc>
      </w:tr>
      <w:tr w:rsidR="009F639D" w:rsidRPr="00412829" w14:paraId="52B3E54E" w14:textId="77777777" w:rsidTr="00472DB3">
        <w:trPr>
          <w:trHeight w:val="254"/>
          <w:jc w:val="center"/>
        </w:trPr>
        <w:tc>
          <w:tcPr>
            <w:tcW w:w="2224" w:type="dxa"/>
            <w:shd w:val="clear" w:color="auto" w:fill="auto"/>
          </w:tcPr>
          <w:p w14:paraId="72756D4C" w14:textId="77777777" w:rsidR="009F639D" w:rsidRPr="00412829" w:rsidRDefault="009F639D" w:rsidP="00BF3075">
            <w:pPr>
              <w:pStyle w:val="RPI-TableLeftAligned"/>
            </w:pPr>
            <w:r w:rsidRPr="00412829">
              <w:t>Lumbar spine</w:t>
            </w:r>
          </w:p>
        </w:tc>
        <w:tc>
          <w:tcPr>
            <w:tcW w:w="2410" w:type="dxa"/>
            <w:shd w:val="clear" w:color="auto" w:fill="auto"/>
          </w:tcPr>
          <w:p w14:paraId="1DEEF47F" w14:textId="77777777" w:rsidR="009F639D" w:rsidRPr="00412829" w:rsidRDefault="009F639D" w:rsidP="00BF3075">
            <w:pPr>
              <w:pStyle w:val="RPI-TableCenterAligned"/>
            </w:pPr>
            <w:r w:rsidRPr="00412829">
              <w:t>5.5 (5.3, 5.7)</w:t>
            </w:r>
          </w:p>
        </w:tc>
        <w:tc>
          <w:tcPr>
            <w:tcW w:w="2451" w:type="dxa"/>
            <w:shd w:val="clear" w:color="auto" w:fill="auto"/>
          </w:tcPr>
          <w:p w14:paraId="73267796" w14:textId="77777777" w:rsidR="009F639D" w:rsidRPr="00412829" w:rsidRDefault="009F639D" w:rsidP="00BF3075">
            <w:pPr>
              <w:pStyle w:val="RPI-TableCenterAligned"/>
            </w:pPr>
            <w:r w:rsidRPr="00412829">
              <w:t>16.6 (16.3, 16.8)</w:t>
            </w:r>
          </w:p>
        </w:tc>
        <w:tc>
          <w:tcPr>
            <w:tcW w:w="1640" w:type="dxa"/>
            <w:shd w:val="clear" w:color="auto" w:fill="auto"/>
          </w:tcPr>
          <w:p w14:paraId="25C6B253" w14:textId="77777777" w:rsidR="009F639D" w:rsidRPr="00412829" w:rsidRDefault="009F639D" w:rsidP="00BF3075">
            <w:pPr>
              <w:pStyle w:val="RPI-TableCenterAligned"/>
            </w:pPr>
            <w:r w:rsidRPr="00412829">
              <w:t>11.1</w:t>
            </w:r>
            <w:r w:rsidRPr="00412829">
              <w:rPr>
                <w:vertAlign w:val="superscript"/>
              </w:rPr>
              <w:t>b</w:t>
            </w:r>
            <w:r w:rsidRPr="00412829">
              <w:t xml:space="preserve"> (10.8, 11.4)</w:t>
            </w:r>
          </w:p>
        </w:tc>
      </w:tr>
      <w:tr w:rsidR="009F639D" w:rsidRPr="00412829" w14:paraId="7B7C257D" w14:textId="77777777" w:rsidTr="00472DB3">
        <w:trPr>
          <w:trHeight w:val="228"/>
          <w:jc w:val="center"/>
        </w:trPr>
        <w:tc>
          <w:tcPr>
            <w:tcW w:w="2224" w:type="dxa"/>
            <w:shd w:val="clear" w:color="auto" w:fill="auto"/>
          </w:tcPr>
          <w:p w14:paraId="5A70C24B" w14:textId="77777777" w:rsidR="009F639D" w:rsidRPr="00412829" w:rsidRDefault="009F639D" w:rsidP="00BF3075">
            <w:pPr>
              <w:pStyle w:val="RPI-TableLeftAligned"/>
            </w:pPr>
            <w:r w:rsidRPr="00412829">
              <w:t xml:space="preserve">Total hip </w:t>
            </w:r>
          </w:p>
        </w:tc>
        <w:tc>
          <w:tcPr>
            <w:tcW w:w="2410" w:type="dxa"/>
            <w:shd w:val="clear" w:color="auto" w:fill="auto"/>
          </w:tcPr>
          <w:p w14:paraId="32DA92BC" w14:textId="77777777" w:rsidR="009F639D" w:rsidRPr="00412829" w:rsidRDefault="009F639D" w:rsidP="00BF3075">
            <w:pPr>
              <w:pStyle w:val="RPI-TableCenterAligned"/>
            </w:pPr>
            <w:r w:rsidRPr="00412829">
              <w:t>3.2 (3.1, 3.3)</w:t>
            </w:r>
          </w:p>
        </w:tc>
        <w:tc>
          <w:tcPr>
            <w:tcW w:w="2451" w:type="dxa"/>
            <w:shd w:val="clear" w:color="auto" w:fill="auto"/>
          </w:tcPr>
          <w:p w14:paraId="063C07D3" w14:textId="77777777" w:rsidR="009F639D" w:rsidRPr="00412829" w:rsidRDefault="009F639D" w:rsidP="00BF3075">
            <w:pPr>
              <w:pStyle w:val="RPI-TableCenterAligned"/>
            </w:pPr>
            <w:r w:rsidRPr="00412829">
              <w:t>8.5 (8.3, 8.7)</w:t>
            </w:r>
          </w:p>
        </w:tc>
        <w:tc>
          <w:tcPr>
            <w:tcW w:w="1640" w:type="dxa"/>
            <w:shd w:val="clear" w:color="auto" w:fill="auto"/>
          </w:tcPr>
          <w:p w14:paraId="4804CEBE" w14:textId="77777777" w:rsidR="009F639D" w:rsidRPr="00412829" w:rsidRDefault="009F639D" w:rsidP="00BF3075">
            <w:pPr>
              <w:pStyle w:val="RPI-TableCenterAligned"/>
            </w:pPr>
            <w:r w:rsidRPr="00412829">
              <w:t>5.3</w:t>
            </w:r>
            <w:r w:rsidRPr="00412829">
              <w:rPr>
                <w:vertAlign w:val="superscript"/>
              </w:rPr>
              <w:t>b</w:t>
            </w:r>
            <w:r w:rsidRPr="00412829">
              <w:t xml:space="preserve"> (5.1, 5.5)</w:t>
            </w:r>
          </w:p>
        </w:tc>
      </w:tr>
      <w:tr w:rsidR="009F639D" w:rsidRPr="00412829" w14:paraId="09D8A305" w14:textId="77777777" w:rsidTr="00472DB3">
        <w:trPr>
          <w:trHeight w:val="281"/>
          <w:jc w:val="center"/>
        </w:trPr>
        <w:tc>
          <w:tcPr>
            <w:tcW w:w="2224" w:type="dxa"/>
            <w:shd w:val="clear" w:color="auto" w:fill="auto"/>
          </w:tcPr>
          <w:p w14:paraId="64B71DC6" w14:textId="77777777" w:rsidR="009F639D" w:rsidRPr="00412829" w:rsidRDefault="009F639D" w:rsidP="00BF3075">
            <w:pPr>
              <w:pStyle w:val="RPI-TableLeftAligned"/>
            </w:pPr>
            <w:r w:rsidRPr="00412829">
              <w:t>Femoral neck</w:t>
            </w:r>
          </w:p>
        </w:tc>
        <w:tc>
          <w:tcPr>
            <w:tcW w:w="2410" w:type="dxa"/>
            <w:shd w:val="clear" w:color="auto" w:fill="auto"/>
          </w:tcPr>
          <w:p w14:paraId="5FFE2E63" w14:textId="77777777" w:rsidR="009F639D" w:rsidRPr="00412829" w:rsidRDefault="009F639D" w:rsidP="00BF3075">
            <w:pPr>
              <w:pStyle w:val="RPI-TableCenterAligned"/>
            </w:pPr>
            <w:r w:rsidRPr="00412829">
              <w:t>2.3 (2.1, 2.6)</w:t>
            </w:r>
          </w:p>
        </w:tc>
        <w:tc>
          <w:tcPr>
            <w:tcW w:w="2451" w:type="dxa"/>
            <w:shd w:val="clear" w:color="auto" w:fill="auto"/>
          </w:tcPr>
          <w:p w14:paraId="354676AA" w14:textId="77777777" w:rsidR="009F639D" w:rsidRPr="00412829" w:rsidRDefault="009F639D" w:rsidP="00BF3075">
            <w:pPr>
              <w:pStyle w:val="RPI-TableCenterAligned"/>
            </w:pPr>
            <w:r w:rsidRPr="00412829">
              <w:t>7.3 (7.0, 7.5)</w:t>
            </w:r>
          </w:p>
        </w:tc>
        <w:tc>
          <w:tcPr>
            <w:tcW w:w="1640" w:type="dxa"/>
            <w:shd w:val="clear" w:color="auto" w:fill="auto"/>
          </w:tcPr>
          <w:p w14:paraId="6B432468" w14:textId="77777777" w:rsidR="009F639D" w:rsidRPr="00412829" w:rsidRDefault="009F639D" w:rsidP="00BF3075">
            <w:pPr>
              <w:pStyle w:val="RPI-TableCenterAligned"/>
            </w:pPr>
            <w:r w:rsidRPr="00412829">
              <w:t>4.9</w:t>
            </w:r>
            <w:r w:rsidRPr="00412829">
              <w:rPr>
                <w:vertAlign w:val="superscript"/>
              </w:rPr>
              <w:t>b</w:t>
            </w:r>
            <w:r w:rsidRPr="00412829">
              <w:t xml:space="preserve"> (4.7, 5.2)</w:t>
            </w:r>
          </w:p>
        </w:tc>
      </w:tr>
    </w:tbl>
    <w:p w14:paraId="56F2A665" w14:textId="5CFFF265" w:rsidR="009F639D" w:rsidRPr="00412829" w:rsidRDefault="00F54EFB" w:rsidP="00F54EFB">
      <w:pPr>
        <w:pStyle w:val="RPI-FootnoteText"/>
        <w:rPr>
          <w:lang w:val="en-AU" w:eastAsia="en-AU"/>
        </w:rPr>
      </w:pPr>
      <w:r w:rsidRPr="00412829">
        <w:rPr>
          <w:vertAlign w:val="superscript"/>
          <w:lang w:val="en-AU" w:eastAsia="en-AU"/>
        </w:rPr>
        <w:t xml:space="preserve">a </w:t>
      </w:r>
      <w:r w:rsidR="009F639D" w:rsidRPr="00412829">
        <w:rPr>
          <w:lang w:val="en-AU" w:eastAsia="en-AU"/>
        </w:rPr>
        <w:t>Number of women randomised</w:t>
      </w:r>
    </w:p>
    <w:p w14:paraId="35E657A5" w14:textId="6202FF41" w:rsidR="009F639D" w:rsidRPr="00412829" w:rsidRDefault="00F54EFB" w:rsidP="00F54EFB">
      <w:pPr>
        <w:pStyle w:val="RPI-FootnoteText"/>
        <w:rPr>
          <w:lang w:val="en-AU" w:eastAsia="en-AU"/>
        </w:rPr>
      </w:pPr>
      <w:r w:rsidRPr="00412829">
        <w:rPr>
          <w:vertAlign w:val="superscript"/>
          <w:lang w:val="en-AU" w:eastAsia="en-AU"/>
        </w:rPr>
        <w:t xml:space="preserve">b </w:t>
      </w:r>
      <w:r w:rsidR="009F639D" w:rsidRPr="00412829">
        <w:rPr>
          <w:lang w:val="en-AU" w:eastAsia="en-AU"/>
        </w:rPr>
        <w:t>p-value &lt;</w:t>
      </w:r>
      <w:r w:rsidR="00140BB6" w:rsidRPr="00412829">
        <w:rPr>
          <w:lang w:val="en-AU" w:eastAsia="en-AU"/>
        </w:rPr>
        <w:t> </w:t>
      </w:r>
      <w:r w:rsidR="009F639D" w:rsidRPr="00412829">
        <w:rPr>
          <w:lang w:val="en-AU" w:eastAsia="en-AU"/>
        </w:rPr>
        <w:t>0.001 based on an ANCOVA model</w:t>
      </w:r>
    </w:p>
    <w:p w14:paraId="6F59CE7C" w14:textId="77777777" w:rsidR="00472DB3" w:rsidRDefault="00472DB3" w:rsidP="00F54EFB">
      <w:pPr>
        <w:pStyle w:val="RPI-Text"/>
      </w:pPr>
    </w:p>
    <w:p w14:paraId="002A6D2E" w14:textId="155D8293" w:rsidR="00937246" w:rsidRPr="00412829" w:rsidRDefault="001308D9" w:rsidP="00F54EFB">
      <w:pPr>
        <w:pStyle w:val="RPI-Text"/>
      </w:pPr>
      <w:r w:rsidRPr="00412829">
        <w:t xml:space="preserve">Among women with BMD assessed at baseline and every 6 months, EVENITY significantly increased BMD at the lumbar spine, total hip, and femoral neck relative to placebo at 6 and 12 months.  Following the transition from EVENITY to denosumab, BMD continued to increase through month 24.  In patients who transitioned from placebo to denosumab, BMD also increased with denosumab use.  The differences in BMD achieved at month 12 between EVENITY and placebo patients were overall maintained at month 24, when comparing patients who transitioned from EVENITY to denosumab versus patients who transitioned from placebo-to-denosumab (Figure </w:t>
      </w:r>
      <w:r w:rsidR="00C60836" w:rsidRPr="00412829">
        <w:t>6</w:t>
      </w:r>
      <w:r w:rsidRPr="00412829">
        <w:t xml:space="preserve">).  </w:t>
      </w:r>
      <w:r w:rsidR="00937246" w:rsidRPr="00412829">
        <w:rPr>
          <w:lang w:val="en-US"/>
        </w:rPr>
        <w:t>Subgroup analyses of the primary endpoints indicated</w:t>
      </w:r>
      <w:r w:rsidR="00937246" w:rsidRPr="00412829">
        <w:t xml:space="preserve"> </w:t>
      </w:r>
      <w:r w:rsidR="00937246" w:rsidRPr="00412829">
        <w:rPr>
          <w:lang w:val="en-US"/>
        </w:rPr>
        <w:t>that the efficacy of romosozumab was consistent regardless of baseline characteristics</w:t>
      </w:r>
      <w:r w:rsidR="00937246" w:rsidRPr="00412829">
        <w:t xml:space="preserve"> </w:t>
      </w:r>
      <w:r w:rsidR="00937246" w:rsidRPr="00412829">
        <w:rPr>
          <w:lang w:val="en-US"/>
        </w:rPr>
        <w:t>examined.</w:t>
      </w:r>
    </w:p>
    <w:p w14:paraId="1B276E1E" w14:textId="742D2164" w:rsidR="001308D9" w:rsidRPr="00412829" w:rsidRDefault="001308D9" w:rsidP="00F54EFB">
      <w:pPr>
        <w:pStyle w:val="RPI-Text"/>
      </w:pPr>
      <w:r w:rsidRPr="00412829">
        <w:t xml:space="preserve">Treatment differences in BMD at 6 months were 9.4% at the lumbar spine, 4.3% at the total hip, and 3.6% at the femoral neck.  After 12 months, the treatment differences were 13.3% at the lumbar spine, 6.9% at the total hip, and 5.9% at the femoral neck (all </w:t>
      </w:r>
      <w:r w:rsidRPr="00412829">
        <w:lastRenderedPageBreak/>
        <w:t>p</w:t>
      </w:r>
      <w:r w:rsidR="009C397E" w:rsidRPr="00412829">
        <w:t> </w:t>
      </w:r>
      <w:r w:rsidRPr="00412829">
        <w:t>&lt;</w:t>
      </w:r>
      <w:r w:rsidR="009C397E" w:rsidRPr="00412829">
        <w:t> </w:t>
      </w:r>
      <w:r w:rsidRPr="00412829">
        <w:t>0.001).  At 18 months, women who received EVENITY followed by denosumab maintained gains in BMD compared to women who received placebo followed by denosumab, with treatment differences of 11.8% at the lumbar spine, 6.8% at the total hip, and 6.8% at the femoral neck.  At 24 months, women who received EVENITY followed by denosumab maintained gains in BMD compared to women who received placebo followed by denosumab, with treatment differences of 12.6% at the lumbar spine, 6.0% at the total hip, and 6.0% at the femoral neck (all p</w:t>
      </w:r>
      <w:r w:rsidR="009A457D" w:rsidRPr="00412829">
        <w:t> </w:t>
      </w:r>
      <w:r w:rsidRPr="00412829">
        <w:t>&lt;</w:t>
      </w:r>
      <w:r w:rsidR="009A457D" w:rsidRPr="00412829">
        <w:t> </w:t>
      </w:r>
      <w:r w:rsidRPr="00412829">
        <w:t>0.001).</w:t>
      </w:r>
      <w:r w:rsidRPr="00412829">
        <w:rPr>
          <w:b/>
        </w:rPr>
        <w:t xml:space="preserve"> </w:t>
      </w:r>
    </w:p>
    <w:p w14:paraId="4367C884" w14:textId="2EA3A05A" w:rsidR="001308D9" w:rsidRPr="00412829" w:rsidRDefault="001308D9" w:rsidP="00396561">
      <w:pPr>
        <w:pStyle w:val="RPI-Caption"/>
      </w:pPr>
      <w:r w:rsidRPr="00412829">
        <w:t xml:space="preserve">Figure </w:t>
      </w:r>
      <w:r w:rsidR="00C60836" w:rsidRPr="00412829">
        <w:t>6</w:t>
      </w:r>
      <w:r w:rsidRPr="00412829">
        <w:t xml:space="preserve">. </w:t>
      </w:r>
      <w:r w:rsidR="00374D60">
        <w:t xml:space="preserve"> </w:t>
      </w:r>
      <w:r w:rsidRPr="00412829">
        <w:t>Percent Change in BMD at Lumbar Spine, Total Hip, and Femoral Neck From Baseline Over 24 Months</w:t>
      </w:r>
    </w:p>
    <w:p w14:paraId="54B9DB3E" w14:textId="3C84AE57" w:rsidR="001308D9" w:rsidRPr="00412829" w:rsidRDefault="00FE1CD4" w:rsidP="00FA65CB">
      <w:pPr>
        <w:pStyle w:val="RPI-Heading3"/>
        <w:keepNext w:val="0"/>
        <w:rPr>
          <w:bCs/>
          <w:u w:val="none"/>
        </w:rPr>
      </w:pPr>
      <w:r w:rsidRPr="00412829">
        <w:rPr>
          <w:rFonts w:cs="Arial"/>
          <w:noProof/>
          <w:szCs w:val="22"/>
          <w:u w:val="none"/>
          <w:lang w:eastAsia="en-AU"/>
        </w:rPr>
        <w:drawing>
          <wp:inline distT="0" distB="0" distL="0" distR="0" wp14:anchorId="49211F10" wp14:editId="2169E81F">
            <wp:extent cx="5426015" cy="2782214"/>
            <wp:effectExtent l="0" t="0" r="3810" b="0"/>
            <wp:docPr id="7" name="Picture 4" descr="GRH0329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58031" cy="2798631"/>
                    </a:xfrm>
                    <a:prstGeom prst="rect">
                      <a:avLst/>
                    </a:prstGeom>
                    <a:noFill/>
                    <a:ln>
                      <a:noFill/>
                    </a:ln>
                  </pic:spPr>
                </pic:pic>
              </a:graphicData>
            </a:graphic>
          </wp:inline>
        </w:drawing>
      </w:r>
    </w:p>
    <w:p w14:paraId="042E73BF" w14:textId="3E527CE4" w:rsidR="00EC3AF8" w:rsidRPr="00C644A8" w:rsidRDefault="00EC3AF8" w:rsidP="00AB1877">
      <w:pPr>
        <w:pStyle w:val="RPI-Text"/>
        <w:keepNext/>
        <w:rPr>
          <w:i/>
        </w:rPr>
      </w:pPr>
      <w:r w:rsidRPr="00C644A8">
        <w:rPr>
          <w:i/>
        </w:rPr>
        <w:t xml:space="preserve">Bone </w:t>
      </w:r>
      <w:r w:rsidR="00067839" w:rsidRPr="00C644A8">
        <w:rPr>
          <w:i/>
        </w:rPr>
        <w:t>h</w:t>
      </w:r>
      <w:r w:rsidRPr="00C644A8">
        <w:rPr>
          <w:i/>
        </w:rPr>
        <w:t xml:space="preserve">istology and </w:t>
      </w:r>
      <w:r w:rsidR="00067839" w:rsidRPr="00C644A8">
        <w:rPr>
          <w:i/>
        </w:rPr>
        <w:t>h</w:t>
      </w:r>
      <w:r w:rsidRPr="00C644A8">
        <w:rPr>
          <w:i/>
        </w:rPr>
        <w:t>istomorphometry</w:t>
      </w:r>
    </w:p>
    <w:p w14:paraId="051B13DF" w14:textId="5215A879" w:rsidR="00EC3AF8" w:rsidRPr="00412829" w:rsidRDefault="00EC3AF8" w:rsidP="00F54EFB">
      <w:pPr>
        <w:pStyle w:val="RPI-Text"/>
        <w:rPr>
          <w:i/>
        </w:rPr>
      </w:pPr>
      <w:r w:rsidRPr="00412829">
        <w:t>A total of 154 transiliac crest bone biopsy s</w:t>
      </w:r>
      <w:r w:rsidR="007153D2" w:rsidRPr="00412829">
        <w:t>pecimens were obtained from 139 </w:t>
      </w:r>
      <w:r w:rsidRPr="00412829">
        <w:t>postmenopausal women with osteoporosis at month 2, month 12, and/or month 24.  Of the biopsies obtained, 154 (100.0%) were adequate for qualitative histology and 138 (89.6%) were adequate for full quantitative histomorphometry assessment.  Qualitative histology assessments from those treated with EVENITY showed normal bone architecture and quality at all time points.  There was no evidence of woven bone, mineralisation defects, or marrow fibrosis.</w:t>
      </w:r>
    </w:p>
    <w:p w14:paraId="7AD60F4D" w14:textId="36A40A5A" w:rsidR="00EC3AF8" w:rsidRPr="00412829" w:rsidRDefault="00EC3AF8" w:rsidP="00F54EFB">
      <w:pPr>
        <w:pStyle w:val="RPI-Text"/>
      </w:pPr>
      <w:r w:rsidRPr="00412829">
        <w:t xml:space="preserve">Histomorphometry assessments on biopsies at months 2 and 12 compared the effect of EVENITY with placebo (15 specimens at month 2 and 39 specimens at month 12 in the </w:t>
      </w:r>
      <w:r w:rsidRPr="00412829">
        <w:lastRenderedPageBreak/>
        <w:t>EVENITY group, 14 specimens at month 2 and 31 specimens at month 12 in the placebo group).  In women treated with EVENITY, histomorphometric indices of bone formation were increased and bone resorption were decreased at month 2.  At month 12, both bone formation and resorption indices were decreased with EVENITY, while bone volume and trabecular thickness were increased.  Biopsies obtained at month 24 compared the effect of EVENITY for 12 months followed by denosumab for 12 months (18 specimens) with placebo followed by denosumab (21 specimens).  At month 24, indices of bone remode</w:t>
      </w:r>
      <w:r w:rsidR="00255A1E" w:rsidRPr="00412829">
        <w:t>l</w:t>
      </w:r>
      <w:r w:rsidRPr="00412829">
        <w:t xml:space="preserve">ling were low and similar in both groups, consistent with the effects of denosumab.  </w:t>
      </w:r>
    </w:p>
    <w:p w14:paraId="6C579CC7" w14:textId="5C22DA09" w:rsidR="0016460D" w:rsidRPr="00412829" w:rsidRDefault="00917A1A" w:rsidP="00472DB3">
      <w:pPr>
        <w:pStyle w:val="RPI-Textbold"/>
        <w:keepNext/>
      </w:pPr>
      <w:r w:rsidRPr="00BB65E0">
        <w:t>Study 3</w:t>
      </w:r>
      <w:r w:rsidR="00205D3A">
        <w:t xml:space="preserve">. </w:t>
      </w:r>
      <w:r w:rsidR="0016460D" w:rsidRPr="00412829">
        <w:t xml:space="preserve">Women </w:t>
      </w:r>
      <w:r w:rsidR="004F6EE2" w:rsidRPr="00412829">
        <w:t>t</w:t>
      </w:r>
      <w:r w:rsidR="0016460D" w:rsidRPr="00412829">
        <w:t xml:space="preserve">ransitioning </w:t>
      </w:r>
      <w:r w:rsidR="004F6EE2" w:rsidRPr="00412829">
        <w:t>f</w:t>
      </w:r>
      <w:r w:rsidR="0016460D" w:rsidRPr="00412829">
        <w:t xml:space="preserve">rom </w:t>
      </w:r>
      <w:r w:rsidR="006D0CF8" w:rsidRPr="00412829">
        <w:t>b</w:t>
      </w:r>
      <w:r w:rsidR="0016460D" w:rsidRPr="00412829">
        <w:t xml:space="preserve">isphosphonate </w:t>
      </w:r>
      <w:r w:rsidR="006D0CF8" w:rsidRPr="00412829">
        <w:t>t</w:t>
      </w:r>
      <w:r w:rsidR="0016460D" w:rsidRPr="00412829">
        <w:t xml:space="preserve">herapy </w:t>
      </w:r>
    </w:p>
    <w:p w14:paraId="7826694A" w14:textId="77777777" w:rsidR="0016460D" w:rsidRPr="00412829" w:rsidRDefault="0016460D" w:rsidP="002556DE">
      <w:pPr>
        <w:pStyle w:val="RPI-Textbold"/>
      </w:pPr>
      <w:r w:rsidRPr="00412829">
        <w:t>STudy evaluating effect of RomosozUmab Compared with Teriparatide in postmenopausal women with osteoporosis at high risk for fracture pReviously treated with bisphosphonatE therapy (STRUCTURE):</w:t>
      </w:r>
    </w:p>
    <w:p w14:paraId="74A22468" w14:textId="6BD1D38C" w:rsidR="0016460D" w:rsidRPr="00412829" w:rsidRDefault="0016460D" w:rsidP="00F54EFB">
      <w:pPr>
        <w:pStyle w:val="RPI-Text"/>
      </w:pPr>
      <w:r w:rsidRPr="00412829">
        <w:t>The safety and efficacy of EVENITY in postmenopausal women with osteoporosis transitioning from bisphosphonate therapy were evaluated in a multicentr</w:t>
      </w:r>
      <w:r w:rsidR="007A4D77" w:rsidRPr="00412829">
        <w:t>e</w:t>
      </w:r>
      <w:r w:rsidRPr="00412829">
        <w:t xml:space="preserve">, randomised, open-label study of 436 postmenopausal women aged 56 to 90 years (mean age of 71.5 years).  </w:t>
      </w:r>
      <w:r w:rsidR="00116D6B" w:rsidRPr="00412829">
        <w:t>All subjects received oral bisphosphonate therapy in t</w:t>
      </w:r>
      <w:r w:rsidR="00A52B7D" w:rsidRPr="00412829">
        <w:t xml:space="preserve">he 3 years immediately prior to screening; the median duration of prior bisphosphonate use was 6.2 years (range 3 to 27 years). </w:t>
      </w:r>
      <w:r w:rsidR="00217564">
        <w:t xml:space="preserve"> </w:t>
      </w:r>
      <w:r w:rsidRPr="007E1620">
        <w:t>This study evaluated safety and BMD changes by dual-energy X-ray absorptiometry (DXA) through 12 months of treatment with EVENITY compared with 12 months of treatment with teriparatide.  The study also evaluated hip strength estimated by finite element analysis (FEA) over 12 months using quantitative comp</w:t>
      </w:r>
      <w:r w:rsidRPr="00412829">
        <w:t>uted tomography images.</w:t>
      </w:r>
      <w:r w:rsidRPr="00412829">
        <w:rPr>
          <w:b/>
        </w:rPr>
        <w:t> </w:t>
      </w:r>
      <w:r w:rsidRPr="00412829">
        <w:t xml:space="preserve"> </w:t>
      </w:r>
    </w:p>
    <w:p w14:paraId="0B5B929C" w14:textId="77777777" w:rsidR="0016460D" w:rsidRPr="00412829" w:rsidRDefault="0016460D" w:rsidP="00F54EFB">
      <w:pPr>
        <w:pStyle w:val="RPI-Text"/>
      </w:pPr>
      <w:r w:rsidRPr="00412829">
        <w:t xml:space="preserve">Enrolled women were required to have a baseline BMD T-score at the lumbar spine, total hip, or femoral neck of ≤ −2.50 and any history of nonvertebral fracture after age 50 or vertebral fracture at any time.  The mean baseline lumbar spine, total hip, and femoral neck BMD T-scores were –2.85, −2.24, and –2.46, respectively.  </w:t>
      </w:r>
    </w:p>
    <w:p w14:paraId="531422A4" w14:textId="77777777" w:rsidR="0016460D" w:rsidRPr="00412829" w:rsidRDefault="0016460D" w:rsidP="00F54EFB">
      <w:pPr>
        <w:pStyle w:val="RPI-Text"/>
      </w:pPr>
      <w:r w:rsidRPr="00412829">
        <w:t xml:space="preserve">At month 12, EVENITY increased BMD from baseline by 9.8% (95% CI: 9.0, 10.5) at the lumbar spine, 2.9% (95% CI: 2.5, 3.4) at the total hip, and 3.2% (95% CI: 2.6, 3.8) at the femoral neck.  Treatment differences in BMD at 12 months compared to teriparatide were 4.4% (95% CI: 3.4, 5.4) at the lumbar spine, 3.4% (95% CI: 2.8, 4.0) at the total </w:t>
      </w:r>
      <w:r w:rsidRPr="00412829">
        <w:lastRenderedPageBreak/>
        <w:t xml:space="preserve">hip, and 3.4% at the femoral neck (95% CI: 2.6, 4.2; p-value &lt; 0.0001 for all comparisons).  </w:t>
      </w:r>
    </w:p>
    <w:p w14:paraId="4681E1B8" w14:textId="31B5E7E1" w:rsidR="0016460D" w:rsidRPr="00412829" w:rsidRDefault="0016460D" w:rsidP="00F54EFB">
      <w:pPr>
        <w:pStyle w:val="RPI-Text"/>
      </w:pPr>
      <w:bookmarkStart w:id="4" w:name="_Hlk524091792"/>
      <w:r w:rsidRPr="00412829">
        <w:t>At month 12, EVENITY increased estimated strength from baseline by 2.5% (95% CI: 1.7, 3.2)</w:t>
      </w:r>
      <w:r w:rsidR="00870DD2" w:rsidRPr="00412829">
        <w:t xml:space="preserve"> using finite element analysis (FEA)</w:t>
      </w:r>
      <w:r w:rsidRPr="00412829">
        <w:t xml:space="preserve"> at the total hip.  The treatment difference in estimated strength at the total hip at month 12 compared to teriparatide was 3.2% (95% CI: 2.1, 4.3; p-value &lt; 0.0001).</w:t>
      </w:r>
    </w:p>
    <w:bookmarkEnd w:id="4"/>
    <w:p w14:paraId="7FBD1825" w14:textId="35BA29EF" w:rsidR="0016460D" w:rsidRPr="00412829" w:rsidRDefault="0016460D" w:rsidP="00F54EFB">
      <w:pPr>
        <w:pStyle w:val="RPI-Text"/>
        <w:rPr>
          <w:b/>
        </w:rPr>
      </w:pPr>
      <w:r w:rsidRPr="00412829">
        <w:t xml:space="preserve">Adverse reactions observed in this study were generally consistent with those seen in women not transitioning from bisphosphonate therapy (see </w:t>
      </w:r>
      <w:r w:rsidR="00DC140F" w:rsidRPr="00412829">
        <w:t xml:space="preserve">section </w:t>
      </w:r>
      <w:r w:rsidR="00F731C8" w:rsidRPr="00412829">
        <w:t>5.1 Pharmacodynamic properties</w:t>
      </w:r>
      <w:r w:rsidRPr="00412829">
        <w:t xml:space="preserve">, Women </w:t>
      </w:r>
      <w:r w:rsidR="00EF3FFF" w:rsidRPr="00412829">
        <w:t>t</w:t>
      </w:r>
      <w:r w:rsidRPr="00412829">
        <w:t xml:space="preserve">ransitioning from </w:t>
      </w:r>
      <w:r w:rsidR="00EF3FFF" w:rsidRPr="00412829">
        <w:t>b</w:t>
      </w:r>
      <w:r w:rsidRPr="00412829">
        <w:t xml:space="preserve">isphosphonate </w:t>
      </w:r>
      <w:r w:rsidR="00EF3FFF" w:rsidRPr="00412829">
        <w:t>t</w:t>
      </w:r>
      <w:r w:rsidRPr="00412829">
        <w:t>herapy).</w:t>
      </w:r>
      <w:r w:rsidRPr="00412829">
        <w:rPr>
          <w:b/>
        </w:rPr>
        <w:t xml:space="preserve">  </w:t>
      </w:r>
    </w:p>
    <w:p w14:paraId="433FDA49" w14:textId="2A1DCB82" w:rsidR="00A704A1" w:rsidRPr="00412829" w:rsidRDefault="00A704A1" w:rsidP="00506CFF">
      <w:pPr>
        <w:pStyle w:val="RPI-Heading4"/>
      </w:pPr>
      <w:r w:rsidRPr="00412829">
        <w:t xml:space="preserve">Treatment of </w:t>
      </w:r>
      <w:r w:rsidR="00170265" w:rsidRPr="00412829">
        <w:t>o</w:t>
      </w:r>
      <w:r w:rsidRPr="00412829">
        <w:t xml:space="preserve">steoporosis in </w:t>
      </w:r>
      <w:r w:rsidR="00170265" w:rsidRPr="00412829">
        <w:t>m</w:t>
      </w:r>
      <w:r w:rsidRPr="00412829">
        <w:t>en</w:t>
      </w:r>
    </w:p>
    <w:p w14:paraId="22F3ED1B" w14:textId="6455281B" w:rsidR="00917A1A" w:rsidRPr="00BF18F7" w:rsidRDefault="00917A1A" w:rsidP="0091411F">
      <w:pPr>
        <w:pStyle w:val="RPI-Textbold"/>
        <w:keepNext/>
      </w:pPr>
      <w:r w:rsidRPr="00BF18F7">
        <w:t>Study 4</w:t>
      </w:r>
    </w:p>
    <w:p w14:paraId="03A60607" w14:textId="12069E4F" w:rsidR="00A704A1" w:rsidRPr="0091411F" w:rsidRDefault="00A704A1" w:rsidP="002556DE">
      <w:pPr>
        <w:pStyle w:val="RPI-Textbold"/>
      </w:pPr>
      <w:r w:rsidRPr="0091411F">
        <w:t>A placeBo-contRolled study evaluatIng the efficacy anD safety of romosozumab in treatinG mEn with osteoporosis (BRIDGE):</w:t>
      </w:r>
    </w:p>
    <w:p w14:paraId="1341F66A" w14:textId="0BD217D9" w:rsidR="00A704A1" w:rsidRPr="00412829" w:rsidRDefault="00A704A1" w:rsidP="00F54EFB">
      <w:pPr>
        <w:pStyle w:val="RPI-Text"/>
      </w:pPr>
      <w:r w:rsidRPr="00412829">
        <w:t>The efficacy and safety of EVENITY in men with osteop</w:t>
      </w:r>
      <w:r w:rsidR="00612504" w:rsidRPr="00412829">
        <w:t>orosis was demonstrated in a 12</w:t>
      </w:r>
      <w:r w:rsidR="00612504" w:rsidRPr="00412829">
        <w:noBreakHyphen/>
      </w:r>
      <w:r w:rsidRPr="00412829">
        <w:t>month, multicentr</w:t>
      </w:r>
      <w:r w:rsidR="00C207BD" w:rsidRPr="00412829">
        <w:t>e</w:t>
      </w:r>
      <w:r w:rsidRPr="00412829">
        <w:t xml:space="preserve">, randomised, double-blind, placebo-controlled study of 245 men aged 55 to 89 years (mean age of 72.1 years). </w:t>
      </w:r>
      <w:r w:rsidR="00FF135E">
        <w:t xml:space="preserve"> </w:t>
      </w:r>
      <w:r w:rsidR="0044483F" w:rsidRPr="00412829">
        <w:t xml:space="preserve">The majority of men did not report previous use of osteoporosis medications before enrolment into the study. </w:t>
      </w:r>
      <w:r w:rsidR="00FF135E">
        <w:t xml:space="preserve"> </w:t>
      </w:r>
      <w:r w:rsidR="0044483F" w:rsidRPr="00412829">
        <w:t>Use of calcitrol (1,25 dihydroxy vitamin D) was the most frequently reported (romosozumab vs placebo: 3.1% vs 2.4%), followed by denosumab (1.8% vs 3.7%) and oral bisphosphonates (0.6% vs 6.1%).</w:t>
      </w:r>
      <w:r w:rsidRPr="00412829">
        <w:t xml:space="preserve"> </w:t>
      </w:r>
      <w:r w:rsidR="00217564">
        <w:t xml:space="preserve"> </w:t>
      </w:r>
      <w:r w:rsidRPr="00412829">
        <w:t>Enrolled men had a baseline BMD T-score of ≤</w:t>
      </w:r>
      <w:r w:rsidR="003A1713" w:rsidRPr="00412829">
        <w:t> </w:t>
      </w:r>
      <w:r w:rsidRPr="00412829">
        <w:t>−2.50 at the lumbar spine, total hip, or femoral nec</w:t>
      </w:r>
      <w:r w:rsidR="00DF3973" w:rsidRPr="00412829">
        <w:t>k.  Men with a BMD T-score of ≤ </w:t>
      </w:r>
      <w:r w:rsidRPr="00412829">
        <w:t>−1.50 at the lumbar spine, total hip, or femoral neck were enrolled if there was a history of fragility fracture.  Men with BMD T-score at the total hip or femoral neck of ≤</w:t>
      </w:r>
      <w:r w:rsidR="00462FAC" w:rsidRPr="00412829">
        <w:t> </w:t>
      </w:r>
      <w:r w:rsidRPr="00412829">
        <w:t>-</w:t>
      </w:r>
      <w:r w:rsidR="00097EA8" w:rsidRPr="00412829">
        <w:t> </w:t>
      </w:r>
      <w:r w:rsidRPr="00412829">
        <w:t>3.5 were excluded from this study.  The mean baseline lumbar spine, total hip, and femoral neck BMD T</w:t>
      </w:r>
      <w:r w:rsidR="00217564">
        <w:noBreakHyphen/>
      </w:r>
      <w:r w:rsidRPr="00412829">
        <w:t xml:space="preserve">scores were –2.26, </w:t>
      </w:r>
      <w:r w:rsidRPr="00412829">
        <w:rPr>
          <w:rFonts w:eastAsia="Calibri"/>
        </w:rPr>
        <w:t>−1.92</w:t>
      </w:r>
      <w:r w:rsidRPr="00412829">
        <w:t xml:space="preserve">, and –2.33, respectively.  </w:t>
      </w:r>
      <w:r w:rsidR="00C56D4E" w:rsidRPr="00412829">
        <w:t xml:space="preserve">For the total subject population, the mean 10-year probabilities of major osteoporotic fractures and of hip fractures, respectively, (calculated with BMD) were 8.9% and 3.9%. </w:t>
      </w:r>
      <w:r w:rsidR="00217564">
        <w:t xml:space="preserve"> </w:t>
      </w:r>
      <w:r w:rsidRPr="00412829">
        <w:rPr>
          <w:rFonts w:eastAsia="MS Mincho"/>
        </w:rPr>
        <w:t>Men were randomi</w:t>
      </w:r>
      <w:r w:rsidRPr="007E1620">
        <w:rPr>
          <w:rFonts w:eastAsia="MS Mincho"/>
        </w:rPr>
        <w:t>sed 2:1 to receive SC injections of either EVENITY (n = 163) or placebo (n = 82) once every month.</w:t>
      </w:r>
      <w:r w:rsidR="00E73D9E" w:rsidRPr="00412829">
        <w:rPr>
          <w:rFonts w:eastAsia="MS Mincho"/>
        </w:rPr>
        <w:t xml:space="preserve">  All men received at least 500 </w:t>
      </w:r>
      <w:r w:rsidRPr="00412829">
        <w:rPr>
          <w:rFonts w:eastAsia="MS Mincho"/>
        </w:rPr>
        <w:t>mg calcium and at least 600</w:t>
      </w:r>
      <w:r w:rsidR="00D85FB3" w:rsidRPr="00412829">
        <w:rPr>
          <w:rFonts w:eastAsia="MS Mincho"/>
        </w:rPr>
        <w:t> </w:t>
      </w:r>
      <w:r w:rsidRPr="00412829">
        <w:rPr>
          <w:rFonts w:eastAsia="MS Mincho"/>
        </w:rPr>
        <w:t xml:space="preserve">IU vitamin D supplementation daily </w:t>
      </w:r>
      <w:r w:rsidRPr="00412829">
        <w:t xml:space="preserve">and could have received a loading dose of </w:t>
      </w:r>
      <w:r w:rsidRPr="00412829">
        <w:rPr>
          <w:color w:val="000000"/>
        </w:rPr>
        <w:t>50,000 to 60,000</w:t>
      </w:r>
      <w:r w:rsidR="00604044" w:rsidRPr="00412829">
        <w:rPr>
          <w:color w:val="000000"/>
        </w:rPr>
        <w:t> </w:t>
      </w:r>
      <w:r w:rsidRPr="00412829">
        <w:rPr>
          <w:color w:val="000000"/>
        </w:rPr>
        <w:t>IU of</w:t>
      </w:r>
      <w:r w:rsidRPr="00412829">
        <w:t xml:space="preserve"> vitamin D after </w:t>
      </w:r>
      <w:r w:rsidRPr="00412829">
        <w:lastRenderedPageBreak/>
        <w:t>randomisation</w:t>
      </w:r>
      <w:r w:rsidRPr="00412829">
        <w:rPr>
          <w:rFonts w:eastAsia="MS Mincho"/>
        </w:rPr>
        <w:t>.  Ninety-four percent of randomised men completed the 12-month double</w:t>
      </w:r>
      <w:r w:rsidR="00217564">
        <w:rPr>
          <w:rFonts w:eastAsia="MS Mincho"/>
        </w:rPr>
        <w:noBreakHyphen/>
      </w:r>
      <w:r w:rsidRPr="00412829">
        <w:rPr>
          <w:rFonts w:eastAsia="MS Mincho"/>
        </w:rPr>
        <w:t xml:space="preserve">blind study.  </w:t>
      </w:r>
    </w:p>
    <w:p w14:paraId="1AF14741" w14:textId="65F7D44F" w:rsidR="00A704A1" w:rsidRPr="00ED3CD1" w:rsidRDefault="00A704A1" w:rsidP="005A25E0">
      <w:pPr>
        <w:pStyle w:val="RPI-Text"/>
        <w:keepNext/>
        <w:rPr>
          <w:i/>
        </w:rPr>
      </w:pPr>
      <w:r w:rsidRPr="00ED3CD1">
        <w:rPr>
          <w:i/>
        </w:rPr>
        <w:t xml:space="preserve">Effect on </w:t>
      </w:r>
      <w:r w:rsidR="00B36339" w:rsidRPr="00ED3CD1">
        <w:rPr>
          <w:i/>
        </w:rPr>
        <w:t>b</w:t>
      </w:r>
      <w:r w:rsidRPr="00ED3CD1">
        <w:rPr>
          <w:i/>
        </w:rPr>
        <w:t xml:space="preserve">one </w:t>
      </w:r>
      <w:r w:rsidR="00B36339" w:rsidRPr="00ED3CD1">
        <w:rPr>
          <w:i/>
        </w:rPr>
        <w:t>m</w:t>
      </w:r>
      <w:r w:rsidRPr="00ED3CD1">
        <w:rPr>
          <w:i/>
        </w:rPr>
        <w:t xml:space="preserve">ineral </w:t>
      </w:r>
      <w:r w:rsidR="00B36339" w:rsidRPr="00ED3CD1">
        <w:rPr>
          <w:i/>
        </w:rPr>
        <w:t>d</w:t>
      </w:r>
      <w:r w:rsidRPr="00ED3CD1">
        <w:rPr>
          <w:i/>
        </w:rPr>
        <w:t>ensity (BMD)</w:t>
      </w:r>
    </w:p>
    <w:p w14:paraId="35474299" w14:textId="77777777" w:rsidR="00A704A1" w:rsidRPr="00412829" w:rsidRDefault="00A704A1" w:rsidP="00F54EFB">
      <w:pPr>
        <w:pStyle w:val="RPI-Text"/>
      </w:pPr>
      <w:r w:rsidRPr="00412829">
        <w:t>The primary efficacy variable was percent change in lumbar spine BMD from baseline at month 12.  Secondary efficacy variables included percent change in total hip and femoral neck BMD from baseline to month 12 and percent change in lumbar spine, total hip, and femoral neck BMD from baseline to month 6.</w:t>
      </w:r>
    </w:p>
    <w:p w14:paraId="09D2C8CE" w14:textId="6F98BB81" w:rsidR="00A704A1" w:rsidRPr="00412829" w:rsidRDefault="00A704A1" w:rsidP="00F54EFB">
      <w:pPr>
        <w:pStyle w:val="RPI-Text"/>
      </w:pPr>
      <w:r w:rsidRPr="00412829">
        <w:t>In men with osteoporosis, treatment with EVENITY signi</w:t>
      </w:r>
      <w:r w:rsidR="00FC2F6D" w:rsidRPr="00412829">
        <w:t>ficantly increased BMD at month </w:t>
      </w:r>
      <w:r w:rsidRPr="00412829">
        <w:t xml:space="preserve">12.  The treatment differences in BMD at 6 months were 8.7% at the lumbar spine, 1.4% at the total hip, and 1.3% at femoral neck.  At 12 months, the treatment differences were 10.9% at the lumbar spine, 3% at the total hip, and 2.4% at the femoral neck (Table </w:t>
      </w:r>
      <w:r w:rsidR="00C15C68" w:rsidRPr="00412829">
        <w:t>6</w:t>
      </w:r>
      <w:r w:rsidRPr="00412829">
        <w:t xml:space="preserve">).  </w:t>
      </w:r>
    </w:p>
    <w:p w14:paraId="766E412A" w14:textId="77777777" w:rsidR="00A704A1" w:rsidRPr="00412829" w:rsidRDefault="00A704A1" w:rsidP="00F54EFB">
      <w:pPr>
        <w:pStyle w:val="RPI-Text"/>
      </w:pPr>
      <w:r w:rsidRPr="00412829">
        <w:t>Consistent effects on BMD were observed regardless of baseline age, baseline BMD, geographic region, and history of vertebral fracture.</w:t>
      </w:r>
    </w:p>
    <w:p w14:paraId="04920B0C" w14:textId="515E37C7" w:rsidR="00006228" w:rsidRPr="00412829" w:rsidRDefault="00006228" w:rsidP="00396561">
      <w:pPr>
        <w:pStyle w:val="RPI-Caption"/>
      </w:pPr>
      <w:r w:rsidRPr="00412829">
        <w:rPr>
          <w:bCs/>
        </w:rPr>
        <w:t xml:space="preserve">Table </w:t>
      </w:r>
      <w:r w:rsidR="00A122DA" w:rsidRPr="00412829">
        <w:rPr>
          <w:bCs/>
        </w:rPr>
        <w:t>9</w:t>
      </w:r>
      <w:r w:rsidRPr="00412829">
        <w:rPr>
          <w:bCs/>
        </w:rPr>
        <w:t xml:space="preserve">. </w:t>
      </w:r>
      <w:r w:rsidR="00EF6740" w:rsidRPr="00412829">
        <w:rPr>
          <w:bCs/>
        </w:rPr>
        <w:t xml:space="preserve"> </w:t>
      </w:r>
      <w:r w:rsidRPr="00412829">
        <w:t>The Effect of EVENITY on BMD at Lumbar Spine, Total Hip, and Femoral Neck At Month 6 and Month 12</w:t>
      </w:r>
      <w:r w:rsidRPr="00412829">
        <w:rPr>
          <w:bCs/>
          <w:shd w:val="clear" w:color="auto" w:fill="FFFF00"/>
        </w:rPr>
        <w:t xml:space="preserve"> </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2551"/>
        <w:gridCol w:w="2274"/>
        <w:gridCol w:w="2227"/>
      </w:tblGrid>
      <w:tr w:rsidR="009F4754" w:rsidRPr="00412829" w14:paraId="665D2694" w14:textId="77777777" w:rsidTr="00472DB3">
        <w:trPr>
          <w:trHeight w:val="521"/>
          <w:jc w:val="center"/>
        </w:trPr>
        <w:tc>
          <w:tcPr>
            <w:tcW w:w="1718" w:type="dxa"/>
            <w:shd w:val="clear" w:color="auto" w:fill="auto"/>
            <w:vAlign w:val="center"/>
          </w:tcPr>
          <w:p w14:paraId="72B783A9" w14:textId="77777777" w:rsidR="009F4754" w:rsidRPr="00412829" w:rsidRDefault="009F4754" w:rsidP="006A7D85">
            <w:pPr>
              <w:pStyle w:val="TableLeftAlign"/>
              <w:keepNext/>
              <w:tabs>
                <w:tab w:val="left" w:pos="270"/>
              </w:tabs>
              <w:spacing w:before="120" w:after="120" w:line="360" w:lineRule="auto"/>
              <w:jc w:val="center"/>
              <w:rPr>
                <w:rFonts w:cs="Arial"/>
                <w:b/>
                <w:sz w:val="18"/>
                <w:szCs w:val="22"/>
              </w:rPr>
            </w:pPr>
          </w:p>
        </w:tc>
        <w:tc>
          <w:tcPr>
            <w:tcW w:w="4825" w:type="dxa"/>
            <w:gridSpan w:val="2"/>
            <w:shd w:val="clear" w:color="auto" w:fill="auto"/>
            <w:vAlign w:val="center"/>
          </w:tcPr>
          <w:p w14:paraId="0542D013" w14:textId="77777777" w:rsidR="009F4754" w:rsidRPr="00412829" w:rsidRDefault="009F4754" w:rsidP="004C0FF0">
            <w:pPr>
              <w:pStyle w:val="RPI-TableCenterAligned"/>
              <w:rPr>
                <w:b/>
              </w:rPr>
            </w:pPr>
            <w:r w:rsidRPr="00412829">
              <w:rPr>
                <w:b/>
              </w:rPr>
              <w:t>Mean Percent Change in BMD From Baseline</w:t>
            </w:r>
          </w:p>
        </w:tc>
        <w:tc>
          <w:tcPr>
            <w:tcW w:w="2227" w:type="dxa"/>
            <w:vMerge w:val="restart"/>
            <w:shd w:val="clear" w:color="auto" w:fill="auto"/>
            <w:vAlign w:val="center"/>
          </w:tcPr>
          <w:p w14:paraId="6F352F1C" w14:textId="77777777" w:rsidR="009F4754" w:rsidRPr="00412829" w:rsidRDefault="009F4754" w:rsidP="004C0FF0">
            <w:pPr>
              <w:pStyle w:val="RPI-TableCenterAligned"/>
              <w:rPr>
                <w:b/>
              </w:rPr>
            </w:pPr>
            <w:r w:rsidRPr="00412829">
              <w:rPr>
                <w:b/>
              </w:rPr>
              <w:t>Treatment Difference From Placebo</w:t>
            </w:r>
            <w:r w:rsidRPr="00412829">
              <w:rPr>
                <w:b/>
              </w:rPr>
              <w:br/>
              <w:t>Mean (95% CI)</w:t>
            </w:r>
          </w:p>
        </w:tc>
      </w:tr>
      <w:tr w:rsidR="009F4754" w:rsidRPr="00412829" w14:paraId="15D7BED5" w14:textId="77777777" w:rsidTr="00472DB3">
        <w:trPr>
          <w:trHeight w:val="890"/>
          <w:jc w:val="center"/>
        </w:trPr>
        <w:tc>
          <w:tcPr>
            <w:tcW w:w="1718" w:type="dxa"/>
            <w:shd w:val="clear" w:color="auto" w:fill="auto"/>
            <w:vAlign w:val="center"/>
          </w:tcPr>
          <w:p w14:paraId="1E9DDAB4" w14:textId="77777777" w:rsidR="009F4754" w:rsidRPr="00412829" w:rsidRDefault="009F4754" w:rsidP="006A7D85">
            <w:pPr>
              <w:pStyle w:val="TableLeftAlign"/>
              <w:keepNext/>
              <w:tabs>
                <w:tab w:val="left" w:pos="270"/>
              </w:tabs>
              <w:spacing w:before="120" w:after="120" w:line="360" w:lineRule="auto"/>
              <w:jc w:val="center"/>
              <w:rPr>
                <w:rFonts w:cs="Arial"/>
                <w:b/>
                <w:sz w:val="18"/>
                <w:szCs w:val="22"/>
              </w:rPr>
            </w:pPr>
          </w:p>
        </w:tc>
        <w:tc>
          <w:tcPr>
            <w:tcW w:w="2551" w:type="dxa"/>
            <w:shd w:val="clear" w:color="auto" w:fill="auto"/>
            <w:vAlign w:val="center"/>
          </w:tcPr>
          <w:p w14:paraId="28DBE430" w14:textId="77777777" w:rsidR="009F4754" w:rsidRPr="00412829" w:rsidRDefault="009F4754" w:rsidP="004C0FF0">
            <w:pPr>
              <w:pStyle w:val="RPI-TableCenterAligned"/>
              <w:rPr>
                <w:b/>
              </w:rPr>
            </w:pPr>
            <w:r w:rsidRPr="00412829">
              <w:rPr>
                <w:b/>
              </w:rPr>
              <w:t>Placebo</w:t>
            </w:r>
            <w:r w:rsidRPr="00412829">
              <w:rPr>
                <w:b/>
              </w:rPr>
              <w:br/>
              <w:t>Mean (95% CI)</w:t>
            </w:r>
          </w:p>
          <w:p w14:paraId="16CDD324" w14:textId="77777777" w:rsidR="009F4754" w:rsidRPr="00412829" w:rsidRDefault="009F4754" w:rsidP="004C0FF0">
            <w:pPr>
              <w:pStyle w:val="RPI-TableCenterAligned"/>
            </w:pPr>
            <w:r w:rsidRPr="00412829">
              <w:t>N = 79</w:t>
            </w:r>
            <w:r w:rsidRPr="00412829">
              <w:rPr>
                <w:vertAlign w:val="superscript"/>
              </w:rPr>
              <w:t>a</w:t>
            </w:r>
          </w:p>
        </w:tc>
        <w:tc>
          <w:tcPr>
            <w:tcW w:w="2274" w:type="dxa"/>
            <w:shd w:val="clear" w:color="auto" w:fill="auto"/>
            <w:vAlign w:val="center"/>
          </w:tcPr>
          <w:p w14:paraId="7129CD6A" w14:textId="77777777" w:rsidR="009F4754" w:rsidRPr="00412829" w:rsidRDefault="009F4754" w:rsidP="004C0FF0">
            <w:pPr>
              <w:pStyle w:val="RPI-TableCenterAligned"/>
              <w:rPr>
                <w:b/>
              </w:rPr>
            </w:pPr>
            <w:r w:rsidRPr="00412829">
              <w:rPr>
                <w:b/>
              </w:rPr>
              <w:t xml:space="preserve">EVENITY </w:t>
            </w:r>
            <w:r w:rsidRPr="00412829">
              <w:rPr>
                <w:b/>
              </w:rPr>
              <w:br/>
              <w:t>Mean (95% CI)</w:t>
            </w:r>
          </w:p>
          <w:p w14:paraId="6BBA4455" w14:textId="77777777" w:rsidR="009F4754" w:rsidRPr="00412829" w:rsidRDefault="009F4754" w:rsidP="004C0FF0">
            <w:pPr>
              <w:pStyle w:val="RPI-TableCenterAligned"/>
            </w:pPr>
            <w:r w:rsidRPr="00412829">
              <w:t>N = 158</w:t>
            </w:r>
            <w:r w:rsidRPr="00412829">
              <w:rPr>
                <w:vertAlign w:val="superscript"/>
              </w:rPr>
              <w:t>a</w:t>
            </w:r>
          </w:p>
        </w:tc>
        <w:tc>
          <w:tcPr>
            <w:tcW w:w="2227" w:type="dxa"/>
            <w:vMerge/>
            <w:shd w:val="clear" w:color="auto" w:fill="auto"/>
            <w:vAlign w:val="center"/>
          </w:tcPr>
          <w:p w14:paraId="63DC4F36" w14:textId="77777777" w:rsidR="009F4754" w:rsidRPr="00412829" w:rsidRDefault="009F4754" w:rsidP="006A7D85">
            <w:pPr>
              <w:pStyle w:val="TableCenterAlign"/>
              <w:keepNext/>
              <w:spacing w:before="120" w:after="120" w:line="360" w:lineRule="auto"/>
              <w:rPr>
                <w:rFonts w:cs="Arial"/>
                <w:b/>
                <w:sz w:val="18"/>
                <w:szCs w:val="22"/>
              </w:rPr>
            </w:pPr>
          </w:p>
        </w:tc>
      </w:tr>
      <w:tr w:rsidR="009F4754" w:rsidRPr="00412829" w14:paraId="4DABA740" w14:textId="77777777" w:rsidTr="00472DB3">
        <w:trPr>
          <w:trHeight w:val="219"/>
          <w:jc w:val="center"/>
        </w:trPr>
        <w:tc>
          <w:tcPr>
            <w:tcW w:w="8770" w:type="dxa"/>
            <w:gridSpan w:val="4"/>
            <w:shd w:val="clear" w:color="auto" w:fill="auto"/>
          </w:tcPr>
          <w:p w14:paraId="10C0C0A8" w14:textId="77777777" w:rsidR="009F4754" w:rsidRPr="00412829" w:rsidRDefault="009F4754" w:rsidP="004C0FF0">
            <w:pPr>
              <w:pStyle w:val="RPI-TableLeftAligned"/>
              <w:rPr>
                <w:b/>
                <w:i/>
              </w:rPr>
            </w:pPr>
            <w:r w:rsidRPr="00412829">
              <w:rPr>
                <w:b/>
                <w:i/>
              </w:rPr>
              <w:t>At Month 6</w:t>
            </w:r>
          </w:p>
        </w:tc>
      </w:tr>
      <w:tr w:rsidR="009F4754" w:rsidRPr="00412829" w14:paraId="5D6E8B02" w14:textId="77777777" w:rsidTr="00472DB3">
        <w:trPr>
          <w:trHeight w:val="254"/>
          <w:jc w:val="center"/>
        </w:trPr>
        <w:tc>
          <w:tcPr>
            <w:tcW w:w="1718" w:type="dxa"/>
            <w:shd w:val="clear" w:color="auto" w:fill="auto"/>
          </w:tcPr>
          <w:p w14:paraId="4D3C2142" w14:textId="77777777" w:rsidR="009F4754" w:rsidRPr="00412829" w:rsidRDefault="009F4754" w:rsidP="004C0FF0">
            <w:pPr>
              <w:pStyle w:val="RPI-TableLeftAligned"/>
            </w:pPr>
            <w:r w:rsidRPr="00412829">
              <w:t>Lumbar spine</w:t>
            </w:r>
          </w:p>
        </w:tc>
        <w:tc>
          <w:tcPr>
            <w:tcW w:w="2551" w:type="dxa"/>
            <w:shd w:val="clear" w:color="auto" w:fill="auto"/>
          </w:tcPr>
          <w:p w14:paraId="16D4C71B" w14:textId="77777777" w:rsidR="009F4754" w:rsidRPr="00412829" w:rsidRDefault="009F4754" w:rsidP="004C0FF0">
            <w:pPr>
              <w:pStyle w:val="RPI-TableCenterAligned"/>
            </w:pPr>
            <w:r w:rsidRPr="00412829">
              <w:t>0.3 (-0.6, 1.2)</w:t>
            </w:r>
          </w:p>
        </w:tc>
        <w:tc>
          <w:tcPr>
            <w:tcW w:w="2274" w:type="dxa"/>
            <w:shd w:val="clear" w:color="auto" w:fill="auto"/>
          </w:tcPr>
          <w:p w14:paraId="7BE72063" w14:textId="77777777" w:rsidR="009F4754" w:rsidRPr="00412829" w:rsidRDefault="009F4754" w:rsidP="004C0FF0">
            <w:pPr>
              <w:pStyle w:val="RPI-TableCenterAligned"/>
            </w:pPr>
            <w:r w:rsidRPr="00412829">
              <w:t>9 (8.2, 9.7)</w:t>
            </w:r>
          </w:p>
        </w:tc>
        <w:tc>
          <w:tcPr>
            <w:tcW w:w="2227" w:type="dxa"/>
            <w:shd w:val="clear" w:color="auto" w:fill="auto"/>
          </w:tcPr>
          <w:p w14:paraId="6CD25E0A" w14:textId="77777777" w:rsidR="009F4754" w:rsidRPr="00412829" w:rsidRDefault="009F4754" w:rsidP="004C0FF0">
            <w:pPr>
              <w:pStyle w:val="RPI-TableCenterAligned"/>
            </w:pPr>
            <w:r w:rsidRPr="00412829">
              <w:t>8.7</w:t>
            </w:r>
            <w:r w:rsidRPr="00412829">
              <w:rPr>
                <w:vertAlign w:val="superscript"/>
              </w:rPr>
              <w:t>b</w:t>
            </w:r>
            <w:r w:rsidRPr="00412829">
              <w:t xml:space="preserve"> (7.6, 9.7)</w:t>
            </w:r>
          </w:p>
        </w:tc>
      </w:tr>
      <w:tr w:rsidR="009F4754" w:rsidRPr="00412829" w14:paraId="73A7EAFB" w14:textId="77777777" w:rsidTr="00472DB3">
        <w:trPr>
          <w:trHeight w:val="228"/>
          <w:jc w:val="center"/>
        </w:trPr>
        <w:tc>
          <w:tcPr>
            <w:tcW w:w="1718" w:type="dxa"/>
            <w:shd w:val="clear" w:color="auto" w:fill="auto"/>
          </w:tcPr>
          <w:p w14:paraId="74D7C2C9" w14:textId="77777777" w:rsidR="009F4754" w:rsidRPr="00412829" w:rsidRDefault="009F4754" w:rsidP="004C0FF0">
            <w:pPr>
              <w:pStyle w:val="RPI-TableLeftAligned"/>
            </w:pPr>
            <w:r w:rsidRPr="00412829">
              <w:t xml:space="preserve">Total hip </w:t>
            </w:r>
          </w:p>
        </w:tc>
        <w:tc>
          <w:tcPr>
            <w:tcW w:w="2551" w:type="dxa"/>
            <w:shd w:val="clear" w:color="auto" w:fill="auto"/>
          </w:tcPr>
          <w:p w14:paraId="14588AEA" w14:textId="77777777" w:rsidR="009F4754" w:rsidRPr="00412829" w:rsidRDefault="009F4754" w:rsidP="004C0FF0">
            <w:pPr>
              <w:pStyle w:val="RPI-TableCenterAligned"/>
            </w:pPr>
            <w:r w:rsidRPr="00412829">
              <w:t>0.2 (-0.2, 0.7)</w:t>
            </w:r>
          </w:p>
        </w:tc>
        <w:tc>
          <w:tcPr>
            <w:tcW w:w="2274" w:type="dxa"/>
            <w:shd w:val="clear" w:color="auto" w:fill="auto"/>
          </w:tcPr>
          <w:p w14:paraId="23D5EA15" w14:textId="77777777" w:rsidR="009F4754" w:rsidRPr="00412829" w:rsidRDefault="009F4754" w:rsidP="004C0FF0">
            <w:pPr>
              <w:pStyle w:val="RPI-TableCenterAligned"/>
            </w:pPr>
            <w:r w:rsidRPr="00412829">
              <w:t>1.6 (1.2, 2.0)</w:t>
            </w:r>
          </w:p>
        </w:tc>
        <w:tc>
          <w:tcPr>
            <w:tcW w:w="2227" w:type="dxa"/>
            <w:shd w:val="clear" w:color="auto" w:fill="auto"/>
          </w:tcPr>
          <w:p w14:paraId="6081EE82" w14:textId="77777777" w:rsidR="009F4754" w:rsidRPr="00412829" w:rsidRDefault="009F4754" w:rsidP="004C0FF0">
            <w:pPr>
              <w:pStyle w:val="RPI-TableCenterAligned"/>
            </w:pPr>
            <w:r w:rsidRPr="00412829">
              <w:t>1.4</w:t>
            </w:r>
            <w:r w:rsidRPr="00412829">
              <w:rPr>
                <w:vertAlign w:val="superscript"/>
              </w:rPr>
              <w:t>b</w:t>
            </w:r>
            <w:r w:rsidRPr="00412829">
              <w:t xml:space="preserve"> (0.8, 2.0)</w:t>
            </w:r>
          </w:p>
        </w:tc>
      </w:tr>
      <w:tr w:rsidR="009F4754" w:rsidRPr="00412829" w14:paraId="798CC5E2" w14:textId="77777777" w:rsidTr="00472DB3">
        <w:trPr>
          <w:trHeight w:val="281"/>
          <w:jc w:val="center"/>
        </w:trPr>
        <w:tc>
          <w:tcPr>
            <w:tcW w:w="1718" w:type="dxa"/>
            <w:shd w:val="clear" w:color="auto" w:fill="auto"/>
          </w:tcPr>
          <w:p w14:paraId="0BEEA5C2" w14:textId="77777777" w:rsidR="009F4754" w:rsidRPr="00412829" w:rsidRDefault="009F4754" w:rsidP="004C0FF0">
            <w:pPr>
              <w:pStyle w:val="RPI-TableLeftAligned"/>
            </w:pPr>
            <w:r w:rsidRPr="00412829">
              <w:t>Femoral neck</w:t>
            </w:r>
          </w:p>
        </w:tc>
        <w:tc>
          <w:tcPr>
            <w:tcW w:w="2551" w:type="dxa"/>
            <w:shd w:val="clear" w:color="auto" w:fill="auto"/>
          </w:tcPr>
          <w:p w14:paraId="5D59BFA4" w14:textId="77777777" w:rsidR="009F4754" w:rsidRPr="00412829" w:rsidRDefault="009F4754" w:rsidP="004C0FF0">
            <w:pPr>
              <w:pStyle w:val="RPI-TableCenterAligned"/>
            </w:pPr>
            <w:r w:rsidRPr="00412829">
              <w:t>0.0 (-0.7, 0.7)</w:t>
            </w:r>
          </w:p>
        </w:tc>
        <w:tc>
          <w:tcPr>
            <w:tcW w:w="2274" w:type="dxa"/>
            <w:shd w:val="clear" w:color="auto" w:fill="auto"/>
          </w:tcPr>
          <w:p w14:paraId="5719F14F" w14:textId="77777777" w:rsidR="009F4754" w:rsidRPr="00412829" w:rsidRDefault="009F4754" w:rsidP="004C0FF0">
            <w:pPr>
              <w:pStyle w:val="RPI-TableCenterAligned"/>
            </w:pPr>
            <w:r w:rsidRPr="00412829">
              <w:t>1.2 (0.6, 1.8)</w:t>
            </w:r>
          </w:p>
        </w:tc>
        <w:tc>
          <w:tcPr>
            <w:tcW w:w="2227" w:type="dxa"/>
            <w:shd w:val="clear" w:color="auto" w:fill="auto"/>
          </w:tcPr>
          <w:p w14:paraId="194B51C6" w14:textId="77777777" w:rsidR="009F4754" w:rsidRPr="00412829" w:rsidRDefault="009F4754" w:rsidP="004C0FF0">
            <w:pPr>
              <w:pStyle w:val="RPI-TableCenterAligned"/>
            </w:pPr>
            <w:r w:rsidRPr="00412829">
              <w:t>1.3</w:t>
            </w:r>
            <w:r w:rsidRPr="00412829">
              <w:rPr>
                <w:vertAlign w:val="superscript"/>
              </w:rPr>
              <w:t>c</w:t>
            </w:r>
            <w:r w:rsidRPr="00412829">
              <w:t xml:space="preserve"> (0.4, 2.1)</w:t>
            </w:r>
          </w:p>
        </w:tc>
      </w:tr>
      <w:tr w:rsidR="009F4754" w:rsidRPr="00412829" w14:paraId="47F3D61E" w14:textId="77777777" w:rsidTr="00472DB3">
        <w:trPr>
          <w:trHeight w:val="219"/>
          <w:jc w:val="center"/>
        </w:trPr>
        <w:tc>
          <w:tcPr>
            <w:tcW w:w="8770" w:type="dxa"/>
            <w:gridSpan w:val="4"/>
            <w:shd w:val="clear" w:color="auto" w:fill="auto"/>
          </w:tcPr>
          <w:p w14:paraId="28906EB5" w14:textId="77777777" w:rsidR="009F4754" w:rsidRPr="00412829" w:rsidRDefault="009F4754" w:rsidP="004C0FF0">
            <w:pPr>
              <w:pStyle w:val="RPI-TableLeftAligned"/>
              <w:rPr>
                <w:b/>
                <w:i/>
              </w:rPr>
            </w:pPr>
            <w:r w:rsidRPr="00412829">
              <w:rPr>
                <w:b/>
                <w:i/>
              </w:rPr>
              <w:t>At Month 12</w:t>
            </w:r>
          </w:p>
        </w:tc>
      </w:tr>
      <w:tr w:rsidR="009F4754" w:rsidRPr="00412829" w14:paraId="55E9F26C" w14:textId="77777777" w:rsidTr="00472DB3">
        <w:trPr>
          <w:trHeight w:val="254"/>
          <w:jc w:val="center"/>
        </w:trPr>
        <w:tc>
          <w:tcPr>
            <w:tcW w:w="1718" w:type="dxa"/>
            <w:shd w:val="clear" w:color="auto" w:fill="auto"/>
          </w:tcPr>
          <w:p w14:paraId="706A17DC" w14:textId="77777777" w:rsidR="009F4754" w:rsidRPr="00412829" w:rsidRDefault="009F4754" w:rsidP="004C0FF0">
            <w:pPr>
              <w:pStyle w:val="RPI-TableLeftAligned"/>
            </w:pPr>
            <w:r w:rsidRPr="00412829">
              <w:t>Lumbar spine</w:t>
            </w:r>
          </w:p>
        </w:tc>
        <w:tc>
          <w:tcPr>
            <w:tcW w:w="2551" w:type="dxa"/>
            <w:shd w:val="clear" w:color="auto" w:fill="auto"/>
          </w:tcPr>
          <w:p w14:paraId="31224065" w14:textId="77777777" w:rsidR="009F4754" w:rsidRPr="00412829" w:rsidRDefault="009F4754" w:rsidP="004C0FF0">
            <w:pPr>
              <w:pStyle w:val="RPI-TableCenterAligned"/>
            </w:pPr>
            <w:r w:rsidRPr="00412829">
              <w:t>1.2 (0.2, 2.2)</w:t>
            </w:r>
          </w:p>
        </w:tc>
        <w:tc>
          <w:tcPr>
            <w:tcW w:w="2274" w:type="dxa"/>
            <w:shd w:val="clear" w:color="auto" w:fill="auto"/>
          </w:tcPr>
          <w:p w14:paraId="0A0D24B5" w14:textId="77777777" w:rsidR="009F4754" w:rsidRPr="00412829" w:rsidRDefault="009F4754" w:rsidP="004C0FF0">
            <w:pPr>
              <w:pStyle w:val="RPI-TableCenterAligned"/>
            </w:pPr>
            <w:r w:rsidRPr="00412829">
              <w:t>12.1 (11.2, 13)</w:t>
            </w:r>
          </w:p>
        </w:tc>
        <w:tc>
          <w:tcPr>
            <w:tcW w:w="2227" w:type="dxa"/>
            <w:shd w:val="clear" w:color="auto" w:fill="auto"/>
          </w:tcPr>
          <w:p w14:paraId="3545E834" w14:textId="77777777" w:rsidR="009F4754" w:rsidRPr="00412829" w:rsidRDefault="009F4754" w:rsidP="004C0FF0">
            <w:pPr>
              <w:pStyle w:val="RPI-TableCenterAligned"/>
            </w:pPr>
            <w:r w:rsidRPr="00412829">
              <w:t>10.9</w:t>
            </w:r>
            <w:r w:rsidRPr="00412829">
              <w:rPr>
                <w:vertAlign w:val="superscript"/>
              </w:rPr>
              <w:t>b</w:t>
            </w:r>
            <w:r w:rsidRPr="00412829">
              <w:t xml:space="preserve"> (9.6, 12.2)</w:t>
            </w:r>
          </w:p>
        </w:tc>
      </w:tr>
      <w:tr w:rsidR="009F4754" w:rsidRPr="00412829" w14:paraId="113B6605" w14:textId="77777777" w:rsidTr="00472DB3">
        <w:trPr>
          <w:trHeight w:val="228"/>
          <w:jc w:val="center"/>
        </w:trPr>
        <w:tc>
          <w:tcPr>
            <w:tcW w:w="1718" w:type="dxa"/>
            <w:shd w:val="clear" w:color="auto" w:fill="auto"/>
          </w:tcPr>
          <w:p w14:paraId="0B0609C8" w14:textId="77777777" w:rsidR="009F4754" w:rsidRPr="00412829" w:rsidRDefault="009F4754" w:rsidP="004C0FF0">
            <w:pPr>
              <w:pStyle w:val="RPI-TableLeftAligned"/>
            </w:pPr>
            <w:r w:rsidRPr="00412829">
              <w:t xml:space="preserve">Total hip </w:t>
            </w:r>
          </w:p>
        </w:tc>
        <w:tc>
          <w:tcPr>
            <w:tcW w:w="2551" w:type="dxa"/>
            <w:shd w:val="clear" w:color="auto" w:fill="auto"/>
          </w:tcPr>
          <w:p w14:paraId="01B1EA64" w14:textId="77777777" w:rsidR="009F4754" w:rsidRPr="00412829" w:rsidRDefault="009F4754" w:rsidP="004C0FF0">
            <w:pPr>
              <w:pStyle w:val="RPI-TableCenterAligned"/>
            </w:pPr>
            <w:r w:rsidRPr="00412829">
              <w:t>-0.5 (-1.1, 0.1)</w:t>
            </w:r>
          </w:p>
        </w:tc>
        <w:tc>
          <w:tcPr>
            <w:tcW w:w="2274" w:type="dxa"/>
            <w:shd w:val="clear" w:color="auto" w:fill="auto"/>
          </w:tcPr>
          <w:p w14:paraId="2179C2AA" w14:textId="77777777" w:rsidR="009F4754" w:rsidRPr="00412829" w:rsidRDefault="009F4754" w:rsidP="004C0FF0">
            <w:pPr>
              <w:pStyle w:val="RPI-TableCenterAligned"/>
            </w:pPr>
            <w:r w:rsidRPr="00412829">
              <w:t>2.5 (2.1, 2.9)</w:t>
            </w:r>
          </w:p>
        </w:tc>
        <w:tc>
          <w:tcPr>
            <w:tcW w:w="2227" w:type="dxa"/>
            <w:shd w:val="clear" w:color="auto" w:fill="auto"/>
          </w:tcPr>
          <w:p w14:paraId="572DC069" w14:textId="77777777" w:rsidR="009F4754" w:rsidRPr="00412829" w:rsidRDefault="009F4754" w:rsidP="004C0FF0">
            <w:pPr>
              <w:pStyle w:val="RPI-TableCenterAligned"/>
            </w:pPr>
            <w:r w:rsidRPr="00412829">
              <w:t>3</w:t>
            </w:r>
            <w:r w:rsidRPr="00412829">
              <w:rPr>
                <w:vertAlign w:val="superscript"/>
              </w:rPr>
              <w:t>b</w:t>
            </w:r>
            <w:r w:rsidRPr="00412829">
              <w:t xml:space="preserve"> (2.3, 3.7)</w:t>
            </w:r>
          </w:p>
        </w:tc>
      </w:tr>
      <w:tr w:rsidR="009F4754" w:rsidRPr="00412829" w14:paraId="57394D18" w14:textId="77777777" w:rsidTr="00472DB3">
        <w:trPr>
          <w:trHeight w:val="281"/>
          <w:jc w:val="center"/>
        </w:trPr>
        <w:tc>
          <w:tcPr>
            <w:tcW w:w="1718" w:type="dxa"/>
            <w:shd w:val="clear" w:color="auto" w:fill="auto"/>
          </w:tcPr>
          <w:p w14:paraId="2EC59A8B" w14:textId="77777777" w:rsidR="009F4754" w:rsidRPr="00412829" w:rsidRDefault="009F4754" w:rsidP="004C0FF0">
            <w:pPr>
              <w:pStyle w:val="RPI-TableLeftAligned"/>
            </w:pPr>
            <w:r w:rsidRPr="00412829">
              <w:t>Femoral neck</w:t>
            </w:r>
          </w:p>
        </w:tc>
        <w:tc>
          <w:tcPr>
            <w:tcW w:w="2551" w:type="dxa"/>
            <w:shd w:val="clear" w:color="auto" w:fill="auto"/>
          </w:tcPr>
          <w:p w14:paraId="6DC6A055" w14:textId="77777777" w:rsidR="009F4754" w:rsidRPr="00412829" w:rsidRDefault="009F4754" w:rsidP="004C0FF0">
            <w:pPr>
              <w:pStyle w:val="RPI-TableCenterAligned"/>
            </w:pPr>
            <w:r w:rsidRPr="00412829">
              <w:t>-0.2 (-1.0, 0.6)</w:t>
            </w:r>
          </w:p>
        </w:tc>
        <w:tc>
          <w:tcPr>
            <w:tcW w:w="2274" w:type="dxa"/>
            <w:shd w:val="clear" w:color="auto" w:fill="auto"/>
          </w:tcPr>
          <w:p w14:paraId="7801D4E9" w14:textId="77777777" w:rsidR="009F4754" w:rsidRPr="00412829" w:rsidRDefault="009F4754" w:rsidP="004C0FF0">
            <w:pPr>
              <w:pStyle w:val="RPI-TableCenterAligned"/>
            </w:pPr>
            <w:r w:rsidRPr="00412829">
              <w:t>2.2 (1.5, 2.9)</w:t>
            </w:r>
          </w:p>
        </w:tc>
        <w:tc>
          <w:tcPr>
            <w:tcW w:w="2227" w:type="dxa"/>
            <w:shd w:val="clear" w:color="auto" w:fill="auto"/>
          </w:tcPr>
          <w:p w14:paraId="7951EE8B" w14:textId="77777777" w:rsidR="009F4754" w:rsidRPr="00412829" w:rsidRDefault="009F4754" w:rsidP="004C0FF0">
            <w:pPr>
              <w:pStyle w:val="RPI-TableCenterAligned"/>
            </w:pPr>
            <w:r w:rsidRPr="00412829">
              <w:t>2.4</w:t>
            </w:r>
            <w:r w:rsidRPr="00412829">
              <w:rPr>
                <w:vertAlign w:val="superscript"/>
              </w:rPr>
              <w:t>b</w:t>
            </w:r>
            <w:r w:rsidRPr="00412829">
              <w:t xml:space="preserve"> (1.5, 3.3)</w:t>
            </w:r>
          </w:p>
        </w:tc>
      </w:tr>
    </w:tbl>
    <w:p w14:paraId="4C4F82A3" w14:textId="1785F730" w:rsidR="009F4754" w:rsidRPr="00412829" w:rsidRDefault="00F54EFB" w:rsidP="00F54EFB">
      <w:pPr>
        <w:pStyle w:val="RPI-FootnoteText"/>
        <w:rPr>
          <w:lang w:val="en-AU" w:eastAsia="en-AU"/>
        </w:rPr>
      </w:pPr>
      <w:r w:rsidRPr="00412829">
        <w:rPr>
          <w:vertAlign w:val="superscript"/>
          <w:lang w:val="en-AU" w:eastAsia="en-AU"/>
        </w:rPr>
        <w:t xml:space="preserve">a </w:t>
      </w:r>
      <w:r w:rsidR="009F4754" w:rsidRPr="00412829">
        <w:rPr>
          <w:lang w:val="en-AU" w:eastAsia="en-AU"/>
        </w:rPr>
        <w:t>Number of men randomised</w:t>
      </w:r>
    </w:p>
    <w:p w14:paraId="215376CA" w14:textId="0968B93E" w:rsidR="009F4754" w:rsidRPr="00412829" w:rsidRDefault="00F54EFB" w:rsidP="00F54EFB">
      <w:pPr>
        <w:pStyle w:val="RPI-FootnoteText"/>
        <w:rPr>
          <w:lang w:val="en-AU" w:eastAsia="en-AU"/>
        </w:rPr>
      </w:pPr>
      <w:r w:rsidRPr="00412829">
        <w:rPr>
          <w:vertAlign w:val="superscript"/>
          <w:lang w:val="en-AU" w:eastAsia="en-AU"/>
        </w:rPr>
        <w:t xml:space="preserve">b </w:t>
      </w:r>
      <w:r w:rsidR="009F4754" w:rsidRPr="00412829">
        <w:rPr>
          <w:lang w:val="en-AU" w:eastAsia="en-AU"/>
        </w:rPr>
        <w:t>p-value &lt;</w:t>
      </w:r>
      <w:r w:rsidR="00382D71" w:rsidRPr="00412829">
        <w:rPr>
          <w:lang w:val="en-AU" w:eastAsia="en-AU"/>
        </w:rPr>
        <w:t> </w:t>
      </w:r>
      <w:r w:rsidR="009F4754" w:rsidRPr="00412829">
        <w:rPr>
          <w:lang w:val="en-AU" w:eastAsia="en-AU"/>
        </w:rPr>
        <w:t>0.001 based on an ANCOVA model</w:t>
      </w:r>
    </w:p>
    <w:p w14:paraId="1A00F97A" w14:textId="119739F8" w:rsidR="009F4754" w:rsidRPr="00412829" w:rsidRDefault="00F54EFB" w:rsidP="00F54EFB">
      <w:pPr>
        <w:pStyle w:val="RPI-FootnoteText"/>
        <w:rPr>
          <w:lang w:val="en-AU" w:eastAsia="en-AU"/>
        </w:rPr>
      </w:pPr>
      <w:r w:rsidRPr="00412829">
        <w:rPr>
          <w:vertAlign w:val="superscript"/>
          <w:lang w:val="en-AU" w:eastAsia="en-AU"/>
        </w:rPr>
        <w:t xml:space="preserve">c </w:t>
      </w:r>
      <w:r w:rsidR="009F4754" w:rsidRPr="00412829">
        <w:rPr>
          <w:lang w:val="en-AU" w:eastAsia="en-AU"/>
        </w:rPr>
        <w:t xml:space="preserve">p-value 0.0033 based on an ANCOVA model </w:t>
      </w:r>
    </w:p>
    <w:p w14:paraId="67D8DD59" w14:textId="268EA722" w:rsidR="0068150C" w:rsidRPr="00412829" w:rsidRDefault="0068150C" w:rsidP="00396561">
      <w:pPr>
        <w:pStyle w:val="RPI-Caption"/>
      </w:pPr>
      <w:r w:rsidRPr="00412829">
        <w:lastRenderedPageBreak/>
        <w:t xml:space="preserve">Figure </w:t>
      </w:r>
      <w:r w:rsidR="002B691C" w:rsidRPr="00412829">
        <w:t>7</w:t>
      </w:r>
      <w:r w:rsidRPr="00412829">
        <w:t>.  Percent Change in Lumbar Spine BMD From Baseline Over 1 year</w:t>
      </w:r>
    </w:p>
    <w:p w14:paraId="6ADB4B24" w14:textId="51BA3AFD" w:rsidR="0068150C" w:rsidRPr="00412829" w:rsidRDefault="00442973" w:rsidP="00442973">
      <w:pPr>
        <w:pStyle w:val="RPI-Heading3"/>
        <w:keepNext w:val="0"/>
        <w:spacing w:before="0" w:after="0" w:line="240" w:lineRule="auto"/>
        <w:jc w:val="center"/>
        <w:rPr>
          <w:bCs/>
          <w:u w:val="none"/>
        </w:rPr>
      </w:pPr>
      <w:r w:rsidRPr="00442973">
        <w:rPr>
          <w:bCs/>
          <w:noProof/>
          <w:u w:val="none"/>
          <w:lang w:eastAsia="en-AU"/>
        </w:rPr>
        <w:drawing>
          <wp:inline distT="0" distB="0" distL="0" distR="0" wp14:anchorId="71BCBAD3" wp14:editId="2D434B1B">
            <wp:extent cx="3747600" cy="2894400"/>
            <wp:effectExtent l="0" t="0" r="571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7600" cy="2894400"/>
                    </a:xfrm>
                    <a:prstGeom prst="rect">
                      <a:avLst/>
                    </a:prstGeom>
                    <a:noFill/>
                    <a:ln>
                      <a:noFill/>
                    </a:ln>
                  </pic:spPr>
                </pic:pic>
              </a:graphicData>
            </a:graphic>
          </wp:inline>
        </w:drawing>
      </w:r>
    </w:p>
    <w:p w14:paraId="2B25C63B" w14:textId="4884F7FB" w:rsidR="0024787F" w:rsidRPr="00442973" w:rsidRDefault="0024787F" w:rsidP="00442973">
      <w:pPr>
        <w:pStyle w:val="RPI-Heading3"/>
        <w:keepNext w:val="0"/>
        <w:spacing w:before="0" w:after="0" w:line="240" w:lineRule="auto"/>
        <w:ind w:left="426"/>
        <w:rPr>
          <w:bCs/>
          <w:sz w:val="14"/>
          <w:szCs w:val="14"/>
          <w:u w:val="none"/>
        </w:rPr>
      </w:pPr>
      <w:r w:rsidRPr="00442973">
        <w:rPr>
          <w:bCs/>
          <w:sz w:val="14"/>
          <w:szCs w:val="14"/>
          <w:u w:val="none"/>
        </w:rPr>
        <w:t>N = number of subjects in the primary efficacy analysis set for the lumbar spine, total hip or femoral neck BMD</w:t>
      </w:r>
    </w:p>
    <w:p w14:paraId="34E9C684" w14:textId="1D8FD7D0" w:rsidR="0024787F" w:rsidRPr="00442973" w:rsidRDefault="0024787F" w:rsidP="00442973">
      <w:pPr>
        <w:pStyle w:val="RPI-Heading3"/>
        <w:keepNext w:val="0"/>
        <w:spacing w:before="0" w:after="0" w:line="240" w:lineRule="auto"/>
        <w:ind w:left="426"/>
        <w:rPr>
          <w:bCs/>
          <w:sz w:val="14"/>
          <w:szCs w:val="14"/>
          <w:u w:val="none"/>
        </w:rPr>
      </w:pPr>
      <w:r w:rsidRPr="00442973">
        <w:rPr>
          <w:bCs/>
          <w:sz w:val="14"/>
          <w:szCs w:val="14"/>
          <w:u w:val="none"/>
        </w:rPr>
        <w:t>Point estimates and 95% confidence intervals are based on ANCOVA model adjusting for treatment, baseline DXA BMD value, machine type, machine type-by-baseline DXA BMD value, baseline testosterone level, geographic region (stratification factor), and using a variance structure allowing for heterogeneity between treatment groups.</w:t>
      </w:r>
    </w:p>
    <w:p w14:paraId="32571829" w14:textId="18A6F0CF" w:rsidR="0024787F" w:rsidRPr="00442973" w:rsidRDefault="0024787F" w:rsidP="00442973">
      <w:pPr>
        <w:pStyle w:val="RPI-Heading3"/>
        <w:keepNext w:val="0"/>
        <w:spacing w:before="0" w:after="0" w:line="240" w:lineRule="auto"/>
        <w:ind w:left="426"/>
        <w:rPr>
          <w:bCs/>
          <w:sz w:val="14"/>
          <w:szCs w:val="14"/>
          <w:u w:val="none"/>
        </w:rPr>
      </w:pPr>
      <w:r w:rsidRPr="00442973">
        <w:rPr>
          <w:bCs/>
          <w:sz w:val="14"/>
          <w:szCs w:val="14"/>
          <w:u w:val="none"/>
        </w:rPr>
        <w:t xml:space="preserve">Missing values are imputed by carrying forward the </w:t>
      </w:r>
      <w:r w:rsidR="00442973">
        <w:rPr>
          <w:bCs/>
          <w:sz w:val="14"/>
          <w:szCs w:val="14"/>
          <w:u w:val="none"/>
        </w:rPr>
        <w:t>la</w:t>
      </w:r>
      <w:r w:rsidRPr="00442973">
        <w:rPr>
          <w:bCs/>
          <w:sz w:val="14"/>
          <w:szCs w:val="14"/>
          <w:u w:val="none"/>
        </w:rPr>
        <w:t>st non-missing post-baseline value prior to the missing value and within the study period.</w:t>
      </w:r>
    </w:p>
    <w:p w14:paraId="5CAEE59C" w14:textId="676BA3D8" w:rsidR="009117D6" w:rsidRPr="00214C53" w:rsidRDefault="009117D6" w:rsidP="002516B9">
      <w:pPr>
        <w:pStyle w:val="RPI-Heading4"/>
      </w:pPr>
      <w:r w:rsidRPr="00214C53">
        <w:t xml:space="preserve">Bone </w:t>
      </w:r>
      <w:r w:rsidR="00C41892" w:rsidRPr="00214C53">
        <w:t>h</w:t>
      </w:r>
      <w:r w:rsidRPr="00214C53">
        <w:t xml:space="preserve">istology and </w:t>
      </w:r>
      <w:r w:rsidR="00C41892" w:rsidRPr="00214C53">
        <w:t>h</w:t>
      </w:r>
      <w:r w:rsidRPr="00214C53">
        <w:t>istomorphometry</w:t>
      </w:r>
    </w:p>
    <w:p w14:paraId="1E6C1DC4" w14:textId="025960E5" w:rsidR="000C4E65" w:rsidRPr="00412829" w:rsidRDefault="009117D6" w:rsidP="00F54EFB">
      <w:pPr>
        <w:pStyle w:val="RPI-Text"/>
      </w:pPr>
      <w:r w:rsidRPr="00412829">
        <w:t>A total of 20 transiliac crest bone biopsy specimens were obtained from men with osteoporosis at 12 months (11 specimens in EVENITY group, 9 specimens in placebo group).  Of the biopsies obtained, all were adequate for qualitative histology.  All biopsies from placebo patients and 9 (81.8%) of biopsies from EVENITY patients were adequate for full quantitative histomorphometry assessment.  Qualitative histology assessments showed normal lamellar bone with no evidence of minerali</w:t>
      </w:r>
      <w:r w:rsidR="003440AD" w:rsidRPr="00412829">
        <w:t>s</w:t>
      </w:r>
      <w:r w:rsidRPr="00412829">
        <w:t>ation defects, woven bone, marrow fibrosis, or clinically significant marrow abnormality in patients treated with EVENITY.  The presence of double-labe</w:t>
      </w:r>
      <w:r w:rsidR="00C50D5C" w:rsidRPr="00412829">
        <w:t>l</w:t>
      </w:r>
      <w:r w:rsidRPr="00412829">
        <w:t>led surface, as evidence of active bone formation, was observed in the trabecular or cortical compartments for 88.9% (8/9) of patients in the EVENITY group and 77.8% (7/9) patients in the placebo group.  In cancellous bone, histomorphometric analyses at month 12 revealed decreases in bone resorption parameters (percent eroded and osteoclastic surfaces) in the EVENITY group with no significant difference noted in bone formation and bone structure parameters co</w:t>
      </w:r>
      <w:r w:rsidR="001044F4" w:rsidRPr="00412829">
        <w:t xml:space="preserve">mpared with the placebo group. </w:t>
      </w:r>
    </w:p>
    <w:p w14:paraId="12AFF4CA" w14:textId="77777777" w:rsidR="0032608A" w:rsidRPr="00412829" w:rsidRDefault="0032608A" w:rsidP="00070689">
      <w:pPr>
        <w:pStyle w:val="RPI-Heading2"/>
        <w:spacing w:line="360" w:lineRule="auto"/>
      </w:pPr>
      <w:r w:rsidRPr="00412829">
        <w:lastRenderedPageBreak/>
        <w:t>Pharmacokinetic properties</w:t>
      </w:r>
      <w:r w:rsidR="00245127" w:rsidRPr="00412829">
        <w:t xml:space="preserve"> </w:t>
      </w:r>
    </w:p>
    <w:p w14:paraId="32A47410" w14:textId="3DF0DB31" w:rsidR="009E0822" w:rsidRPr="00412829" w:rsidRDefault="009E0822" w:rsidP="00F54EFB">
      <w:pPr>
        <w:pStyle w:val="RPI-Text"/>
      </w:pPr>
      <w:r w:rsidRPr="00412829">
        <w:t>Romosozumab exhibited nonlinear pharmacokinetics across the SC dose range of 0.1</w:t>
      </w:r>
      <w:r w:rsidR="008D6EED" w:rsidRPr="00412829">
        <w:t> </w:t>
      </w:r>
      <w:r w:rsidRPr="00412829">
        <w:t>to</w:t>
      </w:r>
      <w:r w:rsidR="008D6EED" w:rsidRPr="00412829">
        <w:t> </w:t>
      </w:r>
      <w:r w:rsidRPr="00412829">
        <w:t>10</w:t>
      </w:r>
      <w:r w:rsidR="008D6EED" w:rsidRPr="00412829">
        <w:t> </w:t>
      </w:r>
      <w:r w:rsidRPr="00412829">
        <w:t xml:space="preserve">mg/kg. </w:t>
      </w:r>
      <w:r w:rsidR="00704DAF" w:rsidRPr="00412829">
        <w:t xml:space="preserve"> </w:t>
      </w:r>
      <w:r w:rsidRPr="00412829">
        <w:t>Exposure increased greater than dose proportionally (e.g., 550-fold increase in mean AUC from time 0 to infinity [AUC</w:t>
      </w:r>
      <w:r w:rsidRPr="00412829">
        <w:rPr>
          <w:vertAlign w:val="subscript"/>
        </w:rPr>
        <w:t>inf</w:t>
      </w:r>
      <w:r w:rsidRPr="00412829">
        <w:t>] for the 100-fold increase in SC dose from 0.1</w:t>
      </w:r>
      <w:r w:rsidR="004426FA" w:rsidRPr="00412829">
        <w:t> </w:t>
      </w:r>
      <w:r w:rsidRPr="00412829">
        <w:t>to</w:t>
      </w:r>
      <w:r w:rsidR="004426FA" w:rsidRPr="00412829">
        <w:t> </w:t>
      </w:r>
      <w:r w:rsidRPr="00412829">
        <w:t>10</w:t>
      </w:r>
      <w:r w:rsidR="004426FA" w:rsidRPr="00412829">
        <w:t> </w:t>
      </w:r>
      <w:r w:rsidRPr="00412829">
        <w:t>mg/kg).  Dose</w:t>
      </w:r>
      <w:r w:rsidRPr="00412829">
        <w:noBreakHyphen/>
        <w:t>proportional increases in exposure were observed for the doses of 140 mg and higher.</w:t>
      </w:r>
    </w:p>
    <w:p w14:paraId="12AFF4CC" w14:textId="33737C72" w:rsidR="007F3C57" w:rsidRPr="00412829" w:rsidRDefault="007F3C57" w:rsidP="0054201D">
      <w:pPr>
        <w:pStyle w:val="RPI-Heading3"/>
      </w:pPr>
      <w:r w:rsidRPr="00412829">
        <w:t>Absorption</w:t>
      </w:r>
    </w:p>
    <w:p w14:paraId="2F81AB70" w14:textId="00DDB3D3" w:rsidR="000F4146" w:rsidRPr="00412829" w:rsidRDefault="000F4146" w:rsidP="00F54EFB">
      <w:pPr>
        <w:pStyle w:val="RPI-Text"/>
      </w:pPr>
      <w:r w:rsidRPr="00412829">
        <w:t>Adminis</w:t>
      </w:r>
      <w:r w:rsidR="00C27673" w:rsidRPr="00412829">
        <w:t>tration of a single dose of 210 </w:t>
      </w:r>
      <w:r w:rsidRPr="00412829">
        <w:t>mg romosozumab in healthy male and female volunteers (n = 90, age range: 21 to 65 years) resulted in a mean (standard deviation [SD]) maximum serum concentration (C</w:t>
      </w:r>
      <w:r w:rsidRPr="00412829">
        <w:rPr>
          <w:vertAlign w:val="subscript"/>
        </w:rPr>
        <w:t>max</w:t>
      </w:r>
      <w:r w:rsidRPr="00412829">
        <w:t>) of 22.</w:t>
      </w:r>
      <w:r w:rsidR="00224E7E" w:rsidRPr="00412829">
        <w:t>2</w:t>
      </w:r>
      <w:r w:rsidR="00372EA6" w:rsidRPr="00412829">
        <w:t> </w:t>
      </w:r>
      <w:r w:rsidR="00224E7E" w:rsidRPr="00412829">
        <w:t>(5.8) </w:t>
      </w:r>
      <w:r w:rsidRPr="00412829">
        <w:t>µg/mL and a mean area under the concentration-time curve (AUC) of 389</w:t>
      </w:r>
      <w:r w:rsidR="00A02ACE" w:rsidRPr="00412829">
        <w:t> </w:t>
      </w:r>
      <w:r w:rsidRPr="00412829">
        <w:t>(127)</w:t>
      </w:r>
      <w:r w:rsidR="00A02ACE" w:rsidRPr="00412829">
        <w:t> </w:t>
      </w:r>
      <w:r w:rsidRPr="00412829">
        <w:t>µg/day/mL.  The median time to maximum romosozumab concentration (T</w:t>
      </w:r>
      <w:r w:rsidRPr="00412829">
        <w:rPr>
          <w:vertAlign w:val="subscript"/>
        </w:rPr>
        <w:t>max</w:t>
      </w:r>
      <w:r w:rsidRPr="00412829">
        <w:t>) was 5 day</w:t>
      </w:r>
      <w:r w:rsidR="00281533" w:rsidRPr="00412829">
        <w:t>s (range: 2 to 7 days).  Steady</w:t>
      </w:r>
      <w:r w:rsidR="00281533" w:rsidRPr="00412829">
        <w:noBreakHyphen/>
      </w:r>
      <w:r w:rsidRPr="00412829">
        <w:t>state concentrations were achieved by month 3 following the</w:t>
      </w:r>
      <w:r w:rsidR="004C3359" w:rsidRPr="00412829">
        <w:t xml:space="preserve"> monthly administration of 210 </w:t>
      </w:r>
      <w:r w:rsidRPr="00412829">
        <w:t xml:space="preserve">mg to postmenopausal women.  Trough serum romosozumab mean concentration values from samples collected prior to dosing at months 3, 6, 9, </w:t>
      </w:r>
      <w:r w:rsidR="00CF7FD3" w:rsidRPr="00412829">
        <w:t>and 12 ranged from 8050 to 9780 </w:t>
      </w:r>
      <w:r w:rsidRPr="00412829">
        <w:t>ng/mL.</w:t>
      </w:r>
    </w:p>
    <w:p w14:paraId="1C9AB132" w14:textId="39E6E09F" w:rsidR="000F4146" w:rsidRPr="00412829" w:rsidRDefault="000F4146" w:rsidP="00F54EFB">
      <w:pPr>
        <w:pStyle w:val="RPI-Text"/>
      </w:pPr>
      <w:r w:rsidRPr="00412829">
        <w:t>For a 210</w:t>
      </w:r>
      <w:r w:rsidR="00F676F2" w:rsidRPr="00412829">
        <w:t> </w:t>
      </w:r>
      <w:r w:rsidRPr="00412829">
        <w:t>mg SC dose of romosozumab the bioavailability was estimated to be 81%.</w:t>
      </w:r>
    </w:p>
    <w:p w14:paraId="12AFF4CD" w14:textId="7D22FAE5" w:rsidR="007F3C57" w:rsidRPr="00412829" w:rsidRDefault="007F3C57" w:rsidP="0054201D">
      <w:pPr>
        <w:pStyle w:val="RPI-Heading3"/>
      </w:pPr>
      <w:r w:rsidRPr="00412829">
        <w:t>Distribution</w:t>
      </w:r>
    </w:p>
    <w:p w14:paraId="42002FD5" w14:textId="0F27EE75" w:rsidR="000A3B06" w:rsidRPr="00412829" w:rsidRDefault="00CB23C0" w:rsidP="00F54EFB">
      <w:pPr>
        <w:pStyle w:val="RPI-Text"/>
      </w:pPr>
      <w:r w:rsidRPr="00412829">
        <w:t>The population PK analysis estimated volume of distribution at steady-state was approximately 3.92</w:t>
      </w:r>
      <w:r w:rsidR="00E46E98" w:rsidRPr="00412829">
        <w:t> </w:t>
      </w:r>
      <w:r w:rsidRPr="00412829">
        <w:t>L.</w:t>
      </w:r>
    </w:p>
    <w:p w14:paraId="2CFA7C1B" w14:textId="77777777" w:rsidR="00B529A1" w:rsidRPr="00412829" w:rsidRDefault="00BD76C9" w:rsidP="0054201D">
      <w:pPr>
        <w:pStyle w:val="RPI-Heading3"/>
      </w:pPr>
      <w:r w:rsidRPr="00412829">
        <w:t>Metabolism</w:t>
      </w:r>
    </w:p>
    <w:p w14:paraId="12AFF4CE" w14:textId="31C9E9D0" w:rsidR="007F3C57" w:rsidRPr="00412829" w:rsidRDefault="00B529A1" w:rsidP="00F54EFB">
      <w:pPr>
        <w:pStyle w:val="RPI-Text"/>
      </w:pPr>
      <w:r w:rsidRPr="00412829">
        <w:t xml:space="preserve">The metabolic pathway of romosozumab has not been characterised.  </w:t>
      </w:r>
    </w:p>
    <w:p w14:paraId="45EA38BE" w14:textId="77777777" w:rsidR="00C1742A" w:rsidRPr="00412829" w:rsidRDefault="00BD76C9" w:rsidP="0054201D">
      <w:pPr>
        <w:pStyle w:val="RPI-Heading3"/>
      </w:pPr>
      <w:r w:rsidRPr="00412829">
        <w:t>Excretion</w:t>
      </w:r>
    </w:p>
    <w:p w14:paraId="6AF9AED5" w14:textId="090A48C9" w:rsidR="00C1742A" w:rsidRPr="00412829" w:rsidRDefault="00C1742A" w:rsidP="00F54EFB">
      <w:pPr>
        <w:pStyle w:val="RPI-Text"/>
      </w:pPr>
      <w:r w:rsidRPr="00412829">
        <w:t>The clearance of romosozumab decreased as dose increased.  Mean systemic clearance (CL/F) of EVENITY was estimated to be 0.383</w:t>
      </w:r>
      <w:r w:rsidR="008723C7" w:rsidRPr="00412829">
        <w:t> </w:t>
      </w:r>
      <w:r w:rsidRPr="00412829">
        <w:t>mL/hr/kg, following a single SC administration of 3</w:t>
      </w:r>
      <w:r w:rsidR="00486827" w:rsidRPr="00412829">
        <w:t> </w:t>
      </w:r>
      <w:r w:rsidRPr="00412829">
        <w:t>mg/kg.  The mean effective half-life was 12.8 days after 3 doses of Q4W 3</w:t>
      </w:r>
      <w:r w:rsidR="00ED7F81" w:rsidRPr="00412829">
        <w:t> </w:t>
      </w:r>
      <w:r w:rsidRPr="00412829">
        <w:t>mg/kg.</w:t>
      </w:r>
    </w:p>
    <w:p w14:paraId="6AD613D4" w14:textId="439890CF" w:rsidR="00A25B01" w:rsidRPr="00412829" w:rsidRDefault="00A25B01" w:rsidP="00A25B01">
      <w:pPr>
        <w:pStyle w:val="RPI-Heading3"/>
        <w:rPr>
          <w:lang w:val="en-US"/>
        </w:rPr>
      </w:pPr>
      <w:r w:rsidRPr="00412829">
        <w:rPr>
          <w:lang w:val="en-US"/>
        </w:rPr>
        <w:lastRenderedPageBreak/>
        <w:t xml:space="preserve">Intrinsic </w:t>
      </w:r>
      <w:r w:rsidR="00B7254F" w:rsidRPr="00412829">
        <w:rPr>
          <w:lang w:val="en-US"/>
        </w:rPr>
        <w:t>f</w:t>
      </w:r>
      <w:r w:rsidRPr="00412829">
        <w:rPr>
          <w:lang w:val="en-US"/>
        </w:rPr>
        <w:t>actors</w:t>
      </w:r>
    </w:p>
    <w:p w14:paraId="338BC88A" w14:textId="44CB72F8" w:rsidR="00752528" w:rsidRPr="00412829" w:rsidRDefault="00752528" w:rsidP="00F54EFB">
      <w:pPr>
        <w:pStyle w:val="RPI-Text"/>
      </w:pPr>
      <w:r w:rsidRPr="00412829">
        <w:t>Based on a population pharmacokinetic analysis, no notable difference in pharmacokinetics with age (20</w:t>
      </w:r>
      <w:r w:rsidR="005B6CDF" w:rsidRPr="00412829">
        <w:t xml:space="preserve"> </w:t>
      </w:r>
      <w:r w:rsidRPr="00412829">
        <w:t>–</w:t>
      </w:r>
      <w:r w:rsidR="005B6CDF" w:rsidRPr="00412829">
        <w:t xml:space="preserve"> </w:t>
      </w:r>
      <w:r w:rsidRPr="00412829">
        <w:t>89 years), gender, race, or disease state (low bone mass or osteoporosis) was shown.  The exposure of romosozumab decreased with increasing body weight.</w:t>
      </w:r>
    </w:p>
    <w:p w14:paraId="14992928" w14:textId="089FF4A5" w:rsidR="00752528" w:rsidRPr="00412829" w:rsidRDefault="00752528" w:rsidP="00F54EFB">
      <w:pPr>
        <w:pStyle w:val="RPI-Text"/>
      </w:pPr>
      <w:r w:rsidRPr="00412829">
        <w:t>Development of anti-romosozumab antibodies was associated with reduced serum romosozumab concentrations.  In two Phase 2 dose finding studies and the pivotal Phase 3 study, the presence of binding anti-romosozumab antibodies led to a decrease in romosozumab exposure up to 25% at months 3, 6, and 9.  The exposures became comparable (approximate 10% difference in mean values) at month 12 between anti</w:t>
      </w:r>
      <w:r w:rsidRPr="00412829">
        <w:noBreakHyphen/>
        <w:t xml:space="preserve">romosozumab antibody-positive and ADA negative subjects </w:t>
      </w:r>
      <w:r w:rsidR="00631EEB" w:rsidRPr="00412829">
        <w:rPr>
          <w:bCs/>
        </w:rPr>
        <w:t>(</w:t>
      </w:r>
      <w:r w:rsidRPr="00412829">
        <w:rPr>
          <w:bCs/>
        </w:rPr>
        <w:t xml:space="preserve">see </w:t>
      </w:r>
      <w:r w:rsidR="004B4142" w:rsidRPr="00412829">
        <w:rPr>
          <w:bCs/>
        </w:rPr>
        <w:t>section 4.8</w:t>
      </w:r>
      <w:r w:rsidR="00A745DF" w:rsidRPr="00412829">
        <w:rPr>
          <w:bCs/>
        </w:rPr>
        <w:t xml:space="preserve"> </w:t>
      </w:r>
      <w:r w:rsidR="00A745DF" w:rsidRPr="00412829">
        <w:rPr>
          <w:bCs/>
          <w:lang w:val="en-US"/>
        </w:rPr>
        <w:t>Adverse effects</w:t>
      </w:r>
      <w:r w:rsidR="00C75620" w:rsidRPr="00412829">
        <w:rPr>
          <w:bCs/>
          <w:lang w:val="en-US"/>
        </w:rPr>
        <w:t xml:space="preserve"> (Undesirable effects)</w:t>
      </w:r>
      <w:r w:rsidRPr="00412829">
        <w:rPr>
          <w:bCs/>
        </w:rPr>
        <w:t>, Immunogenicity</w:t>
      </w:r>
      <w:r w:rsidR="00631EEB" w:rsidRPr="00412829">
        <w:rPr>
          <w:bCs/>
        </w:rPr>
        <w:t>)</w:t>
      </w:r>
      <w:r w:rsidRPr="00412829">
        <w:rPr>
          <w:bCs/>
        </w:rPr>
        <w:t>.</w:t>
      </w:r>
    </w:p>
    <w:p w14:paraId="48EF4AFC" w14:textId="77777777" w:rsidR="00A66724" w:rsidRPr="00412829" w:rsidRDefault="00A66724" w:rsidP="000E53CE">
      <w:pPr>
        <w:pStyle w:val="RPI-Heading3"/>
        <w:rPr>
          <w:lang w:val="en-US"/>
        </w:rPr>
      </w:pPr>
      <w:r w:rsidRPr="00412829">
        <w:rPr>
          <w:lang w:val="en-US"/>
        </w:rPr>
        <w:t>Special populations</w:t>
      </w:r>
    </w:p>
    <w:p w14:paraId="148B73FA" w14:textId="77777777" w:rsidR="00AB22B2" w:rsidRPr="00412829" w:rsidRDefault="00AB22B2" w:rsidP="001B67DC">
      <w:pPr>
        <w:pStyle w:val="RPI-Heading4"/>
      </w:pPr>
      <w:r w:rsidRPr="00412829">
        <w:t>Gender</w:t>
      </w:r>
    </w:p>
    <w:p w14:paraId="44ECEB9A" w14:textId="77777777" w:rsidR="00AB22B2" w:rsidRPr="00412829" w:rsidRDefault="00AB22B2" w:rsidP="00F54EFB">
      <w:pPr>
        <w:pStyle w:val="RPI-Text"/>
        <w:rPr>
          <w:i/>
        </w:rPr>
      </w:pPr>
      <w:r w:rsidRPr="00412829">
        <w:t>The pharmacokinetics of EVENITY were similar in postmenopausal women and in men with osteoporosis.</w:t>
      </w:r>
    </w:p>
    <w:p w14:paraId="50174C1C" w14:textId="77777777" w:rsidR="00AB22B2" w:rsidRPr="00412829" w:rsidRDefault="00AB22B2" w:rsidP="001B67DC">
      <w:pPr>
        <w:pStyle w:val="RPI-Heading4"/>
      </w:pPr>
      <w:r w:rsidRPr="00412829">
        <w:t>Renal impairment</w:t>
      </w:r>
    </w:p>
    <w:p w14:paraId="28CFADDB" w14:textId="58541817" w:rsidR="00AB22B2" w:rsidRPr="00412829" w:rsidRDefault="00AB22B2" w:rsidP="00F54EFB">
      <w:pPr>
        <w:pStyle w:val="RPI-Text"/>
      </w:pPr>
      <w:r w:rsidRPr="00412829">
        <w:t>Following a single 210 mg dose of romosozumab in a clinical study of 16 patients with severe renal impairment (eGFR 15 to 29 mL/min/1.73 m</w:t>
      </w:r>
      <w:r w:rsidRPr="00412829">
        <w:rPr>
          <w:vertAlign w:val="superscript"/>
        </w:rPr>
        <w:t>2</w:t>
      </w:r>
      <w:r w:rsidRPr="00412829">
        <w:t>) or end-stage renal disease (ESRD) requiring h</w:t>
      </w:r>
      <w:r w:rsidR="00C109B1" w:rsidRPr="00412829">
        <w:t>a</w:t>
      </w:r>
      <w:r w:rsidRPr="00412829">
        <w:t>emodialysis, mean C</w:t>
      </w:r>
      <w:r w:rsidRPr="00412829">
        <w:rPr>
          <w:vertAlign w:val="subscript"/>
        </w:rPr>
        <w:t xml:space="preserve">max </w:t>
      </w:r>
      <w:r w:rsidRPr="00412829">
        <w:t>and AUC were 29% and 44% higher in patients with severe renal impairment as compared to healthy subjects.  Mean romosozumab exposure was similar between patients with ESRD requiring h</w:t>
      </w:r>
      <w:r w:rsidR="00C109B1" w:rsidRPr="00412829">
        <w:t>a</w:t>
      </w:r>
      <w:r w:rsidRPr="00412829">
        <w:t xml:space="preserve">emodialysis and healthy subjects. </w:t>
      </w:r>
    </w:p>
    <w:p w14:paraId="12AFF4CF" w14:textId="39FEA9E0" w:rsidR="007F3C57" w:rsidRPr="00412829" w:rsidRDefault="00AB22B2" w:rsidP="00F54EFB">
      <w:pPr>
        <w:pStyle w:val="RPI-Text"/>
        <w:rPr>
          <w:lang w:val="en-GB"/>
        </w:rPr>
      </w:pPr>
      <w:r w:rsidRPr="00412829">
        <w:rPr>
          <w:lang w:val="en-GB"/>
        </w:rPr>
        <w:t xml:space="preserve">A population pharmacokinetic analysis indicated an increase in romosozumab exposure with increasing severity of renal impairment.  However, based on both the renal impairment study and population PK analysis, this increase is not clinically meaningful and no dose adjustment is necessary in these patients (see </w:t>
      </w:r>
      <w:r w:rsidR="00D9275B" w:rsidRPr="00412829">
        <w:rPr>
          <w:lang w:val="en-GB"/>
        </w:rPr>
        <w:t xml:space="preserve">section 4.4 </w:t>
      </w:r>
      <w:r w:rsidR="003829FA" w:rsidRPr="00412829">
        <w:rPr>
          <w:lang w:val="en-GB"/>
        </w:rPr>
        <w:t>Special warnings and precautions for use</w:t>
      </w:r>
      <w:r w:rsidRPr="00412829">
        <w:rPr>
          <w:lang w:val="en-GB"/>
        </w:rPr>
        <w:t xml:space="preserve">, </w:t>
      </w:r>
      <w:r w:rsidR="00B96A6A" w:rsidRPr="00412829">
        <w:rPr>
          <w:lang w:val="en-GB"/>
        </w:rPr>
        <w:t>Use in r</w:t>
      </w:r>
      <w:r w:rsidRPr="00412829">
        <w:rPr>
          <w:lang w:val="en-GB"/>
        </w:rPr>
        <w:t xml:space="preserve">enal </w:t>
      </w:r>
      <w:r w:rsidR="00B96A6A" w:rsidRPr="00412829">
        <w:rPr>
          <w:lang w:val="en-GB"/>
        </w:rPr>
        <w:t>i</w:t>
      </w:r>
      <w:r w:rsidRPr="00412829">
        <w:rPr>
          <w:lang w:val="en-GB"/>
        </w:rPr>
        <w:t>mpairment).</w:t>
      </w:r>
    </w:p>
    <w:p w14:paraId="12AFF4D0" w14:textId="77777777" w:rsidR="0032608A" w:rsidRPr="00412829" w:rsidRDefault="0032608A" w:rsidP="00E61847">
      <w:pPr>
        <w:pStyle w:val="RPI-Heading2"/>
        <w:spacing w:line="360" w:lineRule="auto"/>
      </w:pPr>
      <w:r w:rsidRPr="00412829">
        <w:lastRenderedPageBreak/>
        <w:t>Preclinical safety data</w:t>
      </w:r>
    </w:p>
    <w:p w14:paraId="12AFF4D2" w14:textId="77777777" w:rsidR="00BD76C9" w:rsidRPr="00412829" w:rsidRDefault="00BD76C9" w:rsidP="00E61847">
      <w:pPr>
        <w:pStyle w:val="RPI-Heading3"/>
      </w:pPr>
      <w:r w:rsidRPr="00412829">
        <w:t>Genotoxicity</w:t>
      </w:r>
    </w:p>
    <w:p w14:paraId="1058D3B3" w14:textId="47B0DD1B" w:rsidR="007E2678" w:rsidRPr="00412829" w:rsidRDefault="00CC44AC" w:rsidP="00F54EFB">
      <w:pPr>
        <w:pStyle w:val="RPI-Text"/>
      </w:pPr>
      <w:r w:rsidRPr="00412829">
        <w:t xml:space="preserve">No genotoxicity studies have been conducted. </w:t>
      </w:r>
      <w:r w:rsidR="006E2728">
        <w:t xml:space="preserve"> </w:t>
      </w:r>
      <w:r w:rsidRPr="00412829">
        <w:t>As a monoclonal, antibody, romosozumab is not expected to interact with DNA or other chromosomal material.</w:t>
      </w:r>
    </w:p>
    <w:p w14:paraId="12AFF4D3" w14:textId="77777777" w:rsidR="00BD76C9" w:rsidRPr="007E1620" w:rsidRDefault="00BD76C9" w:rsidP="00BD76C9">
      <w:pPr>
        <w:pStyle w:val="RPI-Heading3"/>
      </w:pPr>
      <w:r w:rsidRPr="007E1620">
        <w:t>Carcinogenicity</w:t>
      </w:r>
    </w:p>
    <w:p w14:paraId="588A71D8" w14:textId="671F24C1" w:rsidR="005C5749" w:rsidRDefault="001621FF" w:rsidP="00CC214D">
      <w:pPr>
        <w:pStyle w:val="RPI-Text"/>
        <w:rPr>
          <w:lang w:val="en-GB"/>
        </w:rPr>
      </w:pPr>
      <w:r w:rsidRPr="00412829">
        <w:rPr>
          <w:lang w:val="en-GB"/>
        </w:rPr>
        <w:t>Romosozumab did not increase tumour incidence in a carcinogenicity study in rats, involving subcutaneous administration at doses up to 50</w:t>
      </w:r>
      <w:r w:rsidR="006E2728">
        <w:rPr>
          <w:lang w:val="en-GB"/>
        </w:rPr>
        <w:t> </w:t>
      </w:r>
      <w:r w:rsidRPr="00412829">
        <w:rPr>
          <w:lang w:val="en-GB"/>
        </w:rPr>
        <w:t xml:space="preserve">mg/kg/week for up to 91 (males) or 98 weeks (females). </w:t>
      </w:r>
      <w:r w:rsidR="006E2728">
        <w:rPr>
          <w:lang w:val="en-GB"/>
        </w:rPr>
        <w:t xml:space="preserve"> </w:t>
      </w:r>
      <w:r w:rsidR="00FC49F8" w:rsidRPr="00412829">
        <w:rPr>
          <w:lang w:val="en-GB"/>
        </w:rPr>
        <w:t>These doses resulted in systemic exposures that were up to 19 times higher than the systemic exposure observed in humans following a monthly subcutaneous dose of 210 mg romosozumab (based on comparison</w:t>
      </w:r>
      <w:r w:rsidRPr="00412829">
        <w:rPr>
          <w:lang w:val="en-GB"/>
        </w:rPr>
        <w:t xml:space="preserve"> of serum AUC</w:t>
      </w:r>
      <w:r w:rsidR="00FC49F8" w:rsidRPr="00412829">
        <w:rPr>
          <w:lang w:val="en-GB"/>
        </w:rPr>
        <w:t>).</w:t>
      </w:r>
    </w:p>
    <w:p w14:paraId="12AFF4D5" w14:textId="5E0A9F34" w:rsidR="0032608A" w:rsidRPr="00412829" w:rsidRDefault="001A1ABD" w:rsidP="005C5749">
      <w:pPr>
        <w:pStyle w:val="RPI-Heading1"/>
      </w:pPr>
      <w:r w:rsidRPr="00412829">
        <w:t>P</w:t>
      </w:r>
      <w:r w:rsidR="0032608A" w:rsidRPr="00412829">
        <w:t>HARMACEUTICAL PARTICULARS</w:t>
      </w:r>
    </w:p>
    <w:p w14:paraId="12AFF4D6" w14:textId="77777777" w:rsidR="0032608A" w:rsidRPr="00412829" w:rsidRDefault="0032608A" w:rsidP="00E165EC">
      <w:pPr>
        <w:pStyle w:val="RPI-Heading2"/>
        <w:spacing w:line="360" w:lineRule="auto"/>
      </w:pPr>
      <w:r w:rsidRPr="00412829">
        <w:t>List of excipients</w:t>
      </w:r>
    </w:p>
    <w:p w14:paraId="47FC0AA4" w14:textId="282618AF" w:rsidR="002546EB" w:rsidRPr="00412829" w:rsidRDefault="002546EB" w:rsidP="00F54EFB">
      <w:pPr>
        <w:pStyle w:val="RPI-Text"/>
      </w:pPr>
      <w:r w:rsidRPr="00412829">
        <w:t>Each 1.17 mL single-use pre-filled syringe and pre-filled autoinjector (or pen) contains: 0.61</w:t>
      </w:r>
      <w:r w:rsidRPr="007E1620">
        <w:t> mg calcium, 3.8 mg acetate, 70 mg sucrose, 0.07 mg polysorbate 20, sodium hydroxide for adjusting to pH 5.2, in Water for Injection.</w:t>
      </w:r>
    </w:p>
    <w:p w14:paraId="12AFF4D9" w14:textId="77777777" w:rsidR="0032608A" w:rsidRPr="00412829" w:rsidRDefault="0032608A" w:rsidP="00E165EC">
      <w:pPr>
        <w:pStyle w:val="RPI-Heading2"/>
        <w:spacing w:line="360" w:lineRule="auto"/>
      </w:pPr>
      <w:r w:rsidRPr="00412829">
        <w:t>Incompatibilities</w:t>
      </w:r>
    </w:p>
    <w:p w14:paraId="12AFF4DB" w14:textId="171C391E" w:rsidR="00676E09" w:rsidRPr="00412829" w:rsidRDefault="00676E09" w:rsidP="00E165EC">
      <w:pPr>
        <w:pStyle w:val="RPI-Text"/>
      </w:pPr>
      <w:r w:rsidRPr="00412829">
        <w:t>Incompatibilities were either not assessed or not identified as part of the registration of this medicine.</w:t>
      </w:r>
    </w:p>
    <w:p w14:paraId="12AFF4DD" w14:textId="77777777" w:rsidR="0032608A" w:rsidRPr="00412829" w:rsidRDefault="0032608A" w:rsidP="00E165EC">
      <w:pPr>
        <w:pStyle w:val="RPI-Heading2"/>
        <w:spacing w:line="360" w:lineRule="auto"/>
      </w:pPr>
      <w:r w:rsidRPr="00412829">
        <w:t>S</w:t>
      </w:r>
      <w:r w:rsidR="00494E8C" w:rsidRPr="00412829">
        <w:t>helf life</w:t>
      </w:r>
    </w:p>
    <w:p w14:paraId="12AFF4DF" w14:textId="6B4F9022" w:rsidR="00676E09" w:rsidRPr="00412829" w:rsidRDefault="00676E09" w:rsidP="00E165EC">
      <w:pPr>
        <w:pStyle w:val="RPI-Text"/>
      </w:pPr>
      <w:r w:rsidRPr="00412829">
        <w:t xml:space="preserve">In Australia, information on the shelf life can be found on the public summary of the </w:t>
      </w:r>
      <w:r w:rsidR="00247CA7" w:rsidRPr="00412829">
        <w:t>Australian Register of Therapeutic Goods (</w:t>
      </w:r>
      <w:r w:rsidRPr="00412829">
        <w:t>ARTG</w:t>
      </w:r>
      <w:r w:rsidR="00247CA7" w:rsidRPr="00412829">
        <w:t>)</w:t>
      </w:r>
      <w:r w:rsidRPr="00412829">
        <w:t>.  The expiry date can be found on the packaging.</w:t>
      </w:r>
    </w:p>
    <w:p w14:paraId="12AFF4E0" w14:textId="77777777" w:rsidR="0032608A" w:rsidRPr="00412829" w:rsidRDefault="0032608A" w:rsidP="00E165EC">
      <w:pPr>
        <w:pStyle w:val="RPI-Heading2"/>
        <w:spacing w:line="360" w:lineRule="auto"/>
      </w:pPr>
      <w:r w:rsidRPr="00412829">
        <w:t>Special precautions for storage</w:t>
      </w:r>
    </w:p>
    <w:p w14:paraId="03D36F9D" w14:textId="77777777" w:rsidR="00232876" w:rsidRPr="00412829" w:rsidRDefault="00232876" w:rsidP="00F54EFB">
      <w:pPr>
        <w:pStyle w:val="RPI-Text"/>
        <w:rPr>
          <w:lang w:eastAsia="ja-JP"/>
        </w:rPr>
      </w:pPr>
      <w:r w:rsidRPr="00412829">
        <w:rPr>
          <w:lang w:eastAsia="ja-JP"/>
        </w:rPr>
        <w:t>Store refrigerated at 2°C to 8°C in the original carton.</w:t>
      </w:r>
    </w:p>
    <w:p w14:paraId="616D89B0" w14:textId="7D8C52CB" w:rsidR="00232876" w:rsidRPr="00412829" w:rsidRDefault="00232876" w:rsidP="00F54EFB">
      <w:pPr>
        <w:pStyle w:val="RPI-Text"/>
      </w:pPr>
      <w:r w:rsidRPr="00412829">
        <w:t>If removed from the refrigerator, EVENITY should be kept at controlled room temperature (up to 25°C) in the original carton and must be used within 30 days.</w:t>
      </w:r>
      <w:r w:rsidR="006C6E6A" w:rsidRPr="00412829">
        <w:t xml:space="preserve"> </w:t>
      </w:r>
      <w:r w:rsidR="006E2728">
        <w:t xml:space="preserve"> </w:t>
      </w:r>
      <w:r w:rsidR="006C6E6A" w:rsidRPr="00412829">
        <w:t xml:space="preserve">Once removed from the refrigerator </w:t>
      </w:r>
      <w:r w:rsidR="00667CE0" w:rsidRPr="00412829">
        <w:t>for</w:t>
      </w:r>
      <w:r w:rsidR="00970378" w:rsidRPr="007E1620">
        <w:t xml:space="preserve"> use</w:t>
      </w:r>
      <w:r w:rsidR="006C6E6A" w:rsidRPr="007E1620">
        <w:t xml:space="preserve">, it must </w:t>
      </w:r>
      <w:r w:rsidR="006C6E6A" w:rsidRPr="00412829">
        <w:t xml:space="preserve">be used within 30 days or discarded. </w:t>
      </w:r>
      <w:r w:rsidR="006E2728">
        <w:t xml:space="preserve"> </w:t>
      </w:r>
      <w:r w:rsidR="006C6E6A" w:rsidRPr="00412829">
        <w:t xml:space="preserve">The </w:t>
      </w:r>
      <w:r w:rsidR="006C6E6A" w:rsidRPr="00412829">
        <w:lastRenderedPageBreak/>
        <w:t>date of removal from the refrigerator should be recorded on the syringe label, to allow disposal after the maximum 30 days if not used.</w:t>
      </w:r>
    </w:p>
    <w:p w14:paraId="424812DC" w14:textId="77777777" w:rsidR="00232876" w:rsidRPr="00412829" w:rsidRDefault="00232876" w:rsidP="00F54EFB">
      <w:pPr>
        <w:pStyle w:val="RPI-Text"/>
      </w:pPr>
      <w:r w:rsidRPr="00412829">
        <w:t>Protect EVENITY from direct light and do not expose to temperatures above 25°C.</w:t>
      </w:r>
    </w:p>
    <w:p w14:paraId="6208474E" w14:textId="77777777" w:rsidR="00232876" w:rsidRPr="00412829" w:rsidRDefault="00232876" w:rsidP="00F54EFB">
      <w:pPr>
        <w:pStyle w:val="RPI-Text"/>
      </w:pPr>
      <w:r w:rsidRPr="00412829">
        <w:t xml:space="preserve">Do not store EVENITY in extreme heat or cold.  </w:t>
      </w:r>
    </w:p>
    <w:p w14:paraId="72A45CD1" w14:textId="77777777" w:rsidR="00232876" w:rsidRPr="00412829" w:rsidRDefault="00232876" w:rsidP="00F54EFB">
      <w:pPr>
        <w:pStyle w:val="RPI-Text"/>
      </w:pPr>
      <w:r w:rsidRPr="00412829">
        <w:t>Do not freeze.</w:t>
      </w:r>
    </w:p>
    <w:p w14:paraId="2689A3D5" w14:textId="77777777" w:rsidR="00232876" w:rsidRPr="00412829" w:rsidRDefault="00232876" w:rsidP="00F54EFB">
      <w:pPr>
        <w:pStyle w:val="RPI-Text"/>
      </w:pPr>
      <w:r w:rsidRPr="00412829">
        <w:t>Do not shake.</w:t>
      </w:r>
    </w:p>
    <w:p w14:paraId="12AFF4E3" w14:textId="77777777" w:rsidR="0032608A" w:rsidRPr="00412829" w:rsidRDefault="0032608A" w:rsidP="00A228B3">
      <w:pPr>
        <w:pStyle w:val="RPI-Heading2"/>
        <w:spacing w:line="360" w:lineRule="auto"/>
      </w:pPr>
      <w:r w:rsidRPr="00412829">
        <w:t>Nature and contents of container</w:t>
      </w:r>
    </w:p>
    <w:p w14:paraId="2E2CB240" w14:textId="77777777" w:rsidR="00232876" w:rsidRPr="00412829" w:rsidRDefault="00232876" w:rsidP="00F54EFB">
      <w:pPr>
        <w:pStyle w:val="RPI-Text"/>
      </w:pPr>
      <w:r w:rsidRPr="00412829">
        <w:t>EVENITY is provided as a:</w:t>
      </w:r>
    </w:p>
    <w:p w14:paraId="03BF09B6" w14:textId="689845A7" w:rsidR="00232876" w:rsidRPr="00412829" w:rsidRDefault="00232876" w:rsidP="008F7921">
      <w:pPr>
        <w:pStyle w:val="RPI-Text"/>
        <w:numPr>
          <w:ilvl w:val="0"/>
          <w:numId w:val="7"/>
        </w:numPr>
        <w:rPr>
          <w:rFonts w:ascii="Times New Roman" w:hAnsi="Times New Roman"/>
          <w:b/>
        </w:rPr>
      </w:pPr>
      <w:r w:rsidRPr="00412829">
        <w:t>1.17 mL solution in a single-use Crystal Zenith</w:t>
      </w:r>
      <w:r w:rsidRPr="00412829">
        <w:rPr>
          <w:vertAlign w:val="superscript"/>
        </w:rPr>
        <w:t>®</w:t>
      </w:r>
      <w:r w:rsidRPr="00412829">
        <w:t xml:space="preserve"> pre</w:t>
      </w:r>
      <w:r w:rsidR="006E5372" w:rsidRPr="00412829">
        <w:t>-</w:t>
      </w:r>
      <w:r w:rsidRPr="00412829">
        <w:t xml:space="preserve">filled syringe </w:t>
      </w:r>
      <w:r w:rsidR="00A228B3" w:rsidRPr="00412829">
        <w:t>(90 </w:t>
      </w:r>
      <w:r w:rsidRPr="00412829">
        <w:t>mg/mL PFS); supplied as a 2</w:t>
      </w:r>
      <w:r w:rsidRPr="00412829">
        <w:noBreakHyphen/>
        <w:t>pack.</w:t>
      </w:r>
    </w:p>
    <w:p w14:paraId="1739D64D" w14:textId="01FE42B9" w:rsidR="00232876" w:rsidRPr="00462DAA" w:rsidRDefault="00232876" w:rsidP="008F7921">
      <w:pPr>
        <w:pStyle w:val="RPI-Text"/>
        <w:numPr>
          <w:ilvl w:val="0"/>
          <w:numId w:val="7"/>
        </w:numPr>
        <w:rPr>
          <w:rFonts w:ascii="Times New Roman" w:hAnsi="Times New Roman"/>
          <w:b/>
        </w:rPr>
      </w:pPr>
      <w:r w:rsidRPr="00412829">
        <w:t>1.17 mL solution in a single-use pre</w:t>
      </w:r>
      <w:r w:rsidR="006E5372" w:rsidRPr="00412829">
        <w:t>-</w:t>
      </w:r>
      <w:r w:rsidRPr="00412829">
        <w:t xml:space="preserve">filled autoinjector (or pen) </w:t>
      </w:r>
      <w:r w:rsidR="00E91F76" w:rsidRPr="00412829">
        <w:t>(90 </w:t>
      </w:r>
      <w:r w:rsidRPr="00412829">
        <w:t>mg/mL AI); supplied as a 2</w:t>
      </w:r>
      <w:r w:rsidRPr="00412829">
        <w:noBreakHyphen/>
        <w:t>pack</w:t>
      </w:r>
      <w:r w:rsidR="00462DAA">
        <w:t>*</w:t>
      </w:r>
      <w:r w:rsidRPr="00412829">
        <w:t>.</w:t>
      </w:r>
    </w:p>
    <w:p w14:paraId="125257DA" w14:textId="3B7E5FEF" w:rsidR="00462DAA" w:rsidRPr="00462DAA" w:rsidRDefault="00462DAA" w:rsidP="00462DAA">
      <w:pPr>
        <w:pStyle w:val="RPI-Text"/>
        <w:ind w:left="720"/>
        <w:rPr>
          <w:rFonts w:ascii="Times New Roman" w:hAnsi="Times New Roman"/>
          <w:b/>
        </w:rPr>
      </w:pPr>
      <w:r w:rsidRPr="00412829">
        <w:t xml:space="preserve">* </w:t>
      </w:r>
      <w:r>
        <w:t>Autoinjector</w:t>
      </w:r>
      <w:r w:rsidRPr="00412829">
        <w:t xml:space="preserve"> not available in Australia</w:t>
      </w:r>
    </w:p>
    <w:p w14:paraId="20DF0C03" w14:textId="7D89ACE1" w:rsidR="00232876" w:rsidRPr="00412829" w:rsidRDefault="00232876" w:rsidP="00F54EFB">
      <w:pPr>
        <w:pStyle w:val="RPI-Text"/>
      </w:pPr>
      <w:r w:rsidRPr="00412829">
        <w:t>The pre</w:t>
      </w:r>
      <w:r w:rsidR="006E5372" w:rsidRPr="00412829">
        <w:t>-</w:t>
      </w:r>
      <w:r w:rsidRPr="00412829">
        <w:t>filled syringe/pre</w:t>
      </w:r>
      <w:r w:rsidR="006E5372" w:rsidRPr="00412829">
        <w:t>-</w:t>
      </w:r>
      <w:r w:rsidRPr="00412829">
        <w:t>filled autoinjector (or pen) is not made with natural rubber latex.</w:t>
      </w:r>
    </w:p>
    <w:p w14:paraId="12AFF4E5" w14:textId="77777777" w:rsidR="0032608A" w:rsidRPr="00412829" w:rsidRDefault="0032608A" w:rsidP="00CA7232">
      <w:pPr>
        <w:pStyle w:val="RPI-Heading2"/>
        <w:spacing w:line="360" w:lineRule="auto"/>
        <w:rPr>
          <w:noProof/>
        </w:rPr>
      </w:pPr>
      <w:r w:rsidRPr="00412829">
        <w:t>Special precautions for disposal</w:t>
      </w:r>
      <w:r w:rsidRPr="00412829">
        <w:rPr>
          <w:color w:val="7030A0"/>
        </w:rPr>
        <w:t xml:space="preserve"> </w:t>
      </w:r>
    </w:p>
    <w:p w14:paraId="12AFF4E6" w14:textId="74FA1C8E" w:rsidR="00B54FFD" w:rsidRPr="00412829" w:rsidRDefault="008438E2" w:rsidP="00F54EFB">
      <w:pPr>
        <w:pStyle w:val="RPI-Text"/>
      </w:pPr>
      <w:r w:rsidRPr="00412829">
        <w:t xml:space="preserve">In Australia, </w:t>
      </w:r>
      <w:r w:rsidR="00417A40" w:rsidRPr="00412829">
        <w:t>any unused medicine or waste material should be disposed of by taking to your local pharmacy</w:t>
      </w:r>
      <w:r w:rsidR="00AF199E" w:rsidRPr="00412829">
        <w:t>.</w:t>
      </w:r>
    </w:p>
    <w:p w14:paraId="12AFF4E7" w14:textId="77777777" w:rsidR="008438E2" w:rsidRPr="00412829" w:rsidRDefault="008438E2" w:rsidP="00CA7232">
      <w:pPr>
        <w:pStyle w:val="RPI-Heading2"/>
        <w:spacing w:line="360" w:lineRule="auto"/>
      </w:pPr>
      <w:r w:rsidRPr="00412829">
        <w:t>Physicochemical properties</w:t>
      </w:r>
    </w:p>
    <w:p w14:paraId="1CC0A82F" w14:textId="2BED3EC5" w:rsidR="007A198A" w:rsidRPr="00412829" w:rsidRDefault="007A198A" w:rsidP="007A198A">
      <w:pPr>
        <w:pStyle w:val="RPI-Text"/>
      </w:pPr>
      <w:r w:rsidRPr="00412829">
        <w:t>Romosozumab is a humanised monoclonal antibody (IgG2) with high affinity and specificity for sclerostin.  Romosozumab has an approximate molecular weight of 145 kDa and is produced in a mammalian cell line (Chinese hamster ovary) by recombinant DNA technology.</w:t>
      </w:r>
    </w:p>
    <w:p w14:paraId="12AFF4EA" w14:textId="4BA8909D" w:rsidR="00BD76C9" w:rsidRPr="00412829" w:rsidRDefault="00BD76C9" w:rsidP="00CA7232">
      <w:pPr>
        <w:pStyle w:val="RPI-Heading3"/>
      </w:pPr>
      <w:r w:rsidRPr="00412829">
        <w:lastRenderedPageBreak/>
        <w:t>Chemical structure</w:t>
      </w:r>
    </w:p>
    <w:p w14:paraId="566D154E" w14:textId="38858099" w:rsidR="00AB413F" w:rsidRPr="00412829" w:rsidRDefault="00AB413F" w:rsidP="00AB413F">
      <w:pPr>
        <w:pStyle w:val="RPI-Heading3"/>
        <w:keepNext w:val="0"/>
        <w:rPr>
          <w:u w:val="none"/>
        </w:rPr>
      </w:pPr>
      <w:r w:rsidRPr="00412829">
        <w:rPr>
          <w:noProof/>
          <w:u w:val="none"/>
          <w:lang w:eastAsia="en-AU"/>
        </w:rPr>
        <w:drawing>
          <wp:inline distT="0" distB="0" distL="0" distR="0" wp14:anchorId="74A34399" wp14:editId="0A00D6C9">
            <wp:extent cx="3451860" cy="2910840"/>
            <wp:effectExtent l="0" t="0" r="0" b="3810"/>
            <wp:docPr id="1" name="Picture 2" descr="GRH0339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t="5061"/>
                    <a:stretch>
                      <a:fillRect/>
                    </a:stretch>
                  </pic:blipFill>
                  <pic:spPr bwMode="auto">
                    <a:xfrm>
                      <a:off x="0" y="0"/>
                      <a:ext cx="3451860" cy="2910840"/>
                    </a:xfrm>
                    <a:prstGeom prst="rect">
                      <a:avLst/>
                    </a:prstGeom>
                    <a:noFill/>
                    <a:ln>
                      <a:noFill/>
                    </a:ln>
                  </pic:spPr>
                </pic:pic>
              </a:graphicData>
            </a:graphic>
          </wp:inline>
        </w:drawing>
      </w:r>
    </w:p>
    <w:p w14:paraId="12AFF4EB" w14:textId="3D34C9F0" w:rsidR="00BD76C9" w:rsidRPr="00412829" w:rsidRDefault="00BD76C9" w:rsidP="00377D4C">
      <w:pPr>
        <w:pStyle w:val="RPI-Heading3"/>
      </w:pPr>
      <w:r w:rsidRPr="00412829">
        <w:t>CAS number</w:t>
      </w:r>
    </w:p>
    <w:p w14:paraId="2D33E3E4" w14:textId="44F6BF6C" w:rsidR="000313BD" w:rsidRPr="00412829" w:rsidRDefault="000313BD" w:rsidP="00F54EFB">
      <w:pPr>
        <w:pStyle w:val="RPI-Text"/>
      </w:pPr>
      <w:r w:rsidRPr="00412829">
        <w:t>909395-70-6</w:t>
      </w:r>
    </w:p>
    <w:p w14:paraId="12AFF4EC" w14:textId="77777777" w:rsidR="00584696" w:rsidRPr="00412829" w:rsidRDefault="00584696" w:rsidP="00377D4C">
      <w:pPr>
        <w:pStyle w:val="RPI-Heading1"/>
        <w:spacing w:line="360" w:lineRule="auto"/>
      </w:pPr>
      <w:r w:rsidRPr="00412829">
        <w:t>MEDICINE SCHEDULE</w:t>
      </w:r>
      <w:r w:rsidR="00447352" w:rsidRPr="00412829">
        <w:t xml:space="preserve"> (POISONS STANDARD)</w:t>
      </w:r>
    </w:p>
    <w:p w14:paraId="5C4E0793" w14:textId="77777777" w:rsidR="00C01052" w:rsidRPr="00412829" w:rsidRDefault="00C01052" w:rsidP="00F54EFB">
      <w:pPr>
        <w:pStyle w:val="RPI-Text"/>
      </w:pPr>
      <w:r w:rsidRPr="00412829">
        <w:t>Prescription Only Medicine (S4)</w:t>
      </w:r>
    </w:p>
    <w:p w14:paraId="12AFF4EE" w14:textId="77777777" w:rsidR="00584696" w:rsidRPr="00412829" w:rsidRDefault="00584696" w:rsidP="00377D4C">
      <w:pPr>
        <w:pStyle w:val="RPI-Heading1"/>
        <w:spacing w:line="360" w:lineRule="auto"/>
      </w:pPr>
      <w:r w:rsidRPr="00412829">
        <w:t>SPONSOR</w:t>
      </w:r>
    </w:p>
    <w:p w14:paraId="12AFF4F0" w14:textId="77777777" w:rsidR="00E0347C" w:rsidRPr="00412829" w:rsidRDefault="00E0347C" w:rsidP="00F54EFB">
      <w:pPr>
        <w:pStyle w:val="RPI-Text"/>
      </w:pPr>
      <w:r w:rsidRPr="00412829">
        <w:t>Amgen Australia Pty Ltd</w:t>
      </w:r>
    </w:p>
    <w:p w14:paraId="12AFF4F1" w14:textId="77777777" w:rsidR="00E0347C" w:rsidRPr="00412829" w:rsidRDefault="00E0347C" w:rsidP="00F54EFB">
      <w:pPr>
        <w:pStyle w:val="RPI-Text"/>
      </w:pPr>
      <w:r w:rsidRPr="00412829">
        <w:t>ABN 310 051 057 428</w:t>
      </w:r>
    </w:p>
    <w:p w14:paraId="12AFF4F2" w14:textId="77777777" w:rsidR="00E0347C" w:rsidRPr="00412829" w:rsidRDefault="00E0347C" w:rsidP="00F54EFB">
      <w:pPr>
        <w:pStyle w:val="RPI-Text"/>
      </w:pPr>
      <w:r w:rsidRPr="00412829">
        <w:t>Level 7, 123 Epping Road</w:t>
      </w:r>
    </w:p>
    <w:p w14:paraId="12AFF4F3" w14:textId="77777777" w:rsidR="00E0347C" w:rsidRPr="00412829" w:rsidRDefault="00E0347C" w:rsidP="00F54EFB">
      <w:pPr>
        <w:pStyle w:val="RPI-Text"/>
      </w:pPr>
      <w:r w:rsidRPr="00412829">
        <w:t>North Ryde</w:t>
      </w:r>
    </w:p>
    <w:p w14:paraId="12AFF4F4" w14:textId="77777777" w:rsidR="00E0347C" w:rsidRPr="00412829" w:rsidRDefault="00E0347C" w:rsidP="00F54EFB">
      <w:pPr>
        <w:pStyle w:val="RPI-Text"/>
      </w:pPr>
      <w:r w:rsidRPr="00412829">
        <w:t>NSW 2113</w:t>
      </w:r>
    </w:p>
    <w:p w14:paraId="12AFF4F5" w14:textId="0BFEDA35" w:rsidR="00E0347C" w:rsidRPr="00412829" w:rsidRDefault="00247CA7" w:rsidP="00F54EFB">
      <w:pPr>
        <w:pStyle w:val="RPI-Text"/>
      </w:pPr>
      <w:r w:rsidRPr="00412829">
        <w:t>Medical Information</w:t>
      </w:r>
      <w:r w:rsidR="00447352" w:rsidRPr="00412829">
        <w:t>: 1800</w:t>
      </w:r>
      <w:r w:rsidR="00624519" w:rsidRPr="00412829">
        <w:t xml:space="preserve"> 803 638</w:t>
      </w:r>
    </w:p>
    <w:p w14:paraId="12AFF4F6" w14:textId="1A76D043" w:rsidR="00E0347C" w:rsidRPr="00412829" w:rsidRDefault="00E0347C" w:rsidP="00F54EFB">
      <w:pPr>
        <w:pStyle w:val="RPI-Text"/>
      </w:pPr>
      <w:r w:rsidRPr="00412829">
        <w:t>Email</w:t>
      </w:r>
      <w:r w:rsidR="00447352" w:rsidRPr="00412829">
        <w:t xml:space="preserve">: </w:t>
      </w:r>
      <w:hyperlink r:id="rId23" w:history="1">
        <w:r w:rsidR="00FF135E" w:rsidRPr="002C775A">
          <w:rPr>
            <w:rStyle w:val="Hyperlink"/>
          </w:rPr>
          <w:t>medinfo.JAPAC@amgen.com</w:t>
        </w:r>
      </w:hyperlink>
    </w:p>
    <w:p w14:paraId="12AFF4F7" w14:textId="77777777" w:rsidR="00584696" w:rsidRPr="00412829" w:rsidRDefault="00584696" w:rsidP="00377D4C">
      <w:pPr>
        <w:pStyle w:val="RPI-Heading1"/>
        <w:spacing w:line="360" w:lineRule="auto"/>
      </w:pPr>
      <w:r w:rsidRPr="00412829">
        <w:lastRenderedPageBreak/>
        <w:t>DATE OF FIRST APPROVAL</w:t>
      </w:r>
      <w:r w:rsidR="00E0347C" w:rsidRPr="00412829">
        <w:t xml:space="preserve"> </w:t>
      </w:r>
    </w:p>
    <w:p w14:paraId="12AFF4F8" w14:textId="52A2DB8B" w:rsidR="00B54FFD" w:rsidRPr="00412829" w:rsidRDefault="00B54FFD" w:rsidP="00F54EFB">
      <w:pPr>
        <w:pStyle w:val="RPI-Text"/>
      </w:pPr>
      <w:r w:rsidRPr="00412829">
        <w:t xml:space="preserve">Date of </w:t>
      </w:r>
      <w:r w:rsidR="00417A40" w:rsidRPr="00412829">
        <w:t>first inclusion in the Australian Register of Therapeutic Goods</w:t>
      </w:r>
      <w:r w:rsidRPr="00412829">
        <w:t xml:space="preserve">: </w:t>
      </w:r>
      <w:r w:rsidR="00987244">
        <w:t xml:space="preserve"> </w:t>
      </w:r>
      <w:r w:rsidR="00C65CEF">
        <w:t>1 July 2019</w:t>
      </w:r>
    </w:p>
    <w:p w14:paraId="12AFF4FA" w14:textId="77777777" w:rsidR="00584696" w:rsidRPr="00412829" w:rsidRDefault="00584696" w:rsidP="00377D4C">
      <w:pPr>
        <w:pStyle w:val="RPI-Heading1"/>
        <w:spacing w:line="360" w:lineRule="auto"/>
      </w:pPr>
      <w:r w:rsidRPr="00412829">
        <w:t xml:space="preserve">DATE OF REVISION </w:t>
      </w:r>
    </w:p>
    <w:p w14:paraId="553B2211" w14:textId="4FAE9A06" w:rsidR="00B63526" w:rsidRPr="00412829" w:rsidRDefault="00B63526" w:rsidP="00051153">
      <w:pPr>
        <w:pStyle w:val="RPI-Text"/>
      </w:pPr>
      <w:r w:rsidRPr="00412829">
        <w:t>Not applicable at this time.</w:t>
      </w:r>
    </w:p>
    <w:p w14:paraId="12AFF4FD" w14:textId="77777777" w:rsidR="00584696" w:rsidRPr="00412829" w:rsidRDefault="00584696" w:rsidP="00CA7232">
      <w:pPr>
        <w:pStyle w:val="RPI-Heading0"/>
        <w:spacing w:line="360" w:lineRule="auto"/>
      </w:pPr>
      <w:r w:rsidRPr="00412829">
        <w:t>SUMMARY TABLE OF CHANGES</w:t>
      </w:r>
    </w:p>
    <w:tbl>
      <w:tblPr>
        <w:tblStyle w:val="TableGrid"/>
        <w:tblW w:w="0" w:type="auto"/>
        <w:tblLook w:val="04A0" w:firstRow="1" w:lastRow="0" w:firstColumn="1" w:lastColumn="0" w:noHBand="0" w:noVBand="1"/>
      </w:tblPr>
      <w:tblGrid>
        <w:gridCol w:w="2602"/>
        <w:gridCol w:w="6057"/>
      </w:tblGrid>
      <w:tr w:rsidR="00AA7F38" w:rsidRPr="00412829" w14:paraId="12AFF501" w14:textId="77777777" w:rsidTr="005E1DB1">
        <w:tc>
          <w:tcPr>
            <w:tcW w:w="2602" w:type="dxa"/>
          </w:tcPr>
          <w:p w14:paraId="12AFF4FF" w14:textId="77777777" w:rsidR="00AA7F38" w:rsidRPr="00412829" w:rsidRDefault="00AA7F38" w:rsidP="0054201D">
            <w:pPr>
              <w:pStyle w:val="RPI-TableLeftAligned"/>
            </w:pPr>
            <w:r w:rsidRPr="00412829">
              <w:t>Section changed</w:t>
            </w:r>
          </w:p>
        </w:tc>
        <w:tc>
          <w:tcPr>
            <w:tcW w:w="6057" w:type="dxa"/>
          </w:tcPr>
          <w:p w14:paraId="12AFF500" w14:textId="77777777" w:rsidR="00AA7F38" w:rsidRPr="00412829" w:rsidRDefault="00AA7F38" w:rsidP="0054201D">
            <w:pPr>
              <w:pStyle w:val="RPI-TableLeftAligned"/>
            </w:pPr>
            <w:r w:rsidRPr="00412829">
              <w:t>Summary of new information</w:t>
            </w:r>
          </w:p>
        </w:tc>
      </w:tr>
      <w:tr w:rsidR="00AA7F38" w:rsidRPr="00412829" w14:paraId="12AFF504" w14:textId="77777777" w:rsidTr="005E1DB1">
        <w:tc>
          <w:tcPr>
            <w:tcW w:w="2602" w:type="dxa"/>
          </w:tcPr>
          <w:p w14:paraId="12AFF502" w14:textId="79047CF7" w:rsidR="00AA7F38" w:rsidRPr="00412829" w:rsidRDefault="00AA7F38" w:rsidP="0054201D">
            <w:pPr>
              <w:pStyle w:val="RPI-TableLeftAligned"/>
            </w:pPr>
          </w:p>
        </w:tc>
        <w:tc>
          <w:tcPr>
            <w:tcW w:w="6057" w:type="dxa"/>
          </w:tcPr>
          <w:p w14:paraId="12AFF503" w14:textId="4029FDA5" w:rsidR="00AA7F38" w:rsidRPr="00412829" w:rsidRDefault="00AA7F38" w:rsidP="0054201D">
            <w:pPr>
              <w:pStyle w:val="RPI-TableLeftAligned"/>
            </w:pPr>
          </w:p>
        </w:tc>
      </w:tr>
      <w:tr w:rsidR="00732D97" w:rsidRPr="00412829" w14:paraId="12AFF507" w14:textId="77777777" w:rsidTr="005E1DB1">
        <w:tc>
          <w:tcPr>
            <w:tcW w:w="2602" w:type="dxa"/>
          </w:tcPr>
          <w:p w14:paraId="12AFF505" w14:textId="461DD48F" w:rsidR="00732D97" w:rsidRPr="00412829" w:rsidRDefault="00732D97" w:rsidP="0054201D">
            <w:pPr>
              <w:pStyle w:val="RPI-TableLeftAligned"/>
              <w:rPr>
                <w:lang w:val="en-US"/>
              </w:rPr>
            </w:pPr>
          </w:p>
        </w:tc>
        <w:tc>
          <w:tcPr>
            <w:tcW w:w="6057" w:type="dxa"/>
          </w:tcPr>
          <w:p w14:paraId="12AFF506" w14:textId="3C2F53A7" w:rsidR="00732D97" w:rsidRPr="00412829" w:rsidRDefault="00732D97" w:rsidP="0054201D">
            <w:pPr>
              <w:pStyle w:val="RPI-TableLeftAligned"/>
            </w:pPr>
          </w:p>
        </w:tc>
      </w:tr>
      <w:tr w:rsidR="00732D97" w:rsidRPr="00412829" w14:paraId="12AFF50A" w14:textId="77777777" w:rsidTr="005E1DB1">
        <w:tc>
          <w:tcPr>
            <w:tcW w:w="2602" w:type="dxa"/>
          </w:tcPr>
          <w:p w14:paraId="12AFF508" w14:textId="77777777" w:rsidR="00732D97" w:rsidRPr="00412829" w:rsidRDefault="00732D97" w:rsidP="0054201D">
            <w:pPr>
              <w:pStyle w:val="RPI-TableLeftAligned"/>
            </w:pPr>
          </w:p>
        </w:tc>
        <w:tc>
          <w:tcPr>
            <w:tcW w:w="6057" w:type="dxa"/>
          </w:tcPr>
          <w:p w14:paraId="12AFF509" w14:textId="77777777" w:rsidR="00732D97" w:rsidRPr="00412829" w:rsidRDefault="00732D97" w:rsidP="0054201D">
            <w:pPr>
              <w:pStyle w:val="RPI-TableLeftAligned"/>
            </w:pPr>
          </w:p>
        </w:tc>
      </w:tr>
    </w:tbl>
    <w:p w14:paraId="12AFF50C" w14:textId="78FBAF0F" w:rsidR="00813486" w:rsidRPr="007E1620" w:rsidRDefault="0017460D" w:rsidP="00813486">
      <w:pPr>
        <w:pStyle w:val="RPI-Text"/>
      </w:pPr>
      <w:r w:rsidRPr="00412829">
        <w:sym w:font="Symbol" w:char="F0E3"/>
      </w:r>
      <w:r w:rsidRPr="00412829">
        <w:t xml:space="preserve"> </w:t>
      </w:r>
      <w:r w:rsidR="00341B41" w:rsidRPr="007E1620">
        <w:t>2018</w:t>
      </w:r>
      <w:r w:rsidR="00422B46">
        <w:t>, 2019</w:t>
      </w:r>
      <w:r w:rsidR="00813486" w:rsidRPr="007E1620">
        <w:t xml:space="preserve"> Amgen Inc.  All rights reserved.</w:t>
      </w:r>
    </w:p>
    <w:p w14:paraId="12AFF50E" w14:textId="36112854" w:rsidR="0017460D" w:rsidRDefault="0017460D" w:rsidP="00813486">
      <w:pPr>
        <w:pStyle w:val="RPI-Text"/>
      </w:pPr>
    </w:p>
    <w:sectPr w:rsidR="0017460D" w:rsidSect="00D8158A">
      <w:headerReference w:type="even" r:id="rId24"/>
      <w:headerReference w:type="default" r:id="rId25"/>
      <w:footerReference w:type="even" r:id="rId26"/>
      <w:footerReference w:type="default" r:id="rId27"/>
      <w:headerReference w:type="first" r:id="rId28"/>
      <w:footerReference w:type="first" r:id="rId29"/>
      <w:pgSz w:w="11906" w:h="16838"/>
      <w:pgMar w:top="1386" w:right="1440" w:bottom="207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BEE89" w14:textId="77777777" w:rsidR="006A37F2" w:rsidRDefault="006A37F2" w:rsidP="00245127">
      <w:r>
        <w:separator/>
      </w:r>
    </w:p>
  </w:endnote>
  <w:endnote w:type="continuationSeparator" w:id="0">
    <w:p w14:paraId="28114205" w14:textId="77777777" w:rsidR="006A37F2" w:rsidRDefault="006A37F2" w:rsidP="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Italic">
    <w:panose1 w:val="00000000000000000000"/>
    <w:charset w:val="A1"/>
    <w:family w:val="auto"/>
    <w:notTrueType/>
    <w:pitch w:val="default"/>
    <w:sig w:usb0="00000081" w:usb1="00000000" w:usb2="00000000" w:usb3="00000000" w:csb0="00000008"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9FC5" w14:textId="77777777" w:rsidR="00210906" w:rsidRDefault="00210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FF52B" w14:textId="0C871F74" w:rsidR="00C65CEF" w:rsidRDefault="00C65CEF" w:rsidP="004F69CF">
    <w:pPr>
      <w:pStyle w:val="RPI-Footer"/>
    </w:pPr>
    <w:r>
      <w:t>EVENITY Product Information</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A691" w14:textId="77777777" w:rsidR="00210906" w:rsidRDefault="00210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56AA8" w14:textId="77777777" w:rsidR="006A37F2" w:rsidRDefault="006A37F2" w:rsidP="00245127">
      <w:r>
        <w:separator/>
      </w:r>
    </w:p>
  </w:footnote>
  <w:footnote w:type="continuationSeparator" w:id="0">
    <w:p w14:paraId="7F27D752" w14:textId="77777777" w:rsidR="006A37F2" w:rsidRDefault="006A37F2" w:rsidP="00245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57AFB" w14:textId="77777777" w:rsidR="00210906" w:rsidRDefault="00210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659"/>
    </w:tblGrid>
    <w:tr w:rsidR="00210906" w:rsidRPr="002E7F61" w14:paraId="76DBB735" w14:textId="77777777" w:rsidTr="008435C1">
      <w:trPr>
        <w:trHeight w:val="590"/>
      </w:trPr>
      <w:tc>
        <w:tcPr>
          <w:tcW w:w="8720" w:type="dxa"/>
          <w:shd w:val="clear" w:color="auto" w:fill="E4F2E0"/>
        </w:tcPr>
        <w:p w14:paraId="0BF5FC46" w14:textId="77777777" w:rsidR="00210906" w:rsidRPr="002E7F61" w:rsidRDefault="00210906" w:rsidP="00210906">
          <w:pPr>
            <w:pStyle w:val="Footer"/>
            <w:rPr>
              <w:b w:val="0"/>
              <w:sz w:val="18"/>
              <w:szCs w:val="18"/>
            </w:rPr>
          </w:pPr>
          <w:r w:rsidRPr="002E7F61">
            <w:rPr>
              <w:sz w:val="18"/>
              <w:szCs w:val="18"/>
            </w:rPr>
            <w:t xml:space="preserve">Attachment 1: </w:t>
          </w:r>
          <w:r w:rsidRPr="003E148F">
            <w:rPr>
              <w:sz w:val="18"/>
              <w:szCs w:val="18"/>
            </w:rPr>
            <w:t>AusPAR Evenity romosozumab Amgen Australia Pty. Ltd. PM-2017-04339-1-5 FINAL 20 January 2020</w:t>
          </w:r>
          <w:r>
            <w:rPr>
              <w:sz w:val="18"/>
              <w:szCs w:val="18"/>
            </w:rPr>
            <w:t xml:space="preserve">. </w:t>
          </w:r>
          <w:r w:rsidRPr="00FF2AA4">
            <w:rPr>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sz w:val="18"/>
                <w:szCs w:val="18"/>
              </w:rPr>
              <w:t>https://www.tga.gov.au/product-information-pi</w:t>
            </w:r>
          </w:hyperlink>
          <w:r w:rsidRPr="00FF2AA4">
            <w:rPr>
              <w:sz w:val="18"/>
              <w:szCs w:val="18"/>
              <w:u w:val="single"/>
            </w:rPr>
            <w:t>&gt;</w:t>
          </w:r>
        </w:p>
      </w:tc>
    </w:tr>
  </w:tbl>
  <w:p w14:paraId="12AFF52A" w14:textId="68C0530D" w:rsidR="00C65CEF" w:rsidRPr="00490E90" w:rsidRDefault="00C65CEF" w:rsidP="001B244E">
    <w:pPr>
      <w:pStyle w:val="RPI-Textbold"/>
      <w:pBdr>
        <w:bottom w:val="single" w:sz="12" w:space="1" w:color="auto"/>
      </w:pBdr>
      <w:tabs>
        <w:tab w:val="right" w:pos="8647"/>
      </w:tabs>
    </w:pPr>
    <w:r>
      <w:tab/>
      <w:t xml:space="preserve">Page </w:t>
    </w:r>
    <w:r>
      <w:rPr>
        <w:b w:val="0"/>
        <w:bCs/>
      </w:rPr>
      <w:fldChar w:fldCharType="begin"/>
    </w:r>
    <w:r>
      <w:rPr>
        <w:bCs/>
      </w:rPr>
      <w:instrText xml:space="preserve"> PAGE  \* Arabic  \* MERGEFORMAT </w:instrText>
    </w:r>
    <w:r>
      <w:rPr>
        <w:b w:val="0"/>
        <w:bCs/>
      </w:rPr>
      <w:fldChar w:fldCharType="separate"/>
    </w:r>
    <w:r w:rsidR="00210906">
      <w:rPr>
        <w:bCs/>
        <w:noProof/>
      </w:rPr>
      <w:t>2</w:t>
    </w:r>
    <w:r>
      <w:rPr>
        <w:b w:val="0"/>
        <w:bCs/>
      </w:rPr>
      <w:fldChar w:fldCharType="end"/>
    </w:r>
    <w:r>
      <w:t xml:space="preserve"> of </w:t>
    </w:r>
    <w:r>
      <w:rPr>
        <w:b w:val="0"/>
        <w:bCs/>
      </w:rPr>
      <w:fldChar w:fldCharType="begin"/>
    </w:r>
    <w:r>
      <w:rPr>
        <w:bCs/>
      </w:rPr>
      <w:instrText xml:space="preserve"> NUMPAGES  \* Arabic  \* MERGEFORMAT </w:instrText>
    </w:r>
    <w:r>
      <w:rPr>
        <w:b w:val="0"/>
        <w:bCs/>
      </w:rPr>
      <w:fldChar w:fldCharType="separate"/>
    </w:r>
    <w:r w:rsidR="00210906">
      <w:rPr>
        <w:bCs/>
        <w:noProof/>
      </w:rPr>
      <w:t>37</w:t>
    </w:r>
    <w:r>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A41F8" w14:textId="77777777" w:rsidR="00210906" w:rsidRDefault="00210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01A"/>
    <w:multiLevelType w:val="singleLevel"/>
    <w:tmpl w:val="21B0C21C"/>
    <w:lvl w:ilvl="0">
      <w:start w:val="1"/>
      <w:numFmt w:val="bullet"/>
      <w:pStyle w:val="TextDash"/>
      <w:lvlText w:val=""/>
      <w:lvlJc w:val="left"/>
      <w:pPr>
        <w:tabs>
          <w:tab w:val="num" w:pos="720"/>
        </w:tabs>
        <w:ind w:left="720" w:hanging="360"/>
      </w:pPr>
      <w:rPr>
        <w:rFonts w:ascii="Symbol" w:hAnsi="Symbol" w:hint="default"/>
      </w:rPr>
    </w:lvl>
  </w:abstractNum>
  <w:abstractNum w:abstractNumId="1" w15:restartNumberingAfterBreak="0">
    <w:nsid w:val="06117293"/>
    <w:multiLevelType w:val="multilevel"/>
    <w:tmpl w:val="A184B28A"/>
    <w:lvl w:ilvl="0">
      <w:start w:val="1"/>
      <w:numFmt w:val="decimal"/>
      <w:lvlText w:val="%1."/>
      <w:lvlJc w:val="left"/>
      <w:pPr>
        <w:tabs>
          <w:tab w:val="num" w:pos="720"/>
        </w:tabs>
        <w:ind w:left="720" w:hanging="720"/>
      </w:pPr>
      <w:rPr>
        <w:rFonts w:ascii="Arial" w:hAnsi="Arial" w:cs="Arial" w:hint="default"/>
        <w:b w:val="0"/>
        <w:sz w:val="16"/>
        <w:szCs w:val="1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7D66AB"/>
    <w:multiLevelType w:val="hybridMultilevel"/>
    <w:tmpl w:val="034AA47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0C6FE7"/>
    <w:multiLevelType w:val="multilevel"/>
    <w:tmpl w:val="B11E566C"/>
    <w:lvl w:ilvl="0">
      <w:start w:val="1"/>
      <w:numFmt w:val="decimal"/>
      <w:pStyle w:val="NumberRestart"/>
      <w:lvlText w:val=""/>
      <w:lvlJc w:val="left"/>
      <w:pPr>
        <w:tabs>
          <w:tab w:val="num" w:pos="1440"/>
        </w:tabs>
        <w:ind w:left="1440" w:hanging="1440"/>
      </w:pPr>
    </w:lvl>
    <w:lvl w:ilvl="1">
      <w:start w:val="1"/>
      <w:numFmt w:val="decimal"/>
      <w:lvlText w:val="Part %1."/>
      <w:lvlJc w:val="left"/>
      <w:pPr>
        <w:tabs>
          <w:tab w:val="num" w:pos="1440"/>
        </w:tabs>
        <w:ind w:left="1440" w:hanging="1440"/>
      </w:pPr>
    </w:lvl>
    <w:lvl w:ilvl="2">
      <w:start w:val="1"/>
      <w:numFmt w:val="decimal"/>
      <w:lvlText w:val="Part %1.%2"/>
      <w:lvlJc w:val="left"/>
      <w:pPr>
        <w:tabs>
          <w:tab w:val="num" w:pos="1440"/>
        </w:tabs>
        <w:ind w:left="1440" w:hanging="1440"/>
      </w:pPr>
    </w:lvl>
    <w:lvl w:ilvl="3">
      <w:start w:val="1"/>
      <w:numFmt w:val="decimal"/>
      <w:lvlText w:val="%1.%2.%3"/>
      <w:lvlJc w:val="left"/>
      <w:pPr>
        <w:tabs>
          <w:tab w:val="num" w:pos="1440"/>
        </w:tabs>
        <w:ind w:left="1440" w:hanging="1440"/>
      </w:pPr>
    </w:lvl>
    <w:lvl w:ilvl="4">
      <w:start w:val="1"/>
      <w:numFmt w:val="decimal"/>
      <w:lvlText w:val="%1.%2.%3.%4"/>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lowerLetter"/>
      <w:lvlText w:val="%8."/>
      <w:lvlJc w:val="left"/>
      <w:pPr>
        <w:tabs>
          <w:tab w:val="num" w:pos="2880"/>
        </w:tabs>
        <w:ind w:left="2880" w:hanging="360"/>
      </w:pPr>
    </w:lvl>
    <w:lvl w:ilvl="8">
      <w:start w:val="1"/>
      <w:numFmt w:val="decimal"/>
      <w:lvlText w:val="%1.%2.%3.%4.%5.%6.%7.%8"/>
      <w:lvlJc w:val="left"/>
      <w:pPr>
        <w:tabs>
          <w:tab w:val="num" w:pos="1440"/>
        </w:tabs>
        <w:ind w:left="1440" w:hanging="1440"/>
      </w:pPr>
    </w:lvl>
  </w:abstractNum>
  <w:abstractNum w:abstractNumId="4"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5" w15:restartNumberingAfterBreak="0">
    <w:nsid w:val="3B0273A6"/>
    <w:multiLevelType w:val="multilevel"/>
    <w:tmpl w:val="3F1683E4"/>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800"/>
        </w:tabs>
        <w:ind w:left="1440" w:hanging="1440"/>
      </w:pPr>
      <w:rPr>
        <w:rFonts w:hint="default"/>
      </w:rPr>
    </w:lvl>
  </w:abstractNum>
  <w:abstractNum w:abstractNumId="6" w15:restartNumberingAfterBreak="0">
    <w:nsid w:val="719662C6"/>
    <w:multiLevelType w:val="hybridMultilevel"/>
    <w:tmpl w:val="F1503EE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F07FD8"/>
    <w:multiLevelType w:val="hybridMultilevel"/>
    <w:tmpl w:val="3F481AD8"/>
    <w:lvl w:ilvl="0" w:tplc="39E205DA">
      <w:start w:val="1"/>
      <w:numFmt w:val="lowerLetter"/>
      <w:lvlText w:val="%1."/>
      <w:lvlJc w:val="left"/>
      <w:pPr>
        <w:ind w:left="360" w:hanging="360"/>
      </w:pPr>
      <w:rPr>
        <w:rFonts w:ascii="Arial" w:hAnsi="Arial" w:cs="Arial" w:hint="default"/>
        <w:i w:val="0"/>
        <w:vertAlign w:val="superscript"/>
      </w:rPr>
    </w:lvl>
    <w:lvl w:ilvl="1" w:tplc="3878BC3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5"/>
  </w:num>
  <w:num w:numId="5">
    <w:abstractNumId w:val="7"/>
  </w:num>
  <w:num w:numId="6">
    <w:abstractNumId w:val="2"/>
  </w:num>
  <w:num w:numId="7">
    <w:abstractNumId w:val="6"/>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8A"/>
    <w:rsid w:val="00000C27"/>
    <w:rsid w:val="00000E61"/>
    <w:rsid w:val="00001FDA"/>
    <w:rsid w:val="0000366F"/>
    <w:rsid w:val="00003C04"/>
    <w:rsid w:val="00004A25"/>
    <w:rsid w:val="00005698"/>
    <w:rsid w:val="000056B6"/>
    <w:rsid w:val="00006228"/>
    <w:rsid w:val="00006782"/>
    <w:rsid w:val="000139F5"/>
    <w:rsid w:val="00020ACE"/>
    <w:rsid w:val="00020E9D"/>
    <w:rsid w:val="0002471F"/>
    <w:rsid w:val="000248D3"/>
    <w:rsid w:val="00025F3A"/>
    <w:rsid w:val="000313BD"/>
    <w:rsid w:val="000379CA"/>
    <w:rsid w:val="00042409"/>
    <w:rsid w:val="0004499D"/>
    <w:rsid w:val="00046368"/>
    <w:rsid w:val="000464AA"/>
    <w:rsid w:val="0004660D"/>
    <w:rsid w:val="00046730"/>
    <w:rsid w:val="00046C98"/>
    <w:rsid w:val="00051153"/>
    <w:rsid w:val="00051E18"/>
    <w:rsid w:val="000524E4"/>
    <w:rsid w:val="00052863"/>
    <w:rsid w:val="00052AAE"/>
    <w:rsid w:val="000533D2"/>
    <w:rsid w:val="00056DF3"/>
    <w:rsid w:val="00057C1A"/>
    <w:rsid w:val="00060452"/>
    <w:rsid w:val="00060558"/>
    <w:rsid w:val="00060858"/>
    <w:rsid w:val="00061C63"/>
    <w:rsid w:val="00064A4F"/>
    <w:rsid w:val="00067839"/>
    <w:rsid w:val="00070689"/>
    <w:rsid w:val="000728DD"/>
    <w:rsid w:val="00072EFA"/>
    <w:rsid w:val="00073C40"/>
    <w:rsid w:val="00074D31"/>
    <w:rsid w:val="00076838"/>
    <w:rsid w:val="00076FBA"/>
    <w:rsid w:val="00077ACE"/>
    <w:rsid w:val="000846FF"/>
    <w:rsid w:val="00086F6D"/>
    <w:rsid w:val="00091247"/>
    <w:rsid w:val="00094561"/>
    <w:rsid w:val="00094BB7"/>
    <w:rsid w:val="0009506F"/>
    <w:rsid w:val="00095A6A"/>
    <w:rsid w:val="0009628D"/>
    <w:rsid w:val="000973D5"/>
    <w:rsid w:val="00097D3D"/>
    <w:rsid w:val="00097EA8"/>
    <w:rsid w:val="000A0A01"/>
    <w:rsid w:val="000A1A5D"/>
    <w:rsid w:val="000A2642"/>
    <w:rsid w:val="000A3B06"/>
    <w:rsid w:val="000A3FAC"/>
    <w:rsid w:val="000A564B"/>
    <w:rsid w:val="000B16DD"/>
    <w:rsid w:val="000B18A9"/>
    <w:rsid w:val="000B2CFC"/>
    <w:rsid w:val="000B65DC"/>
    <w:rsid w:val="000B6A57"/>
    <w:rsid w:val="000C0CE3"/>
    <w:rsid w:val="000C1F5E"/>
    <w:rsid w:val="000C2D48"/>
    <w:rsid w:val="000C4E65"/>
    <w:rsid w:val="000D0DC7"/>
    <w:rsid w:val="000D25AD"/>
    <w:rsid w:val="000D484C"/>
    <w:rsid w:val="000D76D7"/>
    <w:rsid w:val="000D7C8B"/>
    <w:rsid w:val="000E0C65"/>
    <w:rsid w:val="000E11F8"/>
    <w:rsid w:val="000E1A49"/>
    <w:rsid w:val="000E2143"/>
    <w:rsid w:val="000E275F"/>
    <w:rsid w:val="000E2CAC"/>
    <w:rsid w:val="000E40CD"/>
    <w:rsid w:val="000E53CE"/>
    <w:rsid w:val="000E5CCA"/>
    <w:rsid w:val="000E68CA"/>
    <w:rsid w:val="000F075A"/>
    <w:rsid w:val="000F4146"/>
    <w:rsid w:val="000F57AD"/>
    <w:rsid w:val="0010021C"/>
    <w:rsid w:val="00102499"/>
    <w:rsid w:val="00103E97"/>
    <w:rsid w:val="001044F4"/>
    <w:rsid w:val="00107596"/>
    <w:rsid w:val="00107E6F"/>
    <w:rsid w:val="00110184"/>
    <w:rsid w:val="00112240"/>
    <w:rsid w:val="00112EDC"/>
    <w:rsid w:val="00113106"/>
    <w:rsid w:val="0011330E"/>
    <w:rsid w:val="00116D17"/>
    <w:rsid w:val="00116D6B"/>
    <w:rsid w:val="001173FA"/>
    <w:rsid w:val="001229F6"/>
    <w:rsid w:val="00122A9B"/>
    <w:rsid w:val="001260FB"/>
    <w:rsid w:val="001262B6"/>
    <w:rsid w:val="00126FE5"/>
    <w:rsid w:val="001273D5"/>
    <w:rsid w:val="00130788"/>
    <w:rsid w:val="001308D9"/>
    <w:rsid w:val="0013098E"/>
    <w:rsid w:val="00132570"/>
    <w:rsid w:val="00134601"/>
    <w:rsid w:val="00135834"/>
    <w:rsid w:val="001370C0"/>
    <w:rsid w:val="00140BB6"/>
    <w:rsid w:val="001417B0"/>
    <w:rsid w:val="001431CB"/>
    <w:rsid w:val="001447DE"/>
    <w:rsid w:val="00144B79"/>
    <w:rsid w:val="00145A93"/>
    <w:rsid w:val="00145BD9"/>
    <w:rsid w:val="0014648E"/>
    <w:rsid w:val="001470CC"/>
    <w:rsid w:val="001510E7"/>
    <w:rsid w:val="0015234E"/>
    <w:rsid w:val="00152397"/>
    <w:rsid w:val="001537FF"/>
    <w:rsid w:val="0015539B"/>
    <w:rsid w:val="00155672"/>
    <w:rsid w:val="00161A6E"/>
    <w:rsid w:val="001621FF"/>
    <w:rsid w:val="0016460D"/>
    <w:rsid w:val="001671D1"/>
    <w:rsid w:val="00170265"/>
    <w:rsid w:val="00170FBD"/>
    <w:rsid w:val="00171809"/>
    <w:rsid w:val="00172892"/>
    <w:rsid w:val="001728C0"/>
    <w:rsid w:val="0017460D"/>
    <w:rsid w:val="0017559F"/>
    <w:rsid w:val="00175F5C"/>
    <w:rsid w:val="00176F92"/>
    <w:rsid w:val="00181317"/>
    <w:rsid w:val="001825E7"/>
    <w:rsid w:val="00183018"/>
    <w:rsid w:val="0018636A"/>
    <w:rsid w:val="001906C3"/>
    <w:rsid w:val="0019386E"/>
    <w:rsid w:val="0019526E"/>
    <w:rsid w:val="00196001"/>
    <w:rsid w:val="001A1ABD"/>
    <w:rsid w:val="001A4376"/>
    <w:rsid w:val="001A4AAE"/>
    <w:rsid w:val="001A4AFB"/>
    <w:rsid w:val="001A5E97"/>
    <w:rsid w:val="001A5F6D"/>
    <w:rsid w:val="001A6EA3"/>
    <w:rsid w:val="001A73EF"/>
    <w:rsid w:val="001B244E"/>
    <w:rsid w:val="001B3A29"/>
    <w:rsid w:val="001B4176"/>
    <w:rsid w:val="001B4B98"/>
    <w:rsid w:val="001B67DC"/>
    <w:rsid w:val="001C2665"/>
    <w:rsid w:val="001C4E3E"/>
    <w:rsid w:val="001D190E"/>
    <w:rsid w:val="001D5D0D"/>
    <w:rsid w:val="001E0095"/>
    <w:rsid w:val="001E090A"/>
    <w:rsid w:val="001E19FD"/>
    <w:rsid w:val="001E26D6"/>
    <w:rsid w:val="001E3C4B"/>
    <w:rsid w:val="001E54DF"/>
    <w:rsid w:val="001E55E0"/>
    <w:rsid w:val="001E5743"/>
    <w:rsid w:val="001E577F"/>
    <w:rsid w:val="001E6C9E"/>
    <w:rsid w:val="001F2DEF"/>
    <w:rsid w:val="001F2E38"/>
    <w:rsid w:val="001F363F"/>
    <w:rsid w:val="001F3E51"/>
    <w:rsid w:val="001F44DC"/>
    <w:rsid w:val="001F5317"/>
    <w:rsid w:val="001F5EA8"/>
    <w:rsid w:val="001F65DF"/>
    <w:rsid w:val="001F6AEC"/>
    <w:rsid w:val="001F6F34"/>
    <w:rsid w:val="001F79D3"/>
    <w:rsid w:val="001F7EFD"/>
    <w:rsid w:val="00200647"/>
    <w:rsid w:val="00200C29"/>
    <w:rsid w:val="00201F8B"/>
    <w:rsid w:val="00202DA9"/>
    <w:rsid w:val="00205D3A"/>
    <w:rsid w:val="00210906"/>
    <w:rsid w:val="00210A28"/>
    <w:rsid w:val="002112DA"/>
    <w:rsid w:val="00211A7B"/>
    <w:rsid w:val="002127DE"/>
    <w:rsid w:val="002130C0"/>
    <w:rsid w:val="00213B74"/>
    <w:rsid w:val="00213D1E"/>
    <w:rsid w:val="00214C53"/>
    <w:rsid w:val="002169FE"/>
    <w:rsid w:val="00216E3D"/>
    <w:rsid w:val="00217564"/>
    <w:rsid w:val="002177F4"/>
    <w:rsid w:val="00221E46"/>
    <w:rsid w:val="00223996"/>
    <w:rsid w:val="00223D18"/>
    <w:rsid w:val="002244C5"/>
    <w:rsid w:val="00224B50"/>
    <w:rsid w:val="00224E7E"/>
    <w:rsid w:val="00232428"/>
    <w:rsid w:val="00232876"/>
    <w:rsid w:val="00235DE3"/>
    <w:rsid w:val="0023673D"/>
    <w:rsid w:val="0023722F"/>
    <w:rsid w:val="0023777D"/>
    <w:rsid w:val="002405C9"/>
    <w:rsid w:val="0024270C"/>
    <w:rsid w:val="00245127"/>
    <w:rsid w:val="00246A94"/>
    <w:rsid w:val="0024787F"/>
    <w:rsid w:val="0024794F"/>
    <w:rsid w:val="0024797E"/>
    <w:rsid w:val="00247CA7"/>
    <w:rsid w:val="002500B7"/>
    <w:rsid w:val="00251066"/>
    <w:rsid w:val="002516B9"/>
    <w:rsid w:val="0025261A"/>
    <w:rsid w:val="00252FA8"/>
    <w:rsid w:val="002532C7"/>
    <w:rsid w:val="002546EB"/>
    <w:rsid w:val="00254994"/>
    <w:rsid w:val="00254C15"/>
    <w:rsid w:val="002556DE"/>
    <w:rsid w:val="002559C0"/>
    <w:rsid w:val="00255A1E"/>
    <w:rsid w:val="00255F88"/>
    <w:rsid w:val="002568A1"/>
    <w:rsid w:val="00256F20"/>
    <w:rsid w:val="00257820"/>
    <w:rsid w:val="002631F6"/>
    <w:rsid w:val="0026478E"/>
    <w:rsid w:val="00264A5F"/>
    <w:rsid w:val="00264D18"/>
    <w:rsid w:val="00265CF2"/>
    <w:rsid w:val="0026611D"/>
    <w:rsid w:val="00266363"/>
    <w:rsid w:val="00267909"/>
    <w:rsid w:val="00267C60"/>
    <w:rsid w:val="00267D3D"/>
    <w:rsid w:val="00270703"/>
    <w:rsid w:val="0027139D"/>
    <w:rsid w:val="00271979"/>
    <w:rsid w:val="002726BD"/>
    <w:rsid w:val="00273429"/>
    <w:rsid w:val="00281533"/>
    <w:rsid w:val="002829F8"/>
    <w:rsid w:val="00282A4F"/>
    <w:rsid w:val="00282AF0"/>
    <w:rsid w:val="00283898"/>
    <w:rsid w:val="00284387"/>
    <w:rsid w:val="00284A28"/>
    <w:rsid w:val="00285750"/>
    <w:rsid w:val="0028643F"/>
    <w:rsid w:val="00286D8B"/>
    <w:rsid w:val="00287992"/>
    <w:rsid w:val="00291742"/>
    <w:rsid w:val="002A099E"/>
    <w:rsid w:val="002A35F7"/>
    <w:rsid w:val="002A45F5"/>
    <w:rsid w:val="002A5280"/>
    <w:rsid w:val="002A7FA5"/>
    <w:rsid w:val="002B0940"/>
    <w:rsid w:val="002B3D03"/>
    <w:rsid w:val="002B45E1"/>
    <w:rsid w:val="002B5FB8"/>
    <w:rsid w:val="002B691C"/>
    <w:rsid w:val="002C00FB"/>
    <w:rsid w:val="002C5BDD"/>
    <w:rsid w:val="002C6CA1"/>
    <w:rsid w:val="002C7880"/>
    <w:rsid w:val="002D063B"/>
    <w:rsid w:val="002D2145"/>
    <w:rsid w:val="002D46B1"/>
    <w:rsid w:val="002D65AB"/>
    <w:rsid w:val="002D7A15"/>
    <w:rsid w:val="002D7E5A"/>
    <w:rsid w:val="002E055F"/>
    <w:rsid w:val="002E1959"/>
    <w:rsid w:val="002E24CA"/>
    <w:rsid w:val="002E3EFD"/>
    <w:rsid w:val="002E46F2"/>
    <w:rsid w:val="002E4949"/>
    <w:rsid w:val="002E5099"/>
    <w:rsid w:val="002F4475"/>
    <w:rsid w:val="002F473E"/>
    <w:rsid w:val="002F75FA"/>
    <w:rsid w:val="002F7F83"/>
    <w:rsid w:val="0030188A"/>
    <w:rsid w:val="003059F2"/>
    <w:rsid w:val="003062EC"/>
    <w:rsid w:val="00310035"/>
    <w:rsid w:val="003108B7"/>
    <w:rsid w:val="00310B08"/>
    <w:rsid w:val="00310D0C"/>
    <w:rsid w:val="0031260A"/>
    <w:rsid w:val="0031496F"/>
    <w:rsid w:val="00314B83"/>
    <w:rsid w:val="003170D7"/>
    <w:rsid w:val="003212BE"/>
    <w:rsid w:val="003241B3"/>
    <w:rsid w:val="00325267"/>
    <w:rsid w:val="0032608A"/>
    <w:rsid w:val="00326E7B"/>
    <w:rsid w:val="0033097C"/>
    <w:rsid w:val="0033167C"/>
    <w:rsid w:val="00333530"/>
    <w:rsid w:val="00333A34"/>
    <w:rsid w:val="003342DA"/>
    <w:rsid w:val="00337877"/>
    <w:rsid w:val="00337C59"/>
    <w:rsid w:val="0034158C"/>
    <w:rsid w:val="00341B41"/>
    <w:rsid w:val="00341EAE"/>
    <w:rsid w:val="003430E7"/>
    <w:rsid w:val="003440AD"/>
    <w:rsid w:val="00346EFD"/>
    <w:rsid w:val="00347F74"/>
    <w:rsid w:val="00350FFB"/>
    <w:rsid w:val="00351864"/>
    <w:rsid w:val="00352D64"/>
    <w:rsid w:val="00352DA1"/>
    <w:rsid w:val="00354016"/>
    <w:rsid w:val="003547B4"/>
    <w:rsid w:val="00354BF2"/>
    <w:rsid w:val="00354F83"/>
    <w:rsid w:val="0035793D"/>
    <w:rsid w:val="00360A1B"/>
    <w:rsid w:val="00360AB5"/>
    <w:rsid w:val="003631A0"/>
    <w:rsid w:val="00365172"/>
    <w:rsid w:val="003715C2"/>
    <w:rsid w:val="00371AD0"/>
    <w:rsid w:val="00372EA6"/>
    <w:rsid w:val="003747AD"/>
    <w:rsid w:val="00374D60"/>
    <w:rsid w:val="00375435"/>
    <w:rsid w:val="00377372"/>
    <w:rsid w:val="003774D5"/>
    <w:rsid w:val="00377D4C"/>
    <w:rsid w:val="003801BE"/>
    <w:rsid w:val="00380AEB"/>
    <w:rsid w:val="00381F6D"/>
    <w:rsid w:val="0038206A"/>
    <w:rsid w:val="003829FA"/>
    <w:rsid w:val="00382D71"/>
    <w:rsid w:val="00383EA8"/>
    <w:rsid w:val="003848A9"/>
    <w:rsid w:val="003866ED"/>
    <w:rsid w:val="00387413"/>
    <w:rsid w:val="00387F6A"/>
    <w:rsid w:val="00390CD3"/>
    <w:rsid w:val="003910B3"/>
    <w:rsid w:val="00394E47"/>
    <w:rsid w:val="00396561"/>
    <w:rsid w:val="00396EB0"/>
    <w:rsid w:val="003A1713"/>
    <w:rsid w:val="003A4687"/>
    <w:rsid w:val="003A59FD"/>
    <w:rsid w:val="003A64F8"/>
    <w:rsid w:val="003A6502"/>
    <w:rsid w:val="003A6EC0"/>
    <w:rsid w:val="003B2C5E"/>
    <w:rsid w:val="003B46A1"/>
    <w:rsid w:val="003B56E7"/>
    <w:rsid w:val="003B59BB"/>
    <w:rsid w:val="003C0663"/>
    <w:rsid w:val="003C2786"/>
    <w:rsid w:val="003C31A6"/>
    <w:rsid w:val="003C4FDA"/>
    <w:rsid w:val="003C52E6"/>
    <w:rsid w:val="003C5BEA"/>
    <w:rsid w:val="003C68F2"/>
    <w:rsid w:val="003C782F"/>
    <w:rsid w:val="003D2D9B"/>
    <w:rsid w:val="003D4013"/>
    <w:rsid w:val="003D4265"/>
    <w:rsid w:val="003E4852"/>
    <w:rsid w:val="003E5712"/>
    <w:rsid w:val="003F09E7"/>
    <w:rsid w:val="003F0C68"/>
    <w:rsid w:val="003F23C3"/>
    <w:rsid w:val="003F30C4"/>
    <w:rsid w:val="003F3BB9"/>
    <w:rsid w:val="003F3FDD"/>
    <w:rsid w:val="003F434A"/>
    <w:rsid w:val="003F4A05"/>
    <w:rsid w:val="003F5224"/>
    <w:rsid w:val="004017A4"/>
    <w:rsid w:val="004035F0"/>
    <w:rsid w:val="00403D02"/>
    <w:rsid w:val="00407285"/>
    <w:rsid w:val="0041105E"/>
    <w:rsid w:val="00412829"/>
    <w:rsid w:val="004138C1"/>
    <w:rsid w:val="00415CE4"/>
    <w:rsid w:val="00417A3A"/>
    <w:rsid w:val="00417A40"/>
    <w:rsid w:val="00422B46"/>
    <w:rsid w:val="00426697"/>
    <w:rsid w:val="00426A5C"/>
    <w:rsid w:val="004310FD"/>
    <w:rsid w:val="004329AA"/>
    <w:rsid w:val="0043384F"/>
    <w:rsid w:val="00437EA3"/>
    <w:rsid w:val="00440804"/>
    <w:rsid w:val="004426FA"/>
    <w:rsid w:val="00442973"/>
    <w:rsid w:val="00443122"/>
    <w:rsid w:val="0044483F"/>
    <w:rsid w:val="00445AE1"/>
    <w:rsid w:val="00447352"/>
    <w:rsid w:val="004504FB"/>
    <w:rsid w:val="00450F75"/>
    <w:rsid w:val="00451440"/>
    <w:rsid w:val="00454267"/>
    <w:rsid w:val="0045486F"/>
    <w:rsid w:val="00454EF4"/>
    <w:rsid w:val="00455876"/>
    <w:rsid w:val="00455CCB"/>
    <w:rsid w:val="00462DAA"/>
    <w:rsid w:val="00462FAC"/>
    <w:rsid w:val="00463680"/>
    <w:rsid w:val="0046728F"/>
    <w:rsid w:val="00467ECF"/>
    <w:rsid w:val="00470A69"/>
    <w:rsid w:val="00472DB3"/>
    <w:rsid w:val="00473A24"/>
    <w:rsid w:val="00474206"/>
    <w:rsid w:val="0047670A"/>
    <w:rsid w:val="00476A94"/>
    <w:rsid w:val="00477A1C"/>
    <w:rsid w:val="00477B65"/>
    <w:rsid w:val="00480518"/>
    <w:rsid w:val="00481928"/>
    <w:rsid w:val="00482AF8"/>
    <w:rsid w:val="004836C0"/>
    <w:rsid w:val="004864F6"/>
    <w:rsid w:val="00486827"/>
    <w:rsid w:val="004868E4"/>
    <w:rsid w:val="00487BC2"/>
    <w:rsid w:val="00490E90"/>
    <w:rsid w:val="004941FD"/>
    <w:rsid w:val="00494E8C"/>
    <w:rsid w:val="0049673B"/>
    <w:rsid w:val="00496DE4"/>
    <w:rsid w:val="004A6266"/>
    <w:rsid w:val="004B0679"/>
    <w:rsid w:val="004B2848"/>
    <w:rsid w:val="004B4142"/>
    <w:rsid w:val="004C0BF8"/>
    <w:rsid w:val="004C0FF0"/>
    <w:rsid w:val="004C2241"/>
    <w:rsid w:val="004C2DC5"/>
    <w:rsid w:val="004C306C"/>
    <w:rsid w:val="004C30A7"/>
    <w:rsid w:val="004C3359"/>
    <w:rsid w:val="004C3464"/>
    <w:rsid w:val="004C3CE8"/>
    <w:rsid w:val="004D054A"/>
    <w:rsid w:val="004D168C"/>
    <w:rsid w:val="004D1CA9"/>
    <w:rsid w:val="004D1EB9"/>
    <w:rsid w:val="004D3535"/>
    <w:rsid w:val="004D6B3C"/>
    <w:rsid w:val="004E0A2C"/>
    <w:rsid w:val="004E33AE"/>
    <w:rsid w:val="004E4CC8"/>
    <w:rsid w:val="004F150C"/>
    <w:rsid w:val="004F177A"/>
    <w:rsid w:val="004F1B7D"/>
    <w:rsid w:val="004F1C01"/>
    <w:rsid w:val="004F2EEF"/>
    <w:rsid w:val="004F6556"/>
    <w:rsid w:val="004F6875"/>
    <w:rsid w:val="004F69CF"/>
    <w:rsid w:val="004F6EE2"/>
    <w:rsid w:val="00500389"/>
    <w:rsid w:val="00500693"/>
    <w:rsid w:val="00500869"/>
    <w:rsid w:val="00502059"/>
    <w:rsid w:val="00505463"/>
    <w:rsid w:val="00506CFF"/>
    <w:rsid w:val="00507D9D"/>
    <w:rsid w:val="00512C61"/>
    <w:rsid w:val="00514859"/>
    <w:rsid w:val="005149F6"/>
    <w:rsid w:val="005157A9"/>
    <w:rsid w:val="00517A59"/>
    <w:rsid w:val="00521053"/>
    <w:rsid w:val="00521228"/>
    <w:rsid w:val="00523992"/>
    <w:rsid w:val="0052448B"/>
    <w:rsid w:val="00524F99"/>
    <w:rsid w:val="00531CD9"/>
    <w:rsid w:val="00534262"/>
    <w:rsid w:val="00536153"/>
    <w:rsid w:val="005363EC"/>
    <w:rsid w:val="00537836"/>
    <w:rsid w:val="0054169D"/>
    <w:rsid w:val="00541F9E"/>
    <w:rsid w:val="0054201D"/>
    <w:rsid w:val="00543372"/>
    <w:rsid w:val="00543733"/>
    <w:rsid w:val="005449D6"/>
    <w:rsid w:val="00545687"/>
    <w:rsid w:val="00545761"/>
    <w:rsid w:val="005464B2"/>
    <w:rsid w:val="00551AB0"/>
    <w:rsid w:val="00553E5A"/>
    <w:rsid w:val="00554AD2"/>
    <w:rsid w:val="005557E6"/>
    <w:rsid w:val="0055664E"/>
    <w:rsid w:val="005569B7"/>
    <w:rsid w:val="00557016"/>
    <w:rsid w:val="005610BA"/>
    <w:rsid w:val="005624D2"/>
    <w:rsid w:val="005656F5"/>
    <w:rsid w:val="0056763B"/>
    <w:rsid w:val="00567B60"/>
    <w:rsid w:val="005704FC"/>
    <w:rsid w:val="00571A2B"/>
    <w:rsid w:val="0057404B"/>
    <w:rsid w:val="00574670"/>
    <w:rsid w:val="00574892"/>
    <w:rsid w:val="00575625"/>
    <w:rsid w:val="00575FDD"/>
    <w:rsid w:val="00580507"/>
    <w:rsid w:val="00580DE6"/>
    <w:rsid w:val="00583981"/>
    <w:rsid w:val="0058417C"/>
    <w:rsid w:val="00584696"/>
    <w:rsid w:val="00590CCB"/>
    <w:rsid w:val="00591682"/>
    <w:rsid w:val="00591F6F"/>
    <w:rsid w:val="00592E0B"/>
    <w:rsid w:val="00593E55"/>
    <w:rsid w:val="00595EF1"/>
    <w:rsid w:val="00597C38"/>
    <w:rsid w:val="005A229C"/>
    <w:rsid w:val="005A25E0"/>
    <w:rsid w:val="005A35BF"/>
    <w:rsid w:val="005A41B7"/>
    <w:rsid w:val="005A48B2"/>
    <w:rsid w:val="005A4CA0"/>
    <w:rsid w:val="005A5620"/>
    <w:rsid w:val="005A65BD"/>
    <w:rsid w:val="005A6670"/>
    <w:rsid w:val="005A684B"/>
    <w:rsid w:val="005A76B5"/>
    <w:rsid w:val="005A7E32"/>
    <w:rsid w:val="005B0893"/>
    <w:rsid w:val="005B0ABF"/>
    <w:rsid w:val="005B25F7"/>
    <w:rsid w:val="005B6CDF"/>
    <w:rsid w:val="005B75B7"/>
    <w:rsid w:val="005B7A37"/>
    <w:rsid w:val="005C17E3"/>
    <w:rsid w:val="005C19DF"/>
    <w:rsid w:val="005C4D0B"/>
    <w:rsid w:val="005C5749"/>
    <w:rsid w:val="005C5A57"/>
    <w:rsid w:val="005D10CC"/>
    <w:rsid w:val="005D1B61"/>
    <w:rsid w:val="005D4AB5"/>
    <w:rsid w:val="005D71E6"/>
    <w:rsid w:val="005D7841"/>
    <w:rsid w:val="005E0C50"/>
    <w:rsid w:val="005E0EC9"/>
    <w:rsid w:val="005E1DB1"/>
    <w:rsid w:val="005E434E"/>
    <w:rsid w:val="005F1415"/>
    <w:rsid w:val="005F32E7"/>
    <w:rsid w:val="005F3B11"/>
    <w:rsid w:val="005F521C"/>
    <w:rsid w:val="005F5D64"/>
    <w:rsid w:val="005F61E5"/>
    <w:rsid w:val="005F754A"/>
    <w:rsid w:val="005F7682"/>
    <w:rsid w:val="006000A5"/>
    <w:rsid w:val="006002D8"/>
    <w:rsid w:val="00600531"/>
    <w:rsid w:val="00602A9F"/>
    <w:rsid w:val="00604044"/>
    <w:rsid w:val="006061F4"/>
    <w:rsid w:val="0060739F"/>
    <w:rsid w:val="006116BD"/>
    <w:rsid w:val="00611EF5"/>
    <w:rsid w:val="00612308"/>
    <w:rsid w:val="00612504"/>
    <w:rsid w:val="006125E8"/>
    <w:rsid w:val="00614141"/>
    <w:rsid w:val="0061608F"/>
    <w:rsid w:val="00616F8C"/>
    <w:rsid w:val="00620E77"/>
    <w:rsid w:val="00620ECB"/>
    <w:rsid w:val="00620EFD"/>
    <w:rsid w:val="00621202"/>
    <w:rsid w:val="0062149E"/>
    <w:rsid w:val="006215BF"/>
    <w:rsid w:val="006217D2"/>
    <w:rsid w:val="00623318"/>
    <w:rsid w:val="00624183"/>
    <w:rsid w:val="00624519"/>
    <w:rsid w:val="0062641D"/>
    <w:rsid w:val="00626DB3"/>
    <w:rsid w:val="00630967"/>
    <w:rsid w:val="00631EEB"/>
    <w:rsid w:val="006369AB"/>
    <w:rsid w:val="00637A8F"/>
    <w:rsid w:val="00640303"/>
    <w:rsid w:val="00640430"/>
    <w:rsid w:val="00643D1E"/>
    <w:rsid w:val="00646078"/>
    <w:rsid w:val="0065208F"/>
    <w:rsid w:val="00654A44"/>
    <w:rsid w:val="00654A72"/>
    <w:rsid w:val="00654C74"/>
    <w:rsid w:val="00655088"/>
    <w:rsid w:val="00656470"/>
    <w:rsid w:val="0066165B"/>
    <w:rsid w:val="00661727"/>
    <w:rsid w:val="00662118"/>
    <w:rsid w:val="00663004"/>
    <w:rsid w:val="00663652"/>
    <w:rsid w:val="00665998"/>
    <w:rsid w:val="00665E40"/>
    <w:rsid w:val="006666F9"/>
    <w:rsid w:val="00667C95"/>
    <w:rsid w:val="00667CE0"/>
    <w:rsid w:val="00672AAA"/>
    <w:rsid w:val="0067330B"/>
    <w:rsid w:val="00675643"/>
    <w:rsid w:val="00675D10"/>
    <w:rsid w:val="00676E09"/>
    <w:rsid w:val="00677687"/>
    <w:rsid w:val="00677D1C"/>
    <w:rsid w:val="00677E95"/>
    <w:rsid w:val="0068150C"/>
    <w:rsid w:val="00685251"/>
    <w:rsid w:val="00685389"/>
    <w:rsid w:val="006854F9"/>
    <w:rsid w:val="00687BDD"/>
    <w:rsid w:val="006910F3"/>
    <w:rsid w:val="00691395"/>
    <w:rsid w:val="006930DC"/>
    <w:rsid w:val="006935A5"/>
    <w:rsid w:val="00693D6E"/>
    <w:rsid w:val="006947FD"/>
    <w:rsid w:val="00697293"/>
    <w:rsid w:val="00697884"/>
    <w:rsid w:val="006A0124"/>
    <w:rsid w:val="006A2366"/>
    <w:rsid w:val="006A37F2"/>
    <w:rsid w:val="006A4BB1"/>
    <w:rsid w:val="006A4C70"/>
    <w:rsid w:val="006A4F1A"/>
    <w:rsid w:val="006A7D85"/>
    <w:rsid w:val="006B2A3F"/>
    <w:rsid w:val="006B4446"/>
    <w:rsid w:val="006B5414"/>
    <w:rsid w:val="006B55D0"/>
    <w:rsid w:val="006C0DD2"/>
    <w:rsid w:val="006C20DA"/>
    <w:rsid w:val="006C2894"/>
    <w:rsid w:val="006C2975"/>
    <w:rsid w:val="006C3D65"/>
    <w:rsid w:val="006C3F26"/>
    <w:rsid w:val="006C41CB"/>
    <w:rsid w:val="006C4798"/>
    <w:rsid w:val="006C585F"/>
    <w:rsid w:val="006C6E6A"/>
    <w:rsid w:val="006D0244"/>
    <w:rsid w:val="006D0CF8"/>
    <w:rsid w:val="006D1FFE"/>
    <w:rsid w:val="006D2B34"/>
    <w:rsid w:val="006D2DEE"/>
    <w:rsid w:val="006D528A"/>
    <w:rsid w:val="006D5ADF"/>
    <w:rsid w:val="006D6533"/>
    <w:rsid w:val="006D6BB5"/>
    <w:rsid w:val="006D7055"/>
    <w:rsid w:val="006D7192"/>
    <w:rsid w:val="006D7432"/>
    <w:rsid w:val="006E0644"/>
    <w:rsid w:val="006E0FF0"/>
    <w:rsid w:val="006E1418"/>
    <w:rsid w:val="006E1F9A"/>
    <w:rsid w:val="006E2728"/>
    <w:rsid w:val="006E401E"/>
    <w:rsid w:val="006E5372"/>
    <w:rsid w:val="006F014D"/>
    <w:rsid w:val="006F1262"/>
    <w:rsid w:val="006F1DBF"/>
    <w:rsid w:val="006F4AE6"/>
    <w:rsid w:val="006F4EDB"/>
    <w:rsid w:val="007005ED"/>
    <w:rsid w:val="00700709"/>
    <w:rsid w:val="00701FDA"/>
    <w:rsid w:val="0070359D"/>
    <w:rsid w:val="00704DAF"/>
    <w:rsid w:val="007119B7"/>
    <w:rsid w:val="00712723"/>
    <w:rsid w:val="007153D2"/>
    <w:rsid w:val="00715792"/>
    <w:rsid w:val="007161C3"/>
    <w:rsid w:val="00717428"/>
    <w:rsid w:val="00721A0D"/>
    <w:rsid w:val="00722510"/>
    <w:rsid w:val="007247C1"/>
    <w:rsid w:val="00726958"/>
    <w:rsid w:val="00727B55"/>
    <w:rsid w:val="00731663"/>
    <w:rsid w:val="00732D97"/>
    <w:rsid w:val="00732FF6"/>
    <w:rsid w:val="00734628"/>
    <w:rsid w:val="00735FF9"/>
    <w:rsid w:val="0073643C"/>
    <w:rsid w:val="00736F3A"/>
    <w:rsid w:val="00737197"/>
    <w:rsid w:val="00740499"/>
    <w:rsid w:val="0074118B"/>
    <w:rsid w:val="007423AE"/>
    <w:rsid w:val="00742F84"/>
    <w:rsid w:val="00743BCC"/>
    <w:rsid w:val="00743F78"/>
    <w:rsid w:val="00747314"/>
    <w:rsid w:val="00751877"/>
    <w:rsid w:val="00751A83"/>
    <w:rsid w:val="00752528"/>
    <w:rsid w:val="007525AF"/>
    <w:rsid w:val="007567E8"/>
    <w:rsid w:val="00757A5D"/>
    <w:rsid w:val="00760B9E"/>
    <w:rsid w:val="00761CF9"/>
    <w:rsid w:val="00762093"/>
    <w:rsid w:val="0076288B"/>
    <w:rsid w:val="0076307C"/>
    <w:rsid w:val="00765387"/>
    <w:rsid w:val="0076763F"/>
    <w:rsid w:val="00767846"/>
    <w:rsid w:val="00770177"/>
    <w:rsid w:val="007703CD"/>
    <w:rsid w:val="00770764"/>
    <w:rsid w:val="0077145F"/>
    <w:rsid w:val="007723D7"/>
    <w:rsid w:val="00773A9B"/>
    <w:rsid w:val="00773EF9"/>
    <w:rsid w:val="00774871"/>
    <w:rsid w:val="00775ED5"/>
    <w:rsid w:val="007764AF"/>
    <w:rsid w:val="00776A2A"/>
    <w:rsid w:val="007773CC"/>
    <w:rsid w:val="00780BB8"/>
    <w:rsid w:val="00781278"/>
    <w:rsid w:val="0078531A"/>
    <w:rsid w:val="00785BAF"/>
    <w:rsid w:val="0078615D"/>
    <w:rsid w:val="007879B5"/>
    <w:rsid w:val="00787A62"/>
    <w:rsid w:val="00790B6F"/>
    <w:rsid w:val="00791662"/>
    <w:rsid w:val="00791923"/>
    <w:rsid w:val="0079258B"/>
    <w:rsid w:val="007A132B"/>
    <w:rsid w:val="007A198A"/>
    <w:rsid w:val="007A25ED"/>
    <w:rsid w:val="007A446C"/>
    <w:rsid w:val="007A4495"/>
    <w:rsid w:val="007A4D77"/>
    <w:rsid w:val="007A65E3"/>
    <w:rsid w:val="007B13ED"/>
    <w:rsid w:val="007B23A3"/>
    <w:rsid w:val="007B366B"/>
    <w:rsid w:val="007B389B"/>
    <w:rsid w:val="007B3A82"/>
    <w:rsid w:val="007B4BC5"/>
    <w:rsid w:val="007B4EE5"/>
    <w:rsid w:val="007B5BE7"/>
    <w:rsid w:val="007B76C7"/>
    <w:rsid w:val="007C1929"/>
    <w:rsid w:val="007C1A1D"/>
    <w:rsid w:val="007C3B14"/>
    <w:rsid w:val="007C4D31"/>
    <w:rsid w:val="007C5423"/>
    <w:rsid w:val="007C653F"/>
    <w:rsid w:val="007C761A"/>
    <w:rsid w:val="007D04CE"/>
    <w:rsid w:val="007D0585"/>
    <w:rsid w:val="007D2193"/>
    <w:rsid w:val="007D38C4"/>
    <w:rsid w:val="007D3DB5"/>
    <w:rsid w:val="007D54FC"/>
    <w:rsid w:val="007D7A38"/>
    <w:rsid w:val="007E020B"/>
    <w:rsid w:val="007E0853"/>
    <w:rsid w:val="007E1620"/>
    <w:rsid w:val="007E2678"/>
    <w:rsid w:val="007E7F34"/>
    <w:rsid w:val="007F1A01"/>
    <w:rsid w:val="007F3284"/>
    <w:rsid w:val="007F3C57"/>
    <w:rsid w:val="007F4A19"/>
    <w:rsid w:val="008019F3"/>
    <w:rsid w:val="00802E84"/>
    <w:rsid w:val="008039C2"/>
    <w:rsid w:val="00804805"/>
    <w:rsid w:val="00805DC7"/>
    <w:rsid w:val="008060C9"/>
    <w:rsid w:val="008063A8"/>
    <w:rsid w:val="00810D3C"/>
    <w:rsid w:val="00813486"/>
    <w:rsid w:val="00813B9C"/>
    <w:rsid w:val="008155F6"/>
    <w:rsid w:val="00817FFA"/>
    <w:rsid w:val="008206B5"/>
    <w:rsid w:val="00823045"/>
    <w:rsid w:val="008231AB"/>
    <w:rsid w:val="008234A7"/>
    <w:rsid w:val="00827B18"/>
    <w:rsid w:val="00831FEF"/>
    <w:rsid w:val="00832434"/>
    <w:rsid w:val="00833493"/>
    <w:rsid w:val="008339F2"/>
    <w:rsid w:val="00835D2D"/>
    <w:rsid w:val="00837C77"/>
    <w:rsid w:val="008417A9"/>
    <w:rsid w:val="00842592"/>
    <w:rsid w:val="008425F0"/>
    <w:rsid w:val="008438E2"/>
    <w:rsid w:val="0084424E"/>
    <w:rsid w:val="00844AE4"/>
    <w:rsid w:val="00845FFA"/>
    <w:rsid w:val="008505BD"/>
    <w:rsid w:val="00851D8B"/>
    <w:rsid w:val="0085229E"/>
    <w:rsid w:val="008550F0"/>
    <w:rsid w:val="00855AE4"/>
    <w:rsid w:val="008615C4"/>
    <w:rsid w:val="00863382"/>
    <w:rsid w:val="00863AB7"/>
    <w:rsid w:val="00863D18"/>
    <w:rsid w:val="00863E2A"/>
    <w:rsid w:val="0086578A"/>
    <w:rsid w:val="008662DE"/>
    <w:rsid w:val="0086796D"/>
    <w:rsid w:val="00867FD2"/>
    <w:rsid w:val="00870DD2"/>
    <w:rsid w:val="0087137F"/>
    <w:rsid w:val="00871742"/>
    <w:rsid w:val="008723C7"/>
    <w:rsid w:val="00874AF3"/>
    <w:rsid w:val="00880514"/>
    <w:rsid w:val="00880B38"/>
    <w:rsid w:val="00881266"/>
    <w:rsid w:val="0088149F"/>
    <w:rsid w:val="00881A5E"/>
    <w:rsid w:val="0088243B"/>
    <w:rsid w:val="008838D1"/>
    <w:rsid w:val="00883AF1"/>
    <w:rsid w:val="0088415B"/>
    <w:rsid w:val="00884E95"/>
    <w:rsid w:val="00885714"/>
    <w:rsid w:val="00885FA3"/>
    <w:rsid w:val="008879DF"/>
    <w:rsid w:val="00887BB8"/>
    <w:rsid w:val="00892BA1"/>
    <w:rsid w:val="008933D0"/>
    <w:rsid w:val="0089353A"/>
    <w:rsid w:val="0089378A"/>
    <w:rsid w:val="00895245"/>
    <w:rsid w:val="008979BE"/>
    <w:rsid w:val="00897ADD"/>
    <w:rsid w:val="00897E2F"/>
    <w:rsid w:val="008A0D3A"/>
    <w:rsid w:val="008A24F0"/>
    <w:rsid w:val="008A4B85"/>
    <w:rsid w:val="008A58ED"/>
    <w:rsid w:val="008A6651"/>
    <w:rsid w:val="008A7754"/>
    <w:rsid w:val="008B16B6"/>
    <w:rsid w:val="008B2733"/>
    <w:rsid w:val="008B37DB"/>
    <w:rsid w:val="008B4305"/>
    <w:rsid w:val="008B5335"/>
    <w:rsid w:val="008B5AEA"/>
    <w:rsid w:val="008B6328"/>
    <w:rsid w:val="008B76C2"/>
    <w:rsid w:val="008C34AA"/>
    <w:rsid w:val="008C34B1"/>
    <w:rsid w:val="008C3AF2"/>
    <w:rsid w:val="008C53A1"/>
    <w:rsid w:val="008C58BF"/>
    <w:rsid w:val="008C6804"/>
    <w:rsid w:val="008C7808"/>
    <w:rsid w:val="008C7C2F"/>
    <w:rsid w:val="008D126B"/>
    <w:rsid w:val="008D3257"/>
    <w:rsid w:val="008D3E5C"/>
    <w:rsid w:val="008D4619"/>
    <w:rsid w:val="008D511E"/>
    <w:rsid w:val="008D56F5"/>
    <w:rsid w:val="008D6286"/>
    <w:rsid w:val="008D6A0D"/>
    <w:rsid w:val="008D6EED"/>
    <w:rsid w:val="008E259C"/>
    <w:rsid w:val="008E4137"/>
    <w:rsid w:val="008E6DDF"/>
    <w:rsid w:val="008E6FE0"/>
    <w:rsid w:val="008E7871"/>
    <w:rsid w:val="008F1934"/>
    <w:rsid w:val="008F3CE2"/>
    <w:rsid w:val="008F5983"/>
    <w:rsid w:val="008F7921"/>
    <w:rsid w:val="008F7BB3"/>
    <w:rsid w:val="00900791"/>
    <w:rsid w:val="009009AA"/>
    <w:rsid w:val="00902FDA"/>
    <w:rsid w:val="00907BF2"/>
    <w:rsid w:val="009117D6"/>
    <w:rsid w:val="009120E2"/>
    <w:rsid w:val="009135AC"/>
    <w:rsid w:val="0091411F"/>
    <w:rsid w:val="00915542"/>
    <w:rsid w:val="00917A1A"/>
    <w:rsid w:val="00920E59"/>
    <w:rsid w:val="00925866"/>
    <w:rsid w:val="00925AE9"/>
    <w:rsid w:val="00926811"/>
    <w:rsid w:val="00930887"/>
    <w:rsid w:val="0093237B"/>
    <w:rsid w:val="00933381"/>
    <w:rsid w:val="00937246"/>
    <w:rsid w:val="00940285"/>
    <w:rsid w:val="00941BFA"/>
    <w:rsid w:val="009438D3"/>
    <w:rsid w:val="00945CA5"/>
    <w:rsid w:val="0094610D"/>
    <w:rsid w:val="0094709A"/>
    <w:rsid w:val="00947C4D"/>
    <w:rsid w:val="00947CCF"/>
    <w:rsid w:val="0095099B"/>
    <w:rsid w:val="00954F45"/>
    <w:rsid w:val="0095663F"/>
    <w:rsid w:val="009577B3"/>
    <w:rsid w:val="009612CE"/>
    <w:rsid w:val="00961748"/>
    <w:rsid w:val="0096213F"/>
    <w:rsid w:val="009632E7"/>
    <w:rsid w:val="0096435C"/>
    <w:rsid w:val="00964F33"/>
    <w:rsid w:val="009658B9"/>
    <w:rsid w:val="00966E27"/>
    <w:rsid w:val="009676A2"/>
    <w:rsid w:val="00970378"/>
    <w:rsid w:val="00970412"/>
    <w:rsid w:val="00970BE4"/>
    <w:rsid w:val="0097174E"/>
    <w:rsid w:val="00973A85"/>
    <w:rsid w:val="00974026"/>
    <w:rsid w:val="00975EDA"/>
    <w:rsid w:val="00976ACB"/>
    <w:rsid w:val="00976F7E"/>
    <w:rsid w:val="009818BD"/>
    <w:rsid w:val="00982F11"/>
    <w:rsid w:val="00984317"/>
    <w:rsid w:val="00987244"/>
    <w:rsid w:val="00987B4E"/>
    <w:rsid w:val="00991D32"/>
    <w:rsid w:val="00992F3F"/>
    <w:rsid w:val="00993125"/>
    <w:rsid w:val="00993387"/>
    <w:rsid w:val="00994611"/>
    <w:rsid w:val="00996B33"/>
    <w:rsid w:val="009A0F6B"/>
    <w:rsid w:val="009A3259"/>
    <w:rsid w:val="009A34E9"/>
    <w:rsid w:val="009A457D"/>
    <w:rsid w:val="009A5E23"/>
    <w:rsid w:val="009A6E5C"/>
    <w:rsid w:val="009B11BB"/>
    <w:rsid w:val="009B1B7E"/>
    <w:rsid w:val="009B25A7"/>
    <w:rsid w:val="009C0488"/>
    <w:rsid w:val="009C08D2"/>
    <w:rsid w:val="009C166A"/>
    <w:rsid w:val="009C3463"/>
    <w:rsid w:val="009C397E"/>
    <w:rsid w:val="009C471F"/>
    <w:rsid w:val="009C57A5"/>
    <w:rsid w:val="009C5B95"/>
    <w:rsid w:val="009D017A"/>
    <w:rsid w:val="009D1B59"/>
    <w:rsid w:val="009D2A04"/>
    <w:rsid w:val="009D2E45"/>
    <w:rsid w:val="009D39E3"/>
    <w:rsid w:val="009D55A5"/>
    <w:rsid w:val="009E0822"/>
    <w:rsid w:val="009E2FE3"/>
    <w:rsid w:val="009E3235"/>
    <w:rsid w:val="009E417C"/>
    <w:rsid w:val="009E4232"/>
    <w:rsid w:val="009E6882"/>
    <w:rsid w:val="009E72C6"/>
    <w:rsid w:val="009F0F6F"/>
    <w:rsid w:val="009F1754"/>
    <w:rsid w:val="009F2F3B"/>
    <w:rsid w:val="009F2FAD"/>
    <w:rsid w:val="009F2FB2"/>
    <w:rsid w:val="009F4754"/>
    <w:rsid w:val="009F6271"/>
    <w:rsid w:val="009F639D"/>
    <w:rsid w:val="009F75AB"/>
    <w:rsid w:val="00A00BF4"/>
    <w:rsid w:val="00A01CB9"/>
    <w:rsid w:val="00A02ACE"/>
    <w:rsid w:val="00A0367F"/>
    <w:rsid w:val="00A03E68"/>
    <w:rsid w:val="00A045CC"/>
    <w:rsid w:val="00A06DFF"/>
    <w:rsid w:val="00A122DA"/>
    <w:rsid w:val="00A13C46"/>
    <w:rsid w:val="00A171C4"/>
    <w:rsid w:val="00A22209"/>
    <w:rsid w:val="00A222F7"/>
    <w:rsid w:val="00A228B3"/>
    <w:rsid w:val="00A23F4F"/>
    <w:rsid w:val="00A2553B"/>
    <w:rsid w:val="00A255B6"/>
    <w:rsid w:val="00A25B01"/>
    <w:rsid w:val="00A2607F"/>
    <w:rsid w:val="00A32A6A"/>
    <w:rsid w:val="00A334DD"/>
    <w:rsid w:val="00A33593"/>
    <w:rsid w:val="00A3628B"/>
    <w:rsid w:val="00A3675F"/>
    <w:rsid w:val="00A37646"/>
    <w:rsid w:val="00A40DE4"/>
    <w:rsid w:val="00A40F6A"/>
    <w:rsid w:val="00A42341"/>
    <w:rsid w:val="00A43033"/>
    <w:rsid w:val="00A43842"/>
    <w:rsid w:val="00A43A7B"/>
    <w:rsid w:val="00A43DB7"/>
    <w:rsid w:val="00A45986"/>
    <w:rsid w:val="00A4663E"/>
    <w:rsid w:val="00A46A7F"/>
    <w:rsid w:val="00A4732E"/>
    <w:rsid w:val="00A474AD"/>
    <w:rsid w:val="00A47D84"/>
    <w:rsid w:val="00A515BA"/>
    <w:rsid w:val="00A52B7D"/>
    <w:rsid w:val="00A5473E"/>
    <w:rsid w:val="00A57EA1"/>
    <w:rsid w:val="00A57FB2"/>
    <w:rsid w:val="00A6256A"/>
    <w:rsid w:val="00A64DFF"/>
    <w:rsid w:val="00A66724"/>
    <w:rsid w:val="00A67AA1"/>
    <w:rsid w:val="00A67FDC"/>
    <w:rsid w:val="00A704A1"/>
    <w:rsid w:val="00A71C63"/>
    <w:rsid w:val="00A72AE8"/>
    <w:rsid w:val="00A745DF"/>
    <w:rsid w:val="00A777AD"/>
    <w:rsid w:val="00A7784A"/>
    <w:rsid w:val="00A81624"/>
    <w:rsid w:val="00A82543"/>
    <w:rsid w:val="00A82F71"/>
    <w:rsid w:val="00A83319"/>
    <w:rsid w:val="00A8629C"/>
    <w:rsid w:val="00A86568"/>
    <w:rsid w:val="00A901E6"/>
    <w:rsid w:val="00A92E01"/>
    <w:rsid w:val="00A959D2"/>
    <w:rsid w:val="00A95F8D"/>
    <w:rsid w:val="00A97A8B"/>
    <w:rsid w:val="00AA3943"/>
    <w:rsid w:val="00AA433A"/>
    <w:rsid w:val="00AA6C71"/>
    <w:rsid w:val="00AA709B"/>
    <w:rsid w:val="00AA7F38"/>
    <w:rsid w:val="00AB1877"/>
    <w:rsid w:val="00AB1FB4"/>
    <w:rsid w:val="00AB22B2"/>
    <w:rsid w:val="00AB37DB"/>
    <w:rsid w:val="00AB413F"/>
    <w:rsid w:val="00AC1310"/>
    <w:rsid w:val="00AC4046"/>
    <w:rsid w:val="00AC630D"/>
    <w:rsid w:val="00AC65E7"/>
    <w:rsid w:val="00AC757A"/>
    <w:rsid w:val="00AC7EC5"/>
    <w:rsid w:val="00AD014C"/>
    <w:rsid w:val="00AD48A2"/>
    <w:rsid w:val="00AE0084"/>
    <w:rsid w:val="00AE1D41"/>
    <w:rsid w:val="00AE26A7"/>
    <w:rsid w:val="00AE35C6"/>
    <w:rsid w:val="00AE3D20"/>
    <w:rsid w:val="00AE410B"/>
    <w:rsid w:val="00AE7F25"/>
    <w:rsid w:val="00AF075F"/>
    <w:rsid w:val="00AF0906"/>
    <w:rsid w:val="00AF0C1B"/>
    <w:rsid w:val="00AF199E"/>
    <w:rsid w:val="00AF1FE1"/>
    <w:rsid w:val="00AF319C"/>
    <w:rsid w:val="00AF3EFF"/>
    <w:rsid w:val="00AF51AE"/>
    <w:rsid w:val="00AF521C"/>
    <w:rsid w:val="00AF7776"/>
    <w:rsid w:val="00AF7812"/>
    <w:rsid w:val="00B00456"/>
    <w:rsid w:val="00B005D7"/>
    <w:rsid w:val="00B00D81"/>
    <w:rsid w:val="00B039B6"/>
    <w:rsid w:val="00B103B0"/>
    <w:rsid w:val="00B16CAD"/>
    <w:rsid w:val="00B170CD"/>
    <w:rsid w:val="00B227A8"/>
    <w:rsid w:val="00B22DF0"/>
    <w:rsid w:val="00B26BDF"/>
    <w:rsid w:val="00B275B7"/>
    <w:rsid w:val="00B31A0A"/>
    <w:rsid w:val="00B3201B"/>
    <w:rsid w:val="00B3334A"/>
    <w:rsid w:val="00B36339"/>
    <w:rsid w:val="00B3661C"/>
    <w:rsid w:val="00B40067"/>
    <w:rsid w:val="00B40267"/>
    <w:rsid w:val="00B409A4"/>
    <w:rsid w:val="00B421F5"/>
    <w:rsid w:val="00B42802"/>
    <w:rsid w:val="00B42AC3"/>
    <w:rsid w:val="00B44012"/>
    <w:rsid w:val="00B45064"/>
    <w:rsid w:val="00B47426"/>
    <w:rsid w:val="00B51F18"/>
    <w:rsid w:val="00B52334"/>
    <w:rsid w:val="00B529A1"/>
    <w:rsid w:val="00B53051"/>
    <w:rsid w:val="00B54AE4"/>
    <w:rsid w:val="00B54FFD"/>
    <w:rsid w:val="00B55897"/>
    <w:rsid w:val="00B566B3"/>
    <w:rsid w:val="00B60983"/>
    <w:rsid w:val="00B613D3"/>
    <w:rsid w:val="00B63526"/>
    <w:rsid w:val="00B63D44"/>
    <w:rsid w:val="00B63EA1"/>
    <w:rsid w:val="00B64117"/>
    <w:rsid w:val="00B64664"/>
    <w:rsid w:val="00B70279"/>
    <w:rsid w:val="00B70D80"/>
    <w:rsid w:val="00B71BB5"/>
    <w:rsid w:val="00B7231E"/>
    <w:rsid w:val="00B7254F"/>
    <w:rsid w:val="00B72B05"/>
    <w:rsid w:val="00B7426C"/>
    <w:rsid w:val="00B74887"/>
    <w:rsid w:val="00B749B0"/>
    <w:rsid w:val="00B7542E"/>
    <w:rsid w:val="00B76234"/>
    <w:rsid w:val="00B820B8"/>
    <w:rsid w:val="00B82A60"/>
    <w:rsid w:val="00B8352D"/>
    <w:rsid w:val="00B84B35"/>
    <w:rsid w:val="00B86D84"/>
    <w:rsid w:val="00B8748A"/>
    <w:rsid w:val="00B87933"/>
    <w:rsid w:val="00B90046"/>
    <w:rsid w:val="00B9185D"/>
    <w:rsid w:val="00B934BE"/>
    <w:rsid w:val="00B94442"/>
    <w:rsid w:val="00B96742"/>
    <w:rsid w:val="00B96A6A"/>
    <w:rsid w:val="00BA0581"/>
    <w:rsid w:val="00BA0708"/>
    <w:rsid w:val="00BA13FA"/>
    <w:rsid w:val="00BA7335"/>
    <w:rsid w:val="00BB4281"/>
    <w:rsid w:val="00BB4A9D"/>
    <w:rsid w:val="00BB4D84"/>
    <w:rsid w:val="00BB6569"/>
    <w:rsid w:val="00BB65E0"/>
    <w:rsid w:val="00BC1F07"/>
    <w:rsid w:val="00BC1FE8"/>
    <w:rsid w:val="00BC442A"/>
    <w:rsid w:val="00BC6541"/>
    <w:rsid w:val="00BD316D"/>
    <w:rsid w:val="00BD32D8"/>
    <w:rsid w:val="00BD5890"/>
    <w:rsid w:val="00BD5A66"/>
    <w:rsid w:val="00BD5ECC"/>
    <w:rsid w:val="00BD7229"/>
    <w:rsid w:val="00BD76C9"/>
    <w:rsid w:val="00BE0784"/>
    <w:rsid w:val="00BE0CC7"/>
    <w:rsid w:val="00BE1BF0"/>
    <w:rsid w:val="00BE2D1C"/>
    <w:rsid w:val="00BE544C"/>
    <w:rsid w:val="00BF0C35"/>
    <w:rsid w:val="00BF18F7"/>
    <w:rsid w:val="00BF3075"/>
    <w:rsid w:val="00BF53A6"/>
    <w:rsid w:val="00BF7ABB"/>
    <w:rsid w:val="00C004D6"/>
    <w:rsid w:val="00C01052"/>
    <w:rsid w:val="00C01503"/>
    <w:rsid w:val="00C04BF2"/>
    <w:rsid w:val="00C04E69"/>
    <w:rsid w:val="00C07014"/>
    <w:rsid w:val="00C109B1"/>
    <w:rsid w:val="00C11806"/>
    <w:rsid w:val="00C119D6"/>
    <w:rsid w:val="00C1272D"/>
    <w:rsid w:val="00C13D0C"/>
    <w:rsid w:val="00C13FCE"/>
    <w:rsid w:val="00C14B84"/>
    <w:rsid w:val="00C154C7"/>
    <w:rsid w:val="00C15AF2"/>
    <w:rsid w:val="00C15C68"/>
    <w:rsid w:val="00C1742A"/>
    <w:rsid w:val="00C207BD"/>
    <w:rsid w:val="00C21723"/>
    <w:rsid w:val="00C232BA"/>
    <w:rsid w:val="00C247EE"/>
    <w:rsid w:val="00C25C14"/>
    <w:rsid w:val="00C27673"/>
    <w:rsid w:val="00C2787C"/>
    <w:rsid w:val="00C302C5"/>
    <w:rsid w:val="00C317CF"/>
    <w:rsid w:val="00C32710"/>
    <w:rsid w:val="00C34655"/>
    <w:rsid w:val="00C35327"/>
    <w:rsid w:val="00C35C50"/>
    <w:rsid w:val="00C404EF"/>
    <w:rsid w:val="00C41892"/>
    <w:rsid w:val="00C4554C"/>
    <w:rsid w:val="00C45AF5"/>
    <w:rsid w:val="00C465BB"/>
    <w:rsid w:val="00C507F0"/>
    <w:rsid w:val="00C50D5C"/>
    <w:rsid w:val="00C517C7"/>
    <w:rsid w:val="00C51DE3"/>
    <w:rsid w:val="00C53A5E"/>
    <w:rsid w:val="00C54469"/>
    <w:rsid w:val="00C552DE"/>
    <w:rsid w:val="00C56D4E"/>
    <w:rsid w:val="00C57424"/>
    <w:rsid w:val="00C5778D"/>
    <w:rsid w:val="00C60836"/>
    <w:rsid w:val="00C60FA2"/>
    <w:rsid w:val="00C62CDA"/>
    <w:rsid w:val="00C6370A"/>
    <w:rsid w:val="00C63BB0"/>
    <w:rsid w:val="00C644A8"/>
    <w:rsid w:val="00C65CEF"/>
    <w:rsid w:val="00C66EF5"/>
    <w:rsid w:val="00C703EB"/>
    <w:rsid w:val="00C71BBB"/>
    <w:rsid w:val="00C71DDE"/>
    <w:rsid w:val="00C725A0"/>
    <w:rsid w:val="00C72F71"/>
    <w:rsid w:val="00C75620"/>
    <w:rsid w:val="00C75952"/>
    <w:rsid w:val="00C7677F"/>
    <w:rsid w:val="00C8066B"/>
    <w:rsid w:val="00C81262"/>
    <w:rsid w:val="00C8146E"/>
    <w:rsid w:val="00C82BCB"/>
    <w:rsid w:val="00C91472"/>
    <w:rsid w:val="00C91EEB"/>
    <w:rsid w:val="00C92836"/>
    <w:rsid w:val="00C9323F"/>
    <w:rsid w:val="00C941C4"/>
    <w:rsid w:val="00C94D86"/>
    <w:rsid w:val="00C96D87"/>
    <w:rsid w:val="00C979E8"/>
    <w:rsid w:val="00CA14FC"/>
    <w:rsid w:val="00CA2AF4"/>
    <w:rsid w:val="00CA4858"/>
    <w:rsid w:val="00CA69CE"/>
    <w:rsid w:val="00CA7156"/>
    <w:rsid w:val="00CA7232"/>
    <w:rsid w:val="00CB0381"/>
    <w:rsid w:val="00CB0F3A"/>
    <w:rsid w:val="00CB1B94"/>
    <w:rsid w:val="00CB23C0"/>
    <w:rsid w:val="00CB28DC"/>
    <w:rsid w:val="00CB450D"/>
    <w:rsid w:val="00CB507C"/>
    <w:rsid w:val="00CB5F7E"/>
    <w:rsid w:val="00CB615C"/>
    <w:rsid w:val="00CB69E9"/>
    <w:rsid w:val="00CB6CEA"/>
    <w:rsid w:val="00CC020C"/>
    <w:rsid w:val="00CC1562"/>
    <w:rsid w:val="00CC214D"/>
    <w:rsid w:val="00CC22A1"/>
    <w:rsid w:val="00CC44AC"/>
    <w:rsid w:val="00CC663D"/>
    <w:rsid w:val="00CC667D"/>
    <w:rsid w:val="00CC707C"/>
    <w:rsid w:val="00CC7C71"/>
    <w:rsid w:val="00CD0C00"/>
    <w:rsid w:val="00CD1997"/>
    <w:rsid w:val="00CD1F98"/>
    <w:rsid w:val="00CD246E"/>
    <w:rsid w:val="00CD330C"/>
    <w:rsid w:val="00CD3E34"/>
    <w:rsid w:val="00CE06B8"/>
    <w:rsid w:val="00CE22CF"/>
    <w:rsid w:val="00CE25C3"/>
    <w:rsid w:val="00CE3BF5"/>
    <w:rsid w:val="00CE6764"/>
    <w:rsid w:val="00CE736F"/>
    <w:rsid w:val="00CF1522"/>
    <w:rsid w:val="00CF5910"/>
    <w:rsid w:val="00CF684E"/>
    <w:rsid w:val="00CF7FD3"/>
    <w:rsid w:val="00D0000C"/>
    <w:rsid w:val="00D025C4"/>
    <w:rsid w:val="00D02E38"/>
    <w:rsid w:val="00D04D6F"/>
    <w:rsid w:val="00D0689C"/>
    <w:rsid w:val="00D07A6A"/>
    <w:rsid w:val="00D108B1"/>
    <w:rsid w:val="00D11497"/>
    <w:rsid w:val="00D12727"/>
    <w:rsid w:val="00D1336F"/>
    <w:rsid w:val="00D1367B"/>
    <w:rsid w:val="00D149AC"/>
    <w:rsid w:val="00D14B52"/>
    <w:rsid w:val="00D14D58"/>
    <w:rsid w:val="00D154C9"/>
    <w:rsid w:val="00D165D0"/>
    <w:rsid w:val="00D20127"/>
    <w:rsid w:val="00D22463"/>
    <w:rsid w:val="00D24575"/>
    <w:rsid w:val="00D247B5"/>
    <w:rsid w:val="00D24D18"/>
    <w:rsid w:val="00D2589F"/>
    <w:rsid w:val="00D30F3F"/>
    <w:rsid w:val="00D31E02"/>
    <w:rsid w:val="00D339A2"/>
    <w:rsid w:val="00D35DAF"/>
    <w:rsid w:val="00D36C83"/>
    <w:rsid w:val="00D40315"/>
    <w:rsid w:val="00D40FA0"/>
    <w:rsid w:val="00D44512"/>
    <w:rsid w:val="00D44984"/>
    <w:rsid w:val="00D478CE"/>
    <w:rsid w:val="00D526F8"/>
    <w:rsid w:val="00D53692"/>
    <w:rsid w:val="00D54B3A"/>
    <w:rsid w:val="00D54EC4"/>
    <w:rsid w:val="00D56C89"/>
    <w:rsid w:val="00D60175"/>
    <w:rsid w:val="00D61102"/>
    <w:rsid w:val="00D617C9"/>
    <w:rsid w:val="00D65B65"/>
    <w:rsid w:val="00D6734E"/>
    <w:rsid w:val="00D701FF"/>
    <w:rsid w:val="00D7200B"/>
    <w:rsid w:val="00D72B2C"/>
    <w:rsid w:val="00D753C1"/>
    <w:rsid w:val="00D80788"/>
    <w:rsid w:val="00D8158A"/>
    <w:rsid w:val="00D8190A"/>
    <w:rsid w:val="00D81B36"/>
    <w:rsid w:val="00D81E51"/>
    <w:rsid w:val="00D8224B"/>
    <w:rsid w:val="00D833D7"/>
    <w:rsid w:val="00D83ADF"/>
    <w:rsid w:val="00D84E6F"/>
    <w:rsid w:val="00D85FB3"/>
    <w:rsid w:val="00D903A2"/>
    <w:rsid w:val="00D91993"/>
    <w:rsid w:val="00D9275B"/>
    <w:rsid w:val="00D93DC6"/>
    <w:rsid w:val="00D952DA"/>
    <w:rsid w:val="00D960AB"/>
    <w:rsid w:val="00D965DE"/>
    <w:rsid w:val="00DA0744"/>
    <w:rsid w:val="00DA088A"/>
    <w:rsid w:val="00DA1A99"/>
    <w:rsid w:val="00DA35E0"/>
    <w:rsid w:val="00DA4376"/>
    <w:rsid w:val="00DA463E"/>
    <w:rsid w:val="00DA63A2"/>
    <w:rsid w:val="00DA7C6D"/>
    <w:rsid w:val="00DA7DB7"/>
    <w:rsid w:val="00DB1224"/>
    <w:rsid w:val="00DB21DA"/>
    <w:rsid w:val="00DB43F0"/>
    <w:rsid w:val="00DB4B9E"/>
    <w:rsid w:val="00DB517D"/>
    <w:rsid w:val="00DB53DB"/>
    <w:rsid w:val="00DC0715"/>
    <w:rsid w:val="00DC0B4F"/>
    <w:rsid w:val="00DC11FD"/>
    <w:rsid w:val="00DC140F"/>
    <w:rsid w:val="00DC239D"/>
    <w:rsid w:val="00DC2F78"/>
    <w:rsid w:val="00DC632E"/>
    <w:rsid w:val="00DC7D75"/>
    <w:rsid w:val="00DD2BAD"/>
    <w:rsid w:val="00DD4069"/>
    <w:rsid w:val="00DD4208"/>
    <w:rsid w:val="00DD43F7"/>
    <w:rsid w:val="00DD446D"/>
    <w:rsid w:val="00DD5D15"/>
    <w:rsid w:val="00DE0863"/>
    <w:rsid w:val="00DE2F1E"/>
    <w:rsid w:val="00DE50B4"/>
    <w:rsid w:val="00DE5549"/>
    <w:rsid w:val="00DE59C9"/>
    <w:rsid w:val="00DE7419"/>
    <w:rsid w:val="00DF3973"/>
    <w:rsid w:val="00DF527B"/>
    <w:rsid w:val="00DF5EFE"/>
    <w:rsid w:val="00DF6985"/>
    <w:rsid w:val="00E009CE"/>
    <w:rsid w:val="00E0347C"/>
    <w:rsid w:val="00E041EE"/>
    <w:rsid w:val="00E050C1"/>
    <w:rsid w:val="00E05D52"/>
    <w:rsid w:val="00E075E2"/>
    <w:rsid w:val="00E10E42"/>
    <w:rsid w:val="00E10FCF"/>
    <w:rsid w:val="00E1250C"/>
    <w:rsid w:val="00E143FE"/>
    <w:rsid w:val="00E165EC"/>
    <w:rsid w:val="00E16669"/>
    <w:rsid w:val="00E17A66"/>
    <w:rsid w:val="00E251B1"/>
    <w:rsid w:val="00E252BB"/>
    <w:rsid w:val="00E2682B"/>
    <w:rsid w:val="00E268BD"/>
    <w:rsid w:val="00E30B5B"/>
    <w:rsid w:val="00E30EC1"/>
    <w:rsid w:val="00E3432C"/>
    <w:rsid w:val="00E40409"/>
    <w:rsid w:val="00E4112B"/>
    <w:rsid w:val="00E42E2E"/>
    <w:rsid w:val="00E452E8"/>
    <w:rsid w:val="00E46E98"/>
    <w:rsid w:val="00E50AFD"/>
    <w:rsid w:val="00E5191F"/>
    <w:rsid w:val="00E52FAF"/>
    <w:rsid w:val="00E535C4"/>
    <w:rsid w:val="00E54650"/>
    <w:rsid w:val="00E60A41"/>
    <w:rsid w:val="00E61109"/>
    <w:rsid w:val="00E61623"/>
    <w:rsid w:val="00E61847"/>
    <w:rsid w:val="00E62255"/>
    <w:rsid w:val="00E622DC"/>
    <w:rsid w:val="00E62E93"/>
    <w:rsid w:val="00E6388C"/>
    <w:rsid w:val="00E63FB7"/>
    <w:rsid w:val="00E65F35"/>
    <w:rsid w:val="00E70294"/>
    <w:rsid w:val="00E71C4E"/>
    <w:rsid w:val="00E72788"/>
    <w:rsid w:val="00E73846"/>
    <w:rsid w:val="00E73D9E"/>
    <w:rsid w:val="00E75A17"/>
    <w:rsid w:val="00E76435"/>
    <w:rsid w:val="00E76A76"/>
    <w:rsid w:val="00E76D62"/>
    <w:rsid w:val="00E77502"/>
    <w:rsid w:val="00E820BA"/>
    <w:rsid w:val="00E84262"/>
    <w:rsid w:val="00E8624C"/>
    <w:rsid w:val="00E878F3"/>
    <w:rsid w:val="00E8798F"/>
    <w:rsid w:val="00E90079"/>
    <w:rsid w:val="00E90FB9"/>
    <w:rsid w:val="00E91F76"/>
    <w:rsid w:val="00E91FFE"/>
    <w:rsid w:val="00E92778"/>
    <w:rsid w:val="00E93014"/>
    <w:rsid w:val="00E96B27"/>
    <w:rsid w:val="00EA082B"/>
    <w:rsid w:val="00EA0DC7"/>
    <w:rsid w:val="00EA36D4"/>
    <w:rsid w:val="00EA4AE3"/>
    <w:rsid w:val="00EA782C"/>
    <w:rsid w:val="00EA7CD8"/>
    <w:rsid w:val="00EB10B7"/>
    <w:rsid w:val="00EB1F94"/>
    <w:rsid w:val="00EB35E4"/>
    <w:rsid w:val="00EB65A8"/>
    <w:rsid w:val="00EB6984"/>
    <w:rsid w:val="00EC3AF8"/>
    <w:rsid w:val="00EC4BDB"/>
    <w:rsid w:val="00EC516F"/>
    <w:rsid w:val="00EC51C0"/>
    <w:rsid w:val="00ED1C5D"/>
    <w:rsid w:val="00ED2C8D"/>
    <w:rsid w:val="00ED2EB2"/>
    <w:rsid w:val="00ED3097"/>
    <w:rsid w:val="00ED3CD1"/>
    <w:rsid w:val="00ED4342"/>
    <w:rsid w:val="00ED5DBA"/>
    <w:rsid w:val="00ED6C66"/>
    <w:rsid w:val="00ED7DB4"/>
    <w:rsid w:val="00ED7F81"/>
    <w:rsid w:val="00EE0091"/>
    <w:rsid w:val="00EE1D39"/>
    <w:rsid w:val="00EE3AF9"/>
    <w:rsid w:val="00EE3CF5"/>
    <w:rsid w:val="00EE3EB2"/>
    <w:rsid w:val="00EE7A7F"/>
    <w:rsid w:val="00EF0A61"/>
    <w:rsid w:val="00EF21DD"/>
    <w:rsid w:val="00EF2335"/>
    <w:rsid w:val="00EF32A9"/>
    <w:rsid w:val="00EF33BB"/>
    <w:rsid w:val="00EF3686"/>
    <w:rsid w:val="00EF3CA5"/>
    <w:rsid w:val="00EF3FFF"/>
    <w:rsid w:val="00EF596E"/>
    <w:rsid w:val="00EF5EA8"/>
    <w:rsid w:val="00EF6740"/>
    <w:rsid w:val="00F026CA"/>
    <w:rsid w:val="00F03C3C"/>
    <w:rsid w:val="00F06026"/>
    <w:rsid w:val="00F13281"/>
    <w:rsid w:val="00F134DC"/>
    <w:rsid w:val="00F21DD4"/>
    <w:rsid w:val="00F24474"/>
    <w:rsid w:val="00F25077"/>
    <w:rsid w:val="00F256AB"/>
    <w:rsid w:val="00F356A6"/>
    <w:rsid w:val="00F40EFA"/>
    <w:rsid w:val="00F43EBC"/>
    <w:rsid w:val="00F5297E"/>
    <w:rsid w:val="00F52D59"/>
    <w:rsid w:val="00F535F1"/>
    <w:rsid w:val="00F53EFF"/>
    <w:rsid w:val="00F54932"/>
    <w:rsid w:val="00F54EFB"/>
    <w:rsid w:val="00F54F4A"/>
    <w:rsid w:val="00F55A9E"/>
    <w:rsid w:val="00F55D06"/>
    <w:rsid w:val="00F579AC"/>
    <w:rsid w:val="00F60AE0"/>
    <w:rsid w:val="00F62426"/>
    <w:rsid w:val="00F65144"/>
    <w:rsid w:val="00F66A48"/>
    <w:rsid w:val="00F676F2"/>
    <w:rsid w:val="00F711F5"/>
    <w:rsid w:val="00F731C8"/>
    <w:rsid w:val="00F749D4"/>
    <w:rsid w:val="00F764AB"/>
    <w:rsid w:val="00F81AB6"/>
    <w:rsid w:val="00F83744"/>
    <w:rsid w:val="00F8465A"/>
    <w:rsid w:val="00F84665"/>
    <w:rsid w:val="00F855A3"/>
    <w:rsid w:val="00F87805"/>
    <w:rsid w:val="00F87872"/>
    <w:rsid w:val="00F87CC1"/>
    <w:rsid w:val="00F9081C"/>
    <w:rsid w:val="00F91AAF"/>
    <w:rsid w:val="00F92551"/>
    <w:rsid w:val="00F93397"/>
    <w:rsid w:val="00F96752"/>
    <w:rsid w:val="00F9684D"/>
    <w:rsid w:val="00FA196E"/>
    <w:rsid w:val="00FA31F1"/>
    <w:rsid w:val="00FA4960"/>
    <w:rsid w:val="00FA618C"/>
    <w:rsid w:val="00FA65CB"/>
    <w:rsid w:val="00FB0540"/>
    <w:rsid w:val="00FB0840"/>
    <w:rsid w:val="00FB10FA"/>
    <w:rsid w:val="00FB1463"/>
    <w:rsid w:val="00FB38E1"/>
    <w:rsid w:val="00FB3B0B"/>
    <w:rsid w:val="00FB3D93"/>
    <w:rsid w:val="00FB47E8"/>
    <w:rsid w:val="00FB5D02"/>
    <w:rsid w:val="00FB61F5"/>
    <w:rsid w:val="00FB67E2"/>
    <w:rsid w:val="00FB6E10"/>
    <w:rsid w:val="00FB7FBC"/>
    <w:rsid w:val="00FC293A"/>
    <w:rsid w:val="00FC2F6D"/>
    <w:rsid w:val="00FC49F8"/>
    <w:rsid w:val="00FC53A5"/>
    <w:rsid w:val="00FC5811"/>
    <w:rsid w:val="00FC5FF4"/>
    <w:rsid w:val="00FC7007"/>
    <w:rsid w:val="00FC7C21"/>
    <w:rsid w:val="00FD0445"/>
    <w:rsid w:val="00FD0517"/>
    <w:rsid w:val="00FD2604"/>
    <w:rsid w:val="00FD555E"/>
    <w:rsid w:val="00FD6D0B"/>
    <w:rsid w:val="00FD725F"/>
    <w:rsid w:val="00FE1CD4"/>
    <w:rsid w:val="00FE36FF"/>
    <w:rsid w:val="00FE3E32"/>
    <w:rsid w:val="00FE7A34"/>
    <w:rsid w:val="00FE7CBE"/>
    <w:rsid w:val="00FF0A90"/>
    <w:rsid w:val="00FF135E"/>
    <w:rsid w:val="00FF5CC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2AFF469"/>
  <w15:docId w15:val="{C89ED50E-A5AE-4631-9829-7CD8EEF8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EFD"/>
    <w:pPr>
      <w:suppressAutoHyphens/>
      <w:spacing w:after="0" w:line="240" w:lineRule="auto"/>
    </w:pPr>
    <w:rPr>
      <w:rFonts w:ascii="Arial" w:eastAsia="Times New Roman" w:hAnsi="Arial" w:cs="Times New Roman"/>
      <w:szCs w:val="20"/>
      <w:lang w:val="en-US"/>
    </w:rPr>
  </w:style>
  <w:style w:type="paragraph" w:styleId="Heading1">
    <w:name w:val="heading 1"/>
    <w:basedOn w:val="Normal"/>
    <w:next w:val="Text"/>
    <w:link w:val="Heading1Char"/>
    <w:qFormat/>
    <w:rsid w:val="009A0F6B"/>
    <w:pPr>
      <w:keepNext/>
      <w:numPr>
        <w:numId w:val="4"/>
      </w:numPr>
      <w:spacing w:before="120" w:after="120"/>
      <w:outlineLvl w:val="0"/>
    </w:pPr>
    <w:rPr>
      <w:b/>
    </w:rPr>
  </w:style>
  <w:style w:type="paragraph" w:styleId="Heading2">
    <w:name w:val="heading 2"/>
    <w:basedOn w:val="Heading1"/>
    <w:next w:val="Text"/>
    <w:link w:val="Heading2Char"/>
    <w:qFormat/>
    <w:rsid w:val="009A0F6B"/>
    <w:pPr>
      <w:numPr>
        <w:ilvl w:val="1"/>
      </w:numPr>
      <w:outlineLvl w:val="1"/>
    </w:pPr>
  </w:style>
  <w:style w:type="paragraph" w:styleId="Heading3">
    <w:name w:val="heading 3"/>
    <w:basedOn w:val="Heading2"/>
    <w:next w:val="Text"/>
    <w:link w:val="Heading3Char"/>
    <w:qFormat/>
    <w:rsid w:val="009A0F6B"/>
    <w:pPr>
      <w:numPr>
        <w:ilvl w:val="2"/>
      </w:numPr>
      <w:outlineLvl w:val="2"/>
    </w:pPr>
  </w:style>
  <w:style w:type="paragraph" w:styleId="Heading4">
    <w:name w:val="heading 4"/>
    <w:basedOn w:val="Heading2"/>
    <w:next w:val="Text"/>
    <w:link w:val="Heading4Char"/>
    <w:qFormat/>
    <w:rsid w:val="009A0F6B"/>
    <w:pPr>
      <w:numPr>
        <w:ilvl w:val="3"/>
      </w:numPr>
      <w:outlineLvl w:val="3"/>
    </w:pPr>
  </w:style>
  <w:style w:type="paragraph" w:styleId="Heading5">
    <w:name w:val="heading 5"/>
    <w:basedOn w:val="Heading2"/>
    <w:next w:val="Text"/>
    <w:link w:val="Heading5Char"/>
    <w:qFormat/>
    <w:rsid w:val="009A0F6B"/>
    <w:pPr>
      <w:numPr>
        <w:ilvl w:val="4"/>
      </w:numPr>
      <w:outlineLvl w:val="4"/>
    </w:pPr>
  </w:style>
  <w:style w:type="paragraph" w:styleId="Heading6">
    <w:name w:val="heading 6"/>
    <w:basedOn w:val="Heading2"/>
    <w:next w:val="Text"/>
    <w:link w:val="Heading6Char"/>
    <w:qFormat/>
    <w:rsid w:val="009A0F6B"/>
    <w:pPr>
      <w:numPr>
        <w:ilvl w:val="5"/>
      </w:numPr>
      <w:outlineLvl w:val="5"/>
    </w:pPr>
  </w:style>
  <w:style w:type="paragraph" w:styleId="Heading7">
    <w:name w:val="heading 7"/>
    <w:basedOn w:val="Heading2"/>
    <w:next w:val="Text"/>
    <w:link w:val="Heading7Char"/>
    <w:qFormat/>
    <w:rsid w:val="009A0F6B"/>
    <w:pPr>
      <w:numPr>
        <w:ilvl w:val="6"/>
      </w:numPr>
      <w:outlineLvl w:val="6"/>
    </w:pPr>
  </w:style>
  <w:style w:type="paragraph" w:styleId="Heading8">
    <w:name w:val="heading 8"/>
    <w:basedOn w:val="Heading2"/>
    <w:next w:val="Text"/>
    <w:link w:val="Heading8Char"/>
    <w:qFormat/>
    <w:rsid w:val="009A0F6B"/>
    <w:pPr>
      <w:numPr>
        <w:ilvl w:val="7"/>
      </w:numPr>
      <w:outlineLvl w:val="7"/>
    </w:pPr>
  </w:style>
  <w:style w:type="paragraph" w:styleId="Heading9">
    <w:name w:val="heading 9"/>
    <w:basedOn w:val="Heading2"/>
    <w:next w:val="Text"/>
    <w:link w:val="Heading9Char"/>
    <w:qFormat/>
    <w:rsid w:val="009A0F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08A"/>
    <w:pPr>
      <w:ind w:left="720"/>
      <w:contextualSpacing/>
    </w:pPr>
  </w:style>
  <w:style w:type="character" w:customStyle="1" w:styleId="Heading1Char">
    <w:name w:val="Heading 1 Char"/>
    <w:basedOn w:val="DefaultParagraphFont"/>
    <w:link w:val="Heading1"/>
    <w:rsid w:val="001A1ABD"/>
    <w:rPr>
      <w:rFonts w:ascii="Arial" w:eastAsia="Times New Roman" w:hAnsi="Arial" w:cs="Times New Roman"/>
      <w:b/>
      <w:szCs w:val="20"/>
      <w:lang w:val="en-US"/>
    </w:rPr>
  </w:style>
  <w:style w:type="character" w:customStyle="1" w:styleId="Heading2Char">
    <w:name w:val="Heading 2 Char"/>
    <w:basedOn w:val="DefaultParagraphFont"/>
    <w:link w:val="Heading2"/>
    <w:rsid w:val="001A1ABD"/>
    <w:rPr>
      <w:rFonts w:ascii="Arial" w:eastAsia="Times New Roman" w:hAnsi="Arial" w:cs="Times New Roman"/>
      <w:b/>
      <w:szCs w:val="20"/>
      <w:lang w:val="en-US"/>
    </w:rPr>
  </w:style>
  <w:style w:type="character" w:customStyle="1" w:styleId="Heading3Char">
    <w:name w:val="Heading 3 Char"/>
    <w:basedOn w:val="DefaultParagraphFont"/>
    <w:link w:val="Heading3"/>
    <w:rsid w:val="003C782F"/>
    <w:rPr>
      <w:rFonts w:ascii="Arial" w:eastAsia="Times New Roman" w:hAnsi="Arial" w:cs="Times New Roman"/>
      <w:b/>
      <w:szCs w:val="20"/>
      <w:lang w:val="en-US"/>
    </w:rPr>
  </w:style>
  <w:style w:type="paragraph" w:styleId="Header">
    <w:name w:val="header"/>
    <w:basedOn w:val="Normal"/>
    <w:link w:val="HeaderChar"/>
    <w:rsid w:val="009A0F6B"/>
    <w:pPr>
      <w:keepLines/>
      <w:pBdr>
        <w:bottom w:val="single" w:sz="12" w:space="6" w:color="auto"/>
      </w:pBdr>
      <w:tabs>
        <w:tab w:val="right" w:pos="8640"/>
      </w:tabs>
      <w:spacing w:line="200" w:lineRule="atLeast"/>
    </w:pPr>
    <w:rPr>
      <w:b/>
      <w:sz w:val="20"/>
    </w:rPr>
  </w:style>
  <w:style w:type="character" w:customStyle="1" w:styleId="HeaderChar">
    <w:name w:val="Header Char"/>
    <w:basedOn w:val="DefaultParagraphFont"/>
    <w:link w:val="Header"/>
    <w:rsid w:val="00245127"/>
    <w:rPr>
      <w:rFonts w:ascii="Arial" w:eastAsia="Times New Roman" w:hAnsi="Arial" w:cs="Times New Roman"/>
      <w:b/>
      <w:sz w:val="20"/>
      <w:szCs w:val="20"/>
      <w:lang w:val="en-US"/>
    </w:rPr>
  </w:style>
  <w:style w:type="paragraph" w:styleId="Footer">
    <w:name w:val="footer"/>
    <w:basedOn w:val="Normal"/>
    <w:link w:val="FooterChar"/>
    <w:rsid w:val="009A0F6B"/>
    <w:pPr>
      <w:keepLines/>
      <w:pBdr>
        <w:top w:val="single" w:sz="12" w:space="6" w:color="auto"/>
      </w:pBdr>
      <w:tabs>
        <w:tab w:val="center" w:pos="4320"/>
        <w:tab w:val="right" w:pos="8640"/>
      </w:tabs>
      <w:spacing w:line="200" w:lineRule="atLeast"/>
    </w:pPr>
    <w:rPr>
      <w:b/>
      <w:sz w:val="20"/>
    </w:rPr>
  </w:style>
  <w:style w:type="character" w:customStyle="1" w:styleId="FooterChar">
    <w:name w:val="Footer Char"/>
    <w:basedOn w:val="DefaultParagraphFont"/>
    <w:link w:val="Footer"/>
    <w:rsid w:val="00245127"/>
    <w:rPr>
      <w:rFonts w:ascii="Arial" w:eastAsia="Times New Roman" w:hAnsi="Arial" w:cs="Times New Roman"/>
      <w:b/>
      <w:sz w:val="20"/>
      <w:szCs w:val="20"/>
      <w:lang w:val="en-US"/>
    </w:rPr>
  </w:style>
  <w:style w:type="paragraph" w:styleId="BalloonText">
    <w:name w:val="Balloon Text"/>
    <w:basedOn w:val="Normal"/>
    <w:link w:val="BalloonTextChar"/>
    <w:rsid w:val="009A0F6B"/>
    <w:rPr>
      <w:rFonts w:ascii="Tahoma" w:hAnsi="Tahoma" w:cs="Tahoma"/>
      <w:sz w:val="16"/>
      <w:szCs w:val="16"/>
    </w:rPr>
  </w:style>
  <w:style w:type="character" w:customStyle="1" w:styleId="BalloonTextChar">
    <w:name w:val="Balloon Text Char"/>
    <w:basedOn w:val="DefaultParagraphFont"/>
    <w:link w:val="BalloonText"/>
    <w:rsid w:val="009A0F6B"/>
    <w:rPr>
      <w:rFonts w:ascii="Tahoma" w:eastAsia="Times New Roman" w:hAnsi="Tahoma" w:cs="Tahoma"/>
      <w:sz w:val="16"/>
      <w:szCs w:val="16"/>
      <w:lang w:val="en-US"/>
    </w:rPr>
  </w:style>
  <w:style w:type="character" w:styleId="Hyperlink">
    <w:name w:val="Hyperlink"/>
    <w:basedOn w:val="DefaultParagraphFont"/>
    <w:uiPriority w:val="99"/>
    <w:rsid w:val="009A0F6B"/>
    <w:rPr>
      <w:color w:val="0000FF"/>
      <w:u w:val="single"/>
    </w:rPr>
  </w:style>
  <w:style w:type="character" w:customStyle="1" w:styleId="Heading4Char">
    <w:name w:val="Heading 4 Char"/>
    <w:basedOn w:val="DefaultParagraphFont"/>
    <w:link w:val="Heading4"/>
    <w:rsid w:val="00B86D84"/>
    <w:rPr>
      <w:rFonts w:ascii="Arial" w:eastAsia="Times New Roman" w:hAnsi="Arial" w:cs="Times New Roman"/>
      <w:b/>
      <w:szCs w:val="20"/>
      <w:lang w:val="en-US"/>
    </w:rPr>
  </w:style>
  <w:style w:type="character" w:customStyle="1" w:styleId="Heading5Char">
    <w:name w:val="Heading 5 Char"/>
    <w:basedOn w:val="DefaultParagraphFont"/>
    <w:link w:val="Heading5"/>
    <w:rsid w:val="00B86D84"/>
    <w:rPr>
      <w:rFonts w:ascii="Arial" w:eastAsia="Times New Roman" w:hAnsi="Arial" w:cs="Times New Roman"/>
      <w:b/>
      <w:szCs w:val="20"/>
      <w:lang w:val="en-US"/>
    </w:rPr>
  </w:style>
  <w:style w:type="character" w:customStyle="1" w:styleId="Heading6Char">
    <w:name w:val="Heading 6 Char"/>
    <w:basedOn w:val="DefaultParagraphFont"/>
    <w:link w:val="Heading6"/>
    <w:rsid w:val="00B86D84"/>
    <w:rPr>
      <w:rFonts w:ascii="Arial" w:eastAsia="Times New Roman" w:hAnsi="Arial" w:cs="Times New Roman"/>
      <w:b/>
      <w:szCs w:val="20"/>
      <w:lang w:val="en-US"/>
    </w:rPr>
  </w:style>
  <w:style w:type="character" w:customStyle="1" w:styleId="Heading7Char">
    <w:name w:val="Heading 7 Char"/>
    <w:basedOn w:val="DefaultParagraphFont"/>
    <w:link w:val="Heading7"/>
    <w:rsid w:val="00B86D84"/>
    <w:rPr>
      <w:rFonts w:ascii="Arial" w:eastAsia="Times New Roman" w:hAnsi="Arial" w:cs="Times New Roman"/>
      <w:b/>
      <w:szCs w:val="20"/>
      <w:lang w:val="en-US"/>
    </w:rPr>
  </w:style>
  <w:style w:type="character" w:customStyle="1" w:styleId="Heading8Char">
    <w:name w:val="Heading 8 Char"/>
    <w:basedOn w:val="DefaultParagraphFont"/>
    <w:link w:val="Heading8"/>
    <w:rsid w:val="00B86D84"/>
    <w:rPr>
      <w:rFonts w:ascii="Arial" w:eastAsia="Times New Roman" w:hAnsi="Arial" w:cs="Times New Roman"/>
      <w:b/>
      <w:szCs w:val="20"/>
      <w:lang w:val="en-US"/>
    </w:rPr>
  </w:style>
  <w:style w:type="character" w:customStyle="1" w:styleId="Heading9Char">
    <w:name w:val="Heading 9 Char"/>
    <w:basedOn w:val="DefaultParagraphFont"/>
    <w:link w:val="Heading9"/>
    <w:rsid w:val="00B86D84"/>
    <w:rPr>
      <w:rFonts w:ascii="Arial" w:eastAsia="Times New Roman" w:hAnsi="Arial" w:cs="Times New Roman"/>
      <w:b/>
      <w:szCs w:val="20"/>
      <w:lang w:val="en-US"/>
    </w:rPr>
  </w:style>
  <w:style w:type="paragraph" w:customStyle="1" w:styleId="Text">
    <w:name w:val="Text"/>
    <w:aliases w:val="本文,JP Body Text,??,Body Text1,本文1,Body Text2,Body Text21,Body Text11,Body Text111"/>
    <w:basedOn w:val="Normal"/>
    <w:link w:val="TextChar"/>
    <w:rsid w:val="009A0F6B"/>
    <w:pPr>
      <w:spacing w:before="120" w:after="120" w:line="360" w:lineRule="auto"/>
    </w:pPr>
  </w:style>
  <w:style w:type="paragraph" w:styleId="Caption">
    <w:name w:val="caption"/>
    <w:aliases w:val="Caption Char1 Char,Caption Char Char Char,Caption Table...,Caption Char1 + 8 pt,Not B....,Caption Table,...,Caption 3,Vion Caption,Company Caption,Bayer Caption,IB Caption,IB Caption + ...,Onyx Caption,figure,Caption-FUSA,caption,Caption Char1"/>
    <w:basedOn w:val="Normal"/>
    <w:next w:val="Text"/>
    <w:link w:val="CaptionChar"/>
    <w:qFormat/>
    <w:rsid w:val="009A0F6B"/>
    <w:pPr>
      <w:keepNext/>
      <w:spacing w:before="300" w:after="100"/>
      <w:jc w:val="center"/>
    </w:pPr>
    <w:rPr>
      <w:b/>
    </w:rPr>
  </w:style>
  <w:style w:type="paragraph" w:styleId="Title">
    <w:name w:val="Title"/>
    <w:basedOn w:val="Normal"/>
    <w:link w:val="TitleChar"/>
    <w:qFormat/>
    <w:rsid w:val="009A0F6B"/>
    <w:pPr>
      <w:suppressAutoHyphens w:val="0"/>
      <w:spacing w:before="240" w:after="60"/>
      <w:jc w:val="center"/>
      <w:outlineLvl w:val="0"/>
    </w:pPr>
    <w:rPr>
      <w:b/>
      <w:kern w:val="28"/>
      <w:sz w:val="32"/>
    </w:rPr>
  </w:style>
  <w:style w:type="character" w:customStyle="1" w:styleId="TitleChar">
    <w:name w:val="Title Char"/>
    <w:basedOn w:val="DefaultParagraphFont"/>
    <w:link w:val="Title"/>
    <w:rsid w:val="00B86D84"/>
    <w:rPr>
      <w:rFonts w:ascii="Arial" w:eastAsia="Times New Roman" w:hAnsi="Arial" w:cs="Times New Roman"/>
      <w:b/>
      <w:kern w:val="28"/>
      <w:sz w:val="32"/>
      <w:szCs w:val="20"/>
      <w:lang w:val="en-US"/>
    </w:rPr>
  </w:style>
  <w:style w:type="paragraph" w:customStyle="1" w:styleId="Heading7Bold">
    <w:name w:val="Heading 7Bold"/>
    <w:basedOn w:val="Normal"/>
    <w:next w:val="Text"/>
    <w:rsid w:val="009A0F6B"/>
    <w:pPr>
      <w:keepNext/>
      <w:spacing w:before="120" w:after="120"/>
    </w:pPr>
    <w:rPr>
      <w:b/>
    </w:rPr>
  </w:style>
  <w:style w:type="paragraph" w:customStyle="1" w:styleId="Heading8BoldItalic">
    <w:name w:val="Heading 8BoldItalic"/>
    <w:basedOn w:val="Normal"/>
    <w:next w:val="Text"/>
    <w:rsid w:val="009A0F6B"/>
    <w:pPr>
      <w:keepNext/>
      <w:spacing w:before="120" w:after="120"/>
    </w:pPr>
    <w:rPr>
      <w:b/>
      <w:i/>
    </w:rPr>
  </w:style>
  <w:style w:type="paragraph" w:customStyle="1" w:styleId="Heading9Italic">
    <w:name w:val="Heading 9Italic"/>
    <w:basedOn w:val="Normal"/>
    <w:next w:val="Text"/>
    <w:rsid w:val="009A0F6B"/>
    <w:pPr>
      <w:keepNext/>
      <w:spacing w:before="120" w:after="120"/>
    </w:pPr>
    <w:rPr>
      <w:i/>
    </w:rPr>
  </w:style>
  <w:style w:type="paragraph" w:customStyle="1" w:styleId="CenterBold">
    <w:name w:val="CenterBold"/>
    <w:basedOn w:val="Normal"/>
    <w:next w:val="Normal"/>
    <w:rsid w:val="009A0F6B"/>
    <w:pPr>
      <w:keepNext/>
      <w:keepLines/>
      <w:spacing w:before="300" w:after="120"/>
      <w:jc w:val="center"/>
    </w:pPr>
    <w:rPr>
      <w:b/>
    </w:rPr>
  </w:style>
  <w:style w:type="paragraph" w:customStyle="1" w:styleId="Confidential">
    <w:name w:val="Confidential"/>
    <w:basedOn w:val="Normal"/>
    <w:semiHidden/>
    <w:rsid w:val="009A0F6B"/>
    <w:pPr>
      <w:keepLines/>
      <w:framePr w:w="5760" w:hSpace="187" w:vSpace="144" w:wrap="notBeside" w:vAnchor="page" w:hAnchor="text" w:xAlign="center" w:yAlign="center"/>
      <w:pBdr>
        <w:top w:val="single" w:sz="6" w:space="3" w:color="auto"/>
        <w:left w:val="single" w:sz="6" w:space="3" w:color="auto"/>
        <w:bottom w:val="single" w:sz="6" w:space="3" w:color="auto"/>
        <w:right w:val="single" w:sz="6" w:space="3" w:color="auto"/>
      </w:pBdr>
      <w:spacing w:after="200" w:line="300" w:lineRule="atLeast"/>
      <w:jc w:val="center"/>
    </w:pPr>
  </w:style>
  <w:style w:type="paragraph" w:customStyle="1" w:styleId="CoverPage">
    <w:name w:val="CoverPage"/>
    <w:basedOn w:val="CenterBold"/>
    <w:semiHidden/>
    <w:rsid w:val="009A0F6B"/>
    <w:pPr>
      <w:spacing w:before="400" w:after="400"/>
    </w:pPr>
    <w:rPr>
      <w:sz w:val="24"/>
    </w:rPr>
  </w:style>
  <w:style w:type="paragraph" w:customStyle="1" w:styleId="FigureLegend">
    <w:name w:val="FigureLegend"/>
    <w:basedOn w:val="Text"/>
    <w:rsid w:val="009A0F6B"/>
    <w:pPr>
      <w:keepLines/>
      <w:spacing w:after="0" w:line="240" w:lineRule="auto"/>
    </w:pPr>
    <w:rPr>
      <w:sz w:val="18"/>
    </w:rPr>
  </w:style>
  <w:style w:type="paragraph" w:customStyle="1" w:styleId="FlushLeftBold">
    <w:name w:val="FlushLeftBold"/>
    <w:basedOn w:val="Normal"/>
    <w:next w:val="Text"/>
    <w:rsid w:val="009A0F6B"/>
    <w:pPr>
      <w:keepNext/>
      <w:keepLines/>
      <w:spacing w:before="120" w:after="120"/>
    </w:pPr>
    <w:rPr>
      <w:b/>
    </w:rPr>
  </w:style>
  <w:style w:type="paragraph" w:customStyle="1" w:styleId="FootnoteLine">
    <w:name w:val="FootnoteLine"/>
    <w:basedOn w:val="Normal"/>
    <w:next w:val="Normal"/>
    <w:semiHidden/>
    <w:rsid w:val="009A0F6B"/>
    <w:pPr>
      <w:pBdr>
        <w:bottom w:val="single" w:sz="6" w:space="6" w:color="auto"/>
      </w:pBdr>
      <w:spacing w:line="160" w:lineRule="atLeast"/>
    </w:pPr>
    <w:rPr>
      <w:sz w:val="16"/>
    </w:rPr>
  </w:style>
  <w:style w:type="paragraph" w:customStyle="1" w:styleId="FootnoteText">
    <w:name w:val="FootnoteText"/>
    <w:basedOn w:val="TableLeftAlign"/>
    <w:next w:val="Text"/>
    <w:rsid w:val="009A0F6B"/>
    <w:pPr>
      <w:keepLines/>
      <w:spacing w:before="0" w:after="0" w:line="240" w:lineRule="auto"/>
      <w:ind w:left="144" w:hanging="144"/>
    </w:pPr>
    <w:rPr>
      <w:sz w:val="18"/>
    </w:rPr>
  </w:style>
  <w:style w:type="paragraph" w:customStyle="1" w:styleId="TableLeftAlign">
    <w:name w:val="TableLeftAlign"/>
    <w:basedOn w:val="Normal"/>
    <w:link w:val="TableLeftAlignChar"/>
    <w:rsid w:val="009A0F6B"/>
    <w:pPr>
      <w:spacing w:before="60" w:after="60" w:line="240" w:lineRule="atLeast"/>
    </w:pPr>
  </w:style>
  <w:style w:type="paragraph" w:customStyle="1" w:styleId="Insert">
    <w:name w:val="Insert"/>
    <w:basedOn w:val="Normal"/>
    <w:rsid w:val="009A0F6B"/>
    <w:pPr>
      <w:spacing w:before="100" w:after="100"/>
      <w:jc w:val="center"/>
    </w:pPr>
  </w:style>
  <w:style w:type="character" w:styleId="PageNumber">
    <w:name w:val="page number"/>
    <w:basedOn w:val="DefaultParagraphFont"/>
    <w:semiHidden/>
    <w:rsid w:val="009A0F6B"/>
  </w:style>
  <w:style w:type="paragraph" w:customStyle="1" w:styleId="TextList">
    <w:name w:val="TextList"/>
    <w:basedOn w:val="Text"/>
    <w:rsid w:val="009A0F6B"/>
    <w:pPr>
      <w:spacing w:after="100" w:line="280" w:lineRule="atLeast"/>
      <w:ind w:left="360" w:hanging="360"/>
    </w:pPr>
  </w:style>
  <w:style w:type="paragraph" w:customStyle="1" w:styleId="RefList">
    <w:name w:val="RefList#"/>
    <w:basedOn w:val="TextList"/>
    <w:rsid w:val="009A0F6B"/>
    <w:pPr>
      <w:keepLines/>
      <w:spacing w:after="0" w:line="240" w:lineRule="auto"/>
    </w:pPr>
  </w:style>
  <w:style w:type="paragraph" w:customStyle="1" w:styleId="RefListAlpha">
    <w:name w:val="RefListAlpha"/>
    <w:basedOn w:val="Text"/>
    <w:rsid w:val="009A0F6B"/>
    <w:pPr>
      <w:keepLines/>
      <w:spacing w:line="240" w:lineRule="auto"/>
    </w:pPr>
  </w:style>
  <w:style w:type="paragraph" w:customStyle="1" w:styleId="RightTabBold">
    <w:name w:val="RightTabBold"/>
    <w:basedOn w:val="Normal"/>
    <w:semiHidden/>
    <w:rsid w:val="009A0F6B"/>
    <w:pPr>
      <w:tabs>
        <w:tab w:val="right" w:pos="8640"/>
      </w:tabs>
      <w:spacing w:before="100" w:after="100"/>
    </w:pPr>
    <w:rPr>
      <w:b/>
    </w:rPr>
  </w:style>
  <w:style w:type="paragraph" w:customStyle="1" w:styleId="SectionBreak">
    <w:name w:val="SectionBreak"/>
    <w:basedOn w:val="Normal"/>
    <w:next w:val="Text"/>
    <w:semiHidden/>
    <w:rsid w:val="009A0F6B"/>
  </w:style>
  <w:style w:type="paragraph" w:styleId="TableofFigures">
    <w:name w:val="table of figures"/>
    <w:basedOn w:val="Text"/>
    <w:next w:val="Text"/>
    <w:rsid w:val="009A0F6B"/>
    <w:pPr>
      <w:keepLines/>
      <w:tabs>
        <w:tab w:val="right" w:leader="dot" w:pos="8640"/>
      </w:tabs>
      <w:spacing w:before="0" w:line="240" w:lineRule="auto"/>
      <w:ind w:left="1426" w:right="1080" w:hanging="1426"/>
    </w:pPr>
    <w:rPr>
      <w:color w:val="0000FF"/>
    </w:rPr>
  </w:style>
  <w:style w:type="paragraph" w:customStyle="1" w:styleId="TableCenterAlign">
    <w:name w:val="TableCenterAlign"/>
    <w:basedOn w:val="Normal"/>
    <w:link w:val="TableCenterAlignChar"/>
    <w:rsid w:val="009A0F6B"/>
    <w:pPr>
      <w:spacing w:before="60" w:after="60" w:line="240" w:lineRule="atLeast"/>
      <w:jc w:val="center"/>
    </w:pPr>
  </w:style>
  <w:style w:type="paragraph" w:customStyle="1" w:styleId="TextBullet">
    <w:name w:val="TextBullet"/>
    <w:basedOn w:val="Normal"/>
    <w:rsid w:val="009A0F6B"/>
    <w:pPr>
      <w:numPr>
        <w:numId w:val="2"/>
      </w:numPr>
      <w:spacing w:after="100"/>
    </w:pPr>
  </w:style>
  <w:style w:type="paragraph" w:customStyle="1" w:styleId="TextDash">
    <w:name w:val="TextDash"/>
    <w:basedOn w:val="TextBullet"/>
    <w:rsid w:val="009A0F6B"/>
    <w:pPr>
      <w:numPr>
        <w:numId w:val="1"/>
      </w:numPr>
    </w:pPr>
  </w:style>
  <w:style w:type="paragraph" w:customStyle="1" w:styleId="TextIndent">
    <w:name w:val="TextIndent"/>
    <w:basedOn w:val="Text"/>
    <w:rsid w:val="009A0F6B"/>
    <w:pPr>
      <w:spacing w:line="280" w:lineRule="atLeast"/>
      <w:ind w:left="360"/>
    </w:pPr>
  </w:style>
  <w:style w:type="paragraph" w:customStyle="1" w:styleId="TextSingleSpace">
    <w:name w:val="TextSingleSpace"/>
    <w:basedOn w:val="Text"/>
    <w:rsid w:val="009A0F6B"/>
    <w:pPr>
      <w:spacing w:line="240" w:lineRule="auto"/>
    </w:pPr>
  </w:style>
  <w:style w:type="paragraph" w:styleId="TOC1">
    <w:name w:val="toc 1"/>
    <w:basedOn w:val="Text"/>
    <w:next w:val="Text"/>
    <w:autoRedefine/>
    <w:rsid w:val="009A0F6B"/>
    <w:pPr>
      <w:keepLines/>
      <w:tabs>
        <w:tab w:val="right" w:leader="dot" w:pos="8640"/>
      </w:tabs>
      <w:spacing w:before="200" w:after="0" w:line="240" w:lineRule="auto"/>
      <w:ind w:left="547" w:right="1080" w:hanging="547"/>
    </w:pPr>
    <w:rPr>
      <w:noProof/>
      <w:color w:val="0000FF"/>
    </w:rPr>
  </w:style>
  <w:style w:type="paragraph" w:styleId="TOC2">
    <w:name w:val="toc 2"/>
    <w:basedOn w:val="TOC1"/>
    <w:next w:val="Text"/>
    <w:autoRedefine/>
    <w:rsid w:val="009A0F6B"/>
    <w:pPr>
      <w:tabs>
        <w:tab w:val="left" w:pos="1267"/>
      </w:tabs>
      <w:spacing w:before="60"/>
      <w:ind w:left="1267" w:hanging="720"/>
    </w:pPr>
  </w:style>
  <w:style w:type="paragraph" w:styleId="TOC3">
    <w:name w:val="toc 3"/>
    <w:basedOn w:val="TOC2"/>
    <w:next w:val="Text"/>
    <w:autoRedefine/>
    <w:rsid w:val="009A0F6B"/>
    <w:pPr>
      <w:tabs>
        <w:tab w:val="clear" w:pos="1267"/>
        <w:tab w:val="left" w:pos="2246"/>
      </w:tabs>
      <w:ind w:left="2261" w:hanging="994"/>
    </w:pPr>
  </w:style>
  <w:style w:type="paragraph" w:styleId="TOC4">
    <w:name w:val="toc 4"/>
    <w:basedOn w:val="TOC3"/>
    <w:next w:val="Text"/>
    <w:autoRedefine/>
    <w:semiHidden/>
    <w:rsid w:val="009A0F6B"/>
    <w:pPr>
      <w:ind w:left="3384" w:hanging="1123"/>
    </w:pPr>
  </w:style>
  <w:style w:type="paragraph" w:styleId="TOC5">
    <w:name w:val="toc 5"/>
    <w:basedOn w:val="TOC2"/>
    <w:next w:val="Text"/>
    <w:autoRedefine/>
    <w:semiHidden/>
    <w:rsid w:val="009A0F6B"/>
  </w:style>
  <w:style w:type="paragraph" w:styleId="TOC6">
    <w:name w:val="toc 6"/>
    <w:basedOn w:val="TOC2"/>
    <w:next w:val="Text"/>
    <w:autoRedefine/>
    <w:semiHidden/>
    <w:rsid w:val="009A0F6B"/>
  </w:style>
  <w:style w:type="paragraph" w:styleId="TOC7">
    <w:name w:val="toc 7"/>
    <w:basedOn w:val="Normal"/>
    <w:next w:val="Normal"/>
    <w:autoRedefine/>
    <w:semiHidden/>
    <w:rsid w:val="009A0F6B"/>
    <w:pPr>
      <w:tabs>
        <w:tab w:val="right" w:leader="dot" w:pos="8640"/>
      </w:tabs>
      <w:ind w:left="1320"/>
    </w:pPr>
  </w:style>
  <w:style w:type="paragraph" w:styleId="TOC8">
    <w:name w:val="toc 8"/>
    <w:basedOn w:val="Normal"/>
    <w:next w:val="Normal"/>
    <w:autoRedefine/>
    <w:semiHidden/>
    <w:rsid w:val="009A0F6B"/>
    <w:pPr>
      <w:tabs>
        <w:tab w:val="right" w:leader="dot" w:pos="8640"/>
      </w:tabs>
      <w:ind w:left="1540"/>
    </w:pPr>
  </w:style>
  <w:style w:type="paragraph" w:styleId="TOC9">
    <w:name w:val="toc 9"/>
    <w:basedOn w:val="Normal"/>
    <w:next w:val="Normal"/>
    <w:autoRedefine/>
    <w:semiHidden/>
    <w:rsid w:val="009A0F6B"/>
    <w:pPr>
      <w:tabs>
        <w:tab w:val="right" w:leader="dot" w:pos="8640"/>
      </w:tabs>
      <w:ind w:left="1760"/>
    </w:pPr>
  </w:style>
  <w:style w:type="paragraph" w:customStyle="1" w:styleId="Heading0">
    <w:name w:val="Heading 0"/>
    <w:basedOn w:val="Normal"/>
    <w:next w:val="Text"/>
    <w:rsid w:val="009A0F6B"/>
    <w:pPr>
      <w:keepNext/>
      <w:pageBreakBefore/>
      <w:spacing w:before="120" w:after="120"/>
      <w:ind w:left="1440" w:hanging="1440"/>
    </w:pPr>
    <w:rPr>
      <w:b/>
    </w:rPr>
  </w:style>
  <w:style w:type="paragraph" w:customStyle="1" w:styleId="NumberRestart">
    <w:name w:val="NumberRestart"/>
    <w:basedOn w:val="Text"/>
    <w:semiHidden/>
    <w:rsid w:val="009A0F6B"/>
    <w:pPr>
      <w:numPr>
        <w:numId w:val="3"/>
      </w:numPr>
      <w:outlineLvl w:val="0"/>
    </w:pPr>
  </w:style>
  <w:style w:type="paragraph" w:styleId="DocumentMap">
    <w:name w:val="Document Map"/>
    <w:basedOn w:val="Normal"/>
    <w:link w:val="DocumentMapChar"/>
    <w:semiHidden/>
    <w:rsid w:val="009A0F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86D84"/>
    <w:rPr>
      <w:rFonts w:ascii="Tahoma" w:eastAsia="Times New Roman" w:hAnsi="Tahoma" w:cs="Tahoma"/>
      <w:szCs w:val="20"/>
      <w:shd w:val="clear" w:color="auto" w:fill="000080"/>
      <w:lang w:val="en-US"/>
    </w:rPr>
  </w:style>
  <w:style w:type="paragraph" w:customStyle="1" w:styleId="TablePageNumber">
    <w:name w:val="TablePageNumber"/>
    <w:basedOn w:val="Normal"/>
    <w:next w:val="Text"/>
    <w:rsid w:val="009A0F6B"/>
    <w:pPr>
      <w:spacing w:line="240" w:lineRule="atLeast"/>
      <w:jc w:val="right"/>
    </w:pPr>
    <w:rPr>
      <w:sz w:val="20"/>
    </w:rPr>
  </w:style>
  <w:style w:type="table" w:styleId="TableGrid">
    <w:name w:val="Table Grid"/>
    <w:basedOn w:val="TableNormal"/>
    <w:uiPriority w:val="59"/>
    <w:rsid w:val="00AA7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I-Heading1">
    <w:name w:val="RPI - Heading 1"/>
    <w:basedOn w:val="Heading1"/>
    <w:link w:val="RPI-Heading1Char"/>
    <w:qFormat/>
    <w:rsid w:val="009F2F3B"/>
    <w:rPr>
      <w:sz w:val="28"/>
      <w:lang w:val="en-AU"/>
    </w:rPr>
  </w:style>
  <w:style w:type="paragraph" w:customStyle="1" w:styleId="RPI-Heading2">
    <w:name w:val="RPI - Heading 2"/>
    <w:basedOn w:val="Heading2"/>
    <w:qFormat/>
    <w:rsid w:val="009F2F3B"/>
    <w:rPr>
      <w:sz w:val="24"/>
      <w:lang w:val="en-AU"/>
    </w:rPr>
  </w:style>
  <w:style w:type="paragraph" w:customStyle="1" w:styleId="RPI-Footer">
    <w:name w:val="RPI - Footer"/>
    <w:basedOn w:val="Footer"/>
    <w:qFormat/>
    <w:rsid w:val="009F2F3B"/>
    <w:pPr>
      <w:tabs>
        <w:tab w:val="clear" w:pos="8640"/>
        <w:tab w:val="right" w:pos="8647"/>
      </w:tabs>
    </w:pPr>
    <w:rPr>
      <w:lang w:val="en-AU"/>
    </w:rPr>
  </w:style>
  <w:style w:type="paragraph" w:customStyle="1" w:styleId="RPI-Header">
    <w:name w:val="RPI - Header"/>
    <w:basedOn w:val="Heading1"/>
    <w:qFormat/>
    <w:rsid w:val="009F2F3B"/>
    <w:pPr>
      <w:numPr>
        <w:numId w:val="0"/>
      </w:numPr>
      <w:spacing w:before="0" w:after="240"/>
      <w:jc w:val="center"/>
    </w:pPr>
    <w:rPr>
      <w:caps/>
      <w:lang w:val="en-AU"/>
    </w:rPr>
  </w:style>
  <w:style w:type="paragraph" w:customStyle="1" w:styleId="RPI-Text">
    <w:name w:val="RPI - Text"/>
    <w:basedOn w:val="Text"/>
    <w:link w:val="RPI-TextChar"/>
    <w:qFormat/>
    <w:rsid w:val="009F2F3B"/>
    <w:rPr>
      <w:lang w:val="en-AU"/>
    </w:rPr>
  </w:style>
  <w:style w:type="paragraph" w:customStyle="1" w:styleId="RPI-Heading0">
    <w:name w:val="RPI - Heading 0"/>
    <w:basedOn w:val="Heading0"/>
    <w:qFormat/>
    <w:rsid w:val="009F2F3B"/>
    <w:pPr>
      <w:pageBreakBefore w:val="0"/>
    </w:pPr>
    <w:rPr>
      <w:caps/>
      <w:sz w:val="28"/>
      <w:lang w:val="en-AU"/>
    </w:rPr>
  </w:style>
  <w:style w:type="paragraph" w:customStyle="1" w:styleId="RPI-Heading3">
    <w:name w:val="RPI - Heading 3"/>
    <w:basedOn w:val="Text"/>
    <w:qFormat/>
    <w:rsid w:val="00CD0C00"/>
    <w:pPr>
      <w:keepNext/>
    </w:pPr>
    <w:rPr>
      <w:u w:val="single"/>
      <w:lang w:val="en-AU"/>
    </w:rPr>
  </w:style>
  <w:style w:type="paragraph" w:customStyle="1" w:styleId="RPI-Heading4">
    <w:name w:val="RPI - Heading 4"/>
    <w:basedOn w:val="Text"/>
    <w:qFormat/>
    <w:rsid w:val="00CD0C00"/>
    <w:pPr>
      <w:keepNext/>
    </w:pPr>
    <w:rPr>
      <w:i/>
      <w:lang w:val="en-AU"/>
    </w:rPr>
  </w:style>
  <w:style w:type="paragraph" w:customStyle="1" w:styleId="RPI-TableLeftAligned">
    <w:name w:val="RPI - Table Left Aligned"/>
    <w:basedOn w:val="TableLeftAlign"/>
    <w:qFormat/>
    <w:rsid w:val="009F2F3B"/>
    <w:rPr>
      <w:lang w:val="en-AU"/>
    </w:rPr>
  </w:style>
  <w:style w:type="paragraph" w:customStyle="1" w:styleId="RPI-TableCenterAligned">
    <w:name w:val="RPI - Table Center Aligned"/>
    <w:basedOn w:val="TableCenterAlign"/>
    <w:qFormat/>
    <w:rsid w:val="009F2F3B"/>
    <w:rPr>
      <w:lang w:val="en-AU"/>
    </w:rPr>
  </w:style>
  <w:style w:type="paragraph" w:customStyle="1" w:styleId="RPI-GuidanceText">
    <w:name w:val="RPI - Guidance Text"/>
    <w:basedOn w:val="Text"/>
    <w:qFormat/>
    <w:rsid w:val="009F2F3B"/>
    <w:rPr>
      <w:color w:val="FF0000"/>
      <w:lang w:val="en-AU"/>
    </w:rPr>
  </w:style>
  <w:style w:type="paragraph" w:customStyle="1" w:styleId="RPI-Caption">
    <w:name w:val="RPI - Caption"/>
    <w:basedOn w:val="Caption"/>
    <w:qFormat/>
    <w:rsid w:val="009F2F3B"/>
    <w:rPr>
      <w:lang w:val="en-AU"/>
    </w:rPr>
  </w:style>
  <w:style w:type="paragraph" w:customStyle="1" w:styleId="RPI-FootnoteText">
    <w:name w:val="RPI - Footnote Text"/>
    <w:basedOn w:val="FootnoteText"/>
    <w:link w:val="RPI-FootnoteTextChar"/>
    <w:qFormat/>
    <w:rsid w:val="004E0A2C"/>
  </w:style>
  <w:style w:type="paragraph" w:customStyle="1" w:styleId="RPI-BoxedWarning">
    <w:name w:val="RPI - Boxed Warning"/>
    <w:basedOn w:val="RPI-Text"/>
    <w:link w:val="RPI-BoxedWarningChar"/>
    <w:qFormat/>
    <w:rsid w:val="004E0A2C"/>
    <w:pPr>
      <w:pBdr>
        <w:top w:val="single" w:sz="4" w:space="1" w:color="auto"/>
        <w:left w:val="single" w:sz="4" w:space="4" w:color="auto"/>
        <w:bottom w:val="single" w:sz="4" w:space="1" w:color="auto"/>
        <w:right w:val="single" w:sz="4" w:space="4" w:color="auto"/>
      </w:pBdr>
    </w:pPr>
  </w:style>
  <w:style w:type="character" w:customStyle="1" w:styleId="RPI-Heading1Char">
    <w:name w:val="RPI - Heading 1 Char"/>
    <w:basedOn w:val="Heading1Char"/>
    <w:link w:val="RPI-Heading1"/>
    <w:rsid w:val="004E0A2C"/>
    <w:rPr>
      <w:rFonts w:ascii="Arial" w:eastAsia="Times New Roman" w:hAnsi="Arial" w:cs="Times New Roman"/>
      <w:b/>
      <w:sz w:val="28"/>
      <w:szCs w:val="20"/>
      <w:lang w:val="en-AU"/>
    </w:rPr>
  </w:style>
  <w:style w:type="character" w:customStyle="1" w:styleId="RPI-FootnoteTextChar">
    <w:name w:val="RPI - Footnote Text Char"/>
    <w:basedOn w:val="RPI-Heading1Char"/>
    <w:link w:val="RPI-FootnoteText"/>
    <w:rsid w:val="001260FB"/>
    <w:rPr>
      <w:rFonts w:ascii="Arial" w:eastAsia="Times New Roman" w:hAnsi="Arial" w:cs="Times New Roman"/>
      <w:b w:val="0"/>
      <w:sz w:val="18"/>
      <w:szCs w:val="20"/>
      <w:lang w:val="en-US"/>
    </w:rPr>
  </w:style>
  <w:style w:type="character" w:customStyle="1" w:styleId="TextChar">
    <w:name w:val="Text Char"/>
    <w:aliases w:val="Body Text Char1,本文 Char1,JP Body Text Char1,Body Text1 Char1,本文1 Char1,?? Char1,Body Text2 Char1,Body Text21 Char1,Body Text11 Char1,Body Text111 Char1"/>
    <w:basedOn w:val="DefaultParagraphFont"/>
    <w:link w:val="Text"/>
    <w:rsid w:val="004E0A2C"/>
    <w:rPr>
      <w:rFonts w:ascii="Arial" w:eastAsia="Times New Roman" w:hAnsi="Arial" w:cs="Times New Roman"/>
      <w:szCs w:val="20"/>
      <w:lang w:val="en-US"/>
    </w:rPr>
  </w:style>
  <w:style w:type="character" w:customStyle="1" w:styleId="RPI-TextChar">
    <w:name w:val="RPI - Text Char"/>
    <w:basedOn w:val="TextChar"/>
    <w:link w:val="RPI-Text"/>
    <w:rsid w:val="004E0A2C"/>
    <w:rPr>
      <w:rFonts w:ascii="Arial" w:eastAsia="Times New Roman" w:hAnsi="Arial" w:cs="Times New Roman"/>
      <w:szCs w:val="20"/>
      <w:lang w:val="en-AU"/>
    </w:rPr>
  </w:style>
  <w:style w:type="character" w:customStyle="1" w:styleId="RPI-BoxedWarningChar">
    <w:name w:val="RPI - Boxed Warning Char"/>
    <w:basedOn w:val="RPI-TextChar"/>
    <w:link w:val="RPI-BoxedWarning"/>
    <w:rsid w:val="004E0A2C"/>
    <w:rPr>
      <w:rFonts w:ascii="Arial" w:eastAsia="Times New Roman" w:hAnsi="Arial" w:cs="Times New Roman"/>
      <w:szCs w:val="20"/>
      <w:lang w:val="en-AU"/>
    </w:rPr>
  </w:style>
  <w:style w:type="paragraph" w:customStyle="1" w:styleId="RPI-Textbold">
    <w:name w:val="RPI - Text bold"/>
    <w:basedOn w:val="RPI-Text"/>
    <w:link w:val="RPI-TextboldChar"/>
    <w:qFormat/>
    <w:rsid w:val="00490E90"/>
    <w:rPr>
      <w:b/>
    </w:rPr>
  </w:style>
  <w:style w:type="character" w:customStyle="1" w:styleId="RPI-TextboldChar">
    <w:name w:val="RPI - Text bold Char"/>
    <w:basedOn w:val="RPI-TextChar"/>
    <w:link w:val="RPI-Textbold"/>
    <w:rsid w:val="00490E90"/>
    <w:rPr>
      <w:rFonts w:ascii="Arial" w:eastAsia="Times New Roman" w:hAnsi="Arial" w:cs="Times New Roman"/>
      <w:b/>
      <w:szCs w:val="20"/>
      <w:lang w:val="en-AU"/>
    </w:rPr>
  </w:style>
  <w:style w:type="paragraph" w:customStyle="1" w:styleId="PI-MainHeader">
    <w:name w:val="PI - Main Header"/>
    <w:basedOn w:val="Heading2"/>
    <w:qFormat/>
    <w:rsid w:val="00993125"/>
    <w:pPr>
      <w:numPr>
        <w:ilvl w:val="0"/>
        <w:numId w:val="0"/>
      </w:numPr>
      <w:spacing w:before="240"/>
      <w:ind w:left="1440" w:hanging="1440"/>
    </w:pPr>
    <w:rPr>
      <w:rFonts w:cs="Arial"/>
    </w:rPr>
  </w:style>
  <w:style w:type="character" w:styleId="CommentReference">
    <w:name w:val="annotation reference"/>
    <w:basedOn w:val="DefaultParagraphFont"/>
    <w:uiPriority w:val="99"/>
    <w:unhideWhenUsed/>
    <w:rsid w:val="00B421F5"/>
    <w:rPr>
      <w:sz w:val="16"/>
      <w:szCs w:val="16"/>
    </w:rPr>
  </w:style>
  <w:style w:type="paragraph" w:styleId="CommentText">
    <w:name w:val="annotation text"/>
    <w:basedOn w:val="Normal"/>
    <w:link w:val="CommentTextChar"/>
    <w:uiPriority w:val="99"/>
    <w:unhideWhenUsed/>
    <w:rsid w:val="00B421F5"/>
    <w:rPr>
      <w:sz w:val="20"/>
    </w:rPr>
  </w:style>
  <w:style w:type="character" w:customStyle="1" w:styleId="CommentTextChar">
    <w:name w:val="Comment Text Char"/>
    <w:basedOn w:val="DefaultParagraphFont"/>
    <w:link w:val="CommentText"/>
    <w:uiPriority w:val="99"/>
    <w:rsid w:val="00B421F5"/>
    <w:rPr>
      <w:rFonts w:ascii="Arial" w:eastAsia="Times New Roman" w:hAnsi="Arial" w:cs="Times New Roman"/>
      <w:sz w:val="20"/>
      <w:szCs w:val="20"/>
      <w:lang w:val="en-US"/>
    </w:rPr>
  </w:style>
  <w:style w:type="paragraph" w:customStyle="1" w:styleId="PI-text">
    <w:name w:val="PI - text"/>
    <w:basedOn w:val="Normal"/>
    <w:qFormat/>
    <w:rsid w:val="00E90FB9"/>
    <w:pPr>
      <w:spacing w:before="120" w:after="120" w:line="360" w:lineRule="auto"/>
    </w:pPr>
    <w:rPr>
      <w:rFonts w:cs="Arial"/>
      <w:szCs w:val="22"/>
      <w:lang w:val="en-GB"/>
    </w:rPr>
  </w:style>
  <w:style w:type="paragraph" w:styleId="CommentSubject">
    <w:name w:val="annotation subject"/>
    <w:basedOn w:val="CommentText"/>
    <w:next w:val="CommentText"/>
    <w:link w:val="CommentSubjectChar"/>
    <w:uiPriority w:val="99"/>
    <w:semiHidden/>
    <w:unhideWhenUsed/>
    <w:rsid w:val="00776A2A"/>
    <w:rPr>
      <w:b/>
      <w:bCs/>
    </w:rPr>
  </w:style>
  <w:style w:type="character" w:customStyle="1" w:styleId="CommentSubjectChar">
    <w:name w:val="Comment Subject Char"/>
    <w:basedOn w:val="CommentTextChar"/>
    <w:link w:val="CommentSubject"/>
    <w:uiPriority w:val="99"/>
    <w:semiHidden/>
    <w:rsid w:val="00776A2A"/>
    <w:rPr>
      <w:rFonts w:ascii="Arial" w:eastAsia="Times New Roman" w:hAnsi="Arial" w:cs="Times New Roman"/>
      <w:b/>
      <w:bCs/>
      <w:sz w:val="20"/>
      <w:szCs w:val="20"/>
      <w:lang w:val="en-US"/>
    </w:rPr>
  </w:style>
  <w:style w:type="paragraph" w:customStyle="1" w:styleId="PI-UnderlinedSubHeader">
    <w:name w:val="PI -Underlined Sub Header"/>
    <w:basedOn w:val="Heading3"/>
    <w:qFormat/>
    <w:rsid w:val="00FC5FF4"/>
    <w:pPr>
      <w:numPr>
        <w:ilvl w:val="0"/>
        <w:numId w:val="0"/>
      </w:numPr>
      <w:ind w:left="1440" w:hanging="1440"/>
    </w:pPr>
    <w:rPr>
      <w:u w:val="single"/>
    </w:rPr>
  </w:style>
  <w:style w:type="paragraph" w:customStyle="1" w:styleId="HeadingBoldUnderlined">
    <w:name w:val="HeadingBoldUnderlined"/>
    <w:basedOn w:val="Normal"/>
    <w:next w:val="Normal"/>
    <w:rsid w:val="00B22DF0"/>
    <w:pPr>
      <w:keepNext/>
      <w:spacing w:before="240" w:after="120"/>
    </w:pPr>
    <w:rPr>
      <w:rFonts w:ascii="Times New Roman" w:hAnsi="Times New Roman"/>
      <w:b/>
      <w:sz w:val="24"/>
      <w:u w:val="single"/>
    </w:rPr>
  </w:style>
  <w:style w:type="paragraph" w:customStyle="1" w:styleId="TextBold">
    <w:name w:val="Text Bold"/>
    <w:basedOn w:val="Normal"/>
    <w:link w:val="TextBoldChar"/>
    <w:rsid w:val="00006782"/>
    <w:rPr>
      <w:rFonts w:ascii="Times New Roman" w:eastAsia="MS Mincho" w:hAnsi="Times New Roman"/>
      <w:b/>
      <w:bCs/>
      <w:color w:val="000000"/>
      <w:sz w:val="24"/>
      <w:szCs w:val="24"/>
      <w:lang w:eastAsia="ja-JP"/>
    </w:rPr>
  </w:style>
  <w:style w:type="character" w:customStyle="1" w:styleId="TextBoldChar">
    <w:name w:val="Text Bold Char"/>
    <w:link w:val="TextBold"/>
    <w:rsid w:val="00006782"/>
    <w:rPr>
      <w:rFonts w:ascii="Times New Roman" w:eastAsia="MS Mincho" w:hAnsi="Times New Roman" w:cs="Times New Roman"/>
      <w:b/>
      <w:bCs/>
      <w:color w:val="000000"/>
      <w:sz w:val="24"/>
      <w:szCs w:val="24"/>
      <w:lang w:val="en-US" w:eastAsia="ja-JP"/>
    </w:rPr>
  </w:style>
  <w:style w:type="character" w:customStyle="1" w:styleId="TableCenterAlignChar">
    <w:name w:val="TableCenterAlign Char"/>
    <w:link w:val="TableCenterAlign"/>
    <w:rsid w:val="00006782"/>
    <w:rPr>
      <w:rFonts w:ascii="Arial" w:eastAsia="Times New Roman" w:hAnsi="Arial" w:cs="Times New Roman"/>
      <w:szCs w:val="20"/>
      <w:lang w:val="en-US"/>
    </w:rPr>
  </w:style>
  <w:style w:type="paragraph" w:customStyle="1" w:styleId="text0">
    <w:name w:val="text"/>
    <w:basedOn w:val="Normal"/>
    <w:rsid w:val="00C66EF5"/>
    <w:pPr>
      <w:spacing w:after="200" w:line="380" w:lineRule="atLeast"/>
    </w:pPr>
    <w:rPr>
      <w:rFonts w:cs="Arial"/>
      <w:szCs w:val="22"/>
      <w:lang w:eastAsia="en-AU"/>
    </w:rPr>
  </w:style>
  <w:style w:type="paragraph" w:styleId="BodyText">
    <w:name w:val="Body Text"/>
    <w:basedOn w:val="Normal"/>
    <w:link w:val="BodyTextChar"/>
    <w:rsid w:val="009E0822"/>
    <w:rPr>
      <w:rFonts w:ascii="Times New Roman" w:hAnsi="Times New Roman"/>
    </w:rPr>
  </w:style>
  <w:style w:type="character" w:customStyle="1" w:styleId="BodyTextChar">
    <w:name w:val="Body Text Char"/>
    <w:basedOn w:val="DefaultParagraphFont"/>
    <w:link w:val="BodyText"/>
    <w:rsid w:val="009E0822"/>
    <w:rPr>
      <w:rFonts w:ascii="Times New Roman" w:eastAsia="Times New Roman" w:hAnsi="Times New Roman" w:cs="Times New Roman"/>
      <w:szCs w:val="20"/>
      <w:lang w:val="en-US"/>
    </w:rPr>
  </w:style>
  <w:style w:type="paragraph" w:customStyle="1" w:styleId="SynopsisText">
    <w:name w:val="SynopsisText"/>
    <w:basedOn w:val="Text"/>
    <w:link w:val="SynopsisTextChar"/>
    <w:rsid w:val="00F9081C"/>
    <w:pPr>
      <w:tabs>
        <w:tab w:val="left" w:pos="1794"/>
      </w:tabs>
      <w:spacing w:before="60" w:after="60" w:line="240" w:lineRule="auto"/>
    </w:pPr>
  </w:style>
  <w:style w:type="character" w:customStyle="1" w:styleId="SynopsisTextChar">
    <w:name w:val="SynopsisText Char"/>
    <w:link w:val="SynopsisText"/>
    <w:locked/>
    <w:rsid w:val="00F9081C"/>
    <w:rPr>
      <w:rFonts w:ascii="Arial" w:eastAsia="Times New Roman" w:hAnsi="Arial" w:cs="Times New Roman"/>
      <w:szCs w:val="20"/>
      <w:lang w:val="en-US"/>
    </w:rPr>
  </w:style>
  <w:style w:type="paragraph" w:customStyle="1" w:styleId="Default">
    <w:name w:val="Default"/>
    <w:rsid w:val="009612CE"/>
    <w:pPr>
      <w:autoSpaceDE w:val="0"/>
      <w:autoSpaceDN w:val="0"/>
      <w:adjustRightInd w:val="0"/>
      <w:spacing w:after="0" w:line="240" w:lineRule="auto"/>
    </w:pPr>
    <w:rPr>
      <w:rFonts w:ascii="Symbol" w:eastAsia="Times New Roman" w:hAnsi="Symbol" w:cs="Symbol"/>
      <w:color w:val="000000"/>
      <w:sz w:val="24"/>
      <w:szCs w:val="24"/>
      <w:lang w:val="en-AU" w:eastAsia="en-AU"/>
    </w:rPr>
  </w:style>
  <w:style w:type="character" w:customStyle="1" w:styleId="TableLeftAlignChar">
    <w:name w:val="TableLeftAlign Char"/>
    <w:link w:val="TableLeftAlign"/>
    <w:rsid w:val="00F03C3C"/>
    <w:rPr>
      <w:rFonts w:ascii="Arial" w:eastAsia="Times New Roman" w:hAnsi="Arial" w:cs="Times New Roman"/>
      <w:szCs w:val="20"/>
      <w:lang w:val="en-US"/>
    </w:rPr>
  </w:style>
  <w:style w:type="paragraph" w:customStyle="1" w:styleId="PI-subheadernounderline">
    <w:name w:val="PI -sub header no underline"/>
    <w:basedOn w:val="PI-UnderlinedSubHeader"/>
    <w:qFormat/>
    <w:rsid w:val="00740499"/>
    <w:rPr>
      <w:u w:val="none"/>
    </w:rPr>
  </w:style>
  <w:style w:type="character" w:customStyle="1" w:styleId="apple-converted-space">
    <w:name w:val="apple-converted-space"/>
    <w:rsid w:val="00740499"/>
  </w:style>
  <w:style w:type="paragraph" w:customStyle="1" w:styleId="TextItalicized">
    <w:name w:val="Text Italicized"/>
    <w:basedOn w:val="Normal"/>
    <w:link w:val="TextItalicizedChar"/>
    <w:rsid w:val="00A704A1"/>
    <w:rPr>
      <w:rFonts w:ascii="Times New Roman" w:eastAsia="MS Mincho" w:hAnsi="Times New Roman"/>
      <w:i/>
      <w:iCs/>
      <w:color w:val="000000"/>
      <w:sz w:val="24"/>
      <w:szCs w:val="24"/>
      <w:lang w:eastAsia="ja-JP"/>
    </w:rPr>
  </w:style>
  <w:style w:type="character" w:customStyle="1" w:styleId="TextItalicizedChar">
    <w:name w:val="Text Italicized Char"/>
    <w:link w:val="TextItalicized"/>
    <w:rsid w:val="00A704A1"/>
    <w:rPr>
      <w:rFonts w:ascii="Times New Roman" w:eastAsia="MS Mincho" w:hAnsi="Times New Roman" w:cs="Times New Roman"/>
      <w:i/>
      <w:iCs/>
      <w:color w:val="000000"/>
      <w:sz w:val="24"/>
      <w:szCs w:val="24"/>
      <w:lang w:val="en-US" w:eastAsia="ja-JP"/>
    </w:rPr>
  </w:style>
  <w:style w:type="paragraph" w:styleId="Revision">
    <w:name w:val="Revision"/>
    <w:hidden/>
    <w:uiPriority w:val="99"/>
    <w:semiHidden/>
    <w:rsid w:val="0066165B"/>
    <w:pPr>
      <w:spacing w:after="0" w:line="240" w:lineRule="auto"/>
    </w:pPr>
    <w:rPr>
      <w:rFonts w:ascii="Arial" w:eastAsia="Times New Roman" w:hAnsi="Arial" w:cs="Times New Roman"/>
      <w:szCs w:val="20"/>
      <w:lang w:val="en-US"/>
    </w:rPr>
  </w:style>
  <w:style w:type="character" w:customStyle="1" w:styleId="CaptionChar">
    <w:name w:val="Caption Char"/>
    <w:aliases w:val="Caption Char1 Char Char,Caption Char Char Char Char,Caption Table... Char,Caption Char1 + 8 pt Char,Not B.... Char,Caption Table Char,... Char,Caption 3 Char,Vion Caption Char,Company Caption Char,Bayer Caption Char,IB Caption Char"/>
    <w:link w:val="Caption"/>
    <w:locked/>
    <w:rsid w:val="00802E84"/>
    <w:rPr>
      <w:rFonts w:ascii="Arial" w:eastAsia="Times New Roman" w:hAnsi="Arial" w:cs="Times New Roman"/>
      <w:b/>
      <w:szCs w:val="20"/>
      <w:lang w:val="en-US"/>
    </w:rPr>
  </w:style>
  <w:style w:type="paragraph" w:customStyle="1" w:styleId="Labeling-MandatoryTableHeader">
    <w:name w:val="Labeling - Mandatory Table Header"/>
    <w:basedOn w:val="Normal"/>
    <w:link w:val="Labeling-MandatoryTableHeaderChar"/>
    <w:qFormat/>
    <w:rsid w:val="00802E84"/>
    <w:pPr>
      <w:suppressAutoHyphens w:val="0"/>
      <w:spacing w:before="60" w:after="60"/>
    </w:pPr>
    <w:rPr>
      <w:rFonts w:cs="Arial"/>
      <w:b/>
      <w:szCs w:val="24"/>
    </w:rPr>
  </w:style>
  <w:style w:type="character" w:customStyle="1" w:styleId="Labeling-MandatoryTableHeaderChar">
    <w:name w:val="Labeling - Mandatory Table Header Char"/>
    <w:link w:val="Labeling-MandatoryTableHeader"/>
    <w:rsid w:val="00802E84"/>
    <w:rPr>
      <w:rFonts w:ascii="Arial" w:eastAsia="Times New Roman" w:hAnsi="Arial" w:cs="Arial"/>
      <w:b/>
      <w:szCs w:val="24"/>
      <w:lang w:val="en-US"/>
    </w:rPr>
  </w:style>
  <w:style w:type="character" w:customStyle="1" w:styleId="UnresolvedMention">
    <w:name w:val="Unresolved Mention"/>
    <w:basedOn w:val="DefaultParagraphFont"/>
    <w:uiPriority w:val="99"/>
    <w:semiHidden/>
    <w:unhideWhenUsed/>
    <w:rsid w:val="002B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798928">
      <w:bodyDiv w:val="1"/>
      <w:marLeft w:val="0"/>
      <w:marRight w:val="0"/>
      <w:marTop w:val="0"/>
      <w:marBottom w:val="0"/>
      <w:divBdr>
        <w:top w:val="none" w:sz="0" w:space="0" w:color="auto"/>
        <w:left w:val="none" w:sz="0" w:space="0" w:color="auto"/>
        <w:bottom w:val="none" w:sz="0" w:space="0" w:color="auto"/>
        <w:right w:val="none" w:sz="0" w:space="0" w:color="auto"/>
      </w:divBdr>
    </w:div>
    <w:div w:id="1211917555">
      <w:bodyDiv w:val="1"/>
      <w:marLeft w:val="0"/>
      <w:marRight w:val="0"/>
      <w:marTop w:val="0"/>
      <w:marBottom w:val="0"/>
      <w:divBdr>
        <w:top w:val="none" w:sz="0" w:space="0" w:color="auto"/>
        <w:left w:val="none" w:sz="0" w:space="0" w:color="auto"/>
        <w:bottom w:val="none" w:sz="0" w:space="0" w:color="auto"/>
        <w:right w:val="none" w:sz="0" w:space="0" w:color="auto"/>
      </w:divBdr>
    </w:div>
    <w:div w:id="1352755909">
      <w:bodyDiv w:val="1"/>
      <w:marLeft w:val="0"/>
      <w:marRight w:val="0"/>
      <w:marTop w:val="0"/>
      <w:marBottom w:val="0"/>
      <w:divBdr>
        <w:top w:val="none" w:sz="0" w:space="0" w:color="auto"/>
        <w:left w:val="none" w:sz="0" w:space="0" w:color="auto"/>
        <w:bottom w:val="none" w:sz="0" w:space="0" w:color="auto"/>
        <w:right w:val="none" w:sz="0" w:space="0" w:color="auto"/>
      </w:divBdr>
    </w:div>
    <w:div w:id="1355612520">
      <w:bodyDiv w:val="1"/>
      <w:marLeft w:val="0"/>
      <w:marRight w:val="0"/>
      <w:marTop w:val="0"/>
      <w:marBottom w:val="0"/>
      <w:divBdr>
        <w:top w:val="none" w:sz="0" w:space="0" w:color="auto"/>
        <w:left w:val="none" w:sz="0" w:space="0" w:color="auto"/>
        <w:bottom w:val="none" w:sz="0" w:space="0" w:color="auto"/>
        <w:right w:val="none" w:sz="0" w:space="0" w:color="auto"/>
      </w:divBdr>
    </w:div>
    <w:div w:id="1748845106">
      <w:bodyDiv w:val="1"/>
      <w:marLeft w:val="0"/>
      <w:marRight w:val="0"/>
      <w:marTop w:val="0"/>
      <w:marBottom w:val="0"/>
      <w:divBdr>
        <w:top w:val="none" w:sz="0" w:space="0" w:color="auto"/>
        <w:left w:val="none" w:sz="0" w:space="0" w:color="auto"/>
        <w:bottom w:val="none" w:sz="0" w:space="0" w:color="auto"/>
        <w:right w:val="none" w:sz="0" w:space="0" w:color="auto"/>
      </w:divBdr>
    </w:div>
    <w:div w:id="20550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kadepu\Documentum\Viewed\www.tga.gov.au\reporting-problems"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medinfo.JAPAC@amgen.com"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ga.gov.au/reporting-problems" TargetMode="External"/><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A0F26F0E17B4A8CE7B5169B4A52C5" ma:contentTypeVersion="12" ma:contentTypeDescription="Create a new document." ma:contentTypeScope="" ma:versionID="602abeba1fac85559ada824dfa37b2d8">
  <xsd:schema xmlns:xsd="http://www.w3.org/2001/XMLSchema" xmlns:xs="http://www.w3.org/2001/XMLSchema" xmlns:p="http://schemas.microsoft.com/office/2006/metadata/properties" xmlns:ns2="fb467d81-5cd8-4762-a749-7f8dd2dc5228" xmlns:ns3="908c87c1-5855-4085-b607-9e0a85c9cc82" targetNamespace="http://schemas.microsoft.com/office/2006/metadata/properties" ma:root="true" ma:fieldsID="0166efd259847bd2720f09c07cb61fdb" ns2:_="" ns3:_="">
    <xsd:import namespace="fb467d81-5cd8-4762-a749-7f8dd2dc5228"/>
    <xsd:import namespace="908c87c1-5855-4085-b607-9e0a85c9cc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67d81-5cd8-4762-a749-7f8dd2dc522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8c87c1-5855-4085-b607-9e0a85c9cc8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b467d81-5cd8-4762-a749-7f8dd2dc5228" xsi:nil="true"/>
    <_dlc_DocIdUrl xmlns="fb467d81-5cd8-4762-a749-7f8dd2dc5228">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DD8D-9921-4163-9595-156659536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67d81-5cd8-4762-a749-7f8dd2dc5228"/>
    <ds:schemaRef ds:uri="908c87c1-5855-4085-b607-9e0a85c9c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C38124-A32E-4218-A82E-7A11DF07F1CA}">
  <ds:schemaRefs>
    <ds:schemaRef ds:uri="fb467d81-5cd8-4762-a749-7f8dd2dc5228"/>
    <ds:schemaRef ds:uri="http://purl.org/dc/elements/1.1/"/>
    <ds:schemaRef ds:uri="http://schemas.openxmlformats.org/package/2006/metadata/core-properties"/>
    <ds:schemaRef ds:uri="http://schemas.microsoft.com/office/infopath/2007/PartnerControls"/>
    <ds:schemaRef ds:uri="http://purl.org/dc/terms/"/>
    <ds:schemaRef ds:uri="908c87c1-5855-4085-b607-9e0a85c9cc82"/>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C293ACD-E828-4BB8-B958-79D3263309E9}">
  <ds:schemaRefs>
    <ds:schemaRef ds:uri="http://schemas.microsoft.com/sharepoint/v3/contenttype/forms"/>
  </ds:schemaRefs>
</ds:datastoreItem>
</file>

<file path=customXml/itemProps4.xml><?xml version="1.0" encoding="utf-8"?>
<ds:datastoreItem xmlns:ds="http://schemas.openxmlformats.org/officeDocument/2006/customXml" ds:itemID="{39C05E1A-999F-4794-9741-CA3822DC508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C02EF50-956F-4F39-A3F5-4DC5776F4E8E}">
  <ds:schemaRefs>
    <ds:schemaRef ds:uri="http://schemas.microsoft.com/sharepoint/events"/>
  </ds:schemaRefs>
</ds:datastoreItem>
</file>

<file path=customXml/itemProps6.xml><?xml version="1.0" encoding="utf-8"?>
<ds:datastoreItem xmlns:ds="http://schemas.openxmlformats.org/officeDocument/2006/customXml" ds:itemID="{25E73531-7BAA-4472-AA36-6C5A1BDD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8778</Words>
  <Characters>50302</Characters>
  <Application>Microsoft Office Word</Application>
  <DocSecurity>0</DocSecurity>
  <Lines>986</Lines>
  <Paragraphs>355</Paragraphs>
  <ScaleCrop>false</ScaleCrop>
  <HeadingPairs>
    <vt:vector size="2" baseType="variant">
      <vt:variant>
        <vt:lpstr>Title</vt:lpstr>
      </vt:variant>
      <vt:variant>
        <vt:i4>1</vt:i4>
      </vt:variant>
    </vt:vector>
  </HeadingPairs>
  <TitlesOfParts>
    <vt:vector size="1" baseType="lpstr">
      <vt:lpstr>Attachment: Product Information for Romosozumab</vt:lpstr>
    </vt:vector>
  </TitlesOfParts>
  <Company>Ministry of Health</Company>
  <LinksUpToDate>false</LinksUpToDate>
  <CharactersWithSpaces>58725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Romosozumab</dc:title>
  <dc:subject>prescription medicines</dc:subject>
  <dc:creator>Jo Prankerd</dc:creator>
  <cp:keywords/>
  <cp:lastPrinted>2019-05-17T02:04:00Z</cp:lastPrinted>
  <dcterms:created xsi:type="dcterms:W3CDTF">2020-02-13T01:06:00Z</dcterms:created>
  <dcterms:modified xsi:type="dcterms:W3CDTF">2020-02-13T01:06:00Z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134e1db3-0233-4775-8a92-dc7a765a0767</vt:lpwstr>
  </property>
  <property fmtid="{D5CDD505-2E9C-101B-9397-08002B2CF9AE}" pid="3" name="bjSaver">
    <vt:lpwstr>sxTKbu8ST3z2i6dZd3j0KJLfigCAdOpm</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6" name="ContentTypeId">
    <vt:lpwstr>0x01010012FA0F26F0E17B4A8CE7B5169B4A52C5</vt:lpwstr>
  </property>
  <property fmtid="{D5CDD505-2E9C-101B-9397-08002B2CF9AE}" pid="7" name="_dlc_DocIdItemGuid">
    <vt:lpwstr>9e5c2333-2d51-4d3c-9fc3-d7708077b392</vt:lpwstr>
  </property>
  <property fmtid="{D5CDD505-2E9C-101B-9397-08002B2CF9AE}" pid="8" name="bjDocumentSecurityLabel">
    <vt:lpwstr>Internal Use Only - General Business</vt:lpwstr>
  </property>
</Properties>
</file>