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BF9" w:rsidRPr="00F34170" w:rsidRDefault="00A05BF9" w:rsidP="000D0800">
      <w:pPr>
        <w:tabs>
          <w:tab w:val="left" w:pos="-1440"/>
          <w:tab w:val="left" w:pos="-720"/>
        </w:tabs>
        <w:jc w:val="center"/>
        <w:rPr>
          <w:b/>
          <w:sz w:val="28"/>
          <w:szCs w:val="28"/>
          <w:lang w:val="en-AU"/>
        </w:rPr>
      </w:pPr>
      <w:r w:rsidRPr="00F34170">
        <w:rPr>
          <w:b/>
          <w:sz w:val="28"/>
          <w:szCs w:val="28"/>
          <w:lang w:val="en-AU"/>
        </w:rPr>
        <w:t>PRODUCT INFO</w:t>
      </w:r>
      <w:r w:rsidR="00517157" w:rsidRPr="00F34170">
        <w:rPr>
          <w:b/>
          <w:sz w:val="28"/>
          <w:szCs w:val="28"/>
          <w:lang w:val="en-AU"/>
        </w:rPr>
        <w:t>R</w:t>
      </w:r>
      <w:r w:rsidRPr="00F34170">
        <w:rPr>
          <w:b/>
          <w:sz w:val="28"/>
          <w:szCs w:val="28"/>
          <w:lang w:val="en-AU"/>
        </w:rPr>
        <w:t>MATION</w:t>
      </w:r>
    </w:p>
    <w:p w:rsidR="00E0791D" w:rsidRPr="00F34170" w:rsidRDefault="003474DD">
      <w:pPr>
        <w:tabs>
          <w:tab w:val="left" w:pos="-1440"/>
          <w:tab w:val="left" w:pos="-720"/>
        </w:tabs>
        <w:spacing w:before="120"/>
        <w:jc w:val="center"/>
        <w:rPr>
          <w:b/>
          <w:sz w:val="28"/>
          <w:szCs w:val="28"/>
          <w:lang w:val="en-AU"/>
        </w:rPr>
      </w:pPr>
      <w:r w:rsidRPr="00F34170">
        <w:rPr>
          <w:b/>
          <w:sz w:val="28"/>
          <w:szCs w:val="28"/>
          <w:lang w:val="en-AU"/>
        </w:rPr>
        <w:t>ISTODAX</w:t>
      </w:r>
      <w:r w:rsidR="000D0800" w:rsidRPr="00F34170">
        <w:rPr>
          <w:b/>
          <w:sz w:val="28"/>
          <w:szCs w:val="28"/>
          <w:vertAlign w:val="superscript"/>
          <w:lang w:val="en-AU"/>
        </w:rPr>
        <w:t>®</w:t>
      </w:r>
      <w:r w:rsidR="000D0800" w:rsidRPr="00F34170">
        <w:rPr>
          <w:b/>
          <w:sz w:val="28"/>
          <w:szCs w:val="28"/>
          <w:lang w:val="en-AU"/>
        </w:rPr>
        <w:t xml:space="preserve"> (romidepsin) Powder for Injection</w:t>
      </w:r>
    </w:p>
    <w:p w:rsidR="00215DC0" w:rsidRPr="00F34170" w:rsidRDefault="00215DC0" w:rsidP="000D0800">
      <w:pPr>
        <w:rPr>
          <w:sz w:val="22"/>
          <w:szCs w:val="22"/>
          <w:lang w:val="en-AU"/>
        </w:rPr>
      </w:pPr>
    </w:p>
    <w:p w:rsidR="000D0800" w:rsidRPr="00F34170" w:rsidRDefault="000D0800" w:rsidP="00413BB0">
      <w:pPr>
        <w:pStyle w:val="ListParagraph"/>
        <w:keepNext/>
        <w:numPr>
          <w:ilvl w:val="0"/>
          <w:numId w:val="15"/>
        </w:numPr>
        <w:tabs>
          <w:tab w:val="left" w:pos="-1440"/>
          <w:tab w:val="left" w:pos="-720"/>
        </w:tabs>
        <w:spacing w:after="120"/>
        <w:ind w:left="1077" w:hanging="1077"/>
        <w:rPr>
          <w:sz w:val="28"/>
          <w:szCs w:val="28"/>
          <w:lang w:val="en-AU"/>
        </w:rPr>
      </w:pPr>
      <w:r w:rsidRPr="00F34170">
        <w:rPr>
          <w:b/>
          <w:sz w:val="28"/>
          <w:szCs w:val="28"/>
          <w:lang w:val="en-AU"/>
        </w:rPr>
        <w:t>Name of the medicine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9"/>
        <w:gridCol w:w="6174"/>
      </w:tblGrid>
      <w:tr w:rsidR="00413BB0" w:rsidRPr="00F34170" w:rsidTr="00413BB0">
        <w:trPr>
          <w:trHeight w:val="340"/>
        </w:trPr>
        <w:tc>
          <w:tcPr>
            <w:tcW w:w="3119" w:type="dxa"/>
            <w:vAlign w:val="bottom"/>
          </w:tcPr>
          <w:p w:rsidR="00413BB0" w:rsidRPr="00F34170" w:rsidRDefault="00413BB0" w:rsidP="00A05BF9">
            <w:pPr>
              <w:ind w:left="-108"/>
              <w:rPr>
                <w:sz w:val="22"/>
                <w:szCs w:val="22"/>
                <w:lang w:val="en-AU"/>
              </w:rPr>
            </w:pPr>
            <w:r w:rsidRPr="00F34170">
              <w:rPr>
                <w:sz w:val="22"/>
                <w:szCs w:val="22"/>
                <w:lang w:val="en-AU"/>
              </w:rPr>
              <w:t>Australian approved name:</w:t>
            </w:r>
          </w:p>
        </w:tc>
        <w:tc>
          <w:tcPr>
            <w:tcW w:w="6174" w:type="dxa"/>
            <w:vAlign w:val="bottom"/>
          </w:tcPr>
          <w:p w:rsidR="00413BB0" w:rsidRPr="00F34170" w:rsidRDefault="00413BB0" w:rsidP="00A05BF9">
            <w:pPr>
              <w:ind w:left="2880" w:hanging="2880"/>
              <w:rPr>
                <w:sz w:val="22"/>
                <w:szCs w:val="22"/>
                <w:lang w:val="en-AU"/>
              </w:rPr>
            </w:pPr>
            <w:r w:rsidRPr="00F34170">
              <w:rPr>
                <w:sz w:val="22"/>
                <w:szCs w:val="22"/>
                <w:lang w:val="en-AU"/>
              </w:rPr>
              <w:t>Romidepsin</w:t>
            </w:r>
          </w:p>
        </w:tc>
      </w:tr>
      <w:tr w:rsidR="00413BB0" w:rsidRPr="00F34170" w:rsidTr="00413BB0">
        <w:trPr>
          <w:trHeight w:val="340"/>
        </w:trPr>
        <w:tc>
          <w:tcPr>
            <w:tcW w:w="3119" w:type="dxa"/>
            <w:vAlign w:val="bottom"/>
          </w:tcPr>
          <w:p w:rsidR="00413BB0" w:rsidRPr="00F34170" w:rsidRDefault="00413BB0" w:rsidP="00A05BF9">
            <w:pPr>
              <w:ind w:left="-108"/>
              <w:rPr>
                <w:sz w:val="22"/>
                <w:szCs w:val="22"/>
                <w:lang w:val="en-AU"/>
              </w:rPr>
            </w:pPr>
            <w:r w:rsidRPr="00F34170">
              <w:rPr>
                <w:sz w:val="22"/>
                <w:szCs w:val="22"/>
                <w:lang w:val="en-AU"/>
              </w:rPr>
              <w:t>Molecular formula:</w:t>
            </w:r>
          </w:p>
        </w:tc>
        <w:tc>
          <w:tcPr>
            <w:tcW w:w="6174" w:type="dxa"/>
            <w:vAlign w:val="bottom"/>
          </w:tcPr>
          <w:p w:rsidR="00413BB0" w:rsidRPr="00F34170" w:rsidRDefault="00413BB0" w:rsidP="00A05BF9">
            <w:pPr>
              <w:rPr>
                <w:sz w:val="22"/>
                <w:szCs w:val="22"/>
                <w:lang w:val="en-AU"/>
              </w:rPr>
            </w:pPr>
            <w:r w:rsidRPr="00F34170">
              <w:rPr>
                <w:sz w:val="22"/>
                <w:lang w:val="en-AU"/>
              </w:rPr>
              <w:t>C</w:t>
            </w:r>
            <w:r w:rsidRPr="00F34170">
              <w:rPr>
                <w:sz w:val="22"/>
                <w:vertAlign w:val="subscript"/>
                <w:lang w:val="en-AU"/>
              </w:rPr>
              <w:t>24</w:t>
            </w:r>
            <w:r w:rsidRPr="00F34170">
              <w:rPr>
                <w:sz w:val="22"/>
                <w:lang w:val="en-AU"/>
              </w:rPr>
              <w:t>H</w:t>
            </w:r>
            <w:r w:rsidRPr="00F34170">
              <w:rPr>
                <w:sz w:val="22"/>
                <w:vertAlign w:val="subscript"/>
                <w:lang w:val="en-AU"/>
              </w:rPr>
              <w:t>36</w:t>
            </w:r>
            <w:r w:rsidRPr="00F34170">
              <w:rPr>
                <w:sz w:val="22"/>
                <w:lang w:val="en-AU"/>
              </w:rPr>
              <w:t>N</w:t>
            </w:r>
            <w:r w:rsidRPr="00F34170">
              <w:rPr>
                <w:sz w:val="22"/>
                <w:vertAlign w:val="subscript"/>
                <w:lang w:val="en-AU"/>
              </w:rPr>
              <w:t>4</w:t>
            </w:r>
            <w:r w:rsidRPr="00F34170">
              <w:rPr>
                <w:sz w:val="22"/>
                <w:lang w:val="en-AU"/>
              </w:rPr>
              <w:t>O</w:t>
            </w:r>
            <w:r w:rsidRPr="00F34170">
              <w:rPr>
                <w:sz w:val="22"/>
                <w:vertAlign w:val="subscript"/>
                <w:lang w:val="en-AU"/>
              </w:rPr>
              <w:t>6</w:t>
            </w:r>
            <w:r w:rsidRPr="00F34170">
              <w:rPr>
                <w:sz w:val="22"/>
                <w:lang w:val="en-AU"/>
              </w:rPr>
              <w:t>S</w:t>
            </w:r>
            <w:r w:rsidRPr="00F34170">
              <w:rPr>
                <w:sz w:val="22"/>
                <w:vertAlign w:val="subscript"/>
                <w:lang w:val="en-AU"/>
              </w:rPr>
              <w:t>2</w:t>
            </w:r>
          </w:p>
        </w:tc>
      </w:tr>
      <w:tr w:rsidR="00413BB0" w:rsidRPr="00F34170" w:rsidTr="00413BB0">
        <w:trPr>
          <w:trHeight w:val="340"/>
        </w:trPr>
        <w:tc>
          <w:tcPr>
            <w:tcW w:w="3119" w:type="dxa"/>
            <w:vAlign w:val="bottom"/>
          </w:tcPr>
          <w:p w:rsidR="00413BB0" w:rsidRPr="00F34170" w:rsidRDefault="00413BB0" w:rsidP="00A05BF9">
            <w:pPr>
              <w:ind w:left="-108"/>
              <w:rPr>
                <w:sz w:val="22"/>
                <w:szCs w:val="22"/>
                <w:lang w:val="en-AU"/>
              </w:rPr>
            </w:pPr>
            <w:r w:rsidRPr="00F34170">
              <w:rPr>
                <w:sz w:val="22"/>
                <w:lang w:val="en-AU"/>
              </w:rPr>
              <w:t>Molecular weight:</w:t>
            </w:r>
          </w:p>
        </w:tc>
        <w:tc>
          <w:tcPr>
            <w:tcW w:w="6174" w:type="dxa"/>
            <w:vAlign w:val="bottom"/>
          </w:tcPr>
          <w:p w:rsidR="00413BB0" w:rsidRPr="00F34170" w:rsidRDefault="00413BB0" w:rsidP="00A05BF9">
            <w:pPr>
              <w:rPr>
                <w:sz w:val="22"/>
                <w:szCs w:val="22"/>
                <w:lang w:val="en-AU"/>
              </w:rPr>
            </w:pPr>
            <w:r w:rsidRPr="00F34170">
              <w:rPr>
                <w:sz w:val="22"/>
                <w:lang w:val="en-AU"/>
              </w:rPr>
              <w:t>540.71</w:t>
            </w:r>
          </w:p>
        </w:tc>
      </w:tr>
      <w:tr w:rsidR="00413BB0" w:rsidRPr="00F34170" w:rsidTr="00413BB0">
        <w:trPr>
          <w:trHeight w:val="340"/>
        </w:trPr>
        <w:tc>
          <w:tcPr>
            <w:tcW w:w="3119" w:type="dxa"/>
            <w:vAlign w:val="bottom"/>
          </w:tcPr>
          <w:p w:rsidR="00413BB0" w:rsidRPr="00F34170" w:rsidRDefault="00413BB0" w:rsidP="00A05BF9">
            <w:pPr>
              <w:ind w:left="-108"/>
              <w:rPr>
                <w:sz w:val="22"/>
                <w:szCs w:val="22"/>
                <w:lang w:val="en-AU"/>
              </w:rPr>
            </w:pPr>
            <w:r w:rsidRPr="00F34170">
              <w:rPr>
                <w:sz w:val="22"/>
                <w:szCs w:val="22"/>
                <w:lang w:val="en-AU"/>
              </w:rPr>
              <w:t>ATC code:</w:t>
            </w:r>
          </w:p>
        </w:tc>
        <w:tc>
          <w:tcPr>
            <w:tcW w:w="6174" w:type="dxa"/>
            <w:vAlign w:val="bottom"/>
          </w:tcPr>
          <w:p w:rsidR="00413BB0" w:rsidRPr="00F34170" w:rsidRDefault="00413BB0" w:rsidP="00A05BF9">
            <w:pPr>
              <w:rPr>
                <w:sz w:val="22"/>
                <w:szCs w:val="22"/>
                <w:lang w:val="en-AU"/>
              </w:rPr>
            </w:pPr>
            <w:r w:rsidRPr="00F34170">
              <w:rPr>
                <w:sz w:val="22"/>
                <w:szCs w:val="22"/>
                <w:lang w:val="en-AU"/>
              </w:rPr>
              <w:t>L01XX39</w:t>
            </w:r>
          </w:p>
        </w:tc>
      </w:tr>
      <w:tr w:rsidR="00413BB0" w:rsidRPr="00DA545C" w:rsidTr="0023002E">
        <w:trPr>
          <w:trHeight w:val="340"/>
        </w:trPr>
        <w:tc>
          <w:tcPr>
            <w:tcW w:w="3119" w:type="dxa"/>
          </w:tcPr>
          <w:p w:rsidR="00413BB0" w:rsidRPr="00F34170" w:rsidRDefault="00413BB0" w:rsidP="00F34170">
            <w:pPr>
              <w:spacing w:before="120"/>
              <w:ind w:left="-108"/>
              <w:rPr>
                <w:sz w:val="22"/>
                <w:szCs w:val="22"/>
                <w:lang w:val="en-AU"/>
              </w:rPr>
            </w:pPr>
            <w:r w:rsidRPr="00F34170">
              <w:rPr>
                <w:sz w:val="22"/>
                <w:szCs w:val="22"/>
                <w:lang w:val="en-AU"/>
              </w:rPr>
              <w:t>Chemical name:</w:t>
            </w:r>
          </w:p>
        </w:tc>
        <w:tc>
          <w:tcPr>
            <w:tcW w:w="6174" w:type="dxa"/>
            <w:vAlign w:val="bottom"/>
          </w:tcPr>
          <w:p w:rsidR="00413BB0" w:rsidRPr="00F95259" w:rsidRDefault="000A11EA" w:rsidP="00F34170">
            <w:pPr>
              <w:spacing w:before="120"/>
              <w:rPr>
                <w:sz w:val="22"/>
                <w:szCs w:val="22"/>
                <w:lang w:val="en-AU"/>
              </w:rPr>
            </w:pPr>
            <w:r w:rsidRPr="00F95259">
              <w:rPr>
                <w:sz w:val="22"/>
                <w:szCs w:val="22"/>
                <w:lang w:val="en-AU"/>
              </w:rPr>
              <w:t>(1</w:t>
            </w:r>
            <w:r w:rsidRPr="00F95259">
              <w:rPr>
                <w:i/>
                <w:sz w:val="22"/>
                <w:szCs w:val="22"/>
                <w:lang w:val="en-AU"/>
              </w:rPr>
              <w:t>S</w:t>
            </w:r>
            <w:r w:rsidRPr="00F95259">
              <w:rPr>
                <w:sz w:val="22"/>
                <w:szCs w:val="22"/>
                <w:lang w:val="en-AU"/>
              </w:rPr>
              <w:t>,4</w:t>
            </w:r>
            <w:r w:rsidRPr="00F95259">
              <w:rPr>
                <w:i/>
                <w:sz w:val="22"/>
                <w:szCs w:val="22"/>
                <w:lang w:val="en-AU"/>
              </w:rPr>
              <w:t>S</w:t>
            </w:r>
            <w:r w:rsidRPr="00F95259">
              <w:rPr>
                <w:sz w:val="22"/>
                <w:szCs w:val="22"/>
                <w:lang w:val="en-AU"/>
              </w:rPr>
              <w:t>,7</w:t>
            </w:r>
            <w:r w:rsidRPr="00F95259">
              <w:rPr>
                <w:i/>
                <w:sz w:val="22"/>
                <w:szCs w:val="22"/>
                <w:lang w:val="en-AU"/>
              </w:rPr>
              <w:t>Z</w:t>
            </w:r>
            <w:r w:rsidRPr="00F95259">
              <w:rPr>
                <w:sz w:val="22"/>
                <w:szCs w:val="22"/>
                <w:lang w:val="en-AU"/>
              </w:rPr>
              <w:t>,10</w:t>
            </w:r>
            <w:r w:rsidRPr="00F95259">
              <w:rPr>
                <w:i/>
                <w:sz w:val="22"/>
                <w:szCs w:val="22"/>
                <w:lang w:val="en-AU"/>
              </w:rPr>
              <w:t>S</w:t>
            </w:r>
            <w:r w:rsidRPr="00F95259">
              <w:rPr>
                <w:sz w:val="22"/>
                <w:szCs w:val="22"/>
                <w:lang w:val="en-AU"/>
              </w:rPr>
              <w:t>,16</w:t>
            </w:r>
            <w:r w:rsidRPr="00F95259">
              <w:rPr>
                <w:i/>
                <w:sz w:val="22"/>
                <w:szCs w:val="22"/>
                <w:lang w:val="en-AU"/>
              </w:rPr>
              <w:t>E</w:t>
            </w:r>
            <w:r w:rsidRPr="00F95259">
              <w:rPr>
                <w:sz w:val="22"/>
                <w:szCs w:val="22"/>
                <w:lang w:val="en-AU"/>
              </w:rPr>
              <w:t>,21</w:t>
            </w:r>
            <w:r w:rsidRPr="00F95259">
              <w:rPr>
                <w:i/>
                <w:sz w:val="22"/>
                <w:szCs w:val="22"/>
                <w:lang w:val="en-AU"/>
              </w:rPr>
              <w:t>R</w:t>
            </w:r>
            <w:r w:rsidRPr="00F95259">
              <w:rPr>
                <w:sz w:val="22"/>
                <w:szCs w:val="22"/>
                <w:lang w:val="en-AU"/>
              </w:rPr>
              <w:t>)-7-ethylidene-4,21-bis(1-methylethyl)-2-oxa-12,13-dithia-5,8,20,23-tetraazabicyclo[8.7.6]tricos-16-ene-3,6,9,19,22-pentone.</w:t>
            </w:r>
          </w:p>
        </w:tc>
      </w:tr>
      <w:tr w:rsidR="00413BB0" w:rsidRPr="00F34170" w:rsidTr="00F34170">
        <w:trPr>
          <w:trHeight w:val="340"/>
        </w:trPr>
        <w:tc>
          <w:tcPr>
            <w:tcW w:w="3119" w:type="dxa"/>
            <w:vAlign w:val="bottom"/>
          </w:tcPr>
          <w:p w:rsidR="00413BB0" w:rsidRPr="00F34170" w:rsidRDefault="00413BB0" w:rsidP="00F34170">
            <w:pPr>
              <w:spacing w:before="120"/>
              <w:ind w:left="-108"/>
              <w:rPr>
                <w:sz w:val="22"/>
                <w:szCs w:val="22"/>
                <w:lang w:val="en-AU"/>
              </w:rPr>
            </w:pPr>
            <w:r w:rsidRPr="00F34170">
              <w:rPr>
                <w:sz w:val="22"/>
                <w:szCs w:val="22"/>
                <w:lang w:val="en-AU"/>
              </w:rPr>
              <w:t>Chemical Abstract Service (CAS) registry number:</w:t>
            </w:r>
          </w:p>
        </w:tc>
        <w:tc>
          <w:tcPr>
            <w:tcW w:w="6174" w:type="dxa"/>
          </w:tcPr>
          <w:p w:rsidR="00413BB0" w:rsidRPr="00F34170" w:rsidRDefault="00413BB0" w:rsidP="00F34170">
            <w:pPr>
              <w:spacing w:before="120"/>
              <w:rPr>
                <w:sz w:val="22"/>
                <w:szCs w:val="22"/>
                <w:lang w:val="en-AU"/>
              </w:rPr>
            </w:pPr>
            <w:r w:rsidRPr="00F34170">
              <w:rPr>
                <w:sz w:val="22"/>
                <w:szCs w:val="22"/>
                <w:lang w:val="en-AU"/>
              </w:rPr>
              <w:t>128517-07-7</w:t>
            </w:r>
          </w:p>
        </w:tc>
      </w:tr>
      <w:tr w:rsidR="00413BB0" w:rsidRPr="00F34170" w:rsidTr="00413BB0">
        <w:trPr>
          <w:trHeight w:val="340"/>
        </w:trPr>
        <w:tc>
          <w:tcPr>
            <w:tcW w:w="3119" w:type="dxa"/>
            <w:vAlign w:val="bottom"/>
          </w:tcPr>
          <w:p w:rsidR="00413BB0" w:rsidRPr="00F34170" w:rsidRDefault="00413BB0" w:rsidP="00A05BF9">
            <w:pPr>
              <w:ind w:left="-108"/>
              <w:rPr>
                <w:sz w:val="22"/>
                <w:szCs w:val="22"/>
                <w:lang w:val="en-AU"/>
              </w:rPr>
            </w:pPr>
            <w:r w:rsidRPr="00F34170">
              <w:rPr>
                <w:sz w:val="22"/>
                <w:szCs w:val="22"/>
                <w:lang w:val="en-AU"/>
              </w:rPr>
              <w:t>Chemical structure:</w:t>
            </w:r>
          </w:p>
        </w:tc>
        <w:tc>
          <w:tcPr>
            <w:tcW w:w="6174" w:type="dxa"/>
            <w:vAlign w:val="bottom"/>
          </w:tcPr>
          <w:p w:rsidR="00413BB0" w:rsidRPr="00F34170" w:rsidRDefault="00413BB0" w:rsidP="00A05BF9">
            <w:pPr>
              <w:rPr>
                <w:sz w:val="22"/>
                <w:szCs w:val="22"/>
                <w:lang w:val="en-AU"/>
              </w:rPr>
            </w:pPr>
          </w:p>
        </w:tc>
      </w:tr>
    </w:tbl>
    <w:p w:rsidR="000D0800" w:rsidRPr="00F34170" w:rsidRDefault="00DF267A" w:rsidP="00770232">
      <w:pPr>
        <w:spacing w:before="40"/>
        <w:jc w:val="center"/>
        <w:rPr>
          <w:szCs w:val="22"/>
          <w:lang w:val="en-AU"/>
        </w:rPr>
      </w:pPr>
      <w:r w:rsidRPr="00F34170">
        <w:rPr>
          <w:noProof/>
          <w:lang w:val="en-AU" w:eastAsia="en-AU"/>
        </w:rPr>
        <w:drawing>
          <wp:inline distT="0" distB="0" distL="0" distR="0">
            <wp:extent cx="1809750" cy="17798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819809" cy="1789730"/>
                    </a:xfrm>
                    <a:prstGeom prst="rect">
                      <a:avLst/>
                    </a:prstGeom>
                    <a:noFill/>
                    <a:ln w="9525">
                      <a:noFill/>
                      <a:miter lim="800000"/>
                      <a:headEnd/>
                      <a:tailEnd/>
                    </a:ln>
                  </pic:spPr>
                </pic:pic>
              </a:graphicData>
            </a:graphic>
          </wp:inline>
        </w:drawing>
      </w:r>
    </w:p>
    <w:p w:rsidR="00C314A4" w:rsidRPr="00F34170" w:rsidRDefault="00C314A4" w:rsidP="00413BB0">
      <w:pPr>
        <w:rPr>
          <w:sz w:val="22"/>
          <w:szCs w:val="22"/>
          <w:lang w:val="en-AU"/>
        </w:rPr>
      </w:pPr>
    </w:p>
    <w:p w:rsidR="00C314A4" w:rsidRPr="00F34170" w:rsidRDefault="00C314A4" w:rsidP="00413BB0">
      <w:pPr>
        <w:rPr>
          <w:sz w:val="22"/>
          <w:szCs w:val="22"/>
          <w:lang w:val="en-AU"/>
        </w:rPr>
      </w:pPr>
    </w:p>
    <w:p w:rsidR="000D0800" w:rsidRPr="00F34170" w:rsidRDefault="000D0800" w:rsidP="00413BB0">
      <w:pPr>
        <w:pStyle w:val="ListParagraph"/>
        <w:keepNext/>
        <w:numPr>
          <w:ilvl w:val="0"/>
          <w:numId w:val="15"/>
        </w:numPr>
        <w:ind w:left="1080" w:hanging="1080"/>
        <w:rPr>
          <w:caps/>
          <w:sz w:val="28"/>
          <w:szCs w:val="28"/>
          <w:lang w:val="en-AU"/>
        </w:rPr>
      </w:pPr>
      <w:r w:rsidRPr="00F34170">
        <w:rPr>
          <w:b/>
          <w:sz w:val="28"/>
          <w:szCs w:val="28"/>
          <w:lang w:val="en-AU"/>
        </w:rPr>
        <w:t>Description</w:t>
      </w:r>
    </w:p>
    <w:p w:rsidR="000D0800" w:rsidRPr="00F34170" w:rsidRDefault="000D0800" w:rsidP="00413BB0">
      <w:pPr>
        <w:spacing w:before="120"/>
        <w:rPr>
          <w:sz w:val="22"/>
          <w:lang w:val="en-AU"/>
        </w:rPr>
      </w:pPr>
      <w:r w:rsidRPr="00F34170">
        <w:rPr>
          <w:sz w:val="22"/>
          <w:lang w:val="en-AU"/>
        </w:rPr>
        <w:t>Romidepsin is a white to off-white powder, with a melting point of 272ºC. Romidepsin is generally more soluble in organic solvents and is very slightly soluble in water</w:t>
      </w:r>
      <w:r w:rsidR="0023002E" w:rsidRPr="00F34170">
        <w:rPr>
          <w:sz w:val="22"/>
          <w:lang w:val="en-AU"/>
        </w:rPr>
        <w:t xml:space="preserve"> (about 0.3 mg/mL)</w:t>
      </w:r>
      <w:r w:rsidRPr="00F34170">
        <w:rPr>
          <w:sz w:val="22"/>
          <w:lang w:val="en-AU"/>
        </w:rPr>
        <w:t>.</w:t>
      </w:r>
      <w:r w:rsidR="0023002E" w:rsidRPr="00F34170">
        <w:rPr>
          <w:sz w:val="22"/>
          <w:lang w:val="en-AU"/>
        </w:rPr>
        <w:t xml:space="preserve"> The partition co-efficient (n-octanol/water) is approximately 1.9.</w:t>
      </w:r>
    </w:p>
    <w:p w:rsidR="000D0800" w:rsidRPr="00F34170" w:rsidRDefault="000D0800" w:rsidP="00413BB0">
      <w:pPr>
        <w:pStyle w:val="C-TableHeader"/>
        <w:keepNext w:val="0"/>
        <w:spacing w:before="0" w:after="0"/>
        <w:rPr>
          <w:b w:val="0"/>
          <w:szCs w:val="22"/>
          <w:lang w:val="en-AU"/>
        </w:rPr>
      </w:pPr>
    </w:p>
    <w:p w:rsidR="000D0800" w:rsidRPr="00F34170" w:rsidRDefault="000D0800" w:rsidP="00413BB0">
      <w:pPr>
        <w:pStyle w:val="C-TableText"/>
        <w:spacing w:before="0" w:after="0"/>
        <w:rPr>
          <w:lang w:val="en-AU"/>
        </w:rPr>
      </w:pPr>
      <w:r w:rsidRPr="00F34170">
        <w:rPr>
          <w:lang w:val="en-AU"/>
        </w:rPr>
        <w:t xml:space="preserve">Istodax is supplied in a </w:t>
      </w:r>
      <w:r w:rsidR="004554D3" w:rsidRPr="00F34170">
        <w:rPr>
          <w:lang w:val="en-AU"/>
        </w:rPr>
        <w:t>composite</w:t>
      </w:r>
      <w:r w:rsidRPr="00F34170">
        <w:rPr>
          <w:lang w:val="en-AU"/>
        </w:rPr>
        <w:t xml:space="preserve"> pack</w:t>
      </w:r>
      <w:r w:rsidR="00B559E1" w:rsidRPr="00F34170">
        <w:rPr>
          <w:lang w:val="en-AU"/>
        </w:rPr>
        <w:t xml:space="preserve"> including</w:t>
      </w:r>
      <w:r w:rsidRPr="00F34170">
        <w:rPr>
          <w:lang w:val="en-AU"/>
        </w:rPr>
        <w:t>: a steril</w:t>
      </w:r>
      <w:r w:rsidR="00B559E1" w:rsidRPr="00F34170">
        <w:rPr>
          <w:lang w:val="en-AU"/>
        </w:rPr>
        <w:t>e single-use vial containing 10 </w:t>
      </w:r>
      <w:r w:rsidRPr="00F34170">
        <w:rPr>
          <w:lang w:val="en-AU"/>
        </w:rPr>
        <w:t>mg of lyophilised romidepsin and 20 mg povidone</w:t>
      </w:r>
      <w:r w:rsidR="005054E4" w:rsidRPr="00F34170">
        <w:rPr>
          <w:lang w:val="en-AU"/>
        </w:rPr>
        <w:t>,</w:t>
      </w:r>
      <w:r w:rsidRPr="00F34170">
        <w:rPr>
          <w:lang w:val="en-AU"/>
        </w:rPr>
        <w:t xml:space="preserve"> and a second sterile vial containing 2 mL of solvent. The solvent vial contains 80% propylene glycol and 20% anhydrous ethanol.</w:t>
      </w:r>
    </w:p>
    <w:p w:rsidR="000D0800" w:rsidRPr="00F34170" w:rsidRDefault="000D0800" w:rsidP="00413BB0">
      <w:pPr>
        <w:rPr>
          <w:sz w:val="22"/>
          <w:szCs w:val="22"/>
          <w:lang w:val="en-AU"/>
        </w:rPr>
      </w:pPr>
    </w:p>
    <w:p w:rsidR="00C314A4" w:rsidRPr="00F34170" w:rsidRDefault="00C314A4" w:rsidP="00413BB0">
      <w:pPr>
        <w:pStyle w:val="C-TableText"/>
        <w:spacing w:before="0" w:after="0"/>
        <w:rPr>
          <w:szCs w:val="22"/>
          <w:lang w:val="en-AU"/>
        </w:rPr>
      </w:pPr>
    </w:p>
    <w:p w:rsidR="00C314A4" w:rsidRPr="00F34170" w:rsidRDefault="00C314A4" w:rsidP="00413BB0">
      <w:pPr>
        <w:pStyle w:val="C-TableHeader"/>
        <w:numPr>
          <w:ilvl w:val="0"/>
          <w:numId w:val="15"/>
        </w:numPr>
        <w:spacing w:before="0" w:after="0"/>
        <w:ind w:left="1080" w:hanging="1080"/>
        <w:rPr>
          <w:bCs/>
          <w:sz w:val="28"/>
          <w:szCs w:val="28"/>
          <w:lang w:val="en-AU"/>
        </w:rPr>
      </w:pPr>
      <w:r w:rsidRPr="00F34170">
        <w:rPr>
          <w:bCs/>
          <w:sz w:val="28"/>
          <w:szCs w:val="28"/>
          <w:lang w:val="en-AU"/>
        </w:rPr>
        <w:t>Pharmacology</w:t>
      </w:r>
    </w:p>
    <w:p w:rsidR="00C314A4" w:rsidRPr="00F34170" w:rsidRDefault="00C314A4" w:rsidP="00413BB0">
      <w:pPr>
        <w:keepNext/>
        <w:spacing w:before="120"/>
        <w:ind w:left="567" w:hanging="567"/>
        <w:rPr>
          <w:b/>
          <w:sz w:val="22"/>
          <w:szCs w:val="22"/>
          <w:lang w:val="en-AU"/>
        </w:rPr>
      </w:pPr>
      <w:r w:rsidRPr="00F34170">
        <w:rPr>
          <w:b/>
          <w:sz w:val="22"/>
          <w:szCs w:val="22"/>
          <w:lang w:val="en-AU"/>
        </w:rPr>
        <w:t>Pharmacodynamic properties</w:t>
      </w:r>
    </w:p>
    <w:p w:rsidR="00C314A4" w:rsidRPr="00F34170" w:rsidRDefault="00C314A4" w:rsidP="00413BB0">
      <w:pPr>
        <w:spacing w:before="120"/>
        <w:rPr>
          <w:sz w:val="22"/>
          <w:szCs w:val="22"/>
          <w:lang w:val="en-AU"/>
        </w:rPr>
      </w:pPr>
      <w:r w:rsidRPr="00F34170">
        <w:rPr>
          <w:sz w:val="22"/>
          <w:szCs w:val="22"/>
          <w:lang w:val="en-AU"/>
        </w:rPr>
        <w:t>Pharmacotherapeutic group: Cytostatic anti-cancer therapy.</w:t>
      </w:r>
    </w:p>
    <w:p w:rsidR="00C314A4" w:rsidRPr="00F34170" w:rsidRDefault="00C314A4" w:rsidP="00413BB0">
      <w:pPr>
        <w:rPr>
          <w:sz w:val="22"/>
          <w:szCs w:val="22"/>
          <w:lang w:val="en-AU"/>
        </w:rPr>
      </w:pPr>
    </w:p>
    <w:p w:rsidR="00C314A4" w:rsidRPr="00F34170" w:rsidRDefault="00C314A4" w:rsidP="00413BB0">
      <w:pPr>
        <w:keepNext/>
        <w:rPr>
          <w:sz w:val="22"/>
          <w:szCs w:val="22"/>
          <w:u w:val="single"/>
          <w:lang w:val="en-AU"/>
        </w:rPr>
      </w:pPr>
      <w:r w:rsidRPr="00F34170">
        <w:rPr>
          <w:sz w:val="22"/>
          <w:szCs w:val="22"/>
          <w:u w:val="single"/>
          <w:lang w:val="en-AU"/>
        </w:rPr>
        <w:t>Mechanism of action</w:t>
      </w:r>
    </w:p>
    <w:p w:rsidR="00C314A4" w:rsidRPr="00F34170" w:rsidRDefault="0089702B" w:rsidP="00413BB0">
      <w:pPr>
        <w:spacing w:before="120"/>
        <w:rPr>
          <w:sz w:val="22"/>
          <w:szCs w:val="22"/>
          <w:lang w:val="en-AU"/>
        </w:rPr>
      </w:pPr>
      <w:r w:rsidRPr="00F34170">
        <w:rPr>
          <w:sz w:val="22"/>
          <w:szCs w:val="22"/>
          <w:lang w:val="en-AU"/>
        </w:rPr>
        <w:t>Romidepsin is an anti</w:t>
      </w:r>
      <w:r w:rsidR="003B3A17" w:rsidRPr="00F34170">
        <w:rPr>
          <w:sz w:val="22"/>
          <w:szCs w:val="22"/>
          <w:lang w:val="en-AU"/>
        </w:rPr>
        <w:t>-</w:t>
      </w:r>
      <w:r w:rsidRPr="00F34170">
        <w:rPr>
          <w:sz w:val="22"/>
          <w:szCs w:val="22"/>
          <w:lang w:val="en-AU"/>
        </w:rPr>
        <w:t xml:space="preserve">neoplastic agent that belongs to the class of drugs known as histone deacetylase (HDAC) inhibitors. </w:t>
      </w:r>
      <w:r w:rsidR="00C314A4" w:rsidRPr="00F34170">
        <w:rPr>
          <w:sz w:val="22"/>
          <w:szCs w:val="22"/>
          <w:lang w:val="en-AU"/>
        </w:rPr>
        <w:t xml:space="preserve">At nanomolar concentrations, romidepsin exhibited anti-cancer activity against both haematological and solid tumour lines. </w:t>
      </w:r>
      <w:r w:rsidR="00480066" w:rsidRPr="00F34170">
        <w:rPr>
          <w:sz w:val="22"/>
          <w:szCs w:val="22"/>
          <w:lang w:val="en-AU"/>
        </w:rPr>
        <w:t>R</w:t>
      </w:r>
      <w:r w:rsidR="00C314A4" w:rsidRPr="00F34170">
        <w:rPr>
          <w:sz w:val="22"/>
          <w:szCs w:val="22"/>
          <w:lang w:val="en-AU"/>
        </w:rPr>
        <w:t xml:space="preserve">omidepsin has been shown to have pleiotropic activity including HDAC inhibition, induction or repression of gene expression, cell cycle arrest, cell </w:t>
      </w:r>
      <w:r w:rsidR="00C314A4" w:rsidRPr="00F34170">
        <w:rPr>
          <w:sz w:val="22"/>
          <w:szCs w:val="22"/>
          <w:lang w:val="en-AU"/>
        </w:rPr>
        <w:lastRenderedPageBreak/>
        <w:t>differentiation, cell growth inhibition,</w:t>
      </w:r>
      <w:r w:rsidR="00480066" w:rsidRPr="00F34170">
        <w:rPr>
          <w:sz w:val="22"/>
          <w:szCs w:val="22"/>
          <w:lang w:val="en-AU"/>
        </w:rPr>
        <w:t xml:space="preserve"> and</w:t>
      </w:r>
      <w:r w:rsidR="00C314A4" w:rsidRPr="00F34170">
        <w:rPr>
          <w:sz w:val="22"/>
          <w:szCs w:val="22"/>
          <w:lang w:val="en-AU"/>
        </w:rPr>
        <w:t xml:space="preserve"> induction of apoptosis. Romidepsin exposure has been shown to cause both the induction and repression of a number of key regulatory genes </w:t>
      </w:r>
      <w:r w:rsidR="00C314A4" w:rsidRPr="00F34170">
        <w:rPr>
          <w:i/>
          <w:sz w:val="22"/>
          <w:szCs w:val="22"/>
          <w:lang w:val="en-AU"/>
        </w:rPr>
        <w:t>in vitro</w:t>
      </w:r>
      <w:r w:rsidR="00C314A4" w:rsidRPr="00F34170">
        <w:rPr>
          <w:sz w:val="22"/>
          <w:szCs w:val="22"/>
          <w:lang w:val="en-AU"/>
        </w:rPr>
        <w:t xml:space="preserve"> and </w:t>
      </w:r>
      <w:r w:rsidR="00C314A4" w:rsidRPr="00F34170">
        <w:rPr>
          <w:i/>
          <w:sz w:val="22"/>
          <w:szCs w:val="22"/>
          <w:lang w:val="en-AU"/>
        </w:rPr>
        <w:t>in vivo</w:t>
      </w:r>
      <w:r w:rsidR="00C314A4" w:rsidRPr="00F34170">
        <w:rPr>
          <w:sz w:val="22"/>
          <w:szCs w:val="22"/>
          <w:lang w:val="en-AU"/>
        </w:rPr>
        <w:t>.</w:t>
      </w:r>
    </w:p>
    <w:p w:rsidR="00C314A4" w:rsidRPr="00F34170" w:rsidRDefault="00C314A4" w:rsidP="00413BB0">
      <w:pPr>
        <w:rPr>
          <w:sz w:val="22"/>
          <w:szCs w:val="22"/>
          <w:lang w:val="en-AU"/>
        </w:rPr>
      </w:pPr>
    </w:p>
    <w:p w:rsidR="00C314A4" w:rsidRPr="00F34170" w:rsidRDefault="00C314A4" w:rsidP="00413BB0">
      <w:pPr>
        <w:keepNext/>
        <w:rPr>
          <w:sz w:val="22"/>
          <w:szCs w:val="22"/>
          <w:u w:val="single"/>
          <w:lang w:val="en-AU"/>
        </w:rPr>
      </w:pPr>
      <w:r w:rsidRPr="00F34170">
        <w:rPr>
          <w:sz w:val="22"/>
          <w:szCs w:val="22"/>
          <w:u w:val="single"/>
          <w:lang w:val="en-AU"/>
        </w:rPr>
        <w:t>Cardiac Electrophysiology</w:t>
      </w:r>
    </w:p>
    <w:p w:rsidR="00C314A4" w:rsidRPr="00F34170" w:rsidRDefault="00C314A4" w:rsidP="00413BB0">
      <w:pPr>
        <w:spacing w:before="120"/>
        <w:rPr>
          <w:sz w:val="22"/>
          <w:szCs w:val="22"/>
          <w:lang w:val="en-AU"/>
        </w:rPr>
      </w:pPr>
      <w:r w:rsidRPr="00F34170">
        <w:rPr>
          <w:sz w:val="22"/>
          <w:szCs w:val="22"/>
          <w:lang w:val="en-AU"/>
        </w:rPr>
        <w:t>The potential effect of romidepsin on the QTc/QTcF interval (heart rate corrected) was evaluated in 26 subjects with advanced malignancies given romidepsin at doses of 14 mg/m</w:t>
      </w:r>
      <w:r w:rsidRPr="00F34170">
        <w:rPr>
          <w:sz w:val="22"/>
          <w:szCs w:val="22"/>
          <w:vertAlign w:val="superscript"/>
          <w:lang w:val="en-AU"/>
        </w:rPr>
        <w:t>2</w:t>
      </w:r>
      <w:r w:rsidRPr="00F34170">
        <w:rPr>
          <w:sz w:val="22"/>
          <w:szCs w:val="22"/>
          <w:lang w:val="en-AU"/>
        </w:rPr>
        <w:t xml:space="preserve"> as a 4-hour intravenous infusion, and at doses of 8, 10 or 12 mg/m</w:t>
      </w:r>
      <w:r w:rsidRPr="00F34170">
        <w:rPr>
          <w:sz w:val="22"/>
          <w:szCs w:val="22"/>
          <w:vertAlign w:val="superscript"/>
          <w:lang w:val="en-AU"/>
        </w:rPr>
        <w:t>2</w:t>
      </w:r>
      <w:r w:rsidRPr="00F34170">
        <w:rPr>
          <w:sz w:val="22"/>
          <w:szCs w:val="22"/>
          <w:lang w:val="en-AU"/>
        </w:rPr>
        <w:t xml:space="preserve"> as a 1-hour infusion. No concentration</w:t>
      </w:r>
      <w:r w:rsidR="005054E4" w:rsidRPr="00F34170">
        <w:rPr>
          <w:sz w:val="22"/>
          <w:szCs w:val="22"/>
          <w:lang w:val="en-AU"/>
        </w:rPr>
        <w:t>-</w:t>
      </w:r>
      <w:r w:rsidRPr="00F34170">
        <w:rPr>
          <w:sz w:val="22"/>
          <w:szCs w:val="22"/>
          <w:lang w:val="en-AU"/>
        </w:rPr>
        <w:t>dependent effect of romidepsin on the duration of the QTc interval was identified at maximum plasma concentrations (C</w:t>
      </w:r>
      <w:r w:rsidRPr="00F34170">
        <w:rPr>
          <w:sz w:val="22"/>
          <w:szCs w:val="22"/>
          <w:vertAlign w:val="subscript"/>
          <w:lang w:val="en-AU"/>
        </w:rPr>
        <w:t>max</w:t>
      </w:r>
      <w:r w:rsidRPr="00F34170">
        <w:rPr>
          <w:sz w:val="22"/>
          <w:szCs w:val="22"/>
          <w:lang w:val="en-AU"/>
        </w:rPr>
        <w:t>) up to 2.5-fold higher on average than observed with the clinical dose regimen of 14 mg/m</w:t>
      </w:r>
      <w:r w:rsidRPr="00F34170">
        <w:rPr>
          <w:sz w:val="22"/>
          <w:szCs w:val="22"/>
          <w:vertAlign w:val="superscript"/>
          <w:lang w:val="en-AU"/>
        </w:rPr>
        <w:t>2</w:t>
      </w:r>
      <w:r w:rsidRPr="00F34170">
        <w:rPr>
          <w:sz w:val="22"/>
          <w:szCs w:val="22"/>
          <w:lang w:val="en-AU"/>
        </w:rPr>
        <w:t xml:space="preserve"> administered as a 4-hour infusion. </w:t>
      </w:r>
      <w:r w:rsidR="00B34B06" w:rsidRPr="00F34170">
        <w:rPr>
          <w:sz w:val="22"/>
          <w:szCs w:val="22"/>
          <w:lang w:val="en-AU"/>
        </w:rPr>
        <w:t>Central tendency and categorical analyses also showed no effect of romidepsin on the duration of the QTc/QTcF interval. Based on these results, romidepsin does not appear to prolong the QTc interval to a clinically significant extent in patients with advanced cancer.</w:t>
      </w:r>
    </w:p>
    <w:p w:rsidR="00C314A4" w:rsidRPr="00F34170" w:rsidRDefault="00C314A4" w:rsidP="00413BB0">
      <w:pPr>
        <w:rPr>
          <w:sz w:val="22"/>
          <w:szCs w:val="22"/>
          <w:lang w:val="en-AU"/>
        </w:rPr>
      </w:pPr>
    </w:p>
    <w:p w:rsidR="00C314A4" w:rsidRPr="00F34170" w:rsidRDefault="00C314A4" w:rsidP="00413BB0">
      <w:pPr>
        <w:rPr>
          <w:sz w:val="22"/>
          <w:szCs w:val="22"/>
          <w:lang w:val="en-AU"/>
        </w:rPr>
      </w:pPr>
      <w:r w:rsidRPr="00F34170">
        <w:rPr>
          <w:sz w:val="22"/>
          <w:szCs w:val="22"/>
          <w:lang w:val="en-AU"/>
        </w:rPr>
        <w:t>Romidepsin was associated with a delayed concentration-dependent increase in heart rate in patients with advanced cancer with a maximum mean increase in heart rate of 20 bpm occurring at the 6</w:t>
      </w:r>
      <w:r w:rsidR="005054E4" w:rsidRPr="00F34170">
        <w:rPr>
          <w:sz w:val="22"/>
          <w:szCs w:val="22"/>
          <w:lang w:val="en-AU"/>
        </w:rPr>
        <w:t>-</w:t>
      </w:r>
      <w:r w:rsidRPr="00F34170">
        <w:rPr>
          <w:sz w:val="22"/>
          <w:szCs w:val="22"/>
          <w:lang w:val="en-AU"/>
        </w:rPr>
        <w:t>hour time point for patients receiving 14 mg/m</w:t>
      </w:r>
      <w:r w:rsidRPr="00F34170">
        <w:rPr>
          <w:sz w:val="22"/>
          <w:szCs w:val="22"/>
          <w:vertAlign w:val="superscript"/>
          <w:lang w:val="en-AU"/>
        </w:rPr>
        <w:t>2</w:t>
      </w:r>
      <w:r w:rsidRPr="00F34170">
        <w:rPr>
          <w:sz w:val="22"/>
          <w:szCs w:val="22"/>
          <w:lang w:val="en-AU"/>
        </w:rPr>
        <w:t xml:space="preserve"> as a 4-hour infusion. At 24 hours, the mean increase in heart rate was 4.7 bpm.</w:t>
      </w:r>
    </w:p>
    <w:p w:rsidR="00C314A4" w:rsidRPr="00F34170" w:rsidRDefault="00C314A4" w:rsidP="00413BB0">
      <w:pPr>
        <w:rPr>
          <w:sz w:val="22"/>
          <w:szCs w:val="22"/>
          <w:lang w:val="en-AU"/>
        </w:rPr>
      </w:pPr>
    </w:p>
    <w:p w:rsidR="00C314A4" w:rsidRPr="00F34170" w:rsidRDefault="00C314A4" w:rsidP="00413BB0">
      <w:pPr>
        <w:keepNext/>
        <w:ind w:left="567" w:hanging="567"/>
        <w:rPr>
          <w:sz w:val="22"/>
          <w:szCs w:val="22"/>
          <w:lang w:val="en-AU"/>
        </w:rPr>
      </w:pPr>
      <w:r w:rsidRPr="00F34170">
        <w:rPr>
          <w:b/>
          <w:sz w:val="22"/>
          <w:szCs w:val="22"/>
          <w:lang w:val="en-AU"/>
        </w:rPr>
        <w:t>Pharmacokinetic properties</w:t>
      </w:r>
    </w:p>
    <w:p w:rsidR="00C314A4" w:rsidRPr="00F34170" w:rsidRDefault="00C314A4" w:rsidP="00413BB0">
      <w:pPr>
        <w:keepNext/>
        <w:spacing w:before="120"/>
        <w:rPr>
          <w:sz w:val="22"/>
          <w:szCs w:val="22"/>
          <w:u w:val="single"/>
          <w:lang w:val="en-AU"/>
        </w:rPr>
      </w:pPr>
      <w:r w:rsidRPr="00F34170">
        <w:rPr>
          <w:sz w:val="22"/>
          <w:szCs w:val="22"/>
          <w:u w:val="single"/>
          <w:lang w:val="en-AU"/>
        </w:rPr>
        <w:t>Absorption</w:t>
      </w:r>
    </w:p>
    <w:p w:rsidR="00C314A4" w:rsidRPr="00F34170" w:rsidRDefault="00C314A4" w:rsidP="00413BB0">
      <w:pPr>
        <w:spacing w:before="120"/>
        <w:rPr>
          <w:sz w:val="22"/>
          <w:szCs w:val="22"/>
          <w:lang w:val="en-AU"/>
        </w:rPr>
      </w:pPr>
      <w:r w:rsidRPr="00F34170">
        <w:rPr>
          <w:sz w:val="22"/>
          <w:szCs w:val="22"/>
          <w:lang w:val="en-AU"/>
        </w:rPr>
        <w:t>Romidepsin exhibited linear pharmacokinetics (PK) across doses ranging from 1.0 to 24.9 mg/m</w:t>
      </w:r>
      <w:r w:rsidRPr="00F34170">
        <w:rPr>
          <w:sz w:val="22"/>
          <w:szCs w:val="22"/>
          <w:vertAlign w:val="superscript"/>
          <w:lang w:val="en-AU"/>
        </w:rPr>
        <w:t>2</w:t>
      </w:r>
      <w:r w:rsidRPr="00F34170">
        <w:rPr>
          <w:sz w:val="22"/>
          <w:szCs w:val="22"/>
          <w:lang w:val="en-AU"/>
        </w:rPr>
        <w:t xml:space="preserve"> when administered intravenously over 4</w:t>
      </w:r>
      <w:r w:rsidR="00022AF1" w:rsidRPr="00F34170">
        <w:rPr>
          <w:sz w:val="22"/>
          <w:szCs w:val="22"/>
          <w:lang w:val="en-AU"/>
        </w:rPr>
        <w:t> </w:t>
      </w:r>
      <w:r w:rsidRPr="00F34170">
        <w:rPr>
          <w:sz w:val="22"/>
          <w:szCs w:val="22"/>
          <w:lang w:val="en-AU"/>
        </w:rPr>
        <w:t>hours in patients with advanced cancers.</w:t>
      </w:r>
    </w:p>
    <w:p w:rsidR="00C314A4" w:rsidRPr="00F34170" w:rsidRDefault="00C314A4" w:rsidP="00413BB0">
      <w:pPr>
        <w:rPr>
          <w:sz w:val="22"/>
          <w:szCs w:val="22"/>
          <w:lang w:val="en-AU"/>
        </w:rPr>
      </w:pPr>
    </w:p>
    <w:p w:rsidR="000E5457" w:rsidRPr="000E5457" w:rsidRDefault="00C314A4" w:rsidP="00413BB0">
      <w:pPr>
        <w:rPr>
          <w:sz w:val="22"/>
          <w:szCs w:val="22"/>
          <w:lang w:val="en-US"/>
        </w:rPr>
      </w:pPr>
      <w:r w:rsidRPr="00F34170">
        <w:rPr>
          <w:sz w:val="22"/>
          <w:szCs w:val="22"/>
          <w:lang w:val="en-AU"/>
        </w:rPr>
        <w:t>In the noncompartmental analysis of initial dose PK data from patients with T cell lymphomas who received 14 mg/m</w:t>
      </w:r>
      <w:r w:rsidRPr="00F34170">
        <w:rPr>
          <w:sz w:val="22"/>
          <w:szCs w:val="22"/>
          <w:vertAlign w:val="superscript"/>
          <w:lang w:val="en-AU"/>
        </w:rPr>
        <w:t>2</w:t>
      </w:r>
      <w:r w:rsidRPr="00F34170">
        <w:rPr>
          <w:sz w:val="22"/>
          <w:szCs w:val="22"/>
          <w:lang w:val="en-AU"/>
        </w:rPr>
        <w:t xml:space="preserve"> of romidepsin intravenously over a 4-hour period</w:t>
      </w:r>
      <w:r w:rsidR="00B34B06" w:rsidRPr="00F34170">
        <w:rPr>
          <w:sz w:val="22"/>
          <w:szCs w:val="22"/>
          <w:lang w:val="en-AU"/>
        </w:rPr>
        <w:t xml:space="preserve"> on </w:t>
      </w:r>
      <w:r w:rsidR="005054E4" w:rsidRPr="00F34170">
        <w:rPr>
          <w:sz w:val="22"/>
          <w:szCs w:val="22"/>
          <w:lang w:val="en-AU"/>
        </w:rPr>
        <w:t>D</w:t>
      </w:r>
      <w:r w:rsidR="00B34B06" w:rsidRPr="00F34170">
        <w:rPr>
          <w:sz w:val="22"/>
          <w:szCs w:val="22"/>
          <w:lang w:val="en-AU"/>
        </w:rPr>
        <w:t>ays</w:t>
      </w:r>
      <w:r w:rsidR="005054E4" w:rsidRPr="00F34170">
        <w:rPr>
          <w:sz w:val="22"/>
          <w:szCs w:val="22"/>
          <w:lang w:val="en-AU"/>
        </w:rPr>
        <w:t> </w:t>
      </w:r>
      <w:r w:rsidR="00B34B06" w:rsidRPr="00F34170">
        <w:rPr>
          <w:sz w:val="22"/>
          <w:szCs w:val="22"/>
          <w:lang w:val="en-AU"/>
        </w:rPr>
        <w:t>1, 8 and 15 of a 28-day cycle</w:t>
      </w:r>
      <w:r w:rsidRPr="00F34170">
        <w:rPr>
          <w:sz w:val="22"/>
          <w:szCs w:val="22"/>
          <w:lang w:val="en-AU"/>
        </w:rPr>
        <w:t xml:space="preserve">, </w:t>
      </w:r>
      <w:r w:rsidR="00B559E1" w:rsidRPr="00F34170">
        <w:rPr>
          <w:sz w:val="22"/>
          <w:szCs w:val="22"/>
          <w:lang w:val="en-AU"/>
        </w:rPr>
        <w:t xml:space="preserve">the </w:t>
      </w:r>
      <w:r w:rsidRPr="00F34170">
        <w:rPr>
          <w:sz w:val="22"/>
          <w:szCs w:val="22"/>
          <w:lang w:val="en-AU"/>
        </w:rPr>
        <w:t>geometric mean value of the C</w:t>
      </w:r>
      <w:r w:rsidRPr="00F34170">
        <w:rPr>
          <w:sz w:val="22"/>
          <w:szCs w:val="22"/>
          <w:vertAlign w:val="subscript"/>
          <w:lang w:val="en-AU"/>
        </w:rPr>
        <w:t>max</w:t>
      </w:r>
      <w:r w:rsidRPr="00F34170">
        <w:rPr>
          <w:sz w:val="22"/>
          <w:szCs w:val="22"/>
          <w:lang w:val="en-AU"/>
        </w:rPr>
        <w:t xml:space="preserve"> </w:t>
      </w:r>
      <w:r w:rsidR="00B559E1" w:rsidRPr="00F34170">
        <w:rPr>
          <w:sz w:val="22"/>
          <w:szCs w:val="22"/>
          <w:lang w:val="en-AU"/>
        </w:rPr>
        <w:t>was 377</w:t>
      </w:r>
      <w:r w:rsidR="005054E4" w:rsidRPr="00F34170">
        <w:rPr>
          <w:sz w:val="22"/>
          <w:szCs w:val="22"/>
          <w:lang w:val="en-AU"/>
        </w:rPr>
        <w:t> </w:t>
      </w:r>
      <w:r w:rsidR="00B559E1" w:rsidRPr="00F34170">
        <w:rPr>
          <w:sz w:val="22"/>
          <w:szCs w:val="22"/>
          <w:lang w:val="en-AU"/>
        </w:rPr>
        <w:t xml:space="preserve">ng/mL </w:t>
      </w:r>
      <w:r w:rsidRPr="00F34170">
        <w:rPr>
          <w:sz w:val="22"/>
          <w:szCs w:val="22"/>
          <w:lang w:val="en-AU"/>
        </w:rPr>
        <w:t>and the area under the plasma concentration versus time curve (AUC</w:t>
      </w:r>
      <w:r w:rsidRPr="00F34170">
        <w:rPr>
          <w:sz w:val="22"/>
          <w:szCs w:val="22"/>
          <w:vertAlign w:val="subscript"/>
          <w:lang w:val="en-AU"/>
        </w:rPr>
        <w:t>0-∞</w:t>
      </w:r>
      <w:r w:rsidRPr="00F34170">
        <w:rPr>
          <w:sz w:val="22"/>
          <w:szCs w:val="22"/>
          <w:lang w:val="en-AU"/>
        </w:rPr>
        <w:t xml:space="preserve">) </w:t>
      </w:r>
      <w:r w:rsidR="00B559E1" w:rsidRPr="00F34170">
        <w:rPr>
          <w:sz w:val="22"/>
          <w:szCs w:val="22"/>
          <w:lang w:val="en-AU"/>
        </w:rPr>
        <w:t xml:space="preserve">was </w:t>
      </w:r>
      <w:r w:rsidRPr="00F34170">
        <w:rPr>
          <w:sz w:val="22"/>
          <w:szCs w:val="22"/>
          <w:lang w:val="en-AU"/>
        </w:rPr>
        <w:t>1549 ng*hr/mL.</w:t>
      </w:r>
    </w:p>
    <w:p w:rsidR="00C314A4" w:rsidRPr="00F34170" w:rsidRDefault="00C314A4" w:rsidP="00413BB0">
      <w:pPr>
        <w:rPr>
          <w:sz w:val="22"/>
          <w:szCs w:val="22"/>
          <w:lang w:val="en-AU"/>
        </w:rPr>
      </w:pPr>
    </w:p>
    <w:p w:rsidR="00C314A4" w:rsidRPr="00F34170" w:rsidRDefault="00C314A4" w:rsidP="00413BB0">
      <w:pPr>
        <w:keepNext/>
        <w:rPr>
          <w:sz w:val="22"/>
          <w:szCs w:val="22"/>
          <w:u w:val="single"/>
          <w:lang w:val="en-AU"/>
        </w:rPr>
      </w:pPr>
      <w:r w:rsidRPr="00F34170">
        <w:rPr>
          <w:sz w:val="22"/>
          <w:szCs w:val="22"/>
          <w:u w:val="single"/>
          <w:lang w:val="en-AU"/>
        </w:rPr>
        <w:t>Distribution</w:t>
      </w:r>
    </w:p>
    <w:p w:rsidR="00C314A4" w:rsidRPr="00F34170" w:rsidRDefault="00C314A4" w:rsidP="00413BB0">
      <w:pPr>
        <w:spacing w:before="120"/>
        <w:rPr>
          <w:sz w:val="22"/>
          <w:szCs w:val="22"/>
          <w:lang w:val="en-AU"/>
        </w:rPr>
      </w:pPr>
      <w:r w:rsidRPr="00F34170">
        <w:rPr>
          <w:sz w:val="22"/>
          <w:szCs w:val="22"/>
          <w:lang w:val="en-AU"/>
        </w:rPr>
        <w:t xml:space="preserve">Romidepsin is highly protein bound in plasma (92% to 94%) over the concentration range of 50 ng/mL to 1000 ng/mL with </w:t>
      </w:r>
      <w:r w:rsidR="00B559E1" w:rsidRPr="00F34170">
        <w:rPr>
          <w:sz w:val="22"/>
          <w:szCs w:val="22"/>
          <w:lang w:val="en-AU"/>
        </w:rPr>
        <w:t>alpha-</w:t>
      </w:r>
      <w:r w:rsidRPr="00F34170">
        <w:rPr>
          <w:sz w:val="22"/>
          <w:szCs w:val="22"/>
          <w:lang w:val="en-AU"/>
        </w:rPr>
        <w:t>1-acid-glycoprotein (AAG) being the principal binding protein.</w:t>
      </w:r>
    </w:p>
    <w:p w:rsidR="00C314A4" w:rsidRPr="00F34170" w:rsidRDefault="00C314A4" w:rsidP="00413BB0">
      <w:pPr>
        <w:rPr>
          <w:sz w:val="22"/>
          <w:szCs w:val="22"/>
          <w:lang w:val="en-AU"/>
        </w:rPr>
      </w:pPr>
    </w:p>
    <w:p w:rsidR="00C314A4" w:rsidRPr="00F34170" w:rsidRDefault="00C314A4" w:rsidP="00413BB0">
      <w:pPr>
        <w:keepNext/>
        <w:rPr>
          <w:sz w:val="22"/>
          <w:szCs w:val="22"/>
          <w:u w:val="single"/>
          <w:lang w:val="en-AU"/>
        </w:rPr>
      </w:pPr>
      <w:r w:rsidRPr="00F34170">
        <w:rPr>
          <w:sz w:val="22"/>
          <w:szCs w:val="22"/>
          <w:u w:val="single"/>
          <w:lang w:val="en-AU"/>
        </w:rPr>
        <w:t>Metabolism</w:t>
      </w:r>
    </w:p>
    <w:p w:rsidR="00C314A4" w:rsidRPr="00F34170" w:rsidRDefault="00C314A4" w:rsidP="00413BB0">
      <w:pPr>
        <w:spacing w:before="120"/>
        <w:rPr>
          <w:sz w:val="22"/>
          <w:szCs w:val="22"/>
          <w:lang w:val="en-AU"/>
        </w:rPr>
      </w:pPr>
      <w:r w:rsidRPr="00F34170">
        <w:rPr>
          <w:sz w:val="22"/>
          <w:szCs w:val="22"/>
          <w:lang w:val="en-AU"/>
        </w:rPr>
        <w:t xml:space="preserve">Romidepsin undergoes extensive metabolism </w:t>
      </w:r>
      <w:r w:rsidRPr="00F34170">
        <w:rPr>
          <w:i/>
          <w:sz w:val="22"/>
          <w:szCs w:val="22"/>
          <w:lang w:val="en-AU"/>
        </w:rPr>
        <w:t>in vitro</w:t>
      </w:r>
      <w:r w:rsidRPr="00F34170">
        <w:rPr>
          <w:sz w:val="22"/>
          <w:szCs w:val="22"/>
          <w:lang w:val="en-AU"/>
        </w:rPr>
        <w:t xml:space="preserve"> primarily by CYP3A4 with minor contribution from CYP3A5, CYP1A1, CYP2B6, and CYP2C19. At therapeutic concentrations, romidepsin did not competitively inhibit CYP1A2, CYP2C9, CYP2C19, CYP2D6, CYP2E1, or CYP3A4 </w:t>
      </w:r>
      <w:r w:rsidRPr="00F34170">
        <w:rPr>
          <w:i/>
          <w:sz w:val="22"/>
          <w:szCs w:val="22"/>
          <w:lang w:val="en-AU"/>
        </w:rPr>
        <w:t>in vitro</w:t>
      </w:r>
      <w:r w:rsidRPr="00F34170">
        <w:rPr>
          <w:sz w:val="22"/>
          <w:szCs w:val="22"/>
          <w:lang w:val="en-AU"/>
        </w:rPr>
        <w:t xml:space="preserve">. At therapeutic concentrations, romidepsin did not cause notable induction of CYP1A2, CYP2B6 and CYP3A4 </w:t>
      </w:r>
      <w:r w:rsidRPr="00F34170">
        <w:rPr>
          <w:i/>
          <w:sz w:val="22"/>
          <w:szCs w:val="22"/>
          <w:lang w:val="en-AU"/>
        </w:rPr>
        <w:t>in vitro</w:t>
      </w:r>
      <w:r w:rsidRPr="00F34170">
        <w:rPr>
          <w:sz w:val="22"/>
          <w:szCs w:val="22"/>
          <w:lang w:val="en-AU"/>
        </w:rPr>
        <w:t>. Therefore, pharmacokinetic drug-drug interactions are unlikely to occur due to CYP P450 induction or inhibition by romidepsin when co-administered with CYP P450 substrates.</w:t>
      </w:r>
    </w:p>
    <w:p w:rsidR="00C314A4" w:rsidRPr="00F34170" w:rsidRDefault="00C314A4" w:rsidP="00413BB0">
      <w:pPr>
        <w:rPr>
          <w:sz w:val="22"/>
          <w:szCs w:val="22"/>
          <w:lang w:val="en-AU"/>
        </w:rPr>
      </w:pPr>
    </w:p>
    <w:p w:rsidR="00C314A4" w:rsidRPr="00F34170" w:rsidRDefault="00C314A4" w:rsidP="00413BB0">
      <w:pPr>
        <w:keepNext/>
        <w:rPr>
          <w:sz w:val="22"/>
          <w:szCs w:val="22"/>
          <w:u w:val="single"/>
          <w:lang w:val="en-AU"/>
        </w:rPr>
      </w:pPr>
      <w:r w:rsidRPr="00F34170">
        <w:rPr>
          <w:sz w:val="22"/>
          <w:szCs w:val="22"/>
          <w:u w:val="single"/>
          <w:lang w:val="en-AU"/>
        </w:rPr>
        <w:t>Excretion</w:t>
      </w:r>
    </w:p>
    <w:p w:rsidR="000E5457" w:rsidRPr="000E5457" w:rsidRDefault="00C314A4" w:rsidP="00413BB0">
      <w:pPr>
        <w:spacing w:before="120"/>
        <w:rPr>
          <w:sz w:val="22"/>
          <w:szCs w:val="22"/>
          <w:lang w:val="en-AU"/>
        </w:rPr>
      </w:pPr>
      <w:r w:rsidRPr="00F34170">
        <w:rPr>
          <w:sz w:val="22"/>
          <w:szCs w:val="22"/>
          <w:lang w:val="en-AU"/>
        </w:rPr>
        <w:t>Following 4-hour intravenous administration of romidepsin at 14 mg/m</w:t>
      </w:r>
      <w:r w:rsidRPr="00F34170">
        <w:rPr>
          <w:sz w:val="22"/>
          <w:szCs w:val="22"/>
          <w:vertAlign w:val="superscript"/>
          <w:lang w:val="en-AU"/>
        </w:rPr>
        <w:t>2</w:t>
      </w:r>
      <w:r w:rsidRPr="00F34170">
        <w:rPr>
          <w:sz w:val="22"/>
          <w:szCs w:val="22"/>
          <w:lang w:val="en-AU"/>
        </w:rPr>
        <w:t>on Days 1, 8 and 15 of a 28-day cycle in patients with T cell lymphomas, the terminal half-life (t</w:t>
      </w:r>
      <w:r w:rsidRPr="00F34170">
        <w:rPr>
          <w:sz w:val="22"/>
          <w:szCs w:val="22"/>
          <w:vertAlign w:val="subscript"/>
          <w:lang w:val="en-AU"/>
        </w:rPr>
        <w:t>1/2</w:t>
      </w:r>
      <w:r w:rsidRPr="00F34170">
        <w:rPr>
          <w:sz w:val="22"/>
          <w:szCs w:val="22"/>
          <w:lang w:val="en-AU"/>
        </w:rPr>
        <w:t>) was approximately 3 hours. No accumulation of romidepsin was observed after repeated dosing.</w:t>
      </w:r>
    </w:p>
    <w:p w:rsidR="00C314A4" w:rsidRPr="00F34170" w:rsidRDefault="00C314A4" w:rsidP="00413BB0">
      <w:pPr>
        <w:rPr>
          <w:sz w:val="22"/>
          <w:szCs w:val="22"/>
          <w:lang w:val="en-AU"/>
        </w:rPr>
      </w:pPr>
    </w:p>
    <w:p w:rsidR="00C314A4" w:rsidRPr="00F34170" w:rsidRDefault="00C314A4" w:rsidP="00413BB0">
      <w:pPr>
        <w:keepNext/>
        <w:rPr>
          <w:sz w:val="22"/>
          <w:szCs w:val="22"/>
          <w:u w:val="single"/>
          <w:lang w:val="en-AU"/>
        </w:rPr>
      </w:pPr>
      <w:r w:rsidRPr="00F34170">
        <w:rPr>
          <w:sz w:val="22"/>
          <w:szCs w:val="22"/>
          <w:u w:val="single"/>
          <w:lang w:val="en-AU"/>
        </w:rPr>
        <w:t>Pharmacokinetics in the Elderly</w:t>
      </w:r>
    </w:p>
    <w:p w:rsidR="00C314A4" w:rsidRPr="00F34170" w:rsidRDefault="00C314A4" w:rsidP="00413BB0">
      <w:pPr>
        <w:spacing w:before="120"/>
        <w:rPr>
          <w:sz w:val="22"/>
          <w:szCs w:val="22"/>
          <w:lang w:val="en-AU"/>
        </w:rPr>
      </w:pPr>
      <w:r w:rsidRPr="00F34170">
        <w:rPr>
          <w:sz w:val="22"/>
          <w:szCs w:val="22"/>
          <w:lang w:val="en-AU"/>
        </w:rPr>
        <w:t>The population PK analysis showed that age did not appear to influence romidepsin PK.</w:t>
      </w:r>
    </w:p>
    <w:p w:rsidR="00022AF1" w:rsidRPr="00F34170" w:rsidRDefault="00022AF1" w:rsidP="00413BB0">
      <w:pPr>
        <w:rPr>
          <w:sz w:val="22"/>
          <w:szCs w:val="22"/>
          <w:lang w:val="en-AU"/>
        </w:rPr>
      </w:pPr>
    </w:p>
    <w:p w:rsidR="00C314A4" w:rsidRPr="00F34170" w:rsidRDefault="00C314A4" w:rsidP="00413BB0">
      <w:pPr>
        <w:rPr>
          <w:sz w:val="22"/>
          <w:szCs w:val="22"/>
          <w:lang w:val="en-AU"/>
        </w:rPr>
      </w:pPr>
    </w:p>
    <w:p w:rsidR="007C63DD" w:rsidRPr="00F34170" w:rsidRDefault="007C63DD" w:rsidP="00413BB0">
      <w:pPr>
        <w:pStyle w:val="C-TableHeader"/>
        <w:numPr>
          <w:ilvl w:val="0"/>
          <w:numId w:val="15"/>
        </w:numPr>
        <w:tabs>
          <w:tab w:val="left" w:pos="567"/>
        </w:tabs>
        <w:spacing w:before="0" w:after="0"/>
        <w:ind w:left="1080" w:hanging="1080"/>
        <w:rPr>
          <w:bCs/>
          <w:sz w:val="28"/>
          <w:szCs w:val="28"/>
          <w:lang w:val="en-AU"/>
        </w:rPr>
      </w:pPr>
      <w:r w:rsidRPr="00F34170">
        <w:rPr>
          <w:bCs/>
          <w:sz w:val="28"/>
          <w:szCs w:val="28"/>
          <w:lang w:val="en-AU"/>
        </w:rPr>
        <w:lastRenderedPageBreak/>
        <w:tab/>
        <w:t>Clinical Trials</w:t>
      </w:r>
    </w:p>
    <w:p w:rsidR="007C63DD" w:rsidRPr="00F34170" w:rsidRDefault="007C63DD" w:rsidP="00413BB0">
      <w:pPr>
        <w:autoSpaceDE w:val="0"/>
        <w:autoSpaceDN w:val="0"/>
        <w:adjustRightInd w:val="0"/>
        <w:spacing w:before="120"/>
        <w:rPr>
          <w:sz w:val="22"/>
          <w:szCs w:val="22"/>
          <w:lang w:val="en-AU"/>
        </w:rPr>
      </w:pPr>
      <w:r w:rsidRPr="00F34170">
        <w:rPr>
          <w:sz w:val="22"/>
          <w:szCs w:val="22"/>
          <w:lang w:val="en-AU"/>
        </w:rPr>
        <w:t>Istodax was evaluated in a multicenter, single-arm, international clinical study in patients with peripheral T-cell lymphoma (PTCL) who had failed at least 1 prior systemic therapy. Patients in the USA, Europe and Australia were treated with Istodax at a dose of 14 mg/m</w:t>
      </w:r>
      <w:r w:rsidRPr="00F34170">
        <w:rPr>
          <w:sz w:val="22"/>
          <w:szCs w:val="22"/>
          <w:vertAlign w:val="superscript"/>
          <w:lang w:val="en-AU"/>
        </w:rPr>
        <w:t>2</w:t>
      </w:r>
      <w:r w:rsidRPr="00F34170">
        <w:rPr>
          <w:sz w:val="22"/>
          <w:szCs w:val="22"/>
          <w:lang w:val="en-AU"/>
        </w:rPr>
        <w:t xml:space="preserve"> infused over 4 hours on Days 1, 8, and 15 of every 28 days. Of the 131 patients treated, 130 patients had histological confirmation by independent central review and were evaluable for efficacy (HC Population). Six cycles of treatment were planned; patients who developed progressive disease (PD), significant toxicity, or who met another criterion for study termination were to discontinue treatment. Responding patients had the option of continuing treatment beyond 6 cycles at the discretion of the patient and Investigator until study withdrawal criteria were met.</w:t>
      </w:r>
    </w:p>
    <w:p w:rsidR="007C63DD" w:rsidRPr="00F34170" w:rsidRDefault="007C63DD" w:rsidP="00413BB0">
      <w:pPr>
        <w:rPr>
          <w:sz w:val="22"/>
          <w:szCs w:val="22"/>
          <w:lang w:val="en-AU"/>
        </w:rPr>
      </w:pPr>
    </w:p>
    <w:p w:rsidR="00C46A58" w:rsidRPr="00F34170" w:rsidRDefault="007C63DD" w:rsidP="00413BB0">
      <w:pPr>
        <w:rPr>
          <w:sz w:val="22"/>
          <w:szCs w:val="22"/>
          <w:lang w:val="en-AU"/>
        </w:rPr>
      </w:pPr>
      <w:r w:rsidRPr="00F34170">
        <w:rPr>
          <w:sz w:val="22"/>
          <w:szCs w:val="22"/>
          <w:lang w:val="en-AU"/>
        </w:rPr>
        <w:t>Primary assessment of efficacy was based on the complete response (CR) rate (comprising CR and unconfirmed CR [CRu]) along with duration of response, as determined by an Independent Review Committee (IRC). The IRC were blinded to investigator evaluations, and conducted a prospective 2-step assessment including review of radiological data and relevant clinical and pathological data using the International Workshop Criteria (IWC).</w:t>
      </w:r>
    </w:p>
    <w:p w:rsidR="00C46A58" w:rsidRPr="00F34170" w:rsidRDefault="00C46A58" w:rsidP="00413BB0">
      <w:pPr>
        <w:rPr>
          <w:sz w:val="22"/>
          <w:szCs w:val="22"/>
          <w:lang w:val="en-AU"/>
        </w:rPr>
      </w:pPr>
    </w:p>
    <w:p w:rsidR="007C63DD" w:rsidRPr="00F34170" w:rsidRDefault="007C63DD" w:rsidP="00413BB0">
      <w:pPr>
        <w:rPr>
          <w:sz w:val="22"/>
          <w:szCs w:val="22"/>
          <w:lang w:val="en-AU"/>
        </w:rPr>
      </w:pPr>
      <w:r w:rsidRPr="00F34170">
        <w:rPr>
          <w:sz w:val="22"/>
          <w:szCs w:val="22"/>
          <w:lang w:val="en-AU"/>
        </w:rPr>
        <w:t>Supportive measures of efficacy included IRC assessment of objective disease response (comprising objective response rate [ORR], CR, CRu and partial response [PR]) and Investigator assessments of CR, objective disease response and duration of response. Additional secondary endpoints included time to objective disease progression and change in ECOG performance status.</w:t>
      </w:r>
    </w:p>
    <w:p w:rsidR="007C63DD" w:rsidRPr="00F34170" w:rsidRDefault="007C63DD" w:rsidP="00413BB0">
      <w:pPr>
        <w:rPr>
          <w:sz w:val="22"/>
          <w:szCs w:val="22"/>
          <w:lang w:val="en-AU"/>
        </w:rPr>
      </w:pPr>
    </w:p>
    <w:p w:rsidR="007C63DD" w:rsidRPr="00F34170" w:rsidRDefault="007C63DD" w:rsidP="00413BB0">
      <w:pPr>
        <w:rPr>
          <w:sz w:val="22"/>
          <w:szCs w:val="22"/>
          <w:lang w:val="en-AU"/>
        </w:rPr>
      </w:pPr>
      <w:r w:rsidRPr="00F34170">
        <w:rPr>
          <w:sz w:val="22"/>
          <w:szCs w:val="22"/>
          <w:lang w:val="en-AU"/>
        </w:rPr>
        <w:t>Most patients (91</w:t>
      </w:r>
      <w:r w:rsidR="00142FEA" w:rsidRPr="00F34170">
        <w:rPr>
          <w:sz w:val="22"/>
          <w:szCs w:val="22"/>
          <w:lang w:val="en-AU"/>
        </w:rPr>
        <w:t xml:space="preserve"> [</w:t>
      </w:r>
      <w:r w:rsidRPr="00F34170">
        <w:rPr>
          <w:sz w:val="22"/>
          <w:szCs w:val="22"/>
          <w:lang w:val="en-AU"/>
        </w:rPr>
        <w:t>70%</w:t>
      </w:r>
      <w:r w:rsidR="00142FEA" w:rsidRPr="00F34170">
        <w:rPr>
          <w:sz w:val="22"/>
          <w:szCs w:val="22"/>
          <w:lang w:val="en-AU"/>
        </w:rPr>
        <w:t>]</w:t>
      </w:r>
      <w:r w:rsidRPr="00F34170">
        <w:rPr>
          <w:sz w:val="22"/>
          <w:szCs w:val="22"/>
          <w:lang w:val="en-AU"/>
        </w:rPr>
        <w:t>) had Stage III or IV disease at the time of initial PTCL diagnosis. All patients had received prior systemic therapy for PTCL. Twenty-one patients (16.2%) had received prior autologous stem cell transplant.</w:t>
      </w:r>
    </w:p>
    <w:p w:rsidR="00142FEA" w:rsidRPr="00F34170" w:rsidRDefault="00142FEA" w:rsidP="00413BB0">
      <w:pPr>
        <w:rPr>
          <w:sz w:val="22"/>
          <w:szCs w:val="22"/>
          <w:lang w:val="en-AU"/>
        </w:rPr>
      </w:pPr>
    </w:p>
    <w:p w:rsidR="00C46A58" w:rsidRPr="00F34170" w:rsidRDefault="007C63DD" w:rsidP="00413BB0">
      <w:pPr>
        <w:rPr>
          <w:sz w:val="22"/>
          <w:szCs w:val="22"/>
          <w:lang w:val="en-AU"/>
        </w:rPr>
      </w:pPr>
      <w:r w:rsidRPr="00F34170">
        <w:rPr>
          <w:sz w:val="22"/>
          <w:szCs w:val="22"/>
          <w:lang w:val="en-AU"/>
        </w:rPr>
        <w:t>Efficacy outcomes for the HC population (n = 130) as determined by the IRC and Investigators are provided in Table 1. The CR rate was 15% and ORR was 25% as determined by the IRC. Stable disease was reported as best response in 25% of patients. Similar CR rates were observed by the IRC across all major subtypes of PTCL: PTCL NOS</w:t>
      </w:r>
      <w:r w:rsidR="00142FEA" w:rsidRPr="00F34170">
        <w:rPr>
          <w:sz w:val="22"/>
          <w:szCs w:val="22"/>
          <w:lang w:val="en-AU"/>
        </w:rPr>
        <w:t xml:space="preserve"> (</w:t>
      </w:r>
      <w:r w:rsidRPr="00F34170">
        <w:rPr>
          <w:sz w:val="22"/>
          <w:szCs w:val="22"/>
          <w:lang w:val="en-AU"/>
        </w:rPr>
        <w:t>14.5%</w:t>
      </w:r>
      <w:r w:rsidR="00142FEA" w:rsidRPr="00F34170">
        <w:rPr>
          <w:sz w:val="22"/>
          <w:szCs w:val="22"/>
          <w:lang w:val="en-AU"/>
        </w:rPr>
        <w:t>)</w:t>
      </w:r>
      <w:r w:rsidRPr="00F34170">
        <w:rPr>
          <w:sz w:val="22"/>
          <w:szCs w:val="22"/>
          <w:lang w:val="en-AU"/>
        </w:rPr>
        <w:t>; AITL</w:t>
      </w:r>
      <w:r w:rsidR="00142FEA" w:rsidRPr="00F34170">
        <w:rPr>
          <w:sz w:val="22"/>
          <w:szCs w:val="22"/>
          <w:lang w:val="en-AU"/>
        </w:rPr>
        <w:t xml:space="preserve"> (</w:t>
      </w:r>
      <w:r w:rsidRPr="00F34170">
        <w:rPr>
          <w:sz w:val="22"/>
          <w:szCs w:val="22"/>
          <w:lang w:val="en-AU"/>
        </w:rPr>
        <w:t>18.5%</w:t>
      </w:r>
      <w:r w:rsidR="00142FEA" w:rsidRPr="00F34170">
        <w:rPr>
          <w:sz w:val="22"/>
          <w:szCs w:val="22"/>
          <w:lang w:val="en-AU"/>
        </w:rPr>
        <w:t>)</w:t>
      </w:r>
      <w:r w:rsidRPr="00F34170">
        <w:rPr>
          <w:sz w:val="22"/>
          <w:szCs w:val="22"/>
          <w:lang w:val="en-AU"/>
        </w:rPr>
        <w:t>; and ALK-1 negative ALCL</w:t>
      </w:r>
      <w:r w:rsidR="00142FEA" w:rsidRPr="00F34170">
        <w:rPr>
          <w:sz w:val="22"/>
          <w:szCs w:val="22"/>
          <w:lang w:val="en-AU"/>
        </w:rPr>
        <w:t xml:space="preserve"> (</w:t>
      </w:r>
      <w:r w:rsidRPr="00F34170">
        <w:rPr>
          <w:sz w:val="22"/>
          <w:szCs w:val="22"/>
          <w:lang w:val="en-AU"/>
        </w:rPr>
        <w:t>19.0%</w:t>
      </w:r>
      <w:r w:rsidR="00142FEA" w:rsidRPr="00F34170">
        <w:rPr>
          <w:sz w:val="22"/>
          <w:szCs w:val="22"/>
          <w:lang w:val="en-AU"/>
        </w:rPr>
        <w:t>)</w:t>
      </w:r>
      <w:r w:rsidRPr="00F34170">
        <w:rPr>
          <w:sz w:val="22"/>
          <w:szCs w:val="22"/>
          <w:lang w:val="en-AU"/>
        </w:rPr>
        <w:t>.</w:t>
      </w:r>
    </w:p>
    <w:p w:rsidR="00C46A58" w:rsidRPr="00F34170" w:rsidRDefault="00C46A58" w:rsidP="00413BB0">
      <w:pPr>
        <w:rPr>
          <w:sz w:val="22"/>
          <w:szCs w:val="22"/>
          <w:lang w:val="en-AU"/>
        </w:rPr>
      </w:pPr>
    </w:p>
    <w:p w:rsidR="00C46A58" w:rsidRPr="00F34170" w:rsidRDefault="007C63DD" w:rsidP="00413BB0">
      <w:pPr>
        <w:rPr>
          <w:sz w:val="22"/>
          <w:szCs w:val="22"/>
          <w:lang w:val="en-AU"/>
        </w:rPr>
      </w:pPr>
      <w:r w:rsidRPr="00F34170">
        <w:rPr>
          <w:sz w:val="22"/>
          <w:szCs w:val="22"/>
          <w:lang w:val="en-AU"/>
        </w:rPr>
        <w:t>Among the 49</w:t>
      </w:r>
      <w:r w:rsidR="00142FEA" w:rsidRPr="00F34170">
        <w:rPr>
          <w:sz w:val="22"/>
          <w:szCs w:val="22"/>
          <w:lang w:val="en-AU"/>
        </w:rPr>
        <w:t> </w:t>
      </w:r>
      <w:r w:rsidRPr="00F34170">
        <w:rPr>
          <w:sz w:val="22"/>
          <w:szCs w:val="22"/>
          <w:lang w:val="en-AU"/>
        </w:rPr>
        <w:t xml:space="preserve">patients whose best response to last prior therapy was progressive disease, 9 (18.4%) achieved CR </w:t>
      </w:r>
      <w:r w:rsidR="004D3004" w:rsidRPr="00F34170">
        <w:rPr>
          <w:sz w:val="22"/>
          <w:szCs w:val="22"/>
          <w:lang w:val="en-AU"/>
        </w:rPr>
        <w:t>(8 of these 9 patients achieved a complete response with durations of response ≥ 6 months, including 4 patients with durations ≥ 12</w:t>
      </w:r>
      <w:r w:rsidR="00142FEA" w:rsidRPr="00F34170">
        <w:rPr>
          <w:sz w:val="22"/>
          <w:szCs w:val="22"/>
          <w:lang w:val="en-AU"/>
        </w:rPr>
        <w:t> </w:t>
      </w:r>
      <w:r w:rsidR="004D3004" w:rsidRPr="00F34170">
        <w:rPr>
          <w:sz w:val="22"/>
          <w:szCs w:val="22"/>
          <w:lang w:val="en-AU"/>
        </w:rPr>
        <w:t xml:space="preserve">months) </w:t>
      </w:r>
      <w:r w:rsidRPr="00F34170">
        <w:rPr>
          <w:sz w:val="22"/>
          <w:szCs w:val="22"/>
          <w:lang w:val="en-AU"/>
        </w:rPr>
        <w:t>and 14 (28.6%) achieved objective disease response</w:t>
      </w:r>
      <w:r w:rsidR="00142FEA" w:rsidRPr="00F34170">
        <w:rPr>
          <w:sz w:val="22"/>
          <w:szCs w:val="22"/>
          <w:lang w:val="en-AU"/>
        </w:rPr>
        <w:t>.</w:t>
      </w:r>
    </w:p>
    <w:p w:rsidR="00C46A58" w:rsidRPr="00F34170" w:rsidRDefault="00C46A58" w:rsidP="00413BB0">
      <w:pPr>
        <w:rPr>
          <w:sz w:val="22"/>
          <w:szCs w:val="22"/>
          <w:lang w:val="en-AU"/>
        </w:rPr>
      </w:pPr>
    </w:p>
    <w:p w:rsidR="005F3D47" w:rsidRPr="00F34170" w:rsidRDefault="00C46A58" w:rsidP="005F3D47">
      <w:pPr>
        <w:rPr>
          <w:sz w:val="22"/>
          <w:szCs w:val="22"/>
          <w:lang w:val="en-AU"/>
        </w:rPr>
      </w:pPr>
      <w:r w:rsidRPr="00F34170">
        <w:rPr>
          <w:rFonts w:eastAsia="TimesNewRoman"/>
          <w:color w:val="000000"/>
          <w:sz w:val="22"/>
          <w:szCs w:val="22"/>
          <w:lang w:val="en-AU" w:eastAsia="zh-CN"/>
        </w:rPr>
        <w:t>Responses to romidepsin generally occurred early in the course of therapy</w:t>
      </w:r>
      <w:r w:rsidRPr="00F34170">
        <w:rPr>
          <w:sz w:val="22"/>
          <w:szCs w:val="22"/>
          <w:lang w:val="en-AU"/>
        </w:rPr>
        <w:t xml:space="preserve">. </w:t>
      </w:r>
      <w:r w:rsidR="007C63DD" w:rsidRPr="00F34170">
        <w:rPr>
          <w:sz w:val="22"/>
          <w:szCs w:val="22"/>
          <w:lang w:val="en-AU"/>
        </w:rPr>
        <w:t>Median time to objective response was 1.8 months (</w:t>
      </w:r>
      <w:r w:rsidRPr="00F34170">
        <w:rPr>
          <w:sz w:val="22"/>
          <w:szCs w:val="22"/>
          <w:lang w:val="en-AU"/>
        </w:rPr>
        <w:t xml:space="preserve">range, 1.4 to 5.3 months, observed at </w:t>
      </w:r>
      <w:r w:rsidR="007C63DD" w:rsidRPr="00F34170">
        <w:rPr>
          <w:sz w:val="22"/>
          <w:szCs w:val="22"/>
          <w:lang w:val="en-AU"/>
        </w:rPr>
        <w:t>~</w:t>
      </w:r>
      <w:r w:rsidR="00142FEA" w:rsidRPr="00F34170">
        <w:rPr>
          <w:sz w:val="22"/>
          <w:szCs w:val="22"/>
          <w:lang w:val="en-AU"/>
        </w:rPr>
        <w:t> </w:t>
      </w:r>
      <w:r w:rsidR="007C63DD" w:rsidRPr="00F34170">
        <w:rPr>
          <w:sz w:val="22"/>
          <w:szCs w:val="22"/>
          <w:lang w:val="en-AU"/>
        </w:rPr>
        <w:t>2</w:t>
      </w:r>
      <w:r w:rsidR="00142FEA" w:rsidRPr="00F34170">
        <w:rPr>
          <w:sz w:val="22"/>
          <w:szCs w:val="22"/>
          <w:lang w:val="en-AU"/>
        </w:rPr>
        <w:t> </w:t>
      </w:r>
      <w:r w:rsidR="007C63DD" w:rsidRPr="00F34170">
        <w:rPr>
          <w:sz w:val="22"/>
          <w:szCs w:val="22"/>
          <w:lang w:val="en-AU"/>
        </w:rPr>
        <w:t>cycles) for the 3</w:t>
      </w:r>
      <w:r w:rsidR="00A42FE2" w:rsidRPr="00F34170">
        <w:rPr>
          <w:sz w:val="22"/>
          <w:szCs w:val="22"/>
          <w:lang w:val="en-AU"/>
        </w:rPr>
        <w:t>3</w:t>
      </w:r>
      <w:r w:rsidR="007C63DD" w:rsidRPr="00F34170">
        <w:rPr>
          <w:sz w:val="22"/>
          <w:szCs w:val="22"/>
          <w:lang w:val="en-AU"/>
        </w:rPr>
        <w:t xml:space="preserve"> patients who achieved CR, CRu or </w:t>
      </w:r>
      <w:r w:rsidR="00991325" w:rsidRPr="00F34170">
        <w:rPr>
          <w:sz w:val="22"/>
          <w:szCs w:val="22"/>
          <w:lang w:val="en-AU"/>
        </w:rPr>
        <w:t xml:space="preserve">PR based on IRC review </w:t>
      </w:r>
      <w:r w:rsidR="00E263CB" w:rsidRPr="00F34170">
        <w:rPr>
          <w:sz w:val="22"/>
          <w:szCs w:val="22"/>
          <w:lang w:val="en-AU"/>
        </w:rPr>
        <w:t xml:space="preserve">and </w:t>
      </w:r>
      <w:r w:rsidR="00F739E9" w:rsidRPr="00F34170">
        <w:rPr>
          <w:sz w:val="22"/>
          <w:szCs w:val="22"/>
          <w:lang w:val="en-AU"/>
        </w:rPr>
        <w:t xml:space="preserve">the time to CR </w:t>
      </w:r>
      <w:r w:rsidR="007C63DD" w:rsidRPr="00F34170">
        <w:rPr>
          <w:sz w:val="22"/>
          <w:szCs w:val="22"/>
          <w:lang w:val="en-AU"/>
        </w:rPr>
        <w:t>was 3.7 months (</w:t>
      </w:r>
      <w:r w:rsidRPr="00F34170">
        <w:rPr>
          <w:sz w:val="22"/>
          <w:szCs w:val="22"/>
          <w:lang w:val="en-AU"/>
        </w:rPr>
        <w:t>range, 1.6 to 13.7 months, observed at</w:t>
      </w:r>
      <w:r w:rsidR="007C63DD" w:rsidRPr="00F34170">
        <w:rPr>
          <w:sz w:val="22"/>
          <w:szCs w:val="22"/>
          <w:lang w:val="en-AU"/>
        </w:rPr>
        <w:t>~</w:t>
      </w:r>
      <w:r w:rsidR="00142FEA" w:rsidRPr="00F34170">
        <w:rPr>
          <w:sz w:val="22"/>
          <w:szCs w:val="22"/>
          <w:lang w:val="en-AU"/>
        </w:rPr>
        <w:t> 4 </w:t>
      </w:r>
      <w:r w:rsidR="007C63DD" w:rsidRPr="00F34170">
        <w:rPr>
          <w:sz w:val="22"/>
          <w:szCs w:val="22"/>
          <w:lang w:val="en-AU"/>
        </w:rPr>
        <w:t>cycles) for patients with CR.</w:t>
      </w:r>
      <w:r w:rsidR="005F3D47">
        <w:rPr>
          <w:sz w:val="22"/>
          <w:szCs w:val="22"/>
          <w:lang w:val="en-AU"/>
        </w:rPr>
        <w:t xml:space="preserve"> </w:t>
      </w:r>
      <w:r w:rsidR="005F3D47" w:rsidRPr="004D3578">
        <w:rPr>
          <w:sz w:val="22"/>
          <w:szCs w:val="22"/>
          <w:lang w:val="en-AU"/>
        </w:rPr>
        <w:t>There are insufficient data from the pivotal study to support guidance on the potential benefit of haematopoietic stem cell transplantation in patients achieving a complete response with romidepsin.</w:t>
      </w:r>
    </w:p>
    <w:p w:rsidR="007C63DD" w:rsidRPr="00F34170" w:rsidRDefault="007C63DD" w:rsidP="00413BB0">
      <w:pPr>
        <w:rPr>
          <w:sz w:val="22"/>
          <w:szCs w:val="22"/>
          <w:lang w:val="en-AU"/>
        </w:rPr>
      </w:pPr>
    </w:p>
    <w:p w:rsidR="007C63DD" w:rsidRPr="00F34170" w:rsidRDefault="007C63DD" w:rsidP="007C63DD">
      <w:pPr>
        <w:keepNext/>
        <w:autoSpaceDE w:val="0"/>
        <w:autoSpaceDN w:val="0"/>
        <w:adjustRightInd w:val="0"/>
        <w:jc w:val="both"/>
        <w:rPr>
          <w:color w:val="000000"/>
          <w:sz w:val="22"/>
          <w:szCs w:val="22"/>
          <w:lang w:val="en-AU"/>
        </w:rPr>
      </w:pPr>
      <w:r w:rsidRPr="00F34170">
        <w:rPr>
          <w:b/>
          <w:color w:val="000000"/>
          <w:sz w:val="22"/>
          <w:szCs w:val="22"/>
          <w:lang w:val="en-AU"/>
        </w:rPr>
        <w:t>Table 1:</w:t>
      </w:r>
      <w:r w:rsidRPr="00F34170">
        <w:rPr>
          <w:color w:val="000000"/>
          <w:sz w:val="22"/>
          <w:szCs w:val="22"/>
          <w:lang w:val="en-AU"/>
        </w:rPr>
        <w:t xml:space="preserve"> Response Rates Based on Overall IRC and Investigators’ Assessments (HC Population)</w:t>
      </w:r>
    </w:p>
    <w:p w:rsidR="007C63DD" w:rsidRPr="00F34170" w:rsidRDefault="007C63DD" w:rsidP="007C63DD">
      <w:pPr>
        <w:keepNext/>
        <w:autoSpaceDE w:val="0"/>
        <w:autoSpaceDN w:val="0"/>
        <w:adjustRightInd w:val="0"/>
        <w:rPr>
          <w:color w:val="000000"/>
          <w:lang w:val="en-AU"/>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gridCol w:w="2693"/>
        <w:gridCol w:w="2693"/>
      </w:tblGrid>
      <w:tr w:rsidR="007C63DD" w:rsidRPr="00F34170" w:rsidTr="00770232">
        <w:tc>
          <w:tcPr>
            <w:tcW w:w="3828" w:type="dxa"/>
          </w:tcPr>
          <w:p w:rsidR="007C63DD" w:rsidRPr="00F34170" w:rsidRDefault="007C63DD" w:rsidP="000C4245">
            <w:pPr>
              <w:autoSpaceDE w:val="0"/>
              <w:autoSpaceDN w:val="0"/>
              <w:adjustRightInd w:val="0"/>
              <w:rPr>
                <w:color w:val="000000"/>
                <w:sz w:val="22"/>
                <w:szCs w:val="22"/>
                <w:lang w:val="en-AU"/>
              </w:rPr>
            </w:pPr>
          </w:p>
        </w:tc>
        <w:tc>
          <w:tcPr>
            <w:tcW w:w="2693" w:type="dxa"/>
            <w:vAlign w:val="center"/>
          </w:tcPr>
          <w:p w:rsidR="007C63DD" w:rsidRPr="00F34170" w:rsidRDefault="007C63DD" w:rsidP="000C4245">
            <w:pPr>
              <w:autoSpaceDE w:val="0"/>
              <w:autoSpaceDN w:val="0"/>
              <w:adjustRightInd w:val="0"/>
              <w:jc w:val="center"/>
              <w:rPr>
                <w:b/>
                <w:bCs/>
                <w:color w:val="000000"/>
                <w:sz w:val="22"/>
                <w:szCs w:val="22"/>
                <w:lang w:val="en-AU"/>
              </w:rPr>
            </w:pPr>
            <w:r w:rsidRPr="00F34170">
              <w:rPr>
                <w:b/>
                <w:bCs/>
                <w:color w:val="000000"/>
                <w:sz w:val="22"/>
                <w:szCs w:val="22"/>
                <w:lang w:val="en-AU"/>
              </w:rPr>
              <w:t>IRC</w:t>
            </w:r>
          </w:p>
          <w:p w:rsidR="007C63DD" w:rsidRPr="00F34170" w:rsidRDefault="007C63DD" w:rsidP="000C4245">
            <w:pPr>
              <w:autoSpaceDE w:val="0"/>
              <w:autoSpaceDN w:val="0"/>
              <w:adjustRightInd w:val="0"/>
              <w:jc w:val="center"/>
              <w:rPr>
                <w:color w:val="000000"/>
                <w:sz w:val="22"/>
                <w:szCs w:val="22"/>
                <w:lang w:val="en-AU"/>
              </w:rPr>
            </w:pPr>
            <w:r w:rsidRPr="00F34170">
              <w:rPr>
                <w:b/>
                <w:bCs/>
                <w:color w:val="000000"/>
                <w:sz w:val="22"/>
                <w:szCs w:val="22"/>
                <w:lang w:val="en-AU"/>
              </w:rPr>
              <w:t>(N=130)</w:t>
            </w:r>
          </w:p>
        </w:tc>
        <w:tc>
          <w:tcPr>
            <w:tcW w:w="2693" w:type="dxa"/>
          </w:tcPr>
          <w:p w:rsidR="007C63DD" w:rsidRPr="00F34170" w:rsidRDefault="007C63DD" w:rsidP="000C4245">
            <w:pPr>
              <w:autoSpaceDE w:val="0"/>
              <w:autoSpaceDN w:val="0"/>
              <w:adjustRightInd w:val="0"/>
              <w:jc w:val="center"/>
              <w:rPr>
                <w:b/>
                <w:bCs/>
                <w:color w:val="000000"/>
                <w:sz w:val="22"/>
                <w:szCs w:val="22"/>
                <w:lang w:val="en-AU"/>
              </w:rPr>
            </w:pPr>
            <w:r w:rsidRPr="00F34170">
              <w:rPr>
                <w:b/>
                <w:bCs/>
                <w:color w:val="000000"/>
                <w:sz w:val="22"/>
                <w:szCs w:val="22"/>
                <w:lang w:val="en-AU"/>
              </w:rPr>
              <w:t>Investigators</w:t>
            </w:r>
          </w:p>
          <w:p w:rsidR="007C63DD" w:rsidRPr="00F34170" w:rsidRDefault="007C63DD" w:rsidP="000C4245">
            <w:pPr>
              <w:autoSpaceDE w:val="0"/>
              <w:autoSpaceDN w:val="0"/>
              <w:adjustRightInd w:val="0"/>
              <w:jc w:val="center"/>
              <w:rPr>
                <w:color w:val="000000"/>
                <w:sz w:val="22"/>
                <w:szCs w:val="22"/>
                <w:lang w:val="en-AU"/>
              </w:rPr>
            </w:pPr>
            <w:r w:rsidRPr="00F34170">
              <w:rPr>
                <w:b/>
                <w:bCs/>
                <w:color w:val="000000"/>
                <w:sz w:val="22"/>
                <w:szCs w:val="22"/>
                <w:lang w:val="en-AU"/>
              </w:rPr>
              <w:t>(N=130)</w:t>
            </w:r>
          </w:p>
        </w:tc>
      </w:tr>
      <w:tr w:rsidR="00770232" w:rsidRPr="00F34170" w:rsidTr="00371D0B">
        <w:tc>
          <w:tcPr>
            <w:tcW w:w="9214" w:type="dxa"/>
            <w:gridSpan w:val="3"/>
          </w:tcPr>
          <w:p w:rsidR="00770232" w:rsidRPr="00F34170" w:rsidRDefault="00770232" w:rsidP="000C4245">
            <w:pPr>
              <w:autoSpaceDE w:val="0"/>
              <w:autoSpaceDN w:val="0"/>
              <w:adjustRightInd w:val="0"/>
              <w:rPr>
                <w:color w:val="000000"/>
                <w:sz w:val="22"/>
                <w:szCs w:val="22"/>
                <w:lang w:val="en-AU"/>
              </w:rPr>
            </w:pPr>
            <w:r w:rsidRPr="00F34170">
              <w:rPr>
                <w:b/>
                <w:bCs/>
                <w:color w:val="000000"/>
                <w:sz w:val="22"/>
                <w:szCs w:val="22"/>
                <w:lang w:val="en-AU"/>
              </w:rPr>
              <w:t>Response Rate</w:t>
            </w:r>
          </w:p>
        </w:tc>
      </w:tr>
      <w:tr w:rsidR="007C63DD" w:rsidRPr="00F34170" w:rsidTr="00770232">
        <w:tc>
          <w:tcPr>
            <w:tcW w:w="3828" w:type="dxa"/>
          </w:tcPr>
          <w:p w:rsidR="007C63DD" w:rsidRPr="00F95259" w:rsidRDefault="000A11EA" w:rsidP="000C4245">
            <w:pPr>
              <w:autoSpaceDE w:val="0"/>
              <w:autoSpaceDN w:val="0"/>
              <w:adjustRightInd w:val="0"/>
              <w:ind w:left="317"/>
              <w:rPr>
                <w:color w:val="000000"/>
                <w:sz w:val="22"/>
                <w:szCs w:val="22"/>
                <w:lang w:val="en-AU"/>
              </w:rPr>
            </w:pPr>
            <w:r w:rsidRPr="00F95259">
              <w:rPr>
                <w:color w:val="000000"/>
                <w:sz w:val="22"/>
                <w:szCs w:val="22"/>
                <w:lang w:val="en-AU"/>
              </w:rPr>
              <w:t>ORR (CR+CRu+PR), n (%)</w:t>
            </w:r>
          </w:p>
        </w:tc>
        <w:tc>
          <w:tcPr>
            <w:tcW w:w="2693" w:type="dxa"/>
          </w:tcPr>
          <w:p w:rsidR="007C63DD" w:rsidRPr="00F34170" w:rsidRDefault="007C63DD" w:rsidP="00957B88">
            <w:pPr>
              <w:autoSpaceDE w:val="0"/>
              <w:autoSpaceDN w:val="0"/>
              <w:adjustRightInd w:val="0"/>
              <w:jc w:val="center"/>
              <w:rPr>
                <w:color w:val="000000"/>
                <w:sz w:val="22"/>
                <w:szCs w:val="22"/>
                <w:lang w:val="en-AU"/>
              </w:rPr>
            </w:pPr>
            <w:r w:rsidRPr="00F34170">
              <w:rPr>
                <w:color w:val="000000"/>
                <w:sz w:val="22"/>
                <w:szCs w:val="22"/>
                <w:lang w:val="en-AU"/>
              </w:rPr>
              <w:t>33 (25.4) [1</w:t>
            </w:r>
            <w:r w:rsidR="004D7211" w:rsidRPr="00F34170">
              <w:rPr>
                <w:color w:val="000000"/>
                <w:sz w:val="22"/>
                <w:szCs w:val="22"/>
                <w:lang w:val="en-AU"/>
              </w:rPr>
              <w:t>8</w:t>
            </w:r>
            <w:r w:rsidRPr="00F34170">
              <w:rPr>
                <w:color w:val="000000"/>
                <w:sz w:val="22"/>
                <w:szCs w:val="22"/>
                <w:lang w:val="en-AU"/>
              </w:rPr>
              <w:t>.2]</w:t>
            </w:r>
            <w:r w:rsidRPr="00F34170">
              <w:rPr>
                <w:color w:val="000000"/>
                <w:sz w:val="22"/>
                <w:szCs w:val="22"/>
                <w:vertAlign w:val="superscript"/>
                <w:lang w:val="en-AU"/>
              </w:rPr>
              <w:t>1</w:t>
            </w:r>
          </w:p>
        </w:tc>
        <w:tc>
          <w:tcPr>
            <w:tcW w:w="2693" w:type="dxa"/>
          </w:tcPr>
          <w:p w:rsidR="007C63DD" w:rsidRPr="00F34170" w:rsidRDefault="007C63DD" w:rsidP="004D7211">
            <w:pPr>
              <w:autoSpaceDE w:val="0"/>
              <w:autoSpaceDN w:val="0"/>
              <w:adjustRightInd w:val="0"/>
              <w:jc w:val="center"/>
              <w:rPr>
                <w:color w:val="000000"/>
                <w:sz w:val="22"/>
                <w:szCs w:val="22"/>
                <w:lang w:val="en-AU"/>
              </w:rPr>
            </w:pPr>
            <w:r w:rsidRPr="00F34170">
              <w:rPr>
                <w:color w:val="000000"/>
                <w:sz w:val="22"/>
                <w:szCs w:val="22"/>
                <w:lang w:val="en-AU"/>
              </w:rPr>
              <w:t>38 (29.2) [2</w:t>
            </w:r>
            <w:r w:rsidR="004D7211" w:rsidRPr="00F34170">
              <w:rPr>
                <w:color w:val="000000"/>
                <w:sz w:val="22"/>
                <w:szCs w:val="22"/>
                <w:lang w:val="en-AU"/>
              </w:rPr>
              <w:t>1.6</w:t>
            </w:r>
            <w:r w:rsidRPr="00F34170">
              <w:rPr>
                <w:color w:val="000000"/>
                <w:sz w:val="22"/>
                <w:szCs w:val="22"/>
                <w:lang w:val="en-AU"/>
              </w:rPr>
              <w:t>]</w:t>
            </w:r>
            <w:r w:rsidRPr="00F34170">
              <w:rPr>
                <w:color w:val="000000"/>
                <w:sz w:val="22"/>
                <w:szCs w:val="22"/>
                <w:vertAlign w:val="superscript"/>
                <w:lang w:val="en-AU"/>
              </w:rPr>
              <w:t>1</w:t>
            </w:r>
          </w:p>
        </w:tc>
      </w:tr>
      <w:tr w:rsidR="007C63DD" w:rsidRPr="00F34170" w:rsidTr="00770232">
        <w:tc>
          <w:tcPr>
            <w:tcW w:w="3828" w:type="dxa"/>
          </w:tcPr>
          <w:p w:rsidR="007C63DD" w:rsidRPr="00F34170" w:rsidRDefault="007C63DD" w:rsidP="000C4245">
            <w:pPr>
              <w:autoSpaceDE w:val="0"/>
              <w:autoSpaceDN w:val="0"/>
              <w:adjustRightInd w:val="0"/>
              <w:ind w:left="317"/>
              <w:rPr>
                <w:color w:val="000000"/>
                <w:sz w:val="22"/>
                <w:szCs w:val="22"/>
                <w:lang w:val="en-AU"/>
              </w:rPr>
            </w:pPr>
            <w:r w:rsidRPr="00F34170">
              <w:rPr>
                <w:color w:val="000000"/>
                <w:sz w:val="22"/>
                <w:szCs w:val="22"/>
                <w:lang w:val="en-AU"/>
              </w:rPr>
              <w:t>CR+CRu, n (%)</w:t>
            </w:r>
          </w:p>
        </w:tc>
        <w:tc>
          <w:tcPr>
            <w:tcW w:w="2693" w:type="dxa"/>
          </w:tcPr>
          <w:p w:rsidR="007C63DD" w:rsidRPr="00F34170" w:rsidRDefault="007C63DD" w:rsidP="004D7211">
            <w:pPr>
              <w:autoSpaceDE w:val="0"/>
              <w:autoSpaceDN w:val="0"/>
              <w:adjustRightInd w:val="0"/>
              <w:jc w:val="center"/>
              <w:rPr>
                <w:color w:val="000000"/>
                <w:sz w:val="22"/>
                <w:szCs w:val="22"/>
                <w:lang w:val="en-AU"/>
              </w:rPr>
            </w:pPr>
            <w:r w:rsidRPr="00F34170">
              <w:rPr>
                <w:color w:val="000000"/>
                <w:sz w:val="22"/>
                <w:szCs w:val="22"/>
                <w:lang w:val="en-AU"/>
              </w:rPr>
              <w:t>19 (14.6) [9.</w:t>
            </w:r>
            <w:r w:rsidR="004D7211" w:rsidRPr="00F34170">
              <w:rPr>
                <w:color w:val="000000"/>
                <w:sz w:val="22"/>
                <w:szCs w:val="22"/>
                <w:lang w:val="en-AU"/>
              </w:rPr>
              <w:t>0</w:t>
            </w:r>
            <w:r w:rsidRPr="00F34170">
              <w:rPr>
                <w:color w:val="000000"/>
                <w:sz w:val="22"/>
                <w:szCs w:val="22"/>
                <w:lang w:val="en-AU"/>
              </w:rPr>
              <w:t>]</w:t>
            </w:r>
            <w:r w:rsidRPr="00F34170">
              <w:rPr>
                <w:color w:val="000000"/>
                <w:sz w:val="22"/>
                <w:szCs w:val="22"/>
                <w:vertAlign w:val="superscript"/>
                <w:lang w:val="en-AU"/>
              </w:rPr>
              <w:t>1</w:t>
            </w:r>
          </w:p>
        </w:tc>
        <w:tc>
          <w:tcPr>
            <w:tcW w:w="2693" w:type="dxa"/>
          </w:tcPr>
          <w:p w:rsidR="007C63DD" w:rsidRPr="00F34170" w:rsidRDefault="007C63DD" w:rsidP="004D7211">
            <w:pPr>
              <w:autoSpaceDE w:val="0"/>
              <w:autoSpaceDN w:val="0"/>
              <w:adjustRightInd w:val="0"/>
              <w:jc w:val="center"/>
              <w:rPr>
                <w:color w:val="000000"/>
                <w:sz w:val="22"/>
                <w:szCs w:val="22"/>
                <w:lang w:val="en-AU"/>
              </w:rPr>
            </w:pPr>
            <w:r w:rsidRPr="00F34170">
              <w:rPr>
                <w:color w:val="000000"/>
                <w:sz w:val="22"/>
                <w:szCs w:val="22"/>
                <w:lang w:val="en-AU"/>
              </w:rPr>
              <w:t>21 (16.2) [1</w:t>
            </w:r>
            <w:r w:rsidR="004D7211" w:rsidRPr="00F34170">
              <w:rPr>
                <w:color w:val="000000"/>
                <w:sz w:val="22"/>
                <w:szCs w:val="22"/>
                <w:lang w:val="en-AU"/>
              </w:rPr>
              <w:t>0.3</w:t>
            </w:r>
            <w:r w:rsidRPr="00F34170">
              <w:rPr>
                <w:color w:val="000000"/>
                <w:sz w:val="22"/>
                <w:szCs w:val="22"/>
                <w:lang w:val="en-AU"/>
              </w:rPr>
              <w:t>]</w:t>
            </w:r>
            <w:r w:rsidRPr="00F34170">
              <w:rPr>
                <w:color w:val="000000"/>
                <w:sz w:val="22"/>
                <w:szCs w:val="22"/>
                <w:vertAlign w:val="superscript"/>
                <w:lang w:val="en-AU"/>
              </w:rPr>
              <w:t>1</w:t>
            </w:r>
          </w:p>
        </w:tc>
      </w:tr>
      <w:tr w:rsidR="007C63DD" w:rsidRPr="00F34170" w:rsidTr="00770232">
        <w:tc>
          <w:tcPr>
            <w:tcW w:w="3828" w:type="dxa"/>
          </w:tcPr>
          <w:p w:rsidR="007C63DD" w:rsidRPr="00F34170" w:rsidRDefault="007C63DD" w:rsidP="000C4245">
            <w:pPr>
              <w:autoSpaceDE w:val="0"/>
              <w:autoSpaceDN w:val="0"/>
              <w:adjustRightInd w:val="0"/>
              <w:ind w:left="317"/>
              <w:rPr>
                <w:color w:val="000000"/>
                <w:sz w:val="22"/>
                <w:szCs w:val="22"/>
                <w:lang w:val="en-AU"/>
              </w:rPr>
            </w:pPr>
            <w:r w:rsidRPr="00F34170">
              <w:rPr>
                <w:color w:val="000000"/>
                <w:sz w:val="22"/>
                <w:szCs w:val="22"/>
                <w:lang w:val="en-AU"/>
              </w:rPr>
              <w:t>PR, n (%)</w:t>
            </w:r>
          </w:p>
          <w:p w:rsidR="009902CF" w:rsidRPr="00F34170" w:rsidRDefault="009902CF" w:rsidP="000C4245">
            <w:pPr>
              <w:autoSpaceDE w:val="0"/>
              <w:autoSpaceDN w:val="0"/>
              <w:adjustRightInd w:val="0"/>
              <w:ind w:left="317"/>
              <w:rPr>
                <w:color w:val="000000"/>
                <w:sz w:val="22"/>
                <w:szCs w:val="22"/>
                <w:lang w:val="en-AU"/>
              </w:rPr>
            </w:pPr>
            <w:r w:rsidRPr="00F34170">
              <w:rPr>
                <w:lang w:val="en-AU"/>
              </w:rPr>
              <w:t xml:space="preserve">(SD) </w:t>
            </w:r>
            <w:r w:rsidRPr="00F34170">
              <w:rPr>
                <w:color w:val="000000"/>
                <w:sz w:val="22"/>
                <w:szCs w:val="22"/>
                <w:lang w:val="en-AU"/>
              </w:rPr>
              <w:t>n (%)</w:t>
            </w:r>
          </w:p>
        </w:tc>
        <w:tc>
          <w:tcPr>
            <w:tcW w:w="2693" w:type="dxa"/>
          </w:tcPr>
          <w:p w:rsidR="007C63DD" w:rsidRPr="00F34170" w:rsidRDefault="007C63DD" w:rsidP="000C4245">
            <w:pPr>
              <w:autoSpaceDE w:val="0"/>
              <w:autoSpaceDN w:val="0"/>
              <w:adjustRightInd w:val="0"/>
              <w:jc w:val="center"/>
              <w:rPr>
                <w:color w:val="000000"/>
                <w:sz w:val="22"/>
                <w:szCs w:val="22"/>
                <w:lang w:val="en-AU"/>
              </w:rPr>
            </w:pPr>
            <w:r w:rsidRPr="00F34170">
              <w:rPr>
                <w:color w:val="000000"/>
                <w:sz w:val="22"/>
                <w:szCs w:val="22"/>
                <w:lang w:val="en-AU"/>
              </w:rPr>
              <w:t>14 (10.8)</w:t>
            </w:r>
          </w:p>
          <w:p w:rsidR="009902CF" w:rsidRPr="00F34170" w:rsidRDefault="009902CF" w:rsidP="000C4245">
            <w:pPr>
              <w:autoSpaceDE w:val="0"/>
              <w:autoSpaceDN w:val="0"/>
              <w:adjustRightInd w:val="0"/>
              <w:jc w:val="center"/>
              <w:rPr>
                <w:color w:val="000000"/>
                <w:sz w:val="22"/>
                <w:szCs w:val="22"/>
                <w:lang w:val="en-AU"/>
              </w:rPr>
            </w:pPr>
            <w:r w:rsidRPr="00F34170">
              <w:rPr>
                <w:lang w:val="en-AU"/>
              </w:rPr>
              <w:t>33 (25.4)</w:t>
            </w:r>
          </w:p>
        </w:tc>
        <w:tc>
          <w:tcPr>
            <w:tcW w:w="2693" w:type="dxa"/>
          </w:tcPr>
          <w:p w:rsidR="007C63DD" w:rsidRPr="00F34170" w:rsidRDefault="007C63DD" w:rsidP="000C4245">
            <w:pPr>
              <w:autoSpaceDE w:val="0"/>
              <w:autoSpaceDN w:val="0"/>
              <w:adjustRightInd w:val="0"/>
              <w:jc w:val="center"/>
              <w:rPr>
                <w:color w:val="000000"/>
                <w:sz w:val="22"/>
                <w:szCs w:val="22"/>
                <w:lang w:val="en-AU"/>
              </w:rPr>
            </w:pPr>
            <w:r w:rsidRPr="00F34170">
              <w:rPr>
                <w:color w:val="000000"/>
                <w:sz w:val="22"/>
                <w:szCs w:val="22"/>
                <w:lang w:val="en-AU"/>
              </w:rPr>
              <w:t>17 (13.1)</w:t>
            </w:r>
          </w:p>
          <w:p w:rsidR="009902CF" w:rsidRPr="00F34170" w:rsidRDefault="009902CF" w:rsidP="000C4245">
            <w:pPr>
              <w:autoSpaceDE w:val="0"/>
              <w:autoSpaceDN w:val="0"/>
              <w:adjustRightInd w:val="0"/>
              <w:jc w:val="center"/>
              <w:rPr>
                <w:color w:val="000000"/>
                <w:sz w:val="22"/>
                <w:szCs w:val="22"/>
                <w:lang w:val="en-AU"/>
              </w:rPr>
            </w:pPr>
            <w:r w:rsidRPr="00F34170">
              <w:rPr>
                <w:lang w:val="en-AU"/>
              </w:rPr>
              <w:t>22 (16.9)</w:t>
            </w:r>
          </w:p>
        </w:tc>
      </w:tr>
      <w:tr w:rsidR="00770232" w:rsidRPr="00F34170" w:rsidTr="00371D0B">
        <w:tc>
          <w:tcPr>
            <w:tcW w:w="9214" w:type="dxa"/>
            <w:gridSpan w:val="3"/>
          </w:tcPr>
          <w:p w:rsidR="00770232" w:rsidRPr="00F34170" w:rsidRDefault="00770232" w:rsidP="00770232">
            <w:pPr>
              <w:autoSpaceDE w:val="0"/>
              <w:autoSpaceDN w:val="0"/>
              <w:adjustRightInd w:val="0"/>
              <w:rPr>
                <w:color w:val="000000"/>
                <w:sz w:val="22"/>
                <w:szCs w:val="22"/>
                <w:lang w:val="en-AU"/>
              </w:rPr>
            </w:pPr>
            <w:r w:rsidRPr="00F34170">
              <w:rPr>
                <w:b/>
                <w:bCs/>
                <w:color w:val="000000"/>
                <w:sz w:val="22"/>
                <w:szCs w:val="22"/>
                <w:lang w:val="en-AU"/>
              </w:rPr>
              <w:t>Duration of Response (months)</w:t>
            </w:r>
          </w:p>
        </w:tc>
      </w:tr>
      <w:tr w:rsidR="007C63DD" w:rsidRPr="00F34170" w:rsidTr="00770232">
        <w:tc>
          <w:tcPr>
            <w:tcW w:w="3828" w:type="dxa"/>
          </w:tcPr>
          <w:p w:rsidR="007C63DD" w:rsidRPr="00F34170" w:rsidRDefault="007C63DD" w:rsidP="000C4245">
            <w:pPr>
              <w:autoSpaceDE w:val="0"/>
              <w:autoSpaceDN w:val="0"/>
              <w:adjustRightInd w:val="0"/>
              <w:ind w:left="317"/>
              <w:rPr>
                <w:color w:val="000000"/>
                <w:sz w:val="22"/>
                <w:szCs w:val="22"/>
                <w:lang w:val="en-AU"/>
              </w:rPr>
            </w:pPr>
            <w:r w:rsidRPr="00F34170">
              <w:rPr>
                <w:bCs/>
                <w:color w:val="000000"/>
                <w:sz w:val="22"/>
                <w:szCs w:val="22"/>
                <w:lang w:val="en-AU"/>
              </w:rPr>
              <w:t>ORR</w:t>
            </w:r>
          </w:p>
        </w:tc>
        <w:tc>
          <w:tcPr>
            <w:tcW w:w="2693" w:type="dxa"/>
          </w:tcPr>
          <w:p w:rsidR="007C63DD" w:rsidRPr="00F34170" w:rsidRDefault="007C63DD" w:rsidP="000C4245">
            <w:pPr>
              <w:autoSpaceDE w:val="0"/>
              <w:autoSpaceDN w:val="0"/>
              <w:adjustRightInd w:val="0"/>
              <w:jc w:val="center"/>
              <w:rPr>
                <w:color w:val="000000"/>
                <w:sz w:val="22"/>
                <w:szCs w:val="22"/>
                <w:lang w:val="en-AU"/>
              </w:rPr>
            </w:pPr>
          </w:p>
        </w:tc>
        <w:tc>
          <w:tcPr>
            <w:tcW w:w="2693" w:type="dxa"/>
          </w:tcPr>
          <w:p w:rsidR="007C63DD" w:rsidRPr="00F34170" w:rsidRDefault="007C63DD" w:rsidP="000C4245">
            <w:pPr>
              <w:autoSpaceDE w:val="0"/>
              <w:autoSpaceDN w:val="0"/>
              <w:adjustRightInd w:val="0"/>
              <w:jc w:val="center"/>
              <w:rPr>
                <w:color w:val="000000"/>
                <w:sz w:val="22"/>
                <w:szCs w:val="22"/>
                <w:lang w:val="en-AU"/>
              </w:rPr>
            </w:pPr>
          </w:p>
        </w:tc>
      </w:tr>
      <w:tr w:rsidR="007C63DD" w:rsidRPr="00F34170" w:rsidTr="00770232">
        <w:tc>
          <w:tcPr>
            <w:tcW w:w="3828" w:type="dxa"/>
          </w:tcPr>
          <w:p w:rsidR="007C63DD" w:rsidRPr="00F34170" w:rsidRDefault="007C63DD" w:rsidP="000C4245">
            <w:pPr>
              <w:autoSpaceDE w:val="0"/>
              <w:autoSpaceDN w:val="0"/>
              <w:adjustRightInd w:val="0"/>
              <w:rPr>
                <w:color w:val="000000"/>
                <w:sz w:val="22"/>
                <w:szCs w:val="22"/>
                <w:lang w:val="en-AU"/>
              </w:rPr>
            </w:pPr>
            <w:r w:rsidRPr="00F34170">
              <w:rPr>
                <w:color w:val="000000"/>
                <w:sz w:val="22"/>
                <w:szCs w:val="22"/>
                <w:lang w:val="en-AU"/>
              </w:rPr>
              <w:lastRenderedPageBreak/>
              <w:tab/>
              <w:t>N</w:t>
            </w:r>
          </w:p>
        </w:tc>
        <w:tc>
          <w:tcPr>
            <w:tcW w:w="2693" w:type="dxa"/>
          </w:tcPr>
          <w:p w:rsidR="007C63DD" w:rsidRPr="00F34170" w:rsidRDefault="007C63DD" w:rsidP="000C4245">
            <w:pPr>
              <w:autoSpaceDE w:val="0"/>
              <w:autoSpaceDN w:val="0"/>
              <w:adjustRightInd w:val="0"/>
              <w:jc w:val="center"/>
              <w:rPr>
                <w:color w:val="000000"/>
                <w:sz w:val="22"/>
                <w:szCs w:val="22"/>
                <w:lang w:val="en-AU"/>
              </w:rPr>
            </w:pPr>
            <w:r w:rsidRPr="00F34170">
              <w:rPr>
                <w:color w:val="000000"/>
                <w:sz w:val="22"/>
                <w:szCs w:val="22"/>
                <w:lang w:val="en-AU"/>
              </w:rPr>
              <w:t>33</w:t>
            </w:r>
          </w:p>
        </w:tc>
        <w:tc>
          <w:tcPr>
            <w:tcW w:w="2693" w:type="dxa"/>
          </w:tcPr>
          <w:p w:rsidR="007C63DD" w:rsidRPr="00F34170" w:rsidRDefault="007C63DD" w:rsidP="000C4245">
            <w:pPr>
              <w:autoSpaceDE w:val="0"/>
              <w:autoSpaceDN w:val="0"/>
              <w:adjustRightInd w:val="0"/>
              <w:jc w:val="center"/>
              <w:rPr>
                <w:color w:val="000000"/>
                <w:sz w:val="22"/>
                <w:szCs w:val="22"/>
                <w:lang w:val="en-AU"/>
              </w:rPr>
            </w:pPr>
            <w:r w:rsidRPr="00F34170">
              <w:rPr>
                <w:color w:val="000000"/>
                <w:sz w:val="22"/>
                <w:szCs w:val="22"/>
                <w:lang w:val="en-AU"/>
              </w:rPr>
              <w:t>38</w:t>
            </w:r>
          </w:p>
        </w:tc>
      </w:tr>
      <w:tr w:rsidR="007C63DD" w:rsidRPr="00F34170" w:rsidTr="00770232">
        <w:tc>
          <w:tcPr>
            <w:tcW w:w="3828" w:type="dxa"/>
            <w:vAlign w:val="center"/>
          </w:tcPr>
          <w:p w:rsidR="007C63DD" w:rsidRPr="00F34170" w:rsidRDefault="007C63DD" w:rsidP="000C4245">
            <w:pPr>
              <w:autoSpaceDE w:val="0"/>
              <w:autoSpaceDN w:val="0"/>
              <w:adjustRightInd w:val="0"/>
              <w:rPr>
                <w:color w:val="000000"/>
                <w:sz w:val="22"/>
                <w:szCs w:val="22"/>
                <w:lang w:val="en-AU"/>
              </w:rPr>
            </w:pPr>
            <w:r w:rsidRPr="00F34170">
              <w:rPr>
                <w:color w:val="000000"/>
                <w:sz w:val="22"/>
                <w:szCs w:val="22"/>
                <w:lang w:val="en-AU"/>
              </w:rPr>
              <w:tab/>
              <w:t>Median (range)</w:t>
            </w:r>
          </w:p>
        </w:tc>
        <w:tc>
          <w:tcPr>
            <w:tcW w:w="2693" w:type="dxa"/>
          </w:tcPr>
          <w:p w:rsidR="007C63DD" w:rsidRPr="00F34170" w:rsidRDefault="007C63DD" w:rsidP="000C4245">
            <w:pPr>
              <w:autoSpaceDE w:val="0"/>
              <w:autoSpaceDN w:val="0"/>
              <w:adjustRightInd w:val="0"/>
              <w:jc w:val="center"/>
              <w:rPr>
                <w:color w:val="000000"/>
                <w:sz w:val="22"/>
                <w:szCs w:val="22"/>
                <w:lang w:val="en-AU"/>
              </w:rPr>
            </w:pPr>
            <w:r w:rsidRPr="00F34170">
              <w:rPr>
                <w:color w:val="000000"/>
                <w:sz w:val="22"/>
                <w:szCs w:val="22"/>
                <w:lang w:val="en-AU"/>
              </w:rPr>
              <w:t>17 (&lt; 1, 3</w:t>
            </w:r>
            <w:r w:rsidR="008576F6" w:rsidRPr="00F34170">
              <w:rPr>
                <w:color w:val="000000"/>
                <w:sz w:val="22"/>
                <w:szCs w:val="22"/>
                <w:lang w:val="en-AU"/>
              </w:rPr>
              <w:t>5</w:t>
            </w:r>
            <w:r w:rsidRPr="00F34170">
              <w:rPr>
                <w:color w:val="000000"/>
                <w:sz w:val="22"/>
                <w:szCs w:val="22"/>
                <w:lang w:val="en-AU"/>
              </w:rPr>
              <w:t>*)</w:t>
            </w:r>
          </w:p>
        </w:tc>
        <w:tc>
          <w:tcPr>
            <w:tcW w:w="2693" w:type="dxa"/>
          </w:tcPr>
          <w:p w:rsidR="007C63DD" w:rsidRPr="00F34170" w:rsidRDefault="007C63DD" w:rsidP="008576F6">
            <w:pPr>
              <w:autoSpaceDE w:val="0"/>
              <w:autoSpaceDN w:val="0"/>
              <w:adjustRightInd w:val="0"/>
              <w:jc w:val="center"/>
              <w:rPr>
                <w:color w:val="000000"/>
                <w:sz w:val="22"/>
                <w:szCs w:val="22"/>
                <w:lang w:val="en-AU"/>
              </w:rPr>
            </w:pPr>
            <w:r w:rsidRPr="00F34170">
              <w:rPr>
                <w:color w:val="000000"/>
                <w:sz w:val="22"/>
                <w:szCs w:val="22"/>
                <w:lang w:val="en-AU"/>
              </w:rPr>
              <w:t>12 (&lt; 1, 3</w:t>
            </w:r>
            <w:r w:rsidR="008576F6" w:rsidRPr="00F34170">
              <w:rPr>
                <w:color w:val="000000"/>
                <w:sz w:val="22"/>
                <w:szCs w:val="22"/>
                <w:lang w:val="en-AU"/>
              </w:rPr>
              <w:t>5</w:t>
            </w:r>
            <w:r w:rsidRPr="00F34170">
              <w:rPr>
                <w:color w:val="000000"/>
                <w:sz w:val="22"/>
                <w:szCs w:val="22"/>
                <w:lang w:val="en-AU"/>
              </w:rPr>
              <w:t>*)</w:t>
            </w:r>
          </w:p>
        </w:tc>
      </w:tr>
      <w:tr w:rsidR="007C63DD" w:rsidRPr="00F34170" w:rsidTr="00770232">
        <w:tc>
          <w:tcPr>
            <w:tcW w:w="3828" w:type="dxa"/>
          </w:tcPr>
          <w:p w:rsidR="007C63DD" w:rsidRPr="00F34170" w:rsidRDefault="007C63DD" w:rsidP="000C4245">
            <w:pPr>
              <w:autoSpaceDE w:val="0"/>
              <w:autoSpaceDN w:val="0"/>
              <w:adjustRightInd w:val="0"/>
              <w:ind w:left="317"/>
              <w:rPr>
                <w:color w:val="000000"/>
                <w:sz w:val="22"/>
                <w:szCs w:val="22"/>
                <w:lang w:val="en-AU"/>
              </w:rPr>
            </w:pPr>
            <w:r w:rsidRPr="00F34170">
              <w:rPr>
                <w:color w:val="000000"/>
                <w:sz w:val="22"/>
                <w:szCs w:val="22"/>
                <w:lang w:val="en-AU"/>
              </w:rPr>
              <w:t>CR + CRu</w:t>
            </w:r>
          </w:p>
        </w:tc>
        <w:tc>
          <w:tcPr>
            <w:tcW w:w="2693" w:type="dxa"/>
          </w:tcPr>
          <w:p w:rsidR="007C63DD" w:rsidRPr="00F34170" w:rsidRDefault="007C63DD" w:rsidP="000C4245">
            <w:pPr>
              <w:autoSpaceDE w:val="0"/>
              <w:autoSpaceDN w:val="0"/>
              <w:adjustRightInd w:val="0"/>
              <w:jc w:val="center"/>
              <w:rPr>
                <w:color w:val="000000"/>
                <w:sz w:val="22"/>
                <w:szCs w:val="22"/>
                <w:lang w:val="en-AU"/>
              </w:rPr>
            </w:pPr>
          </w:p>
        </w:tc>
        <w:tc>
          <w:tcPr>
            <w:tcW w:w="2693" w:type="dxa"/>
          </w:tcPr>
          <w:p w:rsidR="007C63DD" w:rsidRPr="00F34170" w:rsidRDefault="007C63DD" w:rsidP="000C4245">
            <w:pPr>
              <w:autoSpaceDE w:val="0"/>
              <w:autoSpaceDN w:val="0"/>
              <w:adjustRightInd w:val="0"/>
              <w:jc w:val="center"/>
              <w:rPr>
                <w:color w:val="000000"/>
                <w:sz w:val="22"/>
                <w:szCs w:val="22"/>
                <w:lang w:val="en-AU"/>
              </w:rPr>
            </w:pPr>
          </w:p>
        </w:tc>
      </w:tr>
      <w:tr w:rsidR="007C63DD" w:rsidRPr="00F34170" w:rsidTr="00770232">
        <w:tc>
          <w:tcPr>
            <w:tcW w:w="3828" w:type="dxa"/>
          </w:tcPr>
          <w:p w:rsidR="007C63DD" w:rsidRPr="00F34170" w:rsidRDefault="007C63DD" w:rsidP="000C4245">
            <w:pPr>
              <w:autoSpaceDE w:val="0"/>
              <w:autoSpaceDN w:val="0"/>
              <w:adjustRightInd w:val="0"/>
              <w:rPr>
                <w:color w:val="000000"/>
                <w:sz w:val="22"/>
                <w:szCs w:val="22"/>
                <w:lang w:val="en-AU"/>
              </w:rPr>
            </w:pPr>
            <w:r w:rsidRPr="00F34170">
              <w:rPr>
                <w:color w:val="000000"/>
                <w:sz w:val="22"/>
                <w:szCs w:val="22"/>
                <w:lang w:val="en-AU"/>
              </w:rPr>
              <w:tab/>
              <w:t>N</w:t>
            </w:r>
          </w:p>
        </w:tc>
        <w:tc>
          <w:tcPr>
            <w:tcW w:w="2693" w:type="dxa"/>
          </w:tcPr>
          <w:p w:rsidR="007C63DD" w:rsidRPr="00F34170" w:rsidRDefault="007C63DD" w:rsidP="000C4245">
            <w:pPr>
              <w:autoSpaceDE w:val="0"/>
              <w:autoSpaceDN w:val="0"/>
              <w:adjustRightInd w:val="0"/>
              <w:jc w:val="center"/>
              <w:rPr>
                <w:color w:val="000000"/>
                <w:sz w:val="22"/>
                <w:szCs w:val="22"/>
                <w:lang w:val="en-AU"/>
              </w:rPr>
            </w:pPr>
            <w:r w:rsidRPr="00F34170">
              <w:rPr>
                <w:color w:val="000000"/>
                <w:sz w:val="22"/>
                <w:szCs w:val="22"/>
                <w:lang w:val="en-AU"/>
              </w:rPr>
              <w:t>19</w:t>
            </w:r>
          </w:p>
        </w:tc>
        <w:tc>
          <w:tcPr>
            <w:tcW w:w="2693" w:type="dxa"/>
          </w:tcPr>
          <w:p w:rsidR="007C63DD" w:rsidRPr="00F34170" w:rsidRDefault="007C63DD" w:rsidP="000C4245">
            <w:pPr>
              <w:autoSpaceDE w:val="0"/>
              <w:autoSpaceDN w:val="0"/>
              <w:adjustRightInd w:val="0"/>
              <w:jc w:val="center"/>
              <w:rPr>
                <w:color w:val="000000"/>
                <w:sz w:val="22"/>
                <w:szCs w:val="22"/>
                <w:lang w:val="en-AU"/>
              </w:rPr>
            </w:pPr>
            <w:r w:rsidRPr="00F34170">
              <w:rPr>
                <w:color w:val="000000"/>
                <w:sz w:val="22"/>
                <w:szCs w:val="22"/>
                <w:lang w:val="en-AU"/>
              </w:rPr>
              <w:t>21</w:t>
            </w:r>
          </w:p>
        </w:tc>
      </w:tr>
      <w:tr w:rsidR="007C63DD" w:rsidRPr="00F34170" w:rsidTr="00770232">
        <w:tc>
          <w:tcPr>
            <w:tcW w:w="3828" w:type="dxa"/>
            <w:tcBorders>
              <w:bottom w:val="single" w:sz="4" w:space="0" w:color="auto"/>
            </w:tcBorders>
          </w:tcPr>
          <w:p w:rsidR="007C63DD" w:rsidRPr="00F34170" w:rsidRDefault="007C63DD" w:rsidP="000C4245">
            <w:pPr>
              <w:autoSpaceDE w:val="0"/>
              <w:autoSpaceDN w:val="0"/>
              <w:adjustRightInd w:val="0"/>
              <w:rPr>
                <w:color w:val="000000"/>
                <w:sz w:val="18"/>
                <w:szCs w:val="18"/>
                <w:lang w:val="en-AU"/>
              </w:rPr>
            </w:pPr>
            <w:r w:rsidRPr="00F34170">
              <w:rPr>
                <w:color w:val="000000"/>
                <w:sz w:val="22"/>
                <w:szCs w:val="22"/>
                <w:lang w:val="en-AU"/>
              </w:rPr>
              <w:tab/>
              <w:t>Median (range)</w:t>
            </w:r>
          </w:p>
        </w:tc>
        <w:tc>
          <w:tcPr>
            <w:tcW w:w="2693" w:type="dxa"/>
            <w:tcBorders>
              <w:bottom w:val="single" w:sz="4" w:space="0" w:color="auto"/>
            </w:tcBorders>
          </w:tcPr>
          <w:p w:rsidR="007C63DD" w:rsidRPr="00F34170" w:rsidRDefault="007C63DD" w:rsidP="008576F6">
            <w:pPr>
              <w:autoSpaceDE w:val="0"/>
              <w:autoSpaceDN w:val="0"/>
              <w:adjustRightInd w:val="0"/>
              <w:jc w:val="center"/>
              <w:rPr>
                <w:color w:val="000000"/>
                <w:sz w:val="22"/>
                <w:szCs w:val="22"/>
                <w:lang w:val="en-AU"/>
              </w:rPr>
            </w:pPr>
            <w:r w:rsidRPr="00F34170">
              <w:rPr>
                <w:color w:val="000000"/>
                <w:sz w:val="22"/>
                <w:szCs w:val="22"/>
                <w:lang w:val="en-AU"/>
              </w:rPr>
              <w:t>17 (&lt; 1, 3</w:t>
            </w:r>
            <w:r w:rsidR="008576F6" w:rsidRPr="00F34170">
              <w:rPr>
                <w:color w:val="000000"/>
                <w:sz w:val="22"/>
                <w:szCs w:val="22"/>
                <w:lang w:val="en-AU"/>
              </w:rPr>
              <w:t>5</w:t>
            </w:r>
            <w:r w:rsidRPr="00F34170">
              <w:rPr>
                <w:color w:val="000000"/>
                <w:sz w:val="22"/>
                <w:szCs w:val="22"/>
                <w:lang w:val="en-AU"/>
              </w:rPr>
              <w:t>*)</w:t>
            </w:r>
          </w:p>
        </w:tc>
        <w:tc>
          <w:tcPr>
            <w:tcW w:w="2693" w:type="dxa"/>
            <w:tcBorders>
              <w:bottom w:val="single" w:sz="4" w:space="0" w:color="auto"/>
            </w:tcBorders>
          </w:tcPr>
          <w:p w:rsidR="007C63DD" w:rsidRPr="00F34170" w:rsidRDefault="007C63DD" w:rsidP="008576F6">
            <w:pPr>
              <w:autoSpaceDE w:val="0"/>
              <w:autoSpaceDN w:val="0"/>
              <w:adjustRightInd w:val="0"/>
              <w:jc w:val="center"/>
              <w:rPr>
                <w:color w:val="000000"/>
                <w:sz w:val="22"/>
                <w:szCs w:val="22"/>
                <w:lang w:val="en-AU"/>
              </w:rPr>
            </w:pPr>
            <w:r w:rsidRPr="00F34170">
              <w:rPr>
                <w:color w:val="000000"/>
                <w:sz w:val="22"/>
                <w:szCs w:val="22"/>
                <w:lang w:val="en-AU"/>
              </w:rPr>
              <w:t>NE (1, 3</w:t>
            </w:r>
            <w:r w:rsidR="008576F6" w:rsidRPr="00F34170">
              <w:rPr>
                <w:color w:val="000000"/>
                <w:sz w:val="22"/>
                <w:szCs w:val="22"/>
                <w:lang w:val="en-AU"/>
              </w:rPr>
              <w:t>5</w:t>
            </w:r>
            <w:r w:rsidRPr="00F34170">
              <w:rPr>
                <w:color w:val="000000"/>
                <w:sz w:val="22"/>
                <w:szCs w:val="22"/>
                <w:lang w:val="en-AU"/>
              </w:rPr>
              <w:t>*)</w:t>
            </w:r>
          </w:p>
        </w:tc>
      </w:tr>
      <w:tr w:rsidR="007C63DD" w:rsidRPr="00F34170" w:rsidTr="00770232">
        <w:tc>
          <w:tcPr>
            <w:tcW w:w="9214" w:type="dxa"/>
            <w:gridSpan w:val="3"/>
            <w:tcBorders>
              <w:left w:val="nil"/>
              <w:bottom w:val="nil"/>
              <w:right w:val="nil"/>
            </w:tcBorders>
          </w:tcPr>
          <w:p w:rsidR="007C63DD" w:rsidRPr="00F34170" w:rsidRDefault="007C63DD" w:rsidP="00770232">
            <w:pPr>
              <w:autoSpaceDE w:val="0"/>
              <w:autoSpaceDN w:val="0"/>
              <w:adjustRightInd w:val="0"/>
              <w:spacing w:before="120"/>
              <w:rPr>
                <w:color w:val="000000"/>
                <w:sz w:val="16"/>
                <w:szCs w:val="16"/>
                <w:lang w:val="en-AU"/>
              </w:rPr>
            </w:pPr>
            <w:r w:rsidRPr="00F34170">
              <w:rPr>
                <w:color w:val="000000"/>
                <w:sz w:val="16"/>
                <w:szCs w:val="16"/>
                <w:lang w:val="en-AU"/>
              </w:rPr>
              <w:t>1 Lower bound of 95% Confidence Interval; *denotes censored value; NE = Not Estimatable</w:t>
            </w:r>
          </w:p>
        </w:tc>
      </w:tr>
    </w:tbl>
    <w:p w:rsidR="007C63DD" w:rsidRPr="00F34170" w:rsidRDefault="007C63DD" w:rsidP="007C63DD">
      <w:pPr>
        <w:rPr>
          <w:sz w:val="22"/>
          <w:szCs w:val="22"/>
          <w:lang w:val="en-AU"/>
        </w:rPr>
      </w:pPr>
    </w:p>
    <w:p w:rsidR="006D7B3A" w:rsidRPr="00F34170" w:rsidRDefault="006D7B3A" w:rsidP="007C63DD">
      <w:pPr>
        <w:rPr>
          <w:sz w:val="22"/>
          <w:szCs w:val="22"/>
          <w:lang w:val="en-AU"/>
        </w:rPr>
      </w:pPr>
    </w:p>
    <w:p w:rsidR="006D7B3A" w:rsidRPr="00F34170" w:rsidRDefault="006D7B3A" w:rsidP="00022AF1">
      <w:pPr>
        <w:pStyle w:val="ListParagraph"/>
        <w:keepNext/>
        <w:numPr>
          <w:ilvl w:val="0"/>
          <w:numId w:val="15"/>
        </w:numPr>
        <w:ind w:left="1080" w:hanging="1080"/>
        <w:jc w:val="both"/>
        <w:rPr>
          <w:sz w:val="28"/>
          <w:szCs w:val="28"/>
          <w:lang w:val="en-AU"/>
        </w:rPr>
      </w:pPr>
      <w:r w:rsidRPr="00F34170">
        <w:rPr>
          <w:b/>
          <w:sz w:val="28"/>
          <w:szCs w:val="28"/>
          <w:lang w:val="en-AU"/>
        </w:rPr>
        <w:t>Indication</w:t>
      </w:r>
    </w:p>
    <w:p w:rsidR="006D7B3A" w:rsidRPr="00F34170" w:rsidRDefault="006D7B3A" w:rsidP="00413BB0">
      <w:pPr>
        <w:spacing w:before="120"/>
        <w:rPr>
          <w:sz w:val="22"/>
          <w:szCs w:val="22"/>
          <w:lang w:val="en-AU"/>
        </w:rPr>
      </w:pPr>
      <w:r w:rsidRPr="00F34170">
        <w:rPr>
          <w:sz w:val="22"/>
          <w:szCs w:val="22"/>
          <w:lang w:val="en-AU"/>
        </w:rPr>
        <w:t xml:space="preserve">Istodax is indicated for the treatment of peripheral T-cell lymphoma in patients who have received at least one prior </w:t>
      </w:r>
      <w:r w:rsidR="00022AF1" w:rsidRPr="00F34170">
        <w:rPr>
          <w:sz w:val="22"/>
          <w:szCs w:val="22"/>
          <w:lang w:val="en-AU"/>
        </w:rPr>
        <w:t xml:space="preserve">systemic </w:t>
      </w:r>
      <w:r w:rsidRPr="00F34170">
        <w:rPr>
          <w:sz w:val="22"/>
          <w:szCs w:val="22"/>
          <w:lang w:val="en-AU"/>
        </w:rPr>
        <w:t>therapy.</w:t>
      </w:r>
    </w:p>
    <w:p w:rsidR="006D7B3A" w:rsidRPr="00F34170" w:rsidRDefault="006D7B3A" w:rsidP="00413BB0">
      <w:pPr>
        <w:rPr>
          <w:sz w:val="22"/>
          <w:szCs w:val="22"/>
          <w:lang w:val="en-AU"/>
        </w:rPr>
      </w:pPr>
    </w:p>
    <w:p w:rsidR="00022AF1" w:rsidRPr="00F34170" w:rsidRDefault="00022AF1" w:rsidP="00413BB0">
      <w:pPr>
        <w:rPr>
          <w:sz w:val="22"/>
          <w:szCs w:val="22"/>
          <w:lang w:val="en-AU"/>
        </w:rPr>
      </w:pPr>
    </w:p>
    <w:p w:rsidR="004246F6" w:rsidRPr="00F34170" w:rsidRDefault="006D7B3A">
      <w:pPr>
        <w:pStyle w:val="ListParagraph"/>
        <w:keepNext/>
        <w:numPr>
          <w:ilvl w:val="0"/>
          <w:numId w:val="15"/>
        </w:numPr>
        <w:ind w:left="1080" w:hanging="1080"/>
        <w:jc w:val="both"/>
        <w:rPr>
          <w:b/>
          <w:sz w:val="28"/>
          <w:szCs w:val="28"/>
          <w:lang w:val="en-AU"/>
        </w:rPr>
      </w:pPr>
      <w:r w:rsidRPr="00F34170">
        <w:rPr>
          <w:b/>
          <w:sz w:val="28"/>
          <w:szCs w:val="28"/>
          <w:lang w:val="en-AU"/>
        </w:rPr>
        <w:t>Contraindications</w:t>
      </w:r>
    </w:p>
    <w:p w:rsidR="006D7B3A" w:rsidRPr="00F34170" w:rsidRDefault="006D7B3A" w:rsidP="00413BB0">
      <w:pPr>
        <w:spacing w:before="120"/>
        <w:rPr>
          <w:sz w:val="22"/>
          <w:szCs w:val="22"/>
          <w:lang w:val="en-AU"/>
        </w:rPr>
      </w:pPr>
      <w:r w:rsidRPr="00F34170">
        <w:rPr>
          <w:sz w:val="22"/>
          <w:szCs w:val="22"/>
          <w:lang w:val="en-AU"/>
        </w:rPr>
        <w:t>Hypersensitivity to romidepsin or any of the excipients.</w:t>
      </w:r>
    </w:p>
    <w:p w:rsidR="006D7B3A" w:rsidRPr="00F34170" w:rsidRDefault="006D7B3A" w:rsidP="00413BB0">
      <w:pPr>
        <w:rPr>
          <w:sz w:val="22"/>
          <w:szCs w:val="22"/>
          <w:lang w:val="en-AU"/>
        </w:rPr>
      </w:pPr>
    </w:p>
    <w:p w:rsidR="006D7B3A" w:rsidRPr="00F34170" w:rsidRDefault="006D7B3A" w:rsidP="00413BB0">
      <w:pPr>
        <w:rPr>
          <w:sz w:val="22"/>
          <w:szCs w:val="22"/>
          <w:lang w:val="en-AU"/>
        </w:rPr>
      </w:pPr>
    </w:p>
    <w:p w:rsidR="006D7B3A" w:rsidRPr="00F34170" w:rsidRDefault="006D7B3A" w:rsidP="00022AF1">
      <w:pPr>
        <w:pStyle w:val="ListParagraph"/>
        <w:keepNext/>
        <w:numPr>
          <w:ilvl w:val="0"/>
          <w:numId w:val="15"/>
        </w:numPr>
        <w:ind w:left="1080" w:hanging="1080"/>
        <w:jc w:val="both"/>
        <w:rPr>
          <w:sz w:val="28"/>
          <w:szCs w:val="28"/>
          <w:lang w:val="en-AU"/>
        </w:rPr>
      </w:pPr>
      <w:r w:rsidRPr="00F34170">
        <w:rPr>
          <w:b/>
          <w:sz w:val="28"/>
          <w:szCs w:val="28"/>
          <w:lang w:val="en-AU"/>
        </w:rPr>
        <w:t>Precautions</w:t>
      </w:r>
    </w:p>
    <w:p w:rsidR="006D7B3A" w:rsidRPr="00F34170" w:rsidRDefault="006D7B3A" w:rsidP="006D7B3A">
      <w:pPr>
        <w:pStyle w:val="C-Bullet"/>
        <w:keepNext/>
        <w:numPr>
          <w:ilvl w:val="0"/>
          <w:numId w:val="17"/>
        </w:numPr>
        <w:spacing w:after="0" w:line="240" w:lineRule="auto"/>
        <w:ind w:left="357" w:hanging="357"/>
        <w:jc w:val="both"/>
        <w:rPr>
          <w:b/>
          <w:sz w:val="22"/>
          <w:szCs w:val="22"/>
          <w:u w:val="single"/>
          <w:lang w:val="en-AU"/>
        </w:rPr>
      </w:pPr>
      <w:r w:rsidRPr="00F34170">
        <w:rPr>
          <w:b/>
          <w:sz w:val="22"/>
          <w:szCs w:val="22"/>
          <w:u w:val="single"/>
          <w:lang w:val="en-AU"/>
        </w:rPr>
        <w:t>Effects on Fertility</w:t>
      </w:r>
    </w:p>
    <w:p w:rsidR="006D7B3A" w:rsidRPr="00F34170" w:rsidRDefault="006D7B3A" w:rsidP="006D7B3A">
      <w:pPr>
        <w:pStyle w:val="C-Bullet"/>
        <w:tabs>
          <w:tab w:val="clear" w:pos="720"/>
        </w:tabs>
        <w:spacing w:after="0" w:line="240" w:lineRule="auto"/>
        <w:ind w:left="0" w:firstLine="0"/>
        <w:jc w:val="both"/>
        <w:rPr>
          <w:sz w:val="22"/>
          <w:szCs w:val="22"/>
          <w:lang w:val="en-AU"/>
        </w:rPr>
      </w:pPr>
      <w:r w:rsidRPr="00F34170">
        <w:rPr>
          <w:sz w:val="22"/>
          <w:szCs w:val="22"/>
          <w:lang w:val="en-AU"/>
        </w:rPr>
        <w:t>Formal studies to assess the effect of romidepsin on fer</w:t>
      </w:r>
      <w:r w:rsidR="00D74227" w:rsidRPr="00F34170">
        <w:rPr>
          <w:sz w:val="22"/>
          <w:szCs w:val="22"/>
          <w:lang w:val="en-AU"/>
        </w:rPr>
        <w:t>tility have not been conducted.</w:t>
      </w:r>
    </w:p>
    <w:p w:rsidR="00545DEF" w:rsidRPr="00F34170" w:rsidRDefault="00545DEF" w:rsidP="00545DEF">
      <w:pPr>
        <w:rPr>
          <w:sz w:val="22"/>
          <w:szCs w:val="22"/>
          <w:lang w:val="en-AU"/>
        </w:rPr>
      </w:pPr>
    </w:p>
    <w:p w:rsidR="00545DEF" w:rsidRPr="00F34170" w:rsidRDefault="00545DEF" w:rsidP="00545DEF">
      <w:pPr>
        <w:rPr>
          <w:sz w:val="22"/>
          <w:szCs w:val="22"/>
          <w:lang w:val="en-AU"/>
        </w:rPr>
      </w:pPr>
      <w:r w:rsidRPr="00F34170">
        <w:rPr>
          <w:sz w:val="22"/>
          <w:szCs w:val="22"/>
          <w:lang w:val="en-AU"/>
        </w:rPr>
        <w:t>Based on non-clinical findings, male and female fertility may be compromi</w:t>
      </w:r>
      <w:r w:rsidR="00D74227" w:rsidRPr="00F34170">
        <w:rPr>
          <w:sz w:val="22"/>
          <w:szCs w:val="22"/>
          <w:lang w:val="en-AU"/>
        </w:rPr>
        <w:t>sed by treatment with I</w:t>
      </w:r>
      <w:r w:rsidR="00D64481" w:rsidRPr="00F34170">
        <w:rPr>
          <w:sz w:val="22"/>
          <w:szCs w:val="22"/>
          <w:lang w:val="en-AU"/>
        </w:rPr>
        <w:t>stodax</w:t>
      </w:r>
      <w:r w:rsidR="00D74227" w:rsidRPr="00F34170">
        <w:rPr>
          <w:sz w:val="22"/>
          <w:szCs w:val="22"/>
          <w:lang w:val="en-AU"/>
        </w:rPr>
        <w:t>.</w:t>
      </w:r>
    </w:p>
    <w:p w:rsidR="00076E2B" w:rsidRPr="00F34170" w:rsidRDefault="00076E2B" w:rsidP="00545DEF">
      <w:pPr>
        <w:rPr>
          <w:sz w:val="22"/>
          <w:szCs w:val="22"/>
          <w:lang w:val="en-AU"/>
        </w:rPr>
      </w:pPr>
    </w:p>
    <w:p w:rsidR="00545DEF" w:rsidRPr="00F34170" w:rsidRDefault="00545DEF" w:rsidP="00545DEF">
      <w:pPr>
        <w:rPr>
          <w:sz w:val="22"/>
          <w:szCs w:val="22"/>
          <w:lang w:val="en-AU"/>
        </w:rPr>
      </w:pPr>
      <w:r w:rsidRPr="00F34170">
        <w:rPr>
          <w:sz w:val="22"/>
          <w:szCs w:val="22"/>
          <w:lang w:val="en-AU"/>
        </w:rPr>
        <w:t xml:space="preserve">In a 26-week toxicology study, romidepsin administration resulted in testicular degeneration in rats at </w:t>
      </w:r>
      <w:r w:rsidRPr="00F34170">
        <w:rPr>
          <w:iCs/>
          <w:sz w:val="22"/>
          <w:szCs w:val="22"/>
          <w:lang w:val="en-AU"/>
        </w:rPr>
        <w:t>≥</w:t>
      </w:r>
      <w:r w:rsidR="00D74227" w:rsidRPr="00F34170">
        <w:rPr>
          <w:iCs/>
          <w:sz w:val="22"/>
          <w:szCs w:val="22"/>
          <w:lang w:val="en-AU"/>
        </w:rPr>
        <w:t> </w:t>
      </w:r>
      <w:r w:rsidRPr="00F34170">
        <w:rPr>
          <w:iCs/>
          <w:sz w:val="22"/>
          <w:szCs w:val="22"/>
          <w:lang w:val="en-AU"/>
        </w:rPr>
        <w:t xml:space="preserve">0.33 mg/kg/week </w:t>
      </w:r>
      <w:r w:rsidRPr="00F34170">
        <w:rPr>
          <w:sz w:val="22"/>
          <w:szCs w:val="22"/>
          <w:lang w:val="en-AU"/>
        </w:rPr>
        <w:t>(approximately 2% of the exposure level in patients receiving the recommended dose of 14</w:t>
      </w:r>
      <w:r w:rsidR="00D74227" w:rsidRPr="00F34170">
        <w:rPr>
          <w:sz w:val="22"/>
          <w:szCs w:val="22"/>
          <w:lang w:val="en-AU"/>
        </w:rPr>
        <w:t> </w:t>
      </w:r>
      <w:r w:rsidRPr="00F34170">
        <w:rPr>
          <w:sz w:val="22"/>
          <w:szCs w:val="22"/>
          <w:lang w:val="en-AU"/>
        </w:rPr>
        <w:t>mg/m</w:t>
      </w:r>
      <w:r w:rsidRPr="00F34170">
        <w:rPr>
          <w:sz w:val="22"/>
          <w:szCs w:val="22"/>
          <w:vertAlign w:val="superscript"/>
          <w:lang w:val="en-AU"/>
        </w:rPr>
        <w:t>2</w:t>
      </w:r>
      <w:r w:rsidR="00D74227" w:rsidRPr="00F34170">
        <w:rPr>
          <w:sz w:val="22"/>
          <w:szCs w:val="22"/>
          <w:lang w:val="en-AU"/>
        </w:rPr>
        <w:t xml:space="preserve">/dose). </w:t>
      </w:r>
      <w:r w:rsidRPr="00F34170">
        <w:rPr>
          <w:sz w:val="22"/>
          <w:szCs w:val="22"/>
          <w:lang w:val="en-AU"/>
        </w:rPr>
        <w:t xml:space="preserve">Atrophy was seen in the ovary, uterus, vagina and mammary gland of female rats administered doses </w:t>
      </w:r>
      <w:r w:rsidRPr="00F34170">
        <w:rPr>
          <w:iCs/>
          <w:sz w:val="22"/>
          <w:szCs w:val="22"/>
          <w:lang w:val="en-AU"/>
        </w:rPr>
        <w:t>at ≥</w:t>
      </w:r>
      <w:r w:rsidR="00D74227" w:rsidRPr="00F34170">
        <w:rPr>
          <w:iCs/>
          <w:sz w:val="22"/>
          <w:szCs w:val="22"/>
          <w:lang w:val="en-AU"/>
        </w:rPr>
        <w:t> </w:t>
      </w:r>
      <w:r w:rsidRPr="00F34170">
        <w:rPr>
          <w:iCs/>
          <w:sz w:val="22"/>
          <w:szCs w:val="22"/>
          <w:lang w:val="en-AU"/>
        </w:rPr>
        <w:t xml:space="preserve">0.1 mg/kg/week (approximately </w:t>
      </w:r>
      <w:r w:rsidRPr="00F34170">
        <w:rPr>
          <w:sz w:val="22"/>
          <w:szCs w:val="22"/>
          <w:lang w:val="en-AU"/>
        </w:rPr>
        <w:t>0.3% of the exposure level in patients receiving the recommended dose of 14</w:t>
      </w:r>
      <w:r w:rsidR="00D74227" w:rsidRPr="00F34170">
        <w:rPr>
          <w:sz w:val="22"/>
          <w:szCs w:val="22"/>
          <w:lang w:val="en-AU"/>
        </w:rPr>
        <w:t> </w:t>
      </w:r>
      <w:r w:rsidRPr="00F34170">
        <w:rPr>
          <w:sz w:val="22"/>
          <w:szCs w:val="22"/>
          <w:lang w:val="en-AU"/>
        </w:rPr>
        <w:t>mg/m</w:t>
      </w:r>
      <w:r w:rsidRPr="00F34170">
        <w:rPr>
          <w:sz w:val="22"/>
          <w:szCs w:val="22"/>
          <w:vertAlign w:val="superscript"/>
          <w:lang w:val="en-AU"/>
        </w:rPr>
        <w:t>2</w:t>
      </w:r>
      <w:r w:rsidR="00D74227" w:rsidRPr="00F34170">
        <w:rPr>
          <w:sz w:val="22"/>
          <w:szCs w:val="22"/>
          <w:lang w:val="en-AU"/>
        </w:rPr>
        <w:t>/dose).</w:t>
      </w:r>
    </w:p>
    <w:p w:rsidR="00074B18" w:rsidRPr="00F34170" w:rsidRDefault="00074B18" w:rsidP="00545DEF">
      <w:pPr>
        <w:rPr>
          <w:sz w:val="22"/>
          <w:szCs w:val="22"/>
          <w:lang w:val="en-AU"/>
        </w:rPr>
      </w:pPr>
    </w:p>
    <w:p w:rsidR="00515CEF" w:rsidRPr="00F34170" w:rsidRDefault="00545DEF" w:rsidP="00076E2B">
      <w:pPr>
        <w:rPr>
          <w:sz w:val="22"/>
          <w:szCs w:val="22"/>
          <w:lang w:val="en-AU"/>
        </w:rPr>
      </w:pPr>
      <w:r w:rsidRPr="00F34170">
        <w:rPr>
          <w:sz w:val="22"/>
          <w:szCs w:val="22"/>
          <w:lang w:val="en-AU"/>
        </w:rPr>
        <w:t>Seminal vesicle and prostate organ weights were decreased in a separate study in rats after 4</w:t>
      </w:r>
      <w:r w:rsidR="00D74227" w:rsidRPr="00F34170">
        <w:rPr>
          <w:sz w:val="22"/>
          <w:szCs w:val="22"/>
          <w:lang w:val="en-AU"/>
        </w:rPr>
        <w:t> </w:t>
      </w:r>
      <w:r w:rsidRPr="00F34170">
        <w:rPr>
          <w:sz w:val="22"/>
          <w:szCs w:val="22"/>
          <w:lang w:val="en-AU"/>
        </w:rPr>
        <w:t>weeks of d</w:t>
      </w:r>
      <w:r w:rsidR="00D74227" w:rsidRPr="00F34170">
        <w:rPr>
          <w:sz w:val="22"/>
          <w:szCs w:val="22"/>
          <w:lang w:val="en-AU"/>
        </w:rPr>
        <w:t>aily drug administration at 0.1 </w:t>
      </w:r>
      <w:r w:rsidRPr="00F34170">
        <w:rPr>
          <w:sz w:val="22"/>
          <w:szCs w:val="22"/>
          <w:lang w:val="en-AU"/>
        </w:rPr>
        <w:t xml:space="preserve">mg/kg/day, </w:t>
      </w:r>
      <w:r w:rsidRPr="00F34170">
        <w:rPr>
          <w:bCs/>
          <w:sz w:val="22"/>
          <w:szCs w:val="22"/>
          <w:lang w:val="en-AU"/>
        </w:rPr>
        <w:t xml:space="preserve">approximately </w:t>
      </w:r>
      <w:r w:rsidR="00895FE9" w:rsidRPr="00F34170">
        <w:rPr>
          <w:bCs/>
          <w:sz w:val="22"/>
          <w:szCs w:val="22"/>
          <w:lang w:val="en-AU"/>
        </w:rPr>
        <w:t>2</w:t>
      </w:r>
      <w:r w:rsidRPr="00F34170">
        <w:rPr>
          <w:bCs/>
          <w:sz w:val="22"/>
          <w:szCs w:val="22"/>
          <w:lang w:val="en-AU"/>
        </w:rPr>
        <w:t xml:space="preserve">% </w:t>
      </w:r>
      <w:r w:rsidR="00895FE9" w:rsidRPr="00F34170">
        <w:rPr>
          <w:bCs/>
          <w:sz w:val="22"/>
          <w:szCs w:val="22"/>
          <w:lang w:val="en-AU"/>
        </w:rPr>
        <w:t xml:space="preserve">of </w:t>
      </w:r>
      <w:r w:rsidRPr="00F34170">
        <w:rPr>
          <w:bCs/>
          <w:sz w:val="22"/>
          <w:szCs w:val="22"/>
          <w:lang w:val="en-AU"/>
        </w:rPr>
        <w:t xml:space="preserve">the estimated human weekly dose. </w:t>
      </w:r>
      <w:r w:rsidRPr="00F34170">
        <w:rPr>
          <w:sz w:val="22"/>
          <w:szCs w:val="22"/>
          <w:lang w:val="en-AU"/>
        </w:rPr>
        <w:t>Maturation arrest of ovarian follicles and decreased weight of ovaries were also observed.</w:t>
      </w:r>
    </w:p>
    <w:p w:rsidR="006D7B3A" w:rsidRPr="00F34170" w:rsidRDefault="006D7B3A" w:rsidP="006D7B3A">
      <w:pPr>
        <w:pStyle w:val="C-Bullet"/>
        <w:tabs>
          <w:tab w:val="clear" w:pos="720"/>
        </w:tabs>
        <w:spacing w:before="0" w:after="0" w:line="240" w:lineRule="auto"/>
        <w:ind w:left="0" w:firstLine="0"/>
        <w:jc w:val="both"/>
        <w:rPr>
          <w:sz w:val="22"/>
          <w:szCs w:val="22"/>
          <w:lang w:val="en-AU"/>
        </w:rPr>
      </w:pPr>
    </w:p>
    <w:p w:rsidR="00895FE9" w:rsidRPr="00F34170" w:rsidRDefault="00895FE9" w:rsidP="006D7B3A">
      <w:pPr>
        <w:pStyle w:val="C-Bullet"/>
        <w:tabs>
          <w:tab w:val="clear" w:pos="720"/>
        </w:tabs>
        <w:spacing w:before="0" w:after="0" w:line="240" w:lineRule="auto"/>
        <w:ind w:left="0" w:firstLine="0"/>
        <w:jc w:val="both"/>
        <w:rPr>
          <w:sz w:val="22"/>
          <w:szCs w:val="22"/>
          <w:lang w:val="en-AU"/>
        </w:rPr>
      </w:pPr>
      <w:r w:rsidRPr="00F34170">
        <w:rPr>
          <w:sz w:val="22"/>
          <w:szCs w:val="22"/>
          <w:lang w:val="en-AU"/>
        </w:rPr>
        <w:t>Testicular degeneration was observed in dogs and mice, and atrophy of the prostate was also seen in dogs following administration of romidepsin at exposures below the clinical AUC.</w:t>
      </w:r>
    </w:p>
    <w:p w:rsidR="00895FE9" w:rsidRPr="00F34170" w:rsidRDefault="00895FE9" w:rsidP="006D7B3A">
      <w:pPr>
        <w:pStyle w:val="C-Bullet"/>
        <w:tabs>
          <w:tab w:val="clear" w:pos="720"/>
        </w:tabs>
        <w:spacing w:before="0" w:after="0" w:line="240" w:lineRule="auto"/>
        <w:ind w:left="0" w:firstLine="0"/>
        <w:jc w:val="both"/>
        <w:rPr>
          <w:sz w:val="22"/>
          <w:szCs w:val="22"/>
          <w:lang w:val="en-AU"/>
        </w:rPr>
      </w:pPr>
    </w:p>
    <w:p w:rsidR="006D7B3A" w:rsidRPr="00F34170" w:rsidRDefault="006D7B3A" w:rsidP="006D7B3A">
      <w:pPr>
        <w:pStyle w:val="BodyText2"/>
        <w:keepNext/>
        <w:numPr>
          <w:ilvl w:val="0"/>
          <w:numId w:val="17"/>
        </w:numPr>
        <w:tabs>
          <w:tab w:val="clear" w:pos="567"/>
        </w:tabs>
        <w:spacing w:line="240" w:lineRule="auto"/>
        <w:jc w:val="both"/>
        <w:rPr>
          <w:szCs w:val="22"/>
          <w:u w:val="single"/>
          <w:lang w:val="en-AU"/>
        </w:rPr>
      </w:pPr>
      <w:r w:rsidRPr="00F34170">
        <w:rPr>
          <w:szCs w:val="22"/>
          <w:u w:val="single"/>
          <w:lang w:val="en-AU"/>
        </w:rPr>
        <w:t>Use in Pregnancy (Category D)</w:t>
      </w:r>
    </w:p>
    <w:p w:rsidR="006D7B3A" w:rsidRPr="00F34170" w:rsidRDefault="006D7B3A" w:rsidP="00413BB0">
      <w:pPr>
        <w:pStyle w:val="BodyText2"/>
        <w:spacing w:before="120"/>
        <w:rPr>
          <w:b w:val="0"/>
          <w:szCs w:val="22"/>
          <w:lang w:val="en-AU"/>
        </w:rPr>
      </w:pPr>
      <w:r w:rsidRPr="00F34170">
        <w:rPr>
          <w:b w:val="0"/>
          <w:szCs w:val="22"/>
          <w:lang w:val="en-AU"/>
        </w:rPr>
        <w:t>There are no adequate and well-controlled studies of Istodax in pregnant women. However, based on its mechanism of action, Istodax may cause foetal harm when administered to a pregnant woman.</w:t>
      </w:r>
      <w:r w:rsidR="00F95433">
        <w:rPr>
          <w:b w:val="0"/>
          <w:szCs w:val="22"/>
          <w:lang w:val="en-AU"/>
        </w:rPr>
        <w:t xml:space="preserve"> </w:t>
      </w:r>
      <w:r w:rsidR="00F95433" w:rsidRPr="00F95433">
        <w:rPr>
          <w:b w:val="0"/>
          <w:szCs w:val="22"/>
          <w:lang w:val="en-AU"/>
        </w:rPr>
        <w:t>In rats, romidepsin was embryocidal and teratogenic to the developing f</w:t>
      </w:r>
      <w:r w:rsidR="00F95433">
        <w:rPr>
          <w:b w:val="0"/>
          <w:szCs w:val="22"/>
          <w:lang w:val="en-AU"/>
        </w:rPr>
        <w:t>o</w:t>
      </w:r>
      <w:r w:rsidR="00F95433" w:rsidRPr="00F95433">
        <w:rPr>
          <w:b w:val="0"/>
          <w:szCs w:val="22"/>
          <w:lang w:val="en-AU"/>
        </w:rPr>
        <w:t>etus at exposures below those in patients at the recommended dose.</w:t>
      </w:r>
    </w:p>
    <w:p w:rsidR="006D7B3A" w:rsidRPr="00F34170" w:rsidRDefault="006D7B3A" w:rsidP="00413BB0">
      <w:pPr>
        <w:pStyle w:val="BodyText2"/>
        <w:rPr>
          <w:b w:val="0"/>
          <w:szCs w:val="22"/>
          <w:lang w:val="en-AU"/>
        </w:rPr>
      </w:pPr>
    </w:p>
    <w:p w:rsidR="006D7B3A" w:rsidRPr="00F34170" w:rsidRDefault="004D499B" w:rsidP="00413BB0">
      <w:pPr>
        <w:pStyle w:val="BodyText2"/>
        <w:rPr>
          <w:b w:val="0"/>
          <w:szCs w:val="22"/>
          <w:lang w:val="en-AU"/>
        </w:rPr>
      </w:pPr>
      <w:r w:rsidRPr="00F34170">
        <w:rPr>
          <w:b w:val="0"/>
          <w:bCs w:val="0"/>
          <w:szCs w:val="22"/>
          <w:lang w:val="en-AU"/>
        </w:rPr>
        <w:t xml:space="preserve">Women of childbearing potential should be advised to avoid becoming pregnant while receiving treatment with Istodax. </w:t>
      </w:r>
      <w:r w:rsidR="006D7B3A" w:rsidRPr="00F34170">
        <w:rPr>
          <w:b w:val="0"/>
          <w:szCs w:val="22"/>
          <w:lang w:val="en-AU"/>
        </w:rPr>
        <w:t>If Istodax is used during pregnancy, or if the patient becomes pregnant while taking Istodax, the patient should be advised of the potential harm to the foetus.</w:t>
      </w:r>
      <w:r w:rsidR="00545DEF" w:rsidRPr="00F34170">
        <w:rPr>
          <w:b w:val="0"/>
          <w:szCs w:val="22"/>
          <w:lang w:val="en-AU"/>
        </w:rPr>
        <w:t xml:space="preserve"> </w:t>
      </w:r>
    </w:p>
    <w:p w:rsidR="006D7B3A" w:rsidRPr="00F34170" w:rsidRDefault="006D7B3A" w:rsidP="00413BB0">
      <w:pPr>
        <w:rPr>
          <w:sz w:val="22"/>
          <w:szCs w:val="22"/>
          <w:lang w:val="en-AU"/>
        </w:rPr>
      </w:pPr>
    </w:p>
    <w:p w:rsidR="00E357BC" w:rsidRPr="00F34170" w:rsidRDefault="00E357BC" w:rsidP="00E357BC">
      <w:pPr>
        <w:rPr>
          <w:sz w:val="22"/>
          <w:szCs w:val="22"/>
          <w:lang w:val="en-AU"/>
        </w:rPr>
      </w:pPr>
      <w:r w:rsidRPr="00F34170">
        <w:rPr>
          <w:sz w:val="22"/>
          <w:szCs w:val="22"/>
          <w:lang w:val="en-AU"/>
        </w:rPr>
        <w:t xml:space="preserve">An </w:t>
      </w:r>
      <w:r w:rsidRPr="00F34170">
        <w:rPr>
          <w:i/>
          <w:sz w:val="22"/>
          <w:szCs w:val="22"/>
          <w:lang w:val="en-AU"/>
        </w:rPr>
        <w:t>in vitro</w:t>
      </w:r>
      <w:r w:rsidRPr="00F34170">
        <w:rPr>
          <w:sz w:val="22"/>
          <w:szCs w:val="22"/>
          <w:lang w:val="en-AU"/>
        </w:rPr>
        <w:t xml:space="preserve"> binding assay determined that romidepsin competes with beta-oestradiol for binding to oestrogen receptors. Women of childbearing potential should be advised that Istodax may reduce the effectiveness of oestrogen-containing contraceptives.</w:t>
      </w:r>
    </w:p>
    <w:p w:rsidR="00E357BC" w:rsidRPr="00F34170" w:rsidRDefault="00E357BC" w:rsidP="00413BB0">
      <w:pPr>
        <w:rPr>
          <w:sz w:val="22"/>
          <w:szCs w:val="22"/>
          <w:lang w:val="en-AU"/>
        </w:rPr>
      </w:pPr>
    </w:p>
    <w:p w:rsidR="004D499B" w:rsidRPr="00F34170" w:rsidRDefault="004D499B" w:rsidP="00413BB0">
      <w:pPr>
        <w:rPr>
          <w:sz w:val="22"/>
          <w:szCs w:val="22"/>
          <w:lang w:val="en-AU"/>
        </w:rPr>
      </w:pPr>
      <w:r w:rsidRPr="00F34170">
        <w:rPr>
          <w:sz w:val="22"/>
          <w:szCs w:val="22"/>
          <w:lang w:val="en-AU"/>
        </w:rPr>
        <w:t>In rats intravenously administered romidepsin at IV doses of 0.1, 0.2 or 0.5 mg/kg/day during the period of organogenesis, complete resorption or post-implantation loss was observed at 0.5 mg/kg/day, associated with maternal toxicity. Rotated hindlimbs, folded retina and delayed skeletal ossification were observed at ≥ 0.2 mg/kg/day and decreased foetal weights at all doses. The systemic exposures (AUC) in pregnant rats were 1-8% of the human exposure at the recommended clinical dose of 14 mg/m</w:t>
      </w:r>
      <w:r w:rsidRPr="00F34170">
        <w:rPr>
          <w:sz w:val="22"/>
          <w:szCs w:val="22"/>
          <w:vertAlign w:val="superscript"/>
          <w:lang w:val="en-AU"/>
        </w:rPr>
        <w:t>2</w:t>
      </w:r>
      <w:r w:rsidRPr="00F34170">
        <w:rPr>
          <w:sz w:val="22"/>
          <w:szCs w:val="22"/>
          <w:lang w:val="en-AU"/>
        </w:rPr>
        <w:t>/week.</w:t>
      </w:r>
    </w:p>
    <w:p w:rsidR="004D499B" w:rsidRPr="00F34170" w:rsidRDefault="004D499B" w:rsidP="00413BB0">
      <w:pPr>
        <w:rPr>
          <w:sz w:val="22"/>
          <w:szCs w:val="22"/>
          <w:lang w:val="en-AU"/>
        </w:rPr>
      </w:pPr>
    </w:p>
    <w:p w:rsidR="006D7B3A" w:rsidRPr="00F34170" w:rsidRDefault="006D7B3A" w:rsidP="006D7B3A">
      <w:pPr>
        <w:pStyle w:val="ListParagraph"/>
        <w:keepNext/>
        <w:numPr>
          <w:ilvl w:val="0"/>
          <w:numId w:val="17"/>
        </w:numPr>
        <w:jc w:val="both"/>
        <w:rPr>
          <w:b/>
          <w:sz w:val="22"/>
          <w:szCs w:val="22"/>
          <w:u w:val="single"/>
          <w:lang w:val="en-AU"/>
        </w:rPr>
      </w:pPr>
      <w:r w:rsidRPr="00F34170">
        <w:rPr>
          <w:b/>
          <w:sz w:val="22"/>
          <w:szCs w:val="22"/>
          <w:u w:val="single"/>
          <w:lang w:val="en-AU"/>
        </w:rPr>
        <w:t>Haematological Toxicity</w:t>
      </w:r>
    </w:p>
    <w:p w:rsidR="006D7B3A" w:rsidRPr="00F34170" w:rsidRDefault="006D7B3A" w:rsidP="00413BB0">
      <w:pPr>
        <w:spacing w:before="120"/>
        <w:rPr>
          <w:sz w:val="22"/>
          <w:szCs w:val="22"/>
          <w:lang w:val="en-AU"/>
        </w:rPr>
      </w:pPr>
      <w:r w:rsidRPr="00F34170">
        <w:rPr>
          <w:sz w:val="22"/>
          <w:szCs w:val="22"/>
          <w:lang w:val="en-AU"/>
        </w:rPr>
        <w:t>Treatment with Istodax can cause thrombocytopenia, leu</w:t>
      </w:r>
      <w:r w:rsidR="00222ACD" w:rsidRPr="00F34170">
        <w:rPr>
          <w:sz w:val="22"/>
          <w:szCs w:val="22"/>
          <w:lang w:val="en-AU"/>
        </w:rPr>
        <w:t>k</w:t>
      </w:r>
      <w:r w:rsidR="001A029C" w:rsidRPr="00F34170">
        <w:rPr>
          <w:sz w:val="22"/>
          <w:szCs w:val="22"/>
          <w:lang w:val="en-AU"/>
        </w:rPr>
        <w:t>op</w:t>
      </w:r>
      <w:r w:rsidRPr="00F34170">
        <w:rPr>
          <w:sz w:val="22"/>
          <w:szCs w:val="22"/>
          <w:lang w:val="en-AU"/>
        </w:rPr>
        <w:t xml:space="preserve">enia (neutropenia and lymphopenia) and anaemia; therefore, these haematological parameters should be monitored during treatment with Istodax, and the dose should be modified as necessary (see </w:t>
      </w:r>
      <w:r w:rsidR="00D74227" w:rsidRPr="00F34170">
        <w:rPr>
          <w:sz w:val="22"/>
          <w:szCs w:val="22"/>
          <w:lang w:val="en-AU"/>
        </w:rPr>
        <w:t>section x. [</w:t>
      </w:r>
      <w:r w:rsidRPr="00F34170">
        <w:rPr>
          <w:sz w:val="22"/>
          <w:szCs w:val="22"/>
          <w:lang w:val="en-AU"/>
        </w:rPr>
        <w:t>Dosage and Administration</w:t>
      </w:r>
      <w:r w:rsidR="00D74227" w:rsidRPr="00F34170">
        <w:rPr>
          <w:sz w:val="22"/>
          <w:szCs w:val="22"/>
          <w:lang w:val="en-AU"/>
        </w:rPr>
        <w:t>]</w:t>
      </w:r>
      <w:r w:rsidRPr="00F34170">
        <w:rPr>
          <w:sz w:val="22"/>
          <w:szCs w:val="22"/>
          <w:lang w:val="en-AU"/>
        </w:rPr>
        <w:t>).</w:t>
      </w:r>
    </w:p>
    <w:p w:rsidR="006D7B3A" w:rsidRPr="00F34170" w:rsidRDefault="006D7B3A" w:rsidP="00413BB0">
      <w:pPr>
        <w:rPr>
          <w:sz w:val="22"/>
          <w:szCs w:val="22"/>
          <w:lang w:val="en-AU"/>
        </w:rPr>
      </w:pPr>
    </w:p>
    <w:p w:rsidR="006D7B3A" w:rsidRPr="00F34170" w:rsidRDefault="006D7B3A" w:rsidP="006D7B3A">
      <w:pPr>
        <w:pStyle w:val="ListParagraph"/>
        <w:keepNext/>
        <w:numPr>
          <w:ilvl w:val="0"/>
          <w:numId w:val="17"/>
        </w:numPr>
        <w:jc w:val="both"/>
        <w:rPr>
          <w:b/>
          <w:sz w:val="22"/>
          <w:szCs w:val="22"/>
          <w:u w:val="single"/>
          <w:lang w:val="en-AU"/>
        </w:rPr>
      </w:pPr>
      <w:r w:rsidRPr="00F34170">
        <w:rPr>
          <w:b/>
          <w:sz w:val="22"/>
          <w:szCs w:val="22"/>
          <w:u w:val="single"/>
          <w:lang w:val="en-AU"/>
        </w:rPr>
        <w:t>Infection</w:t>
      </w:r>
    </w:p>
    <w:p w:rsidR="006D7B3A" w:rsidRPr="00F34170" w:rsidRDefault="006D7B3A" w:rsidP="00413BB0">
      <w:pPr>
        <w:spacing w:before="120"/>
        <w:rPr>
          <w:sz w:val="22"/>
          <w:szCs w:val="22"/>
          <w:lang w:val="en-AU"/>
        </w:rPr>
      </w:pPr>
      <w:r w:rsidRPr="00F34170">
        <w:rPr>
          <w:sz w:val="22"/>
          <w:szCs w:val="22"/>
          <w:lang w:val="en-AU"/>
        </w:rPr>
        <w:t>Serious and sometimes fatal infections, including pneumonia and sepsis, have been reported in clinical trials with Istodax. These can occur during treatment and within 30 days after</w:t>
      </w:r>
      <w:r w:rsidR="00477DDF" w:rsidRPr="00F34170">
        <w:rPr>
          <w:sz w:val="22"/>
          <w:szCs w:val="22"/>
          <w:lang w:val="en-AU"/>
        </w:rPr>
        <w:t xml:space="preserve"> treatment.</w:t>
      </w:r>
    </w:p>
    <w:p w:rsidR="006D7B3A" w:rsidRPr="00F34170" w:rsidRDefault="006D7B3A" w:rsidP="00413BB0">
      <w:pPr>
        <w:rPr>
          <w:sz w:val="22"/>
          <w:szCs w:val="22"/>
          <w:lang w:val="en-AU"/>
        </w:rPr>
      </w:pPr>
    </w:p>
    <w:p w:rsidR="00F025F1" w:rsidRPr="00F34170" w:rsidRDefault="00F025F1" w:rsidP="00F025F1">
      <w:pPr>
        <w:pStyle w:val="ListParagraph"/>
        <w:keepNext/>
        <w:numPr>
          <w:ilvl w:val="0"/>
          <w:numId w:val="17"/>
        </w:numPr>
        <w:jc w:val="both"/>
        <w:rPr>
          <w:b/>
          <w:sz w:val="22"/>
          <w:szCs w:val="22"/>
          <w:u w:val="single"/>
          <w:lang w:val="en-AU"/>
        </w:rPr>
      </w:pPr>
      <w:r w:rsidRPr="00F34170">
        <w:rPr>
          <w:b/>
          <w:sz w:val="22"/>
          <w:szCs w:val="22"/>
          <w:u w:val="single"/>
          <w:lang w:val="en-AU"/>
        </w:rPr>
        <w:t>Electrocardiographic Changes</w:t>
      </w:r>
    </w:p>
    <w:p w:rsidR="00F025F1" w:rsidRPr="00F34170" w:rsidRDefault="004C08F5" w:rsidP="00413BB0">
      <w:pPr>
        <w:spacing w:before="120"/>
        <w:rPr>
          <w:sz w:val="22"/>
          <w:szCs w:val="22"/>
          <w:lang w:val="en-AU"/>
        </w:rPr>
      </w:pPr>
      <w:r w:rsidRPr="00F34170">
        <w:rPr>
          <w:sz w:val="22"/>
          <w:szCs w:val="22"/>
          <w:lang w:val="en-AU"/>
        </w:rPr>
        <w:t>QTc prolongation as well as s</w:t>
      </w:r>
      <w:r w:rsidR="00F025F1" w:rsidRPr="00F34170">
        <w:rPr>
          <w:sz w:val="22"/>
          <w:szCs w:val="22"/>
          <w:lang w:val="en-AU"/>
        </w:rPr>
        <w:t xml:space="preserve">everal treatment-emergent morphological changes in ECGs (including T-wave and ST-segment changes) have been reported in clinical studies. </w:t>
      </w:r>
      <w:r w:rsidR="00077C19" w:rsidRPr="00F34170">
        <w:rPr>
          <w:sz w:val="22"/>
          <w:szCs w:val="22"/>
          <w:lang w:val="en-AU"/>
        </w:rPr>
        <w:t>M</w:t>
      </w:r>
      <w:r w:rsidR="00F025F1" w:rsidRPr="00F34170">
        <w:rPr>
          <w:sz w:val="22"/>
          <w:szCs w:val="22"/>
          <w:lang w:val="en-AU"/>
        </w:rPr>
        <w:t>any of the ECG morphologic abnormalities were also observed at baseline. These ECG changes were transient and were not associated with functional cardiovascular changes or with symptoms. The clinical significance of these treatment-emergent changes is unknown.</w:t>
      </w:r>
    </w:p>
    <w:p w:rsidR="00F025F1" w:rsidRPr="00F34170" w:rsidRDefault="00F025F1" w:rsidP="00413BB0">
      <w:pPr>
        <w:rPr>
          <w:sz w:val="22"/>
          <w:szCs w:val="22"/>
          <w:lang w:val="en-AU"/>
        </w:rPr>
      </w:pPr>
    </w:p>
    <w:p w:rsidR="00F025F1" w:rsidRPr="00F34170" w:rsidRDefault="00F025F1" w:rsidP="00413BB0">
      <w:pPr>
        <w:rPr>
          <w:sz w:val="22"/>
          <w:szCs w:val="22"/>
          <w:lang w:val="en-AU"/>
        </w:rPr>
      </w:pPr>
      <w:r w:rsidRPr="00F34170">
        <w:rPr>
          <w:sz w:val="22"/>
          <w:szCs w:val="22"/>
          <w:lang w:val="en-AU"/>
        </w:rPr>
        <w:t xml:space="preserve">In view of potential ECG changes, </w:t>
      </w:r>
      <w:r w:rsidR="004C08F5" w:rsidRPr="00F34170">
        <w:rPr>
          <w:sz w:val="22"/>
          <w:szCs w:val="22"/>
          <w:lang w:val="en-AU"/>
        </w:rPr>
        <w:t>an ECG should be performe</w:t>
      </w:r>
      <w:r w:rsidR="00477DDF" w:rsidRPr="00F34170">
        <w:rPr>
          <w:sz w:val="22"/>
          <w:szCs w:val="22"/>
          <w:lang w:val="en-AU"/>
        </w:rPr>
        <w:t xml:space="preserve">d at baseline in all patients. </w:t>
      </w:r>
      <w:r w:rsidR="004C08F5" w:rsidRPr="00F34170">
        <w:rPr>
          <w:sz w:val="22"/>
          <w:szCs w:val="22"/>
          <w:lang w:val="en-AU"/>
        </w:rPr>
        <w:t>S</w:t>
      </w:r>
      <w:r w:rsidRPr="00F34170">
        <w:rPr>
          <w:sz w:val="22"/>
          <w:szCs w:val="22"/>
          <w:lang w:val="en-AU"/>
        </w:rPr>
        <w:t xml:space="preserve">erum potassium and magnesium should be within the normal range before </w:t>
      </w:r>
      <w:r w:rsidR="004C08F5" w:rsidRPr="00F34170">
        <w:rPr>
          <w:sz w:val="22"/>
          <w:szCs w:val="22"/>
          <w:lang w:val="en-AU"/>
        </w:rPr>
        <w:t xml:space="preserve">each </w:t>
      </w:r>
      <w:r w:rsidRPr="00F34170">
        <w:rPr>
          <w:sz w:val="22"/>
          <w:szCs w:val="22"/>
          <w:lang w:val="en-AU"/>
        </w:rPr>
        <w:t>administration of Istodax.</w:t>
      </w:r>
    </w:p>
    <w:p w:rsidR="00F025F1" w:rsidRPr="00F34170" w:rsidRDefault="00F025F1" w:rsidP="00413BB0">
      <w:pPr>
        <w:rPr>
          <w:sz w:val="22"/>
          <w:szCs w:val="22"/>
          <w:lang w:val="en-AU"/>
        </w:rPr>
      </w:pPr>
    </w:p>
    <w:p w:rsidR="00F025F1" w:rsidRPr="00F34170" w:rsidRDefault="00F025F1" w:rsidP="00413BB0">
      <w:pPr>
        <w:rPr>
          <w:sz w:val="22"/>
          <w:szCs w:val="22"/>
          <w:lang w:val="en-AU"/>
        </w:rPr>
      </w:pPr>
      <w:r w:rsidRPr="00F34170">
        <w:rPr>
          <w:sz w:val="22"/>
          <w:szCs w:val="22"/>
          <w:lang w:val="en-AU"/>
        </w:rPr>
        <w:t>Appropriate cardiovascular monitoring precautions should be considered in patients with congenital long QT syndrome, a history of significant cardiovascular disease, and those taking anti-arrhythmic medicines or medicinal products that lead to significant QT prolongation</w:t>
      </w:r>
      <w:r w:rsidR="007C68FC" w:rsidRPr="00F34170">
        <w:rPr>
          <w:sz w:val="22"/>
          <w:szCs w:val="22"/>
          <w:lang w:val="en-AU"/>
        </w:rPr>
        <w:t xml:space="preserve"> (see </w:t>
      </w:r>
      <w:r w:rsidR="00477DDF" w:rsidRPr="00F34170">
        <w:rPr>
          <w:sz w:val="22"/>
          <w:szCs w:val="22"/>
          <w:lang w:val="en-AU"/>
        </w:rPr>
        <w:t>“</w:t>
      </w:r>
      <w:r w:rsidR="007C68FC" w:rsidRPr="00F34170">
        <w:rPr>
          <w:sz w:val="22"/>
          <w:szCs w:val="22"/>
          <w:lang w:val="en-AU"/>
        </w:rPr>
        <w:t>Cardiac Electrophysiology</w:t>
      </w:r>
      <w:r w:rsidR="00477DDF" w:rsidRPr="00F34170">
        <w:rPr>
          <w:sz w:val="22"/>
          <w:szCs w:val="22"/>
          <w:lang w:val="en-AU"/>
        </w:rPr>
        <w:t>”</w:t>
      </w:r>
      <w:r w:rsidR="007C68FC" w:rsidRPr="00F34170">
        <w:rPr>
          <w:sz w:val="22"/>
          <w:szCs w:val="22"/>
          <w:lang w:val="en-AU"/>
        </w:rPr>
        <w:t xml:space="preserve"> in section iii</w:t>
      </w:r>
      <w:r w:rsidR="00477DDF" w:rsidRPr="00F34170">
        <w:rPr>
          <w:sz w:val="22"/>
          <w:szCs w:val="22"/>
          <w:lang w:val="en-AU"/>
        </w:rPr>
        <w:t>. [</w:t>
      </w:r>
      <w:r w:rsidR="007C68FC" w:rsidRPr="00F34170">
        <w:rPr>
          <w:sz w:val="22"/>
          <w:szCs w:val="22"/>
          <w:lang w:val="en-AU"/>
        </w:rPr>
        <w:t>Pharmacology</w:t>
      </w:r>
      <w:r w:rsidR="00477DDF" w:rsidRPr="00F34170">
        <w:rPr>
          <w:sz w:val="22"/>
          <w:szCs w:val="22"/>
          <w:lang w:val="en-AU"/>
        </w:rPr>
        <w:t>]</w:t>
      </w:r>
      <w:r w:rsidR="007C68FC" w:rsidRPr="00F34170">
        <w:rPr>
          <w:sz w:val="22"/>
          <w:szCs w:val="22"/>
          <w:lang w:val="en-AU"/>
        </w:rPr>
        <w:t>)</w:t>
      </w:r>
      <w:r w:rsidRPr="00F34170">
        <w:rPr>
          <w:sz w:val="22"/>
          <w:szCs w:val="22"/>
          <w:lang w:val="en-AU"/>
        </w:rPr>
        <w:t>. Such precautions include the monitoring of ECGs at baseline and periodically during treatment.</w:t>
      </w:r>
    </w:p>
    <w:p w:rsidR="00477DDF" w:rsidRPr="00F34170" w:rsidRDefault="00477DDF" w:rsidP="00413BB0">
      <w:pPr>
        <w:rPr>
          <w:sz w:val="22"/>
          <w:szCs w:val="22"/>
          <w:lang w:val="en-AU"/>
        </w:rPr>
      </w:pPr>
    </w:p>
    <w:p w:rsidR="004C08F5" w:rsidRPr="00F34170" w:rsidRDefault="004C08F5" w:rsidP="00413BB0">
      <w:pPr>
        <w:rPr>
          <w:sz w:val="22"/>
          <w:szCs w:val="22"/>
          <w:lang w:val="en-AU"/>
        </w:rPr>
      </w:pPr>
      <w:r w:rsidRPr="00F34170">
        <w:rPr>
          <w:sz w:val="22"/>
          <w:szCs w:val="22"/>
          <w:lang w:val="en-AU"/>
        </w:rPr>
        <w:t>Patients with a significant cardiac history have been excl</w:t>
      </w:r>
      <w:r w:rsidR="00477DDF" w:rsidRPr="00F34170">
        <w:rPr>
          <w:sz w:val="22"/>
          <w:szCs w:val="22"/>
          <w:lang w:val="en-AU"/>
        </w:rPr>
        <w:t xml:space="preserve">uded from the clinical trials. </w:t>
      </w:r>
      <w:r w:rsidRPr="00F34170">
        <w:rPr>
          <w:sz w:val="22"/>
          <w:szCs w:val="22"/>
          <w:lang w:val="en-AU"/>
        </w:rPr>
        <w:t>Hence, safety data for subjects with significant cardiac history is not available.</w:t>
      </w:r>
    </w:p>
    <w:p w:rsidR="00F025F1" w:rsidRPr="00F34170" w:rsidRDefault="00F025F1" w:rsidP="00413BB0">
      <w:pPr>
        <w:rPr>
          <w:sz w:val="22"/>
          <w:szCs w:val="22"/>
          <w:lang w:val="en-AU"/>
        </w:rPr>
      </w:pPr>
    </w:p>
    <w:p w:rsidR="00F025F1" w:rsidRPr="00F34170" w:rsidRDefault="00F025F1" w:rsidP="00F025F1">
      <w:pPr>
        <w:pStyle w:val="ListParagraph"/>
        <w:keepNext/>
        <w:numPr>
          <w:ilvl w:val="0"/>
          <w:numId w:val="17"/>
        </w:numPr>
        <w:jc w:val="both"/>
        <w:rPr>
          <w:b/>
          <w:sz w:val="22"/>
          <w:szCs w:val="22"/>
          <w:u w:val="single"/>
          <w:lang w:val="en-AU"/>
        </w:rPr>
      </w:pPr>
      <w:r w:rsidRPr="00F34170">
        <w:rPr>
          <w:b/>
          <w:sz w:val="22"/>
          <w:szCs w:val="22"/>
          <w:u w:val="single"/>
          <w:lang w:val="en-AU"/>
        </w:rPr>
        <w:t>Gastrointestinal</w:t>
      </w:r>
      <w:r w:rsidR="00CA4D84" w:rsidRPr="00F34170">
        <w:rPr>
          <w:b/>
          <w:sz w:val="22"/>
          <w:szCs w:val="22"/>
          <w:u w:val="single"/>
          <w:lang w:val="en-AU"/>
        </w:rPr>
        <w:t xml:space="preserve"> Disturbances</w:t>
      </w:r>
    </w:p>
    <w:p w:rsidR="00F025F1" w:rsidRPr="00F34170" w:rsidRDefault="00F025F1" w:rsidP="00413BB0">
      <w:pPr>
        <w:spacing w:before="120"/>
        <w:rPr>
          <w:sz w:val="22"/>
          <w:szCs w:val="22"/>
          <w:lang w:val="en-AU"/>
        </w:rPr>
      </w:pPr>
      <w:r w:rsidRPr="00F34170">
        <w:rPr>
          <w:sz w:val="22"/>
          <w:szCs w:val="22"/>
          <w:lang w:val="en-AU"/>
        </w:rPr>
        <w:t>Nausea and vomiting have very commonly been reported with Istodax; therefore, anti</w:t>
      </w:r>
      <w:r w:rsidR="001A029C" w:rsidRPr="00F34170">
        <w:rPr>
          <w:sz w:val="22"/>
          <w:szCs w:val="22"/>
          <w:lang w:val="en-AU"/>
        </w:rPr>
        <w:t>-</w:t>
      </w:r>
      <w:r w:rsidRPr="00F34170">
        <w:rPr>
          <w:sz w:val="22"/>
          <w:szCs w:val="22"/>
          <w:lang w:val="en-AU"/>
        </w:rPr>
        <w:t>emetic use is recommended.</w:t>
      </w:r>
    </w:p>
    <w:p w:rsidR="00F025F1" w:rsidRPr="00F34170" w:rsidRDefault="00F025F1" w:rsidP="00413BB0">
      <w:pPr>
        <w:rPr>
          <w:sz w:val="22"/>
          <w:szCs w:val="22"/>
          <w:lang w:val="en-AU"/>
        </w:rPr>
      </w:pPr>
    </w:p>
    <w:p w:rsidR="00F025F1" w:rsidRPr="00F34170" w:rsidRDefault="00F025F1" w:rsidP="00F025F1">
      <w:pPr>
        <w:pStyle w:val="ListParagraph"/>
        <w:keepNext/>
        <w:numPr>
          <w:ilvl w:val="0"/>
          <w:numId w:val="17"/>
        </w:numPr>
        <w:ind w:left="357" w:hanging="357"/>
        <w:jc w:val="both"/>
        <w:rPr>
          <w:b/>
          <w:sz w:val="22"/>
          <w:szCs w:val="22"/>
          <w:u w:val="single"/>
          <w:lang w:val="en-AU"/>
        </w:rPr>
      </w:pPr>
      <w:r w:rsidRPr="00F34170">
        <w:rPr>
          <w:b/>
          <w:sz w:val="22"/>
          <w:szCs w:val="22"/>
          <w:u w:val="single"/>
          <w:lang w:val="en-AU"/>
        </w:rPr>
        <w:t>Tumour Lysis Syndrome</w:t>
      </w:r>
    </w:p>
    <w:p w:rsidR="00F025F1" w:rsidRPr="00F34170" w:rsidRDefault="00F025F1" w:rsidP="00413BB0">
      <w:pPr>
        <w:spacing w:before="120"/>
        <w:rPr>
          <w:sz w:val="22"/>
          <w:szCs w:val="22"/>
          <w:lang w:val="en-AU"/>
        </w:rPr>
      </w:pPr>
      <w:r w:rsidRPr="00F34170">
        <w:rPr>
          <w:sz w:val="22"/>
          <w:szCs w:val="22"/>
          <w:lang w:val="en-AU"/>
        </w:rPr>
        <w:t>Tumo</w:t>
      </w:r>
      <w:r w:rsidR="00054371" w:rsidRPr="00F34170">
        <w:rPr>
          <w:sz w:val="22"/>
          <w:szCs w:val="22"/>
          <w:lang w:val="en-AU"/>
        </w:rPr>
        <w:t>u</w:t>
      </w:r>
      <w:r w:rsidRPr="00F34170">
        <w:rPr>
          <w:sz w:val="22"/>
          <w:szCs w:val="22"/>
          <w:lang w:val="en-AU"/>
        </w:rPr>
        <w:t>r lysis syndrome (TLS) has been reported to occur in 2% of patients with Stage</w:t>
      </w:r>
      <w:r w:rsidR="00477DDF" w:rsidRPr="00F34170">
        <w:rPr>
          <w:sz w:val="22"/>
          <w:szCs w:val="22"/>
          <w:lang w:val="en-AU"/>
        </w:rPr>
        <w:t> </w:t>
      </w:r>
      <w:r w:rsidRPr="00F34170">
        <w:rPr>
          <w:sz w:val="22"/>
          <w:szCs w:val="22"/>
          <w:lang w:val="en-AU"/>
        </w:rPr>
        <w:t>III/IV PTCL in clinical trials. Patients with advanced stage disease and/or high tumour burden should be closely monitored, appropriate precautions should be taken, and treatment should be instituted as appropriate.</w:t>
      </w:r>
    </w:p>
    <w:p w:rsidR="00F025F1" w:rsidRPr="00F34170" w:rsidRDefault="00F025F1" w:rsidP="00413BB0">
      <w:pPr>
        <w:rPr>
          <w:sz w:val="22"/>
          <w:szCs w:val="22"/>
          <w:lang w:val="en-AU"/>
        </w:rPr>
      </w:pPr>
    </w:p>
    <w:p w:rsidR="00F025F1" w:rsidRPr="00F34170" w:rsidRDefault="00F025F1" w:rsidP="00F025F1">
      <w:pPr>
        <w:pStyle w:val="ListParagraph"/>
        <w:keepNext/>
        <w:numPr>
          <w:ilvl w:val="0"/>
          <w:numId w:val="17"/>
        </w:numPr>
        <w:jc w:val="both"/>
        <w:rPr>
          <w:b/>
          <w:sz w:val="22"/>
          <w:szCs w:val="22"/>
          <w:u w:val="single"/>
          <w:lang w:val="en-AU"/>
        </w:rPr>
      </w:pPr>
      <w:r w:rsidRPr="00F34170">
        <w:rPr>
          <w:b/>
          <w:sz w:val="22"/>
          <w:szCs w:val="22"/>
          <w:u w:val="single"/>
          <w:lang w:val="en-AU"/>
        </w:rPr>
        <w:t>Hypersensitivity</w:t>
      </w:r>
    </w:p>
    <w:p w:rsidR="00F025F1" w:rsidRPr="00F34170" w:rsidRDefault="00F025F1" w:rsidP="00413BB0">
      <w:pPr>
        <w:spacing w:before="120"/>
        <w:rPr>
          <w:sz w:val="22"/>
          <w:szCs w:val="22"/>
          <w:lang w:val="en-AU"/>
        </w:rPr>
      </w:pPr>
      <w:r w:rsidRPr="00F34170">
        <w:rPr>
          <w:sz w:val="22"/>
          <w:szCs w:val="22"/>
          <w:lang w:val="en-AU"/>
        </w:rPr>
        <w:t>Hypotension and other symptoms possibly representing hypersensitivity to the compound have been observed uncommonly during the infusion of Istodax.</w:t>
      </w:r>
    </w:p>
    <w:p w:rsidR="00F025F1" w:rsidRPr="00F34170" w:rsidRDefault="00F025F1" w:rsidP="00413BB0">
      <w:pPr>
        <w:pStyle w:val="BodyText2"/>
        <w:tabs>
          <w:tab w:val="clear" w:pos="567"/>
        </w:tabs>
        <w:spacing w:line="240" w:lineRule="auto"/>
        <w:rPr>
          <w:b w:val="0"/>
          <w:szCs w:val="22"/>
          <w:lang w:val="en-AU"/>
        </w:rPr>
      </w:pPr>
    </w:p>
    <w:p w:rsidR="00F025F1" w:rsidRPr="00F34170" w:rsidRDefault="00F025F1" w:rsidP="00F025F1">
      <w:pPr>
        <w:pStyle w:val="BodyText2"/>
        <w:keepNext/>
        <w:numPr>
          <w:ilvl w:val="0"/>
          <w:numId w:val="17"/>
        </w:numPr>
        <w:tabs>
          <w:tab w:val="clear" w:pos="567"/>
        </w:tabs>
        <w:spacing w:line="240" w:lineRule="auto"/>
        <w:jc w:val="both"/>
        <w:rPr>
          <w:szCs w:val="22"/>
          <w:u w:val="single"/>
          <w:lang w:val="en-AU"/>
        </w:rPr>
      </w:pPr>
      <w:r w:rsidRPr="00F34170">
        <w:rPr>
          <w:szCs w:val="22"/>
          <w:u w:val="single"/>
          <w:lang w:val="en-AU"/>
        </w:rPr>
        <w:lastRenderedPageBreak/>
        <w:t>Use in Lactation</w:t>
      </w:r>
    </w:p>
    <w:p w:rsidR="00F025F1" w:rsidRPr="00F34170" w:rsidRDefault="00F025F1" w:rsidP="00413BB0">
      <w:pPr>
        <w:pStyle w:val="BodyText2"/>
        <w:spacing w:before="120"/>
        <w:rPr>
          <w:b w:val="0"/>
          <w:szCs w:val="22"/>
          <w:lang w:val="en-AU"/>
        </w:rPr>
      </w:pPr>
      <w:r w:rsidRPr="00F34170">
        <w:rPr>
          <w:b w:val="0"/>
          <w:szCs w:val="22"/>
          <w:lang w:val="en-AU"/>
        </w:rPr>
        <w:t>It is not known whether romidepsin is excreted in human milk.</w:t>
      </w:r>
      <w:r w:rsidR="004D499B" w:rsidRPr="00F34170">
        <w:rPr>
          <w:b w:val="0"/>
          <w:szCs w:val="22"/>
          <w:lang w:val="en-AU"/>
        </w:rPr>
        <w:t xml:space="preserve"> Because many medicines are excreted in human milk, and because of the potential for adverse effects on the nursing infant, a decision should be made whether to discontinue nursing or discontinue the medicine, taking into account the importance of the medicine to the mother.</w:t>
      </w:r>
    </w:p>
    <w:p w:rsidR="00F025F1" w:rsidRPr="00F34170" w:rsidRDefault="00F025F1" w:rsidP="00413BB0">
      <w:pPr>
        <w:pStyle w:val="BodyText2"/>
        <w:rPr>
          <w:b w:val="0"/>
          <w:szCs w:val="22"/>
          <w:lang w:val="en-AU"/>
        </w:rPr>
      </w:pPr>
    </w:p>
    <w:p w:rsidR="00F025F1" w:rsidRPr="00F34170" w:rsidRDefault="00F025F1" w:rsidP="00F025F1">
      <w:pPr>
        <w:pStyle w:val="BodyText2"/>
        <w:keepNext/>
        <w:numPr>
          <w:ilvl w:val="0"/>
          <w:numId w:val="17"/>
        </w:numPr>
        <w:jc w:val="both"/>
        <w:rPr>
          <w:szCs w:val="22"/>
          <w:u w:val="single"/>
          <w:lang w:val="en-AU"/>
        </w:rPr>
      </w:pPr>
      <w:r w:rsidRPr="00F34170">
        <w:rPr>
          <w:szCs w:val="22"/>
          <w:u w:val="single"/>
          <w:lang w:val="en-AU"/>
        </w:rPr>
        <w:t>Paediatric Use</w:t>
      </w:r>
    </w:p>
    <w:p w:rsidR="00F025F1" w:rsidRPr="00F34170" w:rsidRDefault="00F025F1" w:rsidP="00413BB0">
      <w:pPr>
        <w:spacing w:before="120"/>
        <w:rPr>
          <w:sz w:val="22"/>
          <w:szCs w:val="22"/>
          <w:lang w:val="en-AU"/>
        </w:rPr>
      </w:pPr>
      <w:r w:rsidRPr="00F34170">
        <w:rPr>
          <w:sz w:val="22"/>
          <w:szCs w:val="22"/>
          <w:lang w:val="en-AU"/>
        </w:rPr>
        <w:t xml:space="preserve">The safety and efficacy of </w:t>
      </w:r>
      <w:r w:rsidR="00A4609F" w:rsidRPr="00F34170">
        <w:rPr>
          <w:sz w:val="22"/>
          <w:szCs w:val="22"/>
          <w:lang w:val="en-AU"/>
        </w:rPr>
        <w:t>romidepsin</w:t>
      </w:r>
      <w:r w:rsidRPr="00F34170">
        <w:rPr>
          <w:sz w:val="22"/>
          <w:szCs w:val="22"/>
          <w:lang w:val="en-AU"/>
        </w:rPr>
        <w:t xml:space="preserve"> in children and adolescents under 18 years of age has not been established.</w:t>
      </w:r>
    </w:p>
    <w:p w:rsidR="00F025F1" w:rsidRPr="00F34170" w:rsidRDefault="00F025F1" w:rsidP="00413BB0">
      <w:pPr>
        <w:rPr>
          <w:sz w:val="22"/>
          <w:szCs w:val="22"/>
          <w:lang w:val="en-AU"/>
        </w:rPr>
      </w:pPr>
    </w:p>
    <w:p w:rsidR="00F025F1" w:rsidRPr="00F34170" w:rsidRDefault="00F025F1" w:rsidP="00F025F1">
      <w:pPr>
        <w:pStyle w:val="BodyText2"/>
        <w:keepNext/>
        <w:numPr>
          <w:ilvl w:val="0"/>
          <w:numId w:val="17"/>
        </w:numPr>
        <w:tabs>
          <w:tab w:val="clear" w:pos="567"/>
        </w:tabs>
        <w:spacing w:line="240" w:lineRule="auto"/>
        <w:jc w:val="both"/>
        <w:rPr>
          <w:szCs w:val="22"/>
          <w:u w:val="single"/>
          <w:lang w:val="en-AU"/>
        </w:rPr>
      </w:pPr>
      <w:r w:rsidRPr="00F34170">
        <w:rPr>
          <w:szCs w:val="22"/>
          <w:u w:val="single"/>
          <w:lang w:val="en-AU"/>
        </w:rPr>
        <w:t>Use in the Elderly</w:t>
      </w:r>
    </w:p>
    <w:p w:rsidR="00F025F1" w:rsidRPr="00F34170" w:rsidRDefault="00F025F1" w:rsidP="00413BB0">
      <w:pPr>
        <w:spacing w:before="120"/>
        <w:rPr>
          <w:sz w:val="22"/>
          <w:szCs w:val="22"/>
          <w:lang w:val="en-AU"/>
        </w:rPr>
      </w:pPr>
      <w:r w:rsidRPr="00F34170">
        <w:rPr>
          <w:sz w:val="22"/>
          <w:szCs w:val="22"/>
          <w:lang w:val="en-AU"/>
        </w:rPr>
        <w:t>No specific dose adjustments are recommended for the elderly. The population PK analysis of romidepsin showed that age did not appear to influence the romidepsin PK.</w:t>
      </w:r>
    </w:p>
    <w:p w:rsidR="00F025F1" w:rsidRPr="00F34170" w:rsidRDefault="00F025F1" w:rsidP="00413BB0">
      <w:pPr>
        <w:rPr>
          <w:sz w:val="22"/>
          <w:szCs w:val="22"/>
          <w:lang w:val="en-AU"/>
        </w:rPr>
      </w:pPr>
    </w:p>
    <w:p w:rsidR="00F025F1" w:rsidRPr="00F34170" w:rsidRDefault="00F025F1" w:rsidP="00413BB0">
      <w:pPr>
        <w:pStyle w:val="ListParagraph"/>
        <w:keepNext/>
        <w:numPr>
          <w:ilvl w:val="0"/>
          <w:numId w:val="17"/>
        </w:numPr>
        <w:rPr>
          <w:b/>
          <w:sz w:val="22"/>
          <w:szCs w:val="22"/>
          <w:u w:val="single"/>
          <w:lang w:val="en-AU"/>
        </w:rPr>
      </w:pPr>
      <w:r w:rsidRPr="00F34170">
        <w:rPr>
          <w:b/>
          <w:sz w:val="22"/>
          <w:szCs w:val="22"/>
          <w:u w:val="single"/>
          <w:lang w:val="en-AU"/>
        </w:rPr>
        <w:t>Genotoxicity</w:t>
      </w:r>
    </w:p>
    <w:p w:rsidR="00FC4376" w:rsidRPr="00F34170" w:rsidRDefault="00FC4376" w:rsidP="00413BB0">
      <w:pPr>
        <w:spacing w:before="120"/>
        <w:rPr>
          <w:sz w:val="22"/>
          <w:szCs w:val="22"/>
          <w:lang w:val="en-AU"/>
        </w:rPr>
      </w:pPr>
      <w:r w:rsidRPr="00F34170">
        <w:rPr>
          <w:sz w:val="22"/>
          <w:szCs w:val="22"/>
          <w:lang w:val="en-AU"/>
        </w:rPr>
        <w:t xml:space="preserve">Romidepsin was not mutagenic </w:t>
      </w:r>
      <w:r w:rsidRPr="00F34170">
        <w:rPr>
          <w:i/>
          <w:sz w:val="22"/>
          <w:szCs w:val="22"/>
          <w:lang w:val="en-AU"/>
        </w:rPr>
        <w:t>in</w:t>
      </w:r>
      <w:r w:rsidR="00477DDF" w:rsidRPr="00F34170">
        <w:rPr>
          <w:i/>
          <w:sz w:val="22"/>
          <w:szCs w:val="22"/>
          <w:lang w:val="en-AU"/>
        </w:rPr>
        <w:t> </w:t>
      </w:r>
      <w:r w:rsidRPr="00F34170">
        <w:rPr>
          <w:i/>
          <w:sz w:val="22"/>
          <w:szCs w:val="22"/>
          <w:lang w:val="en-AU"/>
        </w:rPr>
        <w:t>vitro</w:t>
      </w:r>
      <w:r w:rsidRPr="00F34170">
        <w:rPr>
          <w:sz w:val="22"/>
          <w:szCs w:val="22"/>
          <w:lang w:val="en-AU"/>
        </w:rPr>
        <w:t xml:space="preserve"> in the bacterial reverse mutation assay (Ames test</w:t>
      </w:r>
      <w:r w:rsidR="00477DDF" w:rsidRPr="00F34170">
        <w:rPr>
          <w:sz w:val="22"/>
          <w:szCs w:val="22"/>
          <w:lang w:val="en-AU"/>
        </w:rPr>
        <w:t xml:space="preserve">) or the mouse lymphoma assay. </w:t>
      </w:r>
      <w:r w:rsidRPr="00F34170">
        <w:rPr>
          <w:sz w:val="22"/>
          <w:szCs w:val="22"/>
          <w:lang w:val="en-AU"/>
        </w:rPr>
        <w:t xml:space="preserve">Romidepsin was not clastogenic in an </w:t>
      </w:r>
      <w:r w:rsidRPr="00F34170">
        <w:rPr>
          <w:i/>
          <w:sz w:val="22"/>
          <w:szCs w:val="22"/>
          <w:lang w:val="en-AU"/>
        </w:rPr>
        <w:t>in</w:t>
      </w:r>
      <w:r w:rsidR="00477DDF" w:rsidRPr="00F34170">
        <w:rPr>
          <w:i/>
          <w:sz w:val="22"/>
          <w:szCs w:val="22"/>
          <w:lang w:val="en-AU"/>
        </w:rPr>
        <w:t> </w:t>
      </w:r>
      <w:r w:rsidRPr="00F34170">
        <w:rPr>
          <w:i/>
          <w:sz w:val="22"/>
          <w:szCs w:val="22"/>
          <w:lang w:val="en-AU"/>
        </w:rPr>
        <w:t>vivo</w:t>
      </w:r>
      <w:r w:rsidRPr="00F34170">
        <w:rPr>
          <w:sz w:val="22"/>
          <w:szCs w:val="22"/>
          <w:lang w:val="en-AU"/>
        </w:rPr>
        <w:t xml:space="preserve"> rat bone marrow micronucleus assay when tested to the maximum tolerated dose </w:t>
      </w:r>
      <w:r w:rsidR="00477DDF" w:rsidRPr="00F34170">
        <w:rPr>
          <w:sz w:val="22"/>
          <w:szCs w:val="22"/>
          <w:lang w:val="en-AU"/>
        </w:rPr>
        <w:t>(MTD) of 1 mg/kg in males and 3 </w:t>
      </w:r>
      <w:r w:rsidRPr="00F34170">
        <w:rPr>
          <w:sz w:val="22"/>
          <w:szCs w:val="22"/>
          <w:lang w:val="en-AU"/>
        </w:rPr>
        <w:t>mg/kg in females (6 and 18</w:t>
      </w:r>
      <w:r w:rsidR="00477DDF" w:rsidRPr="00F34170">
        <w:rPr>
          <w:sz w:val="22"/>
          <w:szCs w:val="22"/>
          <w:lang w:val="en-AU"/>
        </w:rPr>
        <w:t> </w:t>
      </w:r>
      <w:r w:rsidRPr="00F34170">
        <w:rPr>
          <w:sz w:val="22"/>
          <w:szCs w:val="22"/>
          <w:lang w:val="en-AU"/>
        </w:rPr>
        <w:t>mg/m</w:t>
      </w:r>
      <w:r w:rsidRPr="00F34170">
        <w:rPr>
          <w:sz w:val="22"/>
          <w:szCs w:val="22"/>
          <w:vertAlign w:val="superscript"/>
          <w:lang w:val="en-AU"/>
        </w:rPr>
        <w:t>2</w:t>
      </w:r>
      <w:r w:rsidRPr="00F34170">
        <w:rPr>
          <w:sz w:val="22"/>
          <w:szCs w:val="22"/>
          <w:lang w:val="en-AU"/>
        </w:rPr>
        <w:t xml:space="preserve"> in ma</w:t>
      </w:r>
      <w:r w:rsidR="00477DDF" w:rsidRPr="00F34170">
        <w:rPr>
          <w:sz w:val="22"/>
          <w:szCs w:val="22"/>
          <w:lang w:val="en-AU"/>
        </w:rPr>
        <w:t>les and females, respectively).</w:t>
      </w:r>
      <w:r w:rsidRPr="00F34170">
        <w:rPr>
          <w:sz w:val="22"/>
          <w:szCs w:val="22"/>
          <w:lang w:val="en-AU"/>
        </w:rPr>
        <w:t xml:space="preserve"> These doses were up to 1.3-fold </w:t>
      </w:r>
      <w:r w:rsidRPr="00F34170">
        <w:rPr>
          <w:color w:val="000000"/>
          <w:sz w:val="22"/>
          <w:szCs w:val="22"/>
          <w:lang w:val="en-AU"/>
        </w:rPr>
        <w:t>the recommended human dose, based on body surface area.</w:t>
      </w:r>
    </w:p>
    <w:p w:rsidR="007C68FC" w:rsidRPr="00F34170" w:rsidRDefault="007C68FC" w:rsidP="00413BB0">
      <w:pPr>
        <w:rPr>
          <w:sz w:val="22"/>
          <w:szCs w:val="22"/>
          <w:lang w:val="en-AU"/>
        </w:rPr>
      </w:pPr>
    </w:p>
    <w:p w:rsidR="00F025F1" w:rsidRPr="00F34170" w:rsidRDefault="00F025F1" w:rsidP="00413BB0">
      <w:pPr>
        <w:pStyle w:val="ListParagraph"/>
        <w:keepNext/>
        <w:numPr>
          <w:ilvl w:val="0"/>
          <w:numId w:val="17"/>
        </w:numPr>
        <w:ind w:left="357" w:hanging="357"/>
        <w:rPr>
          <w:b/>
          <w:sz w:val="22"/>
          <w:szCs w:val="22"/>
          <w:u w:val="single"/>
          <w:lang w:val="en-AU"/>
        </w:rPr>
      </w:pPr>
      <w:r w:rsidRPr="00F34170">
        <w:rPr>
          <w:b/>
          <w:sz w:val="22"/>
          <w:szCs w:val="22"/>
          <w:u w:val="single"/>
          <w:lang w:val="en-AU"/>
        </w:rPr>
        <w:t>Carcinogenicity</w:t>
      </w:r>
    </w:p>
    <w:p w:rsidR="00F025F1" w:rsidRPr="00F34170" w:rsidRDefault="00F025F1" w:rsidP="00413BB0">
      <w:pPr>
        <w:spacing w:before="120"/>
        <w:rPr>
          <w:sz w:val="22"/>
          <w:szCs w:val="22"/>
          <w:lang w:val="en-AU"/>
        </w:rPr>
      </w:pPr>
      <w:r w:rsidRPr="00F34170">
        <w:rPr>
          <w:sz w:val="22"/>
          <w:szCs w:val="22"/>
          <w:lang w:val="en-AU"/>
        </w:rPr>
        <w:t>Carcinogenicity studies have not been performed with romidepsin.</w:t>
      </w:r>
    </w:p>
    <w:p w:rsidR="00F025F1" w:rsidRPr="00F34170" w:rsidRDefault="00F025F1" w:rsidP="00413BB0">
      <w:pPr>
        <w:rPr>
          <w:sz w:val="22"/>
          <w:szCs w:val="22"/>
          <w:lang w:val="en-AU"/>
        </w:rPr>
      </w:pPr>
    </w:p>
    <w:p w:rsidR="00FF4F41" w:rsidRPr="00F34170" w:rsidRDefault="00FF4F41" w:rsidP="00413BB0">
      <w:pPr>
        <w:rPr>
          <w:sz w:val="22"/>
          <w:szCs w:val="22"/>
          <w:lang w:val="en-AU"/>
        </w:rPr>
      </w:pPr>
    </w:p>
    <w:p w:rsidR="00FF4F41" w:rsidRPr="00F34170" w:rsidRDefault="00FF4F41" w:rsidP="00413BB0">
      <w:pPr>
        <w:pStyle w:val="ListParagraph"/>
        <w:keepNext/>
        <w:numPr>
          <w:ilvl w:val="0"/>
          <w:numId w:val="15"/>
        </w:numPr>
        <w:ind w:left="1080" w:hanging="1080"/>
        <w:rPr>
          <w:b/>
          <w:sz w:val="28"/>
          <w:szCs w:val="28"/>
          <w:lang w:val="en-AU"/>
        </w:rPr>
      </w:pPr>
      <w:r w:rsidRPr="00F34170">
        <w:rPr>
          <w:b/>
          <w:sz w:val="28"/>
          <w:szCs w:val="28"/>
          <w:lang w:val="en-AU"/>
        </w:rPr>
        <w:t>Interaction with other Medicines</w:t>
      </w:r>
    </w:p>
    <w:p w:rsidR="00FF4F41" w:rsidRPr="00F34170" w:rsidRDefault="00FF4F41" w:rsidP="00413BB0">
      <w:pPr>
        <w:tabs>
          <w:tab w:val="left" w:pos="360"/>
        </w:tabs>
        <w:autoSpaceDE w:val="0"/>
        <w:autoSpaceDN w:val="0"/>
        <w:adjustRightInd w:val="0"/>
        <w:spacing w:before="120"/>
        <w:rPr>
          <w:sz w:val="22"/>
          <w:szCs w:val="22"/>
          <w:lang w:val="en-AU"/>
        </w:rPr>
      </w:pPr>
      <w:r w:rsidRPr="00F34170">
        <w:rPr>
          <w:sz w:val="22"/>
          <w:szCs w:val="22"/>
          <w:lang w:val="en-AU"/>
        </w:rPr>
        <w:t>No formal clinical medicine interaction studies with Istodax have been conducted.</w:t>
      </w:r>
    </w:p>
    <w:p w:rsidR="00FF4F41" w:rsidRPr="00F34170" w:rsidRDefault="00FF4F41" w:rsidP="00413BB0">
      <w:pPr>
        <w:tabs>
          <w:tab w:val="left" w:pos="360"/>
        </w:tabs>
        <w:autoSpaceDE w:val="0"/>
        <w:autoSpaceDN w:val="0"/>
        <w:adjustRightInd w:val="0"/>
        <w:rPr>
          <w:sz w:val="22"/>
          <w:szCs w:val="22"/>
          <w:lang w:val="en-AU"/>
        </w:rPr>
      </w:pPr>
    </w:p>
    <w:p w:rsidR="00FF4F41" w:rsidRPr="00F34170" w:rsidRDefault="00FF4F41" w:rsidP="00413BB0">
      <w:pPr>
        <w:keepNext/>
        <w:tabs>
          <w:tab w:val="left" w:pos="360"/>
        </w:tabs>
        <w:autoSpaceDE w:val="0"/>
        <w:autoSpaceDN w:val="0"/>
        <w:adjustRightInd w:val="0"/>
        <w:rPr>
          <w:sz w:val="22"/>
          <w:szCs w:val="22"/>
          <w:u w:val="single"/>
          <w:lang w:val="en-AU"/>
        </w:rPr>
      </w:pPr>
      <w:r w:rsidRPr="00F34170">
        <w:rPr>
          <w:sz w:val="22"/>
          <w:szCs w:val="22"/>
          <w:u w:val="single"/>
          <w:lang w:val="en-AU"/>
        </w:rPr>
        <w:t>Warfarin or Warfarin Derivatives</w:t>
      </w:r>
    </w:p>
    <w:p w:rsidR="00FF4F41" w:rsidRPr="00F34170" w:rsidRDefault="00FF4F41" w:rsidP="00413BB0">
      <w:pPr>
        <w:tabs>
          <w:tab w:val="left" w:pos="360"/>
        </w:tabs>
        <w:autoSpaceDE w:val="0"/>
        <w:autoSpaceDN w:val="0"/>
        <w:adjustRightInd w:val="0"/>
        <w:spacing w:before="120"/>
        <w:rPr>
          <w:sz w:val="22"/>
          <w:szCs w:val="22"/>
          <w:lang w:val="en-AU"/>
        </w:rPr>
      </w:pPr>
      <w:r w:rsidRPr="00F34170">
        <w:rPr>
          <w:sz w:val="22"/>
          <w:szCs w:val="22"/>
          <w:lang w:val="en-AU"/>
        </w:rPr>
        <w:t>Prolongation of prothrombin time (PT) and elevation of International Normalisation Ratio (INR) were observed in a patient receiving Istodax concomitantly with warfarin. Although the interaction potential between Istodax and warfarin or warfarin derivatives has not been formally studied, physicians should carefully monitor PT and INR in patients concurrently administered Istodax and warfarin or warfarin derivatives.</w:t>
      </w:r>
    </w:p>
    <w:p w:rsidR="00FF4F41" w:rsidRPr="00F34170" w:rsidRDefault="00FF4F41" w:rsidP="00413BB0">
      <w:pPr>
        <w:tabs>
          <w:tab w:val="left" w:pos="360"/>
        </w:tabs>
        <w:autoSpaceDE w:val="0"/>
        <w:autoSpaceDN w:val="0"/>
        <w:adjustRightInd w:val="0"/>
        <w:rPr>
          <w:sz w:val="22"/>
          <w:szCs w:val="22"/>
          <w:lang w:val="en-AU"/>
        </w:rPr>
      </w:pPr>
    </w:p>
    <w:p w:rsidR="00025611" w:rsidRPr="00F34170" w:rsidRDefault="00025611" w:rsidP="00025611">
      <w:pPr>
        <w:keepNext/>
        <w:tabs>
          <w:tab w:val="left" w:pos="360"/>
        </w:tabs>
        <w:autoSpaceDE w:val="0"/>
        <w:autoSpaceDN w:val="0"/>
        <w:adjustRightInd w:val="0"/>
        <w:rPr>
          <w:sz w:val="22"/>
          <w:szCs w:val="22"/>
          <w:u w:val="single"/>
          <w:lang w:val="en-AU"/>
        </w:rPr>
      </w:pPr>
      <w:r w:rsidRPr="00F34170">
        <w:rPr>
          <w:sz w:val="22"/>
          <w:szCs w:val="22"/>
          <w:u w:val="single"/>
          <w:lang w:val="en-AU"/>
        </w:rPr>
        <w:t>Medicines that Prolong the QT Interval</w:t>
      </w:r>
    </w:p>
    <w:p w:rsidR="00025611" w:rsidRPr="00F34170" w:rsidRDefault="00025611" w:rsidP="00025611">
      <w:pPr>
        <w:tabs>
          <w:tab w:val="left" w:pos="360"/>
        </w:tabs>
        <w:autoSpaceDE w:val="0"/>
        <w:autoSpaceDN w:val="0"/>
        <w:adjustRightInd w:val="0"/>
        <w:spacing w:before="120"/>
        <w:rPr>
          <w:sz w:val="22"/>
          <w:szCs w:val="22"/>
          <w:lang w:val="en-AU"/>
        </w:rPr>
      </w:pPr>
      <w:r w:rsidRPr="00F34170">
        <w:rPr>
          <w:sz w:val="22"/>
          <w:szCs w:val="22"/>
          <w:lang w:val="en-AU"/>
        </w:rPr>
        <w:t>Appropriate cardiovascular monitoring precautions should be considered in patients taking anti-arrhythmic medicines or medicinal products that lead to significant QT prolongation (see “Cardiac Electrophysiology” in section iii. [Pharmacology]), and “Electrocardiographic Changes” in section vii. Precautions). Such precautions include the monitoring of ECGs at baseline and periodically during treatment.</w:t>
      </w:r>
    </w:p>
    <w:p w:rsidR="00025611" w:rsidRPr="00F34170" w:rsidRDefault="00025611" w:rsidP="00413BB0">
      <w:pPr>
        <w:tabs>
          <w:tab w:val="left" w:pos="360"/>
        </w:tabs>
        <w:autoSpaceDE w:val="0"/>
        <w:autoSpaceDN w:val="0"/>
        <w:adjustRightInd w:val="0"/>
        <w:rPr>
          <w:sz w:val="22"/>
          <w:szCs w:val="22"/>
          <w:lang w:val="en-AU"/>
        </w:rPr>
      </w:pPr>
    </w:p>
    <w:p w:rsidR="00FF4F41" w:rsidRPr="00F34170" w:rsidRDefault="00FF4F41" w:rsidP="00413BB0">
      <w:pPr>
        <w:keepNext/>
        <w:tabs>
          <w:tab w:val="left" w:pos="360"/>
        </w:tabs>
        <w:autoSpaceDE w:val="0"/>
        <w:autoSpaceDN w:val="0"/>
        <w:adjustRightInd w:val="0"/>
        <w:rPr>
          <w:sz w:val="22"/>
          <w:szCs w:val="22"/>
          <w:u w:val="single"/>
          <w:lang w:val="en-AU"/>
        </w:rPr>
      </w:pPr>
      <w:r w:rsidRPr="00F34170">
        <w:rPr>
          <w:sz w:val="22"/>
          <w:szCs w:val="22"/>
          <w:u w:val="single"/>
          <w:lang w:val="en-AU"/>
        </w:rPr>
        <w:t>Medicines that Inhibit or Induce Cytochrome P450 3A4 Enzymes</w:t>
      </w:r>
    </w:p>
    <w:p w:rsidR="00571258" w:rsidRDefault="00FF4F41" w:rsidP="00D2129C">
      <w:pPr>
        <w:pStyle w:val="BodyText"/>
        <w:spacing w:before="120" w:after="0"/>
        <w:rPr>
          <w:sz w:val="22"/>
          <w:szCs w:val="22"/>
          <w:lang w:val="en-AU"/>
        </w:rPr>
      </w:pPr>
      <w:r w:rsidRPr="00F34170">
        <w:rPr>
          <w:sz w:val="22"/>
          <w:szCs w:val="22"/>
          <w:lang w:val="en-AU"/>
        </w:rPr>
        <w:t>Romidepsin is metabolized by CYP3A4</w:t>
      </w:r>
      <w:r w:rsidRPr="0027280A">
        <w:rPr>
          <w:sz w:val="22"/>
          <w:szCs w:val="22"/>
          <w:lang w:val="en-AU"/>
        </w:rPr>
        <w:t xml:space="preserve">. </w:t>
      </w:r>
      <w:r w:rsidRPr="00F34170">
        <w:rPr>
          <w:sz w:val="22"/>
          <w:szCs w:val="22"/>
          <w:lang w:val="en-AU"/>
        </w:rPr>
        <w:t>Although there are no formal medicine interaction studies for Istodax, strong CYP3A4 inhibitors may increase concentrations of romidepsin. Therefore, co-administration with strong CYP3A4 inhibitors should be avoided if possible. Caution should also be exercised with concomitant use of moderate CYP3A4 inhibitors. Co-administration of potent CYP3A4 inducers may decrease concentrations of romidepsin and should be avoided if possible. Patients should also refrain from taking St. John’s Wort.</w:t>
      </w:r>
    </w:p>
    <w:p w:rsidR="00D971AB" w:rsidRPr="00F34170" w:rsidRDefault="00D971AB" w:rsidP="00413BB0">
      <w:pPr>
        <w:tabs>
          <w:tab w:val="left" w:pos="360"/>
        </w:tabs>
        <w:autoSpaceDE w:val="0"/>
        <w:autoSpaceDN w:val="0"/>
        <w:adjustRightInd w:val="0"/>
        <w:rPr>
          <w:sz w:val="22"/>
          <w:szCs w:val="22"/>
          <w:lang w:val="en-AU"/>
        </w:rPr>
      </w:pPr>
    </w:p>
    <w:p w:rsidR="00D971AB" w:rsidRPr="00F34170" w:rsidRDefault="00D971AB" w:rsidP="00413BB0">
      <w:pPr>
        <w:keepNext/>
        <w:tabs>
          <w:tab w:val="left" w:pos="360"/>
        </w:tabs>
        <w:autoSpaceDE w:val="0"/>
        <w:autoSpaceDN w:val="0"/>
        <w:adjustRightInd w:val="0"/>
        <w:rPr>
          <w:sz w:val="22"/>
          <w:szCs w:val="22"/>
          <w:u w:val="single"/>
          <w:lang w:val="en-AU"/>
        </w:rPr>
      </w:pPr>
      <w:r w:rsidRPr="00F34170">
        <w:rPr>
          <w:sz w:val="22"/>
          <w:szCs w:val="22"/>
          <w:u w:val="single"/>
          <w:lang w:val="en-AU"/>
        </w:rPr>
        <w:lastRenderedPageBreak/>
        <w:t>Medicines that Inhibit Medicine Transport Systems</w:t>
      </w:r>
    </w:p>
    <w:p w:rsidR="00D971AB" w:rsidRPr="00F34170" w:rsidRDefault="00D971AB" w:rsidP="00413BB0">
      <w:pPr>
        <w:tabs>
          <w:tab w:val="left" w:pos="360"/>
        </w:tabs>
        <w:autoSpaceDE w:val="0"/>
        <w:autoSpaceDN w:val="0"/>
        <w:adjustRightInd w:val="0"/>
        <w:spacing w:before="120"/>
        <w:rPr>
          <w:sz w:val="22"/>
          <w:szCs w:val="22"/>
          <w:lang w:val="en-AU"/>
        </w:rPr>
      </w:pPr>
      <w:r w:rsidRPr="00F34170">
        <w:rPr>
          <w:sz w:val="22"/>
          <w:szCs w:val="22"/>
          <w:lang w:val="en-AU"/>
        </w:rPr>
        <w:t>Romidepsin is a substrate of the efflux transporter P-glycoprotein (P-gp, ABCB1). If Istodax is administered with medicines that inhibit P-gp, increased concentrations of romidepsin are likely, and caution should be exercised.</w:t>
      </w:r>
    </w:p>
    <w:p w:rsidR="00FF4F41" w:rsidRPr="00F34170" w:rsidRDefault="00FF4F41" w:rsidP="00413BB0">
      <w:pPr>
        <w:tabs>
          <w:tab w:val="left" w:pos="360"/>
        </w:tabs>
        <w:autoSpaceDE w:val="0"/>
        <w:autoSpaceDN w:val="0"/>
        <w:adjustRightInd w:val="0"/>
        <w:rPr>
          <w:sz w:val="22"/>
          <w:szCs w:val="22"/>
          <w:lang w:val="en-AU"/>
        </w:rPr>
      </w:pPr>
    </w:p>
    <w:p w:rsidR="00FF4F41" w:rsidRPr="00F34170" w:rsidRDefault="00FF4F41" w:rsidP="00413BB0">
      <w:pPr>
        <w:keepNext/>
        <w:tabs>
          <w:tab w:val="left" w:pos="360"/>
        </w:tabs>
        <w:autoSpaceDE w:val="0"/>
        <w:autoSpaceDN w:val="0"/>
        <w:adjustRightInd w:val="0"/>
        <w:rPr>
          <w:sz w:val="22"/>
          <w:szCs w:val="22"/>
          <w:u w:val="single"/>
          <w:lang w:val="en-AU"/>
        </w:rPr>
      </w:pPr>
      <w:r w:rsidRPr="00F34170">
        <w:rPr>
          <w:sz w:val="22"/>
          <w:szCs w:val="22"/>
          <w:u w:val="single"/>
          <w:lang w:val="en-AU"/>
        </w:rPr>
        <w:t>Oestrogen-Containing Contraceptives</w:t>
      </w:r>
    </w:p>
    <w:p w:rsidR="00FF4F41" w:rsidRPr="00F34170" w:rsidRDefault="00FF4F41" w:rsidP="00413BB0">
      <w:pPr>
        <w:tabs>
          <w:tab w:val="left" w:pos="360"/>
        </w:tabs>
        <w:autoSpaceDE w:val="0"/>
        <w:autoSpaceDN w:val="0"/>
        <w:adjustRightInd w:val="0"/>
        <w:spacing w:before="120"/>
        <w:rPr>
          <w:sz w:val="22"/>
          <w:szCs w:val="22"/>
          <w:lang w:val="en-AU"/>
        </w:rPr>
      </w:pPr>
      <w:r w:rsidRPr="00F34170">
        <w:rPr>
          <w:sz w:val="22"/>
          <w:szCs w:val="22"/>
          <w:lang w:val="en-AU"/>
        </w:rPr>
        <w:t xml:space="preserve">An </w:t>
      </w:r>
      <w:r w:rsidRPr="00F34170">
        <w:rPr>
          <w:i/>
          <w:sz w:val="22"/>
          <w:szCs w:val="22"/>
          <w:lang w:val="en-AU"/>
        </w:rPr>
        <w:t>in vitro</w:t>
      </w:r>
      <w:r w:rsidRPr="00F34170">
        <w:rPr>
          <w:sz w:val="22"/>
          <w:szCs w:val="22"/>
          <w:lang w:val="en-AU"/>
        </w:rPr>
        <w:t xml:space="preserve"> binding assay determined that romidepsin competes with </w:t>
      </w:r>
      <w:r w:rsidR="007C68FC" w:rsidRPr="00F34170">
        <w:rPr>
          <w:sz w:val="22"/>
          <w:szCs w:val="22"/>
          <w:lang w:val="en-AU"/>
        </w:rPr>
        <w:t>beta</w:t>
      </w:r>
      <w:r w:rsidRPr="00F34170">
        <w:rPr>
          <w:sz w:val="22"/>
          <w:szCs w:val="22"/>
          <w:lang w:val="en-AU"/>
        </w:rPr>
        <w:t>-oestradiol for binding to oestrogen receptors. Women of childbearing potential should be advised that Istodax may reduce the effectiveness of oestrogen-containing contraceptives.</w:t>
      </w:r>
      <w:r w:rsidR="00477DDF" w:rsidRPr="00F34170">
        <w:rPr>
          <w:sz w:val="22"/>
          <w:szCs w:val="22"/>
          <w:lang w:val="en-AU"/>
        </w:rPr>
        <w:t xml:space="preserve"> </w:t>
      </w:r>
      <w:r w:rsidR="00071538" w:rsidRPr="00F34170">
        <w:rPr>
          <w:sz w:val="22"/>
          <w:szCs w:val="22"/>
          <w:lang w:val="en-AU"/>
        </w:rPr>
        <w:t xml:space="preserve">Therefore, alternate methods of non-oestrogen-containing contraception (e.g., condoms, intrauterine device) should be used in patients receiving romidepsin (see </w:t>
      </w:r>
      <w:r w:rsidR="00477DDF" w:rsidRPr="00F34170">
        <w:rPr>
          <w:sz w:val="22"/>
          <w:szCs w:val="22"/>
          <w:lang w:val="en-AU"/>
        </w:rPr>
        <w:t>section vii. [</w:t>
      </w:r>
      <w:r w:rsidR="00071538" w:rsidRPr="00F34170">
        <w:rPr>
          <w:sz w:val="22"/>
          <w:szCs w:val="22"/>
          <w:lang w:val="en-AU"/>
        </w:rPr>
        <w:t>Precautions</w:t>
      </w:r>
      <w:r w:rsidR="00477DDF" w:rsidRPr="00F34170">
        <w:rPr>
          <w:sz w:val="22"/>
          <w:szCs w:val="22"/>
          <w:lang w:val="en-AU"/>
        </w:rPr>
        <w:t xml:space="preserve">]). </w:t>
      </w:r>
      <w:r w:rsidR="00071538" w:rsidRPr="00F34170">
        <w:rPr>
          <w:sz w:val="22"/>
          <w:szCs w:val="22"/>
          <w:lang w:val="en-AU"/>
        </w:rPr>
        <w:t xml:space="preserve">Patients using </w:t>
      </w:r>
      <w:r w:rsidR="002447D2" w:rsidRPr="00F34170">
        <w:rPr>
          <w:sz w:val="22"/>
          <w:szCs w:val="22"/>
          <w:lang w:val="en-AU"/>
        </w:rPr>
        <w:t>o</w:t>
      </w:r>
      <w:r w:rsidR="00071538" w:rsidRPr="00F34170">
        <w:rPr>
          <w:sz w:val="22"/>
          <w:szCs w:val="22"/>
          <w:lang w:val="en-AU"/>
        </w:rPr>
        <w:t>estrogens as hormone replacement therapy should be clinically monitored for</w:t>
      </w:r>
      <w:r w:rsidR="00477DDF" w:rsidRPr="00F34170">
        <w:rPr>
          <w:sz w:val="22"/>
          <w:szCs w:val="22"/>
          <w:lang w:val="en-AU"/>
        </w:rPr>
        <w:t xml:space="preserve"> signs of oestrogen deficiency.</w:t>
      </w:r>
    </w:p>
    <w:p w:rsidR="00FF4F41" w:rsidRPr="00F34170" w:rsidRDefault="00FF4F41" w:rsidP="00413BB0">
      <w:pPr>
        <w:rPr>
          <w:sz w:val="22"/>
          <w:szCs w:val="22"/>
          <w:lang w:val="en-AU"/>
        </w:rPr>
      </w:pPr>
    </w:p>
    <w:p w:rsidR="00FF4F41" w:rsidRPr="00F34170" w:rsidRDefault="00FF4F41" w:rsidP="00413BB0">
      <w:pPr>
        <w:keepNext/>
        <w:ind w:left="567" w:hanging="567"/>
        <w:rPr>
          <w:sz w:val="22"/>
          <w:szCs w:val="22"/>
          <w:lang w:val="en-AU"/>
        </w:rPr>
      </w:pPr>
      <w:r w:rsidRPr="00F34170">
        <w:rPr>
          <w:b/>
          <w:sz w:val="22"/>
          <w:szCs w:val="22"/>
          <w:lang w:val="en-AU"/>
        </w:rPr>
        <w:t>Effects on ability to drive and use machines</w:t>
      </w:r>
    </w:p>
    <w:p w:rsidR="00FF4F41" w:rsidRPr="00F34170" w:rsidRDefault="00FF4F41" w:rsidP="00413BB0">
      <w:pPr>
        <w:spacing w:before="120"/>
        <w:rPr>
          <w:sz w:val="22"/>
          <w:szCs w:val="22"/>
          <w:lang w:val="en-AU"/>
        </w:rPr>
      </w:pPr>
      <w:r w:rsidRPr="00F34170">
        <w:rPr>
          <w:sz w:val="22"/>
          <w:szCs w:val="22"/>
          <w:lang w:val="en-AU"/>
        </w:rPr>
        <w:t xml:space="preserve">No studies of the effects of Istodax on the ability to drive or operate machines have been performed. Treatment with romidepsin in clinical trials was commonly associated with asthenia and fatigue, which can be severe (see </w:t>
      </w:r>
      <w:r w:rsidR="00477DDF" w:rsidRPr="00F34170">
        <w:rPr>
          <w:sz w:val="22"/>
          <w:szCs w:val="22"/>
          <w:lang w:val="en-AU"/>
        </w:rPr>
        <w:t>section ix. [</w:t>
      </w:r>
      <w:r w:rsidRPr="00F34170">
        <w:rPr>
          <w:sz w:val="22"/>
          <w:szCs w:val="22"/>
          <w:lang w:val="en-AU"/>
        </w:rPr>
        <w:t>Adverse Effects</w:t>
      </w:r>
      <w:r w:rsidR="00477DDF" w:rsidRPr="00F34170">
        <w:rPr>
          <w:sz w:val="22"/>
          <w:szCs w:val="22"/>
          <w:lang w:val="en-AU"/>
        </w:rPr>
        <w:t>]</w:t>
      </w:r>
      <w:r w:rsidRPr="00F34170">
        <w:rPr>
          <w:sz w:val="22"/>
          <w:szCs w:val="22"/>
          <w:lang w:val="en-AU"/>
        </w:rPr>
        <w:t>). If affected, patients are to be instructed not to drive or use machines to perform hazardous tasks.</w:t>
      </w:r>
    </w:p>
    <w:p w:rsidR="00FF4F41" w:rsidRPr="00F34170" w:rsidRDefault="00FF4F41" w:rsidP="00413BB0">
      <w:pPr>
        <w:rPr>
          <w:sz w:val="22"/>
          <w:szCs w:val="22"/>
          <w:lang w:val="en-AU"/>
        </w:rPr>
      </w:pPr>
    </w:p>
    <w:p w:rsidR="00FF4F41" w:rsidRPr="00F34170" w:rsidRDefault="00FF4F41" w:rsidP="00413BB0">
      <w:pPr>
        <w:rPr>
          <w:sz w:val="22"/>
          <w:szCs w:val="22"/>
          <w:lang w:val="en-AU"/>
        </w:rPr>
      </w:pPr>
    </w:p>
    <w:p w:rsidR="0083243A" w:rsidRPr="00F34170" w:rsidRDefault="0083243A" w:rsidP="00413BB0">
      <w:pPr>
        <w:pStyle w:val="ListParagraph"/>
        <w:keepNext/>
        <w:numPr>
          <w:ilvl w:val="0"/>
          <w:numId w:val="15"/>
        </w:numPr>
        <w:ind w:left="1080" w:hanging="1080"/>
        <w:rPr>
          <w:b/>
          <w:sz w:val="28"/>
          <w:szCs w:val="28"/>
          <w:lang w:val="en-AU"/>
        </w:rPr>
      </w:pPr>
      <w:r w:rsidRPr="00F34170">
        <w:rPr>
          <w:b/>
          <w:sz w:val="28"/>
          <w:szCs w:val="28"/>
          <w:lang w:val="en-AU"/>
        </w:rPr>
        <w:t>Adverse Effects</w:t>
      </w:r>
    </w:p>
    <w:p w:rsidR="00341E0E" w:rsidRPr="00F34170" w:rsidRDefault="0083243A" w:rsidP="00413BB0">
      <w:pPr>
        <w:spacing w:before="120"/>
        <w:rPr>
          <w:bCs/>
          <w:sz w:val="22"/>
          <w:szCs w:val="22"/>
          <w:lang w:val="en-AU"/>
        </w:rPr>
      </w:pPr>
      <w:r w:rsidRPr="00F34170">
        <w:rPr>
          <w:bCs/>
          <w:sz w:val="22"/>
          <w:szCs w:val="22"/>
          <w:lang w:val="en-AU"/>
        </w:rPr>
        <w:t>In a single-arm study, 131 patients with PTCL were exposed to romidepsin at a dose of 14 mg/m</w:t>
      </w:r>
      <w:r w:rsidRPr="00F34170">
        <w:rPr>
          <w:bCs/>
          <w:sz w:val="22"/>
          <w:szCs w:val="22"/>
          <w:vertAlign w:val="superscript"/>
          <w:lang w:val="en-AU"/>
        </w:rPr>
        <w:t>2</w:t>
      </w:r>
      <w:r w:rsidRPr="00F34170">
        <w:rPr>
          <w:bCs/>
          <w:sz w:val="22"/>
          <w:szCs w:val="22"/>
          <w:lang w:val="en-AU"/>
        </w:rPr>
        <w:t xml:space="preserve"> on Day</w:t>
      </w:r>
      <w:r w:rsidR="00477DDF" w:rsidRPr="00F34170">
        <w:rPr>
          <w:bCs/>
          <w:sz w:val="22"/>
          <w:szCs w:val="22"/>
          <w:lang w:val="en-AU"/>
        </w:rPr>
        <w:t>s</w:t>
      </w:r>
      <w:r w:rsidRPr="00F34170">
        <w:rPr>
          <w:bCs/>
          <w:sz w:val="22"/>
          <w:szCs w:val="22"/>
          <w:lang w:val="en-AU"/>
        </w:rPr>
        <w:t> 1, 8, and 15 of a 28-day cycle. The mean duration of treatment and number of doses were 3.5 months and 11 doses, respectively, corresponding to about 4 cycles.</w:t>
      </w:r>
    </w:p>
    <w:p w:rsidR="00477DDF" w:rsidRPr="00F34170" w:rsidRDefault="00477DDF" w:rsidP="00413BB0">
      <w:pPr>
        <w:rPr>
          <w:bCs/>
          <w:sz w:val="22"/>
          <w:szCs w:val="22"/>
          <w:lang w:val="en-AU"/>
        </w:rPr>
      </w:pPr>
    </w:p>
    <w:p w:rsidR="0083243A" w:rsidRPr="00F34170" w:rsidRDefault="00A073A7" w:rsidP="00413BB0">
      <w:pPr>
        <w:rPr>
          <w:bCs/>
          <w:sz w:val="22"/>
          <w:szCs w:val="22"/>
          <w:lang w:val="en-AU"/>
        </w:rPr>
      </w:pPr>
      <w:r w:rsidRPr="00F34170">
        <w:rPr>
          <w:bCs/>
          <w:sz w:val="22"/>
          <w:szCs w:val="22"/>
          <w:lang w:val="en-AU"/>
        </w:rPr>
        <w:t>Table 2 below lists the adverse events</w:t>
      </w:r>
      <w:r w:rsidR="00BD73FD" w:rsidRPr="00F34170">
        <w:rPr>
          <w:bCs/>
          <w:sz w:val="22"/>
          <w:szCs w:val="22"/>
          <w:lang w:val="en-AU"/>
        </w:rPr>
        <w:t xml:space="preserve"> that occurred at a frequency of greater than or equal to 10% in patients</w:t>
      </w:r>
      <w:r w:rsidRPr="00F34170">
        <w:rPr>
          <w:bCs/>
          <w:sz w:val="22"/>
          <w:szCs w:val="22"/>
          <w:lang w:val="en-AU"/>
        </w:rPr>
        <w:t xml:space="preserve">, </w:t>
      </w:r>
      <w:r w:rsidR="00BD73FD" w:rsidRPr="00F34170">
        <w:rPr>
          <w:bCs/>
          <w:sz w:val="22"/>
          <w:szCs w:val="22"/>
          <w:lang w:val="en-AU"/>
        </w:rPr>
        <w:t xml:space="preserve">and </w:t>
      </w:r>
      <w:r w:rsidRPr="00F34170">
        <w:rPr>
          <w:bCs/>
          <w:sz w:val="22"/>
          <w:szCs w:val="22"/>
          <w:lang w:val="en-AU"/>
        </w:rPr>
        <w:t>adverse drug</w:t>
      </w:r>
      <w:r w:rsidR="00477DDF" w:rsidRPr="00F34170">
        <w:rPr>
          <w:bCs/>
          <w:sz w:val="22"/>
          <w:szCs w:val="22"/>
          <w:lang w:val="en-AU"/>
        </w:rPr>
        <w:t xml:space="preserve"> reactions </w:t>
      </w:r>
      <w:r w:rsidR="00BD73FD" w:rsidRPr="00F34170">
        <w:rPr>
          <w:bCs/>
          <w:sz w:val="22"/>
          <w:szCs w:val="22"/>
          <w:lang w:val="en-AU"/>
        </w:rPr>
        <w:t xml:space="preserve">(considered related to the treatment) that occurred at a frequency of greater than or equal to 5% in patients. The table also provides </w:t>
      </w:r>
      <w:r w:rsidR="00477DDF" w:rsidRPr="00F34170">
        <w:rPr>
          <w:bCs/>
          <w:sz w:val="22"/>
          <w:szCs w:val="22"/>
          <w:lang w:val="en-AU"/>
        </w:rPr>
        <w:t>the respective ≥ </w:t>
      </w:r>
      <w:r w:rsidRPr="00F34170">
        <w:rPr>
          <w:bCs/>
          <w:sz w:val="22"/>
          <w:szCs w:val="22"/>
          <w:lang w:val="en-AU"/>
        </w:rPr>
        <w:t xml:space="preserve">Grade 3 events </w:t>
      </w:r>
      <w:r w:rsidR="00BD73FD" w:rsidRPr="00F34170">
        <w:rPr>
          <w:bCs/>
          <w:sz w:val="22"/>
          <w:szCs w:val="22"/>
          <w:lang w:val="en-AU"/>
        </w:rPr>
        <w:t>under each section</w:t>
      </w:r>
      <w:r w:rsidRPr="00F34170">
        <w:rPr>
          <w:bCs/>
          <w:sz w:val="22"/>
          <w:szCs w:val="22"/>
          <w:lang w:val="en-AU"/>
        </w:rPr>
        <w:t>.</w:t>
      </w:r>
    </w:p>
    <w:p w:rsidR="00BD73FD" w:rsidRPr="00F34170" w:rsidRDefault="00BD73FD" w:rsidP="00413BB0">
      <w:pPr>
        <w:rPr>
          <w:sz w:val="22"/>
          <w:szCs w:val="22"/>
          <w:lang w:val="en-AU"/>
        </w:rPr>
      </w:pPr>
    </w:p>
    <w:p w:rsidR="0087012B" w:rsidRPr="00F34170" w:rsidRDefault="00A073A7" w:rsidP="00477DDF">
      <w:pPr>
        <w:pStyle w:val="Caption"/>
        <w:keepNext/>
        <w:spacing w:before="0"/>
        <w:rPr>
          <w:rFonts w:ascii="Times New Roman" w:hAnsi="Times New Roman"/>
          <w:sz w:val="22"/>
          <w:szCs w:val="22"/>
          <w:lang w:val="en-AU"/>
        </w:rPr>
      </w:pPr>
      <w:r w:rsidRPr="00F34170">
        <w:rPr>
          <w:rFonts w:ascii="Times New Roman" w:hAnsi="Times New Roman"/>
          <w:sz w:val="22"/>
          <w:szCs w:val="22"/>
          <w:lang w:val="en-AU"/>
        </w:rPr>
        <w:t xml:space="preserve">Table 2 - </w:t>
      </w:r>
      <w:r w:rsidR="00D2466F" w:rsidRPr="00F34170">
        <w:rPr>
          <w:rFonts w:ascii="Times New Roman" w:hAnsi="Times New Roman"/>
          <w:b w:val="0"/>
          <w:sz w:val="22"/>
          <w:szCs w:val="22"/>
          <w:lang w:val="en-AU"/>
        </w:rPr>
        <w:t>Most F</w:t>
      </w:r>
      <w:r w:rsidR="00BD73FD" w:rsidRPr="00F34170">
        <w:rPr>
          <w:rFonts w:ascii="Times New Roman" w:hAnsi="Times New Roman"/>
          <w:b w:val="0"/>
          <w:sz w:val="22"/>
          <w:szCs w:val="22"/>
          <w:lang w:val="en-AU"/>
        </w:rPr>
        <w:t xml:space="preserve">requently </w:t>
      </w:r>
      <w:r w:rsidR="00D2466F" w:rsidRPr="00F34170">
        <w:rPr>
          <w:rFonts w:ascii="Times New Roman" w:hAnsi="Times New Roman"/>
          <w:b w:val="0"/>
          <w:sz w:val="22"/>
          <w:szCs w:val="22"/>
          <w:lang w:val="en-AU"/>
        </w:rPr>
        <w:t>R</w:t>
      </w:r>
      <w:r w:rsidR="00BD73FD" w:rsidRPr="00F34170">
        <w:rPr>
          <w:rFonts w:ascii="Times New Roman" w:hAnsi="Times New Roman"/>
          <w:b w:val="0"/>
          <w:sz w:val="22"/>
          <w:szCs w:val="22"/>
          <w:lang w:val="en-AU"/>
        </w:rPr>
        <w:t xml:space="preserve">eported </w:t>
      </w:r>
      <w:r w:rsidR="00FF5F1E" w:rsidRPr="00F34170">
        <w:rPr>
          <w:rFonts w:ascii="Times New Roman" w:hAnsi="Times New Roman"/>
          <w:b w:val="0"/>
          <w:sz w:val="22"/>
          <w:szCs w:val="22"/>
          <w:lang w:val="en-AU"/>
        </w:rPr>
        <w:t xml:space="preserve">Adverse Events </w:t>
      </w:r>
      <w:r w:rsidR="00BD73FD" w:rsidRPr="00F34170">
        <w:rPr>
          <w:rFonts w:ascii="Times New Roman" w:hAnsi="Times New Roman"/>
          <w:b w:val="0"/>
          <w:sz w:val="22"/>
          <w:szCs w:val="22"/>
          <w:lang w:val="en-AU"/>
        </w:rPr>
        <w:t xml:space="preserve">and </w:t>
      </w:r>
      <w:r w:rsidR="00D2466F" w:rsidRPr="00F34170">
        <w:rPr>
          <w:rFonts w:ascii="Times New Roman" w:hAnsi="Times New Roman"/>
          <w:b w:val="0"/>
          <w:sz w:val="22"/>
          <w:szCs w:val="22"/>
          <w:lang w:val="en-AU"/>
        </w:rPr>
        <w:t>A</w:t>
      </w:r>
      <w:r w:rsidR="00BD73FD" w:rsidRPr="00F34170">
        <w:rPr>
          <w:rFonts w:ascii="Times New Roman" w:hAnsi="Times New Roman"/>
          <w:b w:val="0"/>
          <w:sz w:val="22"/>
          <w:szCs w:val="22"/>
          <w:lang w:val="en-AU"/>
        </w:rPr>
        <w:t xml:space="preserve">dverse </w:t>
      </w:r>
      <w:r w:rsidR="00D2466F" w:rsidRPr="00F34170">
        <w:rPr>
          <w:rFonts w:ascii="Times New Roman" w:hAnsi="Times New Roman"/>
          <w:b w:val="0"/>
          <w:sz w:val="22"/>
          <w:szCs w:val="22"/>
          <w:lang w:val="en-AU"/>
        </w:rPr>
        <w:t>R</w:t>
      </w:r>
      <w:r w:rsidR="00BD73FD" w:rsidRPr="00F34170">
        <w:rPr>
          <w:rFonts w:ascii="Times New Roman" w:hAnsi="Times New Roman"/>
          <w:b w:val="0"/>
          <w:sz w:val="22"/>
          <w:szCs w:val="22"/>
          <w:lang w:val="en-AU"/>
        </w:rPr>
        <w:t>eactions in Study GPI-06-0002</w:t>
      </w:r>
      <w:r w:rsidR="00BE18E0" w:rsidRPr="00F34170">
        <w:rPr>
          <w:rFonts w:ascii="Times New Roman" w:hAnsi="Times New Roman"/>
          <w:b w:val="0"/>
          <w:sz w:val="22"/>
          <w:szCs w:val="22"/>
          <w:lang w:val="en-AU"/>
        </w:rPr>
        <w:t>)</w:t>
      </w:r>
      <w:r w:rsidR="00A9603E" w:rsidRPr="00F34170">
        <w:rPr>
          <w:rFonts w:ascii="Times New Roman" w:hAnsi="Times New Roman"/>
          <w:b w:val="0"/>
          <w:sz w:val="22"/>
          <w:szCs w:val="22"/>
          <w:lang w:val="en-AU"/>
        </w:rPr>
        <w:t xml:space="preserve"> </w:t>
      </w:r>
      <w:r w:rsidR="00FF5F1E" w:rsidRPr="00F34170">
        <w:rPr>
          <w:rFonts w:ascii="Times New Roman" w:hAnsi="Times New Roman"/>
          <w:b w:val="0"/>
          <w:sz w:val="22"/>
          <w:szCs w:val="22"/>
          <w:lang w:val="en-AU"/>
        </w:rPr>
        <w:t>(as treated population, N=131)</w:t>
      </w:r>
    </w:p>
    <w:tbl>
      <w:tblPr>
        <w:tblW w:w="5000" w:type="pct"/>
        <w:jc w:val="center"/>
        <w:tblLayout w:type="fixed"/>
        <w:tblLook w:val="00A0"/>
      </w:tblPr>
      <w:tblGrid>
        <w:gridCol w:w="3758"/>
        <w:gridCol w:w="1453"/>
        <w:gridCol w:w="1368"/>
        <w:gridCol w:w="1411"/>
        <w:gridCol w:w="1411"/>
      </w:tblGrid>
      <w:tr w:rsidR="0087012B" w:rsidRPr="00F34170" w:rsidTr="0004057E">
        <w:trPr>
          <w:tblHeader/>
          <w:jc w:val="center"/>
        </w:trPr>
        <w:tc>
          <w:tcPr>
            <w:tcW w:w="3758" w:type="dxa"/>
            <w:tcBorders>
              <w:top w:val="single" w:sz="4" w:space="0" w:color="auto"/>
              <w:left w:val="single" w:sz="4" w:space="0" w:color="auto"/>
              <w:bottom w:val="nil"/>
              <w:right w:val="single" w:sz="4" w:space="0" w:color="auto"/>
            </w:tcBorders>
            <w:shd w:val="clear" w:color="auto" w:fill="D9D9D9" w:themeFill="background1" w:themeFillShade="D9"/>
            <w:noWrap/>
            <w:vAlign w:val="bottom"/>
          </w:tcPr>
          <w:p w:rsidR="0087012B" w:rsidRPr="00F34170" w:rsidRDefault="0087012B" w:rsidP="00251366">
            <w:pPr>
              <w:pStyle w:val="TableCellHeading10pt"/>
              <w:keepNext w:val="0"/>
              <w:spacing w:beforeLines="20" w:after="0"/>
              <w:jc w:val="left"/>
              <w:rPr>
                <w:bCs/>
                <w:color w:val="000000"/>
                <w:sz w:val="18"/>
                <w:szCs w:val="18"/>
                <w:lang w:val="en-AU"/>
              </w:rPr>
            </w:pPr>
          </w:p>
        </w:tc>
        <w:tc>
          <w:tcPr>
            <w:tcW w:w="28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rsidR="00AE3B02" w:rsidRDefault="0087012B" w:rsidP="00251366">
            <w:pPr>
              <w:pStyle w:val="TableCellHeading10pt"/>
              <w:keepNext w:val="0"/>
              <w:spacing w:beforeLines="20" w:after="0"/>
              <w:rPr>
                <w:bCs/>
                <w:color w:val="000000"/>
                <w:sz w:val="18"/>
                <w:szCs w:val="18"/>
                <w:lang w:val="en-AU"/>
              </w:rPr>
            </w:pPr>
            <w:r w:rsidRPr="00F34170">
              <w:rPr>
                <w:bCs/>
                <w:color w:val="000000"/>
                <w:sz w:val="18"/>
                <w:szCs w:val="18"/>
                <w:lang w:val="en-AU"/>
              </w:rPr>
              <w:t xml:space="preserve">All </w:t>
            </w:r>
            <w:r w:rsidR="00FD58E0" w:rsidRPr="00F34170">
              <w:rPr>
                <w:bCs/>
                <w:color w:val="000000"/>
                <w:sz w:val="18"/>
                <w:szCs w:val="18"/>
                <w:lang w:val="en-AU"/>
              </w:rPr>
              <w:t xml:space="preserve">adverse </w:t>
            </w:r>
            <w:r w:rsidRPr="00F34170">
              <w:rPr>
                <w:bCs/>
                <w:color w:val="000000"/>
                <w:sz w:val="18"/>
                <w:szCs w:val="18"/>
                <w:lang w:val="en-AU"/>
              </w:rPr>
              <w:t>events</w:t>
            </w:r>
          </w:p>
        </w:tc>
        <w:tc>
          <w:tcPr>
            <w:tcW w:w="28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AE3B02" w:rsidRDefault="00FD58E0" w:rsidP="00251366">
            <w:pPr>
              <w:pStyle w:val="TableCellHeading10pt"/>
              <w:keepNext w:val="0"/>
              <w:spacing w:beforeLines="20" w:after="0"/>
              <w:rPr>
                <w:bCs/>
                <w:color w:val="000000"/>
                <w:sz w:val="18"/>
                <w:szCs w:val="18"/>
                <w:lang w:val="en-AU"/>
              </w:rPr>
            </w:pPr>
            <w:r w:rsidRPr="00F34170">
              <w:rPr>
                <w:bCs/>
                <w:color w:val="000000"/>
                <w:sz w:val="18"/>
                <w:szCs w:val="18"/>
                <w:lang w:val="en-AU"/>
              </w:rPr>
              <w:t xml:space="preserve">Adverse drug reactions </w:t>
            </w:r>
          </w:p>
          <w:p w:rsidR="00AE3B02" w:rsidRDefault="00FD58E0" w:rsidP="00251366">
            <w:pPr>
              <w:pStyle w:val="TableCellHeading10pt"/>
              <w:keepNext w:val="0"/>
              <w:spacing w:beforeLines="20" w:after="0"/>
              <w:rPr>
                <w:bCs/>
                <w:color w:val="000000"/>
                <w:sz w:val="18"/>
                <w:szCs w:val="18"/>
                <w:lang w:val="en-AU"/>
              </w:rPr>
            </w:pPr>
            <w:r w:rsidRPr="00F34170">
              <w:rPr>
                <w:bCs/>
                <w:color w:val="000000"/>
                <w:sz w:val="18"/>
                <w:szCs w:val="18"/>
                <w:lang w:val="en-AU"/>
              </w:rPr>
              <w:t>(related events)</w:t>
            </w:r>
          </w:p>
        </w:tc>
      </w:tr>
      <w:tr w:rsidR="0087012B" w:rsidRPr="00F34170" w:rsidTr="0004057E">
        <w:trPr>
          <w:tblHeader/>
          <w:jc w:val="center"/>
        </w:trPr>
        <w:tc>
          <w:tcPr>
            <w:tcW w:w="375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87012B" w:rsidRPr="00F34170" w:rsidRDefault="007B42F9" w:rsidP="00251366">
            <w:pPr>
              <w:pStyle w:val="TableCellHeading10pt"/>
              <w:keepNext w:val="0"/>
              <w:spacing w:beforeLines="20" w:after="0"/>
              <w:jc w:val="left"/>
              <w:rPr>
                <w:bCs/>
                <w:color w:val="000000"/>
                <w:sz w:val="18"/>
                <w:szCs w:val="18"/>
                <w:lang w:val="en-AU"/>
              </w:rPr>
            </w:pPr>
            <w:r w:rsidRPr="00F34170">
              <w:rPr>
                <w:bCs/>
                <w:color w:val="000000"/>
                <w:sz w:val="18"/>
                <w:szCs w:val="18"/>
                <w:lang w:val="en-AU"/>
              </w:rPr>
              <w:t>System organ class</w:t>
            </w:r>
          </w:p>
          <w:p w:rsidR="00AE3B02" w:rsidRDefault="007B42F9" w:rsidP="00251366">
            <w:pPr>
              <w:pStyle w:val="TableCellHeading10pt"/>
              <w:keepNext w:val="0"/>
              <w:spacing w:beforeLines="20" w:after="0"/>
              <w:ind w:left="187"/>
              <w:jc w:val="left"/>
              <w:rPr>
                <w:bCs/>
                <w:color w:val="000000"/>
                <w:sz w:val="18"/>
                <w:szCs w:val="18"/>
                <w:lang w:val="en-AU"/>
              </w:rPr>
            </w:pPr>
            <w:r w:rsidRPr="00F34170">
              <w:rPr>
                <w:bCs/>
                <w:color w:val="000000"/>
                <w:sz w:val="18"/>
                <w:szCs w:val="18"/>
                <w:lang w:val="en-AU"/>
              </w:rPr>
              <w:t>Preferred term</w:t>
            </w:r>
          </w:p>
        </w:tc>
        <w:tc>
          <w:tcPr>
            <w:tcW w:w="14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AE3B02" w:rsidRDefault="0087012B" w:rsidP="00251366">
            <w:pPr>
              <w:pStyle w:val="TableCellHeading10pt"/>
              <w:keepNext w:val="0"/>
              <w:spacing w:beforeLines="20" w:after="0"/>
              <w:rPr>
                <w:bCs/>
                <w:color w:val="000000"/>
                <w:sz w:val="18"/>
                <w:szCs w:val="18"/>
                <w:lang w:val="en-AU"/>
              </w:rPr>
            </w:pPr>
            <w:r w:rsidRPr="00F34170">
              <w:rPr>
                <w:bCs/>
                <w:color w:val="000000"/>
                <w:sz w:val="18"/>
                <w:szCs w:val="18"/>
                <w:lang w:val="en-AU"/>
              </w:rPr>
              <w:t>All Grades</w:t>
            </w:r>
          </w:p>
          <w:p w:rsidR="00AE3B02" w:rsidRDefault="00BD73FD" w:rsidP="00251366">
            <w:pPr>
              <w:pStyle w:val="TableCellHeading10pt"/>
              <w:keepNext w:val="0"/>
              <w:spacing w:beforeLines="20" w:after="0"/>
              <w:rPr>
                <w:bCs/>
                <w:color w:val="000000"/>
                <w:sz w:val="18"/>
                <w:szCs w:val="18"/>
                <w:lang w:val="en-AU"/>
              </w:rPr>
            </w:pPr>
            <w:r w:rsidRPr="00F34170">
              <w:rPr>
                <w:bCs/>
                <w:color w:val="000000"/>
                <w:sz w:val="18"/>
                <w:szCs w:val="18"/>
                <w:lang w:val="en-AU"/>
              </w:rPr>
              <w:t>(Cut-off ≥ 10%)</w:t>
            </w:r>
          </w:p>
          <w:p w:rsidR="00D2129C" w:rsidRDefault="0087012B" w:rsidP="00251366">
            <w:pPr>
              <w:pStyle w:val="TableCellHeading10pt"/>
              <w:keepNext w:val="0"/>
              <w:spacing w:beforeLines="20" w:after="0"/>
              <w:rPr>
                <w:bCs/>
                <w:color w:val="000000"/>
                <w:sz w:val="18"/>
                <w:szCs w:val="18"/>
                <w:lang w:val="en-AU"/>
              </w:rPr>
            </w:pPr>
            <w:r w:rsidRPr="00F34170">
              <w:rPr>
                <w:bCs/>
                <w:color w:val="000000"/>
                <w:sz w:val="18"/>
                <w:szCs w:val="18"/>
                <w:lang w:val="en-AU"/>
              </w:rPr>
              <w:t>n (%)</w:t>
            </w:r>
          </w:p>
        </w:tc>
        <w:tc>
          <w:tcPr>
            <w:tcW w:w="1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rsidR="00D2129C" w:rsidRDefault="0087012B" w:rsidP="00251366">
            <w:pPr>
              <w:pStyle w:val="TableCellHeading10pt"/>
              <w:keepNext w:val="0"/>
              <w:spacing w:beforeLines="20" w:after="0"/>
              <w:rPr>
                <w:bCs/>
                <w:color w:val="000000"/>
                <w:sz w:val="18"/>
                <w:szCs w:val="18"/>
                <w:lang w:val="en-AU"/>
              </w:rPr>
            </w:pPr>
            <w:r w:rsidRPr="00F34170">
              <w:rPr>
                <w:bCs/>
                <w:color w:val="000000"/>
                <w:sz w:val="18"/>
                <w:szCs w:val="18"/>
                <w:lang w:val="en-AU"/>
              </w:rPr>
              <w:t>≥ Grade 3</w:t>
            </w:r>
          </w:p>
          <w:p w:rsidR="00D2129C" w:rsidRDefault="0087012B" w:rsidP="00251366">
            <w:pPr>
              <w:pStyle w:val="TableCellHeading10pt"/>
              <w:keepNext w:val="0"/>
              <w:spacing w:beforeLines="20" w:after="0"/>
              <w:rPr>
                <w:bCs/>
                <w:color w:val="000000"/>
                <w:sz w:val="18"/>
                <w:szCs w:val="18"/>
                <w:lang w:val="en-AU"/>
              </w:rPr>
            </w:pPr>
            <w:r w:rsidRPr="00F34170">
              <w:rPr>
                <w:bCs/>
                <w:color w:val="000000"/>
                <w:sz w:val="18"/>
                <w:szCs w:val="18"/>
                <w:lang w:val="en-AU"/>
              </w:rPr>
              <w:t>n (%)</w:t>
            </w:r>
          </w:p>
        </w:tc>
        <w:tc>
          <w:tcPr>
            <w:tcW w:w="1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2129C" w:rsidRDefault="0087012B" w:rsidP="00251366">
            <w:pPr>
              <w:pStyle w:val="TableCellHeading10pt"/>
              <w:keepNext w:val="0"/>
              <w:spacing w:beforeLines="20" w:after="0"/>
              <w:rPr>
                <w:bCs/>
                <w:color w:val="000000"/>
                <w:sz w:val="18"/>
                <w:szCs w:val="18"/>
                <w:lang w:val="en-AU"/>
              </w:rPr>
            </w:pPr>
            <w:r w:rsidRPr="00F34170">
              <w:rPr>
                <w:bCs/>
                <w:color w:val="000000"/>
                <w:sz w:val="18"/>
                <w:szCs w:val="18"/>
                <w:lang w:val="en-AU"/>
              </w:rPr>
              <w:t xml:space="preserve">All </w:t>
            </w:r>
            <w:r w:rsidR="0004057E" w:rsidRPr="00F34170">
              <w:rPr>
                <w:bCs/>
                <w:color w:val="000000"/>
                <w:sz w:val="18"/>
                <w:szCs w:val="18"/>
                <w:lang w:val="en-AU"/>
              </w:rPr>
              <w:t>G</w:t>
            </w:r>
            <w:r w:rsidRPr="00F34170">
              <w:rPr>
                <w:bCs/>
                <w:color w:val="000000"/>
                <w:sz w:val="18"/>
                <w:szCs w:val="18"/>
                <w:lang w:val="en-AU"/>
              </w:rPr>
              <w:t>rades</w:t>
            </w:r>
          </w:p>
          <w:p w:rsidR="00D2129C" w:rsidRDefault="00BD73FD" w:rsidP="00251366">
            <w:pPr>
              <w:pStyle w:val="TableCellHeading10pt"/>
              <w:keepNext w:val="0"/>
              <w:spacing w:beforeLines="20" w:after="0"/>
              <w:rPr>
                <w:bCs/>
                <w:color w:val="000000"/>
                <w:sz w:val="18"/>
                <w:szCs w:val="18"/>
                <w:lang w:val="en-AU"/>
              </w:rPr>
            </w:pPr>
            <w:r w:rsidRPr="00F34170">
              <w:rPr>
                <w:bCs/>
                <w:color w:val="000000"/>
                <w:sz w:val="18"/>
                <w:szCs w:val="18"/>
                <w:lang w:val="en-AU"/>
              </w:rPr>
              <w:t>(Cut-off ≥ 5%)</w:t>
            </w:r>
          </w:p>
          <w:p w:rsidR="00D2129C" w:rsidRDefault="0087012B" w:rsidP="00251366">
            <w:pPr>
              <w:pStyle w:val="TableCellHeading10pt"/>
              <w:keepNext w:val="0"/>
              <w:spacing w:beforeLines="20" w:after="0"/>
              <w:rPr>
                <w:bCs/>
                <w:color w:val="000000"/>
                <w:sz w:val="18"/>
                <w:szCs w:val="18"/>
                <w:lang w:val="en-AU"/>
              </w:rPr>
            </w:pPr>
            <w:r w:rsidRPr="00F34170">
              <w:rPr>
                <w:bCs/>
                <w:color w:val="000000"/>
                <w:sz w:val="18"/>
                <w:szCs w:val="18"/>
                <w:lang w:val="en-AU"/>
              </w:rPr>
              <w:t>n (%)</w:t>
            </w:r>
          </w:p>
        </w:tc>
        <w:tc>
          <w:tcPr>
            <w:tcW w:w="1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2129C" w:rsidRDefault="0087012B" w:rsidP="00251366">
            <w:pPr>
              <w:pStyle w:val="TableCellHeading10pt"/>
              <w:keepNext w:val="0"/>
              <w:spacing w:beforeLines="20" w:after="0"/>
              <w:rPr>
                <w:bCs/>
                <w:color w:val="000000"/>
                <w:sz w:val="18"/>
                <w:szCs w:val="18"/>
                <w:lang w:val="en-AU"/>
              </w:rPr>
            </w:pPr>
            <w:r w:rsidRPr="00F34170">
              <w:rPr>
                <w:bCs/>
                <w:color w:val="000000"/>
                <w:sz w:val="18"/>
                <w:szCs w:val="18"/>
                <w:lang w:val="en-AU"/>
              </w:rPr>
              <w:t>≥ Grade 3</w:t>
            </w:r>
          </w:p>
          <w:p w:rsidR="00D2129C" w:rsidRDefault="0087012B" w:rsidP="00251366">
            <w:pPr>
              <w:pStyle w:val="TableCellHeading10pt"/>
              <w:keepNext w:val="0"/>
              <w:spacing w:beforeLines="20" w:after="0"/>
              <w:rPr>
                <w:bCs/>
                <w:color w:val="000000"/>
                <w:sz w:val="18"/>
                <w:szCs w:val="18"/>
                <w:lang w:val="en-AU"/>
              </w:rPr>
            </w:pPr>
            <w:r w:rsidRPr="00F34170">
              <w:rPr>
                <w:bCs/>
                <w:color w:val="000000"/>
                <w:sz w:val="18"/>
                <w:szCs w:val="18"/>
                <w:lang w:val="en-AU"/>
              </w:rPr>
              <w:t>n (%)</w:t>
            </w:r>
          </w:p>
        </w:tc>
      </w:tr>
      <w:tr w:rsidR="0087012B" w:rsidRPr="00F34170" w:rsidTr="00BD73FD">
        <w:trPr>
          <w:jc w:val="center"/>
        </w:trPr>
        <w:tc>
          <w:tcPr>
            <w:tcW w:w="3758" w:type="dxa"/>
            <w:tcBorders>
              <w:top w:val="single" w:sz="4" w:space="0" w:color="auto"/>
              <w:left w:val="single" w:sz="4" w:space="0" w:color="auto"/>
              <w:bottom w:val="nil"/>
              <w:right w:val="single" w:sz="4" w:space="0" w:color="auto"/>
            </w:tcBorders>
            <w:noWrap/>
            <w:vAlign w:val="bottom"/>
          </w:tcPr>
          <w:p w:rsidR="0087012B" w:rsidRPr="00F34170" w:rsidRDefault="0008366E" w:rsidP="00A9603E">
            <w:pPr>
              <w:pStyle w:val="TableCellText10pt"/>
              <w:keepNext w:val="0"/>
              <w:spacing w:after="0"/>
              <w:rPr>
                <w:i/>
                <w:sz w:val="18"/>
                <w:szCs w:val="18"/>
                <w:lang w:val="en-AU"/>
              </w:rPr>
            </w:pPr>
            <w:r w:rsidRPr="00F34170">
              <w:rPr>
                <w:i/>
                <w:sz w:val="18"/>
                <w:szCs w:val="18"/>
                <w:lang w:val="en-AU"/>
              </w:rPr>
              <w:t xml:space="preserve">Any adverse </w:t>
            </w:r>
            <w:r w:rsidR="00477DDF" w:rsidRPr="00F34170">
              <w:rPr>
                <w:i/>
                <w:sz w:val="18"/>
                <w:szCs w:val="18"/>
                <w:lang w:val="en-AU"/>
              </w:rPr>
              <w:t>events</w:t>
            </w:r>
          </w:p>
        </w:tc>
        <w:tc>
          <w:tcPr>
            <w:tcW w:w="1453" w:type="dxa"/>
            <w:tcBorders>
              <w:top w:val="single" w:sz="4" w:space="0" w:color="auto"/>
              <w:left w:val="single" w:sz="4" w:space="0" w:color="auto"/>
              <w:bottom w:val="nil"/>
              <w:right w:val="single" w:sz="4" w:space="0" w:color="auto"/>
            </w:tcBorders>
            <w:noWrap/>
            <w:vAlign w:val="bottom"/>
          </w:tcPr>
          <w:p w:rsidR="0087012B" w:rsidRPr="00F34170" w:rsidRDefault="0087012B" w:rsidP="00A9603E">
            <w:pPr>
              <w:pStyle w:val="TableCellText10pt"/>
              <w:keepNext w:val="0"/>
              <w:spacing w:before="48" w:after="0"/>
              <w:jc w:val="center"/>
              <w:rPr>
                <w:i/>
                <w:iCs/>
                <w:sz w:val="18"/>
                <w:szCs w:val="18"/>
                <w:lang w:val="en-AU"/>
              </w:rPr>
            </w:pPr>
            <w:r w:rsidRPr="00F34170">
              <w:rPr>
                <w:i/>
                <w:iCs/>
                <w:sz w:val="18"/>
                <w:szCs w:val="18"/>
                <w:lang w:val="en-AU"/>
              </w:rPr>
              <w:t>127 (97)</w:t>
            </w:r>
          </w:p>
        </w:tc>
        <w:tc>
          <w:tcPr>
            <w:tcW w:w="1368" w:type="dxa"/>
            <w:tcBorders>
              <w:top w:val="single" w:sz="4" w:space="0" w:color="auto"/>
              <w:left w:val="single" w:sz="4" w:space="0" w:color="auto"/>
              <w:bottom w:val="nil"/>
              <w:right w:val="single" w:sz="4" w:space="0" w:color="auto"/>
            </w:tcBorders>
            <w:noWrap/>
            <w:vAlign w:val="bottom"/>
          </w:tcPr>
          <w:p w:rsidR="0087012B" w:rsidRPr="00F34170" w:rsidRDefault="0087012B" w:rsidP="00A9603E">
            <w:pPr>
              <w:pStyle w:val="TableCellText10pt"/>
              <w:keepNext w:val="0"/>
              <w:spacing w:after="0"/>
              <w:jc w:val="center"/>
              <w:rPr>
                <w:i/>
                <w:iCs/>
                <w:sz w:val="18"/>
                <w:szCs w:val="18"/>
                <w:lang w:val="en-AU"/>
              </w:rPr>
            </w:pPr>
            <w:r w:rsidRPr="00F34170">
              <w:rPr>
                <w:i/>
                <w:iCs/>
                <w:sz w:val="18"/>
                <w:szCs w:val="18"/>
                <w:lang w:val="en-AU"/>
              </w:rPr>
              <w:t>86 (66)</w:t>
            </w:r>
          </w:p>
        </w:tc>
        <w:tc>
          <w:tcPr>
            <w:tcW w:w="1411" w:type="dxa"/>
            <w:tcBorders>
              <w:top w:val="single" w:sz="4" w:space="0" w:color="auto"/>
              <w:left w:val="single" w:sz="4" w:space="0" w:color="auto"/>
              <w:bottom w:val="nil"/>
              <w:right w:val="single" w:sz="4" w:space="0" w:color="auto"/>
            </w:tcBorders>
          </w:tcPr>
          <w:p w:rsidR="0087012B" w:rsidRPr="00F34170" w:rsidRDefault="00EB0232" w:rsidP="00A9603E">
            <w:pPr>
              <w:pStyle w:val="TableCellText10pt"/>
              <w:keepNext w:val="0"/>
              <w:spacing w:after="0"/>
              <w:jc w:val="center"/>
              <w:rPr>
                <w:i/>
                <w:iCs/>
                <w:sz w:val="18"/>
                <w:szCs w:val="18"/>
                <w:lang w:val="en-AU"/>
              </w:rPr>
            </w:pPr>
            <w:r w:rsidRPr="00F34170">
              <w:rPr>
                <w:i/>
                <w:iCs/>
                <w:sz w:val="18"/>
                <w:szCs w:val="18"/>
                <w:lang w:val="en-AU"/>
              </w:rPr>
              <w:t>121 (92)</w:t>
            </w:r>
          </w:p>
        </w:tc>
        <w:tc>
          <w:tcPr>
            <w:tcW w:w="1411" w:type="dxa"/>
            <w:tcBorders>
              <w:top w:val="single" w:sz="4" w:space="0" w:color="auto"/>
              <w:left w:val="single" w:sz="4" w:space="0" w:color="auto"/>
              <w:bottom w:val="nil"/>
              <w:right w:val="single" w:sz="4" w:space="0" w:color="auto"/>
            </w:tcBorders>
          </w:tcPr>
          <w:p w:rsidR="0087012B" w:rsidRPr="00F34170" w:rsidRDefault="00EB0232" w:rsidP="00A9603E">
            <w:pPr>
              <w:pStyle w:val="TableCellText10pt"/>
              <w:keepNext w:val="0"/>
              <w:spacing w:after="0"/>
              <w:jc w:val="center"/>
              <w:rPr>
                <w:i/>
                <w:iCs/>
                <w:sz w:val="18"/>
                <w:szCs w:val="18"/>
                <w:lang w:val="en-AU"/>
              </w:rPr>
            </w:pPr>
            <w:r w:rsidRPr="00F34170">
              <w:rPr>
                <w:i/>
                <w:iCs/>
                <w:sz w:val="18"/>
                <w:szCs w:val="18"/>
                <w:lang w:val="en-AU"/>
              </w:rPr>
              <w:t>68(52)</w:t>
            </w:r>
          </w:p>
        </w:tc>
      </w:tr>
      <w:tr w:rsidR="0087012B" w:rsidRPr="00F34170" w:rsidTr="00BD73FD">
        <w:trPr>
          <w:jc w:val="center"/>
        </w:trPr>
        <w:tc>
          <w:tcPr>
            <w:tcW w:w="3758" w:type="dxa"/>
            <w:tcBorders>
              <w:left w:val="single" w:sz="4" w:space="0" w:color="auto"/>
              <w:bottom w:val="nil"/>
              <w:right w:val="single" w:sz="4" w:space="0" w:color="auto"/>
            </w:tcBorders>
            <w:noWrap/>
            <w:vAlign w:val="bottom"/>
          </w:tcPr>
          <w:p w:rsidR="0087012B" w:rsidRPr="00F34170" w:rsidRDefault="0087012B" w:rsidP="00A9603E">
            <w:pPr>
              <w:pStyle w:val="TableCellText10pt"/>
              <w:keepNext w:val="0"/>
              <w:spacing w:after="0"/>
              <w:rPr>
                <w:b/>
                <w:sz w:val="18"/>
                <w:szCs w:val="18"/>
                <w:lang w:val="en-AU"/>
              </w:rPr>
            </w:pPr>
            <w:r w:rsidRPr="00F34170">
              <w:rPr>
                <w:b/>
                <w:sz w:val="18"/>
                <w:szCs w:val="18"/>
                <w:lang w:val="en-AU"/>
              </w:rPr>
              <w:t>Gastrointestinal disorders</w:t>
            </w:r>
          </w:p>
        </w:tc>
        <w:tc>
          <w:tcPr>
            <w:tcW w:w="1453" w:type="dxa"/>
            <w:tcBorders>
              <w:left w:val="single" w:sz="4" w:space="0" w:color="auto"/>
              <w:bottom w:val="nil"/>
              <w:right w:val="single" w:sz="4" w:space="0" w:color="auto"/>
            </w:tcBorders>
            <w:noWrap/>
            <w:vAlign w:val="bottom"/>
          </w:tcPr>
          <w:p w:rsidR="0087012B" w:rsidRPr="00F34170" w:rsidRDefault="0087012B" w:rsidP="00A9603E">
            <w:pPr>
              <w:pStyle w:val="TableCellText10pt"/>
              <w:keepNext w:val="0"/>
              <w:spacing w:after="0"/>
              <w:jc w:val="center"/>
              <w:rPr>
                <w:iCs/>
                <w:sz w:val="18"/>
                <w:szCs w:val="18"/>
                <w:lang w:val="en-AU"/>
              </w:rPr>
            </w:pPr>
          </w:p>
        </w:tc>
        <w:tc>
          <w:tcPr>
            <w:tcW w:w="1368" w:type="dxa"/>
            <w:tcBorders>
              <w:left w:val="single" w:sz="4" w:space="0" w:color="auto"/>
              <w:bottom w:val="nil"/>
              <w:right w:val="single" w:sz="4" w:space="0" w:color="auto"/>
            </w:tcBorders>
            <w:noWrap/>
            <w:vAlign w:val="bottom"/>
          </w:tcPr>
          <w:p w:rsidR="0087012B" w:rsidRPr="00F34170" w:rsidRDefault="0087012B" w:rsidP="00A9603E">
            <w:pPr>
              <w:pStyle w:val="TableCellText10pt"/>
              <w:keepNext w:val="0"/>
              <w:spacing w:after="0"/>
              <w:jc w:val="center"/>
              <w:rPr>
                <w:iCs/>
                <w:sz w:val="18"/>
                <w:szCs w:val="18"/>
                <w:lang w:val="en-AU"/>
              </w:rPr>
            </w:pPr>
          </w:p>
        </w:tc>
        <w:tc>
          <w:tcPr>
            <w:tcW w:w="1411" w:type="dxa"/>
            <w:tcBorders>
              <w:left w:val="single" w:sz="4" w:space="0" w:color="auto"/>
              <w:bottom w:val="nil"/>
              <w:right w:val="single" w:sz="4" w:space="0" w:color="auto"/>
            </w:tcBorders>
          </w:tcPr>
          <w:p w:rsidR="0087012B" w:rsidRPr="00F34170" w:rsidRDefault="0087012B" w:rsidP="00A9603E">
            <w:pPr>
              <w:pStyle w:val="TableCellText10pt"/>
              <w:keepNext w:val="0"/>
              <w:spacing w:after="0"/>
              <w:jc w:val="center"/>
              <w:rPr>
                <w:iCs/>
                <w:sz w:val="18"/>
                <w:szCs w:val="18"/>
                <w:lang w:val="en-AU"/>
              </w:rPr>
            </w:pPr>
          </w:p>
        </w:tc>
        <w:tc>
          <w:tcPr>
            <w:tcW w:w="1411" w:type="dxa"/>
            <w:tcBorders>
              <w:left w:val="single" w:sz="4" w:space="0" w:color="auto"/>
              <w:bottom w:val="nil"/>
              <w:right w:val="single" w:sz="4" w:space="0" w:color="auto"/>
            </w:tcBorders>
          </w:tcPr>
          <w:p w:rsidR="0087012B" w:rsidRPr="00F34170" w:rsidRDefault="0087012B" w:rsidP="00A9603E">
            <w:pPr>
              <w:pStyle w:val="TableCellText10pt"/>
              <w:keepNext w:val="0"/>
              <w:spacing w:after="0"/>
              <w:jc w:val="center"/>
              <w:rPr>
                <w:iCs/>
                <w:sz w:val="18"/>
                <w:szCs w:val="18"/>
                <w:lang w:val="en-AU"/>
              </w:rPr>
            </w:pPr>
          </w:p>
        </w:tc>
      </w:tr>
      <w:tr w:rsidR="00EB0232" w:rsidRPr="00F34170" w:rsidTr="00BD73FD">
        <w:trPr>
          <w:jc w:val="center"/>
        </w:trPr>
        <w:tc>
          <w:tcPr>
            <w:tcW w:w="3758" w:type="dxa"/>
            <w:tcBorders>
              <w:top w:val="nil"/>
              <w:left w:val="single" w:sz="4" w:space="0" w:color="auto"/>
              <w:bottom w:val="nil"/>
              <w:right w:val="single" w:sz="4" w:space="0" w:color="auto"/>
            </w:tcBorders>
            <w:vAlign w:val="bottom"/>
          </w:tcPr>
          <w:p w:rsidR="00EB0232" w:rsidRPr="00F34170" w:rsidRDefault="00EB0232" w:rsidP="00A9603E">
            <w:pPr>
              <w:pStyle w:val="TableCellText10pt"/>
              <w:keepNext w:val="0"/>
              <w:spacing w:after="0"/>
              <w:ind w:left="187"/>
              <w:rPr>
                <w:sz w:val="18"/>
                <w:szCs w:val="18"/>
                <w:lang w:val="en-AU"/>
              </w:rPr>
            </w:pPr>
            <w:r w:rsidRPr="00F34170">
              <w:rPr>
                <w:sz w:val="18"/>
                <w:szCs w:val="18"/>
                <w:lang w:val="en-AU"/>
              </w:rPr>
              <w:t>Nausea</w:t>
            </w:r>
          </w:p>
        </w:tc>
        <w:tc>
          <w:tcPr>
            <w:tcW w:w="1453" w:type="dxa"/>
            <w:tcBorders>
              <w:top w:val="nil"/>
              <w:left w:val="single" w:sz="4" w:space="0" w:color="auto"/>
              <w:bottom w:val="nil"/>
              <w:right w:val="single" w:sz="4" w:space="0" w:color="auto"/>
            </w:tcBorders>
            <w:vAlign w:val="bottom"/>
          </w:tcPr>
          <w:p w:rsidR="00EB0232" w:rsidRPr="00F34170" w:rsidRDefault="00EB0232" w:rsidP="00A9603E">
            <w:pPr>
              <w:pStyle w:val="TableCellText10pt"/>
              <w:keepNext w:val="0"/>
              <w:spacing w:after="0"/>
              <w:jc w:val="center"/>
              <w:rPr>
                <w:iCs/>
                <w:sz w:val="18"/>
                <w:szCs w:val="18"/>
                <w:lang w:val="en-AU"/>
              </w:rPr>
            </w:pPr>
            <w:r w:rsidRPr="00F34170">
              <w:rPr>
                <w:iCs/>
                <w:sz w:val="18"/>
                <w:szCs w:val="18"/>
                <w:lang w:val="en-AU"/>
              </w:rPr>
              <w:t>77 (59)</w:t>
            </w:r>
          </w:p>
        </w:tc>
        <w:tc>
          <w:tcPr>
            <w:tcW w:w="1368" w:type="dxa"/>
            <w:tcBorders>
              <w:top w:val="nil"/>
              <w:left w:val="single" w:sz="4" w:space="0" w:color="auto"/>
              <w:bottom w:val="nil"/>
              <w:right w:val="single" w:sz="4" w:space="0" w:color="auto"/>
            </w:tcBorders>
            <w:vAlign w:val="bottom"/>
          </w:tcPr>
          <w:p w:rsidR="00EB0232" w:rsidRPr="00F34170" w:rsidRDefault="00EB0232" w:rsidP="00A9603E">
            <w:pPr>
              <w:pStyle w:val="TableCellText10pt"/>
              <w:keepNext w:val="0"/>
              <w:spacing w:after="0"/>
              <w:jc w:val="center"/>
              <w:rPr>
                <w:iCs/>
                <w:sz w:val="18"/>
                <w:szCs w:val="18"/>
                <w:lang w:val="en-AU"/>
              </w:rPr>
            </w:pPr>
            <w:r w:rsidRPr="00F34170">
              <w:rPr>
                <w:iCs/>
                <w:sz w:val="18"/>
                <w:szCs w:val="18"/>
                <w:lang w:val="en-AU"/>
              </w:rPr>
              <w:t>3 (2)</w:t>
            </w:r>
          </w:p>
        </w:tc>
        <w:tc>
          <w:tcPr>
            <w:tcW w:w="1411" w:type="dxa"/>
            <w:tcBorders>
              <w:top w:val="nil"/>
              <w:left w:val="single" w:sz="4" w:space="0" w:color="auto"/>
              <w:bottom w:val="nil"/>
              <w:right w:val="single" w:sz="4" w:space="0" w:color="auto"/>
            </w:tcBorders>
          </w:tcPr>
          <w:p w:rsidR="00EB0232" w:rsidRPr="00F34170" w:rsidRDefault="00EB0232" w:rsidP="00A9603E">
            <w:pPr>
              <w:pStyle w:val="TableCellText10pt"/>
              <w:keepNext w:val="0"/>
              <w:spacing w:after="0"/>
              <w:jc w:val="center"/>
              <w:rPr>
                <w:iCs/>
                <w:sz w:val="18"/>
                <w:szCs w:val="18"/>
                <w:lang w:val="en-AU"/>
              </w:rPr>
            </w:pPr>
            <w:r w:rsidRPr="00F34170">
              <w:rPr>
                <w:iCs/>
                <w:sz w:val="18"/>
                <w:szCs w:val="18"/>
                <w:lang w:val="en-AU"/>
              </w:rPr>
              <w:t>71 (54)</w:t>
            </w:r>
          </w:p>
        </w:tc>
        <w:tc>
          <w:tcPr>
            <w:tcW w:w="1411" w:type="dxa"/>
            <w:tcBorders>
              <w:top w:val="nil"/>
              <w:left w:val="single" w:sz="4" w:space="0" w:color="auto"/>
              <w:bottom w:val="nil"/>
              <w:right w:val="single" w:sz="4" w:space="0" w:color="auto"/>
            </w:tcBorders>
          </w:tcPr>
          <w:p w:rsidR="00EB0232" w:rsidRPr="00F34170" w:rsidRDefault="00EB0232" w:rsidP="00A9603E">
            <w:pPr>
              <w:pStyle w:val="TableCellText10pt"/>
              <w:keepNext w:val="0"/>
              <w:spacing w:after="0"/>
              <w:jc w:val="center"/>
              <w:rPr>
                <w:iCs/>
                <w:sz w:val="18"/>
                <w:szCs w:val="18"/>
                <w:lang w:val="en-AU"/>
              </w:rPr>
            </w:pPr>
            <w:r w:rsidRPr="00F34170">
              <w:rPr>
                <w:iCs/>
                <w:sz w:val="18"/>
                <w:szCs w:val="18"/>
                <w:lang w:val="en-AU"/>
              </w:rPr>
              <w:t>2 (2)</w:t>
            </w:r>
          </w:p>
        </w:tc>
      </w:tr>
      <w:tr w:rsidR="00EB0232" w:rsidRPr="00F34170" w:rsidTr="00BD73FD">
        <w:trPr>
          <w:jc w:val="center"/>
        </w:trPr>
        <w:tc>
          <w:tcPr>
            <w:tcW w:w="3758" w:type="dxa"/>
            <w:tcBorders>
              <w:top w:val="nil"/>
              <w:left w:val="single" w:sz="4" w:space="0" w:color="auto"/>
              <w:bottom w:val="nil"/>
              <w:right w:val="single" w:sz="4" w:space="0" w:color="auto"/>
            </w:tcBorders>
            <w:vAlign w:val="bottom"/>
          </w:tcPr>
          <w:p w:rsidR="00EB0232" w:rsidRPr="00F34170" w:rsidRDefault="00EB0232" w:rsidP="00A9603E">
            <w:pPr>
              <w:pStyle w:val="TableCellText10pt"/>
              <w:keepNext w:val="0"/>
              <w:spacing w:after="0"/>
              <w:ind w:left="187"/>
              <w:rPr>
                <w:sz w:val="18"/>
                <w:szCs w:val="18"/>
                <w:lang w:val="en-AU"/>
              </w:rPr>
            </w:pPr>
            <w:r w:rsidRPr="00F34170">
              <w:rPr>
                <w:sz w:val="18"/>
                <w:szCs w:val="18"/>
                <w:lang w:val="en-AU"/>
              </w:rPr>
              <w:t>Vomiting</w:t>
            </w:r>
          </w:p>
        </w:tc>
        <w:tc>
          <w:tcPr>
            <w:tcW w:w="1453" w:type="dxa"/>
            <w:tcBorders>
              <w:top w:val="nil"/>
              <w:left w:val="single" w:sz="4" w:space="0" w:color="auto"/>
              <w:bottom w:val="nil"/>
              <w:right w:val="single" w:sz="4" w:space="0" w:color="auto"/>
            </w:tcBorders>
            <w:vAlign w:val="bottom"/>
          </w:tcPr>
          <w:p w:rsidR="00EB0232" w:rsidRPr="00F34170" w:rsidRDefault="00EB0232" w:rsidP="00A9603E">
            <w:pPr>
              <w:pStyle w:val="TableCellText10pt"/>
              <w:keepNext w:val="0"/>
              <w:spacing w:after="0"/>
              <w:jc w:val="center"/>
              <w:rPr>
                <w:iCs/>
                <w:sz w:val="18"/>
                <w:szCs w:val="18"/>
                <w:lang w:val="en-AU"/>
              </w:rPr>
            </w:pPr>
            <w:r w:rsidRPr="00F34170">
              <w:rPr>
                <w:iCs/>
                <w:sz w:val="18"/>
                <w:szCs w:val="18"/>
                <w:lang w:val="en-AU"/>
              </w:rPr>
              <w:t>51 (39)</w:t>
            </w:r>
          </w:p>
        </w:tc>
        <w:tc>
          <w:tcPr>
            <w:tcW w:w="1368" w:type="dxa"/>
            <w:tcBorders>
              <w:top w:val="nil"/>
              <w:left w:val="single" w:sz="4" w:space="0" w:color="auto"/>
              <w:bottom w:val="nil"/>
              <w:right w:val="single" w:sz="4" w:space="0" w:color="auto"/>
            </w:tcBorders>
            <w:vAlign w:val="bottom"/>
          </w:tcPr>
          <w:p w:rsidR="00EB0232" w:rsidRPr="00F34170" w:rsidRDefault="00EB0232" w:rsidP="00A9603E">
            <w:pPr>
              <w:pStyle w:val="TableCellText10pt"/>
              <w:keepNext w:val="0"/>
              <w:spacing w:after="0"/>
              <w:jc w:val="center"/>
              <w:rPr>
                <w:iCs/>
                <w:sz w:val="18"/>
                <w:szCs w:val="18"/>
                <w:lang w:val="en-AU"/>
              </w:rPr>
            </w:pPr>
            <w:r w:rsidRPr="00F34170">
              <w:rPr>
                <w:iCs/>
                <w:sz w:val="18"/>
                <w:szCs w:val="18"/>
                <w:lang w:val="en-AU"/>
              </w:rPr>
              <w:t>6 (5)</w:t>
            </w:r>
          </w:p>
        </w:tc>
        <w:tc>
          <w:tcPr>
            <w:tcW w:w="1411" w:type="dxa"/>
            <w:tcBorders>
              <w:top w:val="nil"/>
              <w:left w:val="single" w:sz="4" w:space="0" w:color="auto"/>
              <w:bottom w:val="nil"/>
              <w:right w:val="single" w:sz="4" w:space="0" w:color="auto"/>
            </w:tcBorders>
          </w:tcPr>
          <w:p w:rsidR="00EB0232" w:rsidRPr="00F34170" w:rsidRDefault="00EB0232" w:rsidP="00A9603E">
            <w:pPr>
              <w:pStyle w:val="TableCellText10pt"/>
              <w:keepNext w:val="0"/>
              <w:spacing w:after="0"/>
              <w:jc w:val="center"/>
              <w:rPr>
                <w:iCs/>
                <w:sz w:val="18"/>
                <w:szCs w:val="18"/>
                <w:lang w:val="en-AU"/>
              </w:rPr>
            </w:pPr>
            <w:r w:rsidRPr="00F34170">
              <w:rPr>
                <w:iCs/>
                <w:sz w:val="18"/>
                <w:szCs w:val="18"/>
                <w:lang w:val="en-AU"/>
              </w:rPr>
              <w:t>44 (34)</w:t>
            </w:r>
          </w:p>
        </w:tc>
        <w:tc>
          <w:tcPr>
            <w:tcW w:w="1411" w:type="dxa"/>
            <w:tcBorders>
              <w:top w:val="nil"/>
              <w:left w:val="single" w:sz="4" w:space="0" w:color="auto"/>
              <w:bottom w:val="nil"/>
              <w:right w:val="single" w:sz="4" w:space="0" w:color="auto"/>
            </w:tcBorders>
          </w:tcPr>
          <w:p w:rsidR="00EB0232" w:rsidRPr="00F34170" w:rsidRDefault="00EB0232" w:rsidP="00A9603E">
            <w:pPr>
              <w:pStyle w:val="TableCellText10pt"/>
              <w:keepNext w:val="0"/>
              <w:spacing w:after="0"/>
              <w:jc w:val="center"/>
              <w:rPr>
                <w:iCs/>
                <w:sz w:val="18"/>
                <w:szCs w:val="18"/>
                <w:lang w:val="en-AU"/>
              </w:rPr>
            </w:pPr>
            <w:r w:rsidRPr="00F34170">
              <w:rPr>
                <w:iCs/>
                <w:sz w:val="18"/>
                <w:szCs w:val="18"/>
                <w:lang w:val="en-AU"/>
              </w:rPr>
              <w:t>5 (4)</w:t>
            </w:r>
          </w:p>
        </w:tc>
      </w:tr>
      <w:tr w:rsidR="00EB0232" w:rsidRPr="00F34170" w:rsidTr="00BD73FD">
        <w:trPr>
          <w:jc w:val="center"/>
        </w:trPr>
        <w:tc>
          <w:tcPr>
            <w:tcW w:w="3758" w:type="dxa"/>
            <w:tcBorders>
              <w:top w:val="nil"/>
              <w:left w:val="single" w:sz="4" w:space="0" w:color="auto"/>
              <w:bottom w:val="nil"/>
              <w:right w:val="single" w:sz="4" w:space="0" w:color="auto"/>
            </w:tcBorders>
            <w:vAlign w:val="bottom"/>
          </w:tcPr>
          <w:p w:rsidR="00EB0232" w:rsidRPr="00F34170" w:rsidRDefault="00EB0232" w:rsidP="00A9603E">
            <w:pPr>
              <w:pStyle w:val="TableCellText10pt"/>
              <w:keepNext w:val="0"/>
              <w:spacing w:after="0"/>
              <w:ind w:left="187"/>
              <w:rPr>
                <w:sz w:val="18"/>
                <w:szCs w:val="18"/>
                <w:lang w:val="en-AU"/>
              </w:rPr>
            </w:pPr>
            <w:r w:rsidRPr="00F34170">
              <w:rPr>
                <w:sz w:val="18"/>
                <w:szCs w:val="18"/>
                <w:lang w:val="en-AU"/>
              </w:rPr>
              <w:t>Diarrhoea</w:t>
            </w:r>
          </w:p>
        </w:tc>
        <w:tc>
          <w:tcPr>
            <w:tcW w:w="1453" w:type="dxa"/>
            <w:tcBorders>
              <w:top w:val="nil"/>
              <w:left w:val="single" w:sz="4" w:space="0" w:color="auto"/>
              <w:bottom w:val="nil"/>
              <w:right w:val="single" w:sz="4" w:space="0" w:color="auto"/>
            </w:tcBorders>
            <w:vAlign w:val="bottom"/>
          </w:tcPr>
          <w:p w:rsidR="00EB0232" w:rsidRPr="00F34170" w:rsidRDefault="00EB0232" w:rsidP="00A9603E">
            <w:pPr>
              <w:pStyle w:val="TableCellText10pt"/>
              <w:keepNext w:val="0"/>
              <w:spacing w:after="0"/>
              <w:jc w:val="center"/>
              <w:rPr>
                <w:iCs/>
                <w:sz w:val="18"/>
                <w:szCs w:val="18"/>
                <w:lang w:val="en-AU"/>
              </w:rPr>
            </w:pPr>
            <w:r w:rsidRPr="00F34170">
              <w:rPr>
                <w:iCs/>
                <w:sz w:val="18"/>
                <w:szCs w:val="18"/>
                <w:lang w:val="en-AU"/>
              </w:rPr>
              <w:t>47 (36)</w:t>
            </w:r>
          </w:p>
        </w:tc>
        <w:tc>
          <w:tcPr>
            <w:tcW w:w="1368" w:type="dxa"/>
            <w:tcBorders>
              <w:top w:val="nil"/>
              <w:left w:val="single" w:sz="4" w:space="0" w:color="auto"/>
              <w:bottom w:val="nil"/>
              <w:right w:val="single" w:sz="4" w:space="0" w:color="auto"/>
            </w:tcBorders>
            <w:vAlign w:val="bottom"/>
          </w:tcPr>
          <w:p w:rsidR="00EB0232" w:rsidRPr="00F34170" w:rsidRDefault="00EB0232" w:rsidP="00A9603E">
            <w:pPr>
              <w:pStyle w:val="TableCellText10pt"/>
              <w:keepNext w:val="0"/>
              <w:spacing w:after="0"/>
              <w:jc w:val="center"/>
              <w:rPr>
                <w:iCs/>
                <w:sz w:val="18"/>
                <w:szCs w:val="18"/>
                <w:lang w:val="en-AU"/>
              </w:rPr>
            </w:pPr>
            <w:r w:rsidRPr="00F34170">
              <w:rPr>
                <w:iCs/>
                <w:sz w:val="18"/>
                <w:szCs w:val="18"/>
                <w:lang w:val="en-AU"/>
              </w:rPr>
              <w:t>3 (2)</w:t>
            </w:r>
          </w:p>
        </w:tc>
        <w:tc>
          <w:tcPr>
            <w:tcW w:w="1411" w:type="dxa"/>
            <w:tcBorders>
              <w:top w:val="nil"/>
              <w:left w:val="single" w:sz="4" w:space="0" w:color="auto"/>
              <w:bottom w:val="nil"/>
              <w:right w:val="single" w:sz="4" w:space="0" w:color="auto"/>
            </w:tcBorders>
          </w:tcPr>
          <w:p w:rsidR="00EB0232" w:rsidRPr="00F34170" w:rsidRDefault="00EB0232" w:rsidP="00A9603E">
            <w:pPr>
              <w:pStyle w:val="TableCellText10pt"/>
              <w:keepNext w:val="0"/>
              <w:spacing w:after="0"/>
              <w:jc w:val="center"/>
              <w:rPr>
                <w:iCs/>
                <w:sz w:val="18"/>
                <w:szCs w:val="18"/>
                <w:lang w:val="en-AU"/>
              </w:rPr>
            </w:pPr>
            <w:r w:rsidRPr="00F34170">
              <w:rPr>
                <w:iCs/>
                <w:sz w:val="18"/>
                <w:szCs w:val="18"/>
                <w:lang w:val="en-AU"/>
              </w:rPr>
              <w:t>30 (23)</w:t>
            </w:r>
          </w:p>
        </w:tc>
        <w:tc>
          <w:tcPr>
            <w:tcW w:w="1411" w:type="dxa"/>
            <w:tcBorders>
              <w:top w:val="nil"/>
              <w:left w:val="single" w:sz="4" w:space="0" w:color="auto"/>
              <w:bottom w:val="nil"/>
              <w:right w:val="single" w:sz="4" w:space="0" w:color="auto"/>
            </w:tcBorders>
          </w:tcPr>
          <w:p w:rsidR="00EB0232" w:rsidRPr="00F34170" w:rsidRDefault="00EB0232" w:rsidP="00A9603E">
            <w:pPr>
              <w:pStyle w:val="TableCellText10pt"/>
              <w:keepNext w:val="0"/>
              <w:spacing w:after="0"/>
              <w:jc w:val="center"/>
              <w:rPr>
                <w:iCs/>
                <w:sz w:val="18"/>
                <w:szCs w:val="18"/>
                <w:lang w:val="en-AU"/>
              </w:rPr>
            </w:pPr>
            <w:r w:rsidRPr="00F34170">
              <w:rPr>
                <w:iCs/>
                <w:sz w:val="18"/>
                <w:szCs w:val="18"/>
                <w:lang w:val="en-AU"/>
              </w:rPr>
              <w:t>2 (2)</w:t>
            </w:r>
          </w:p>
        </w:tc>
      </w:tr>
      <w:tr w:rsidR="00EB0232" w:rsidRPr="00F34170" w:rsidTr="00BD73FD">
        <w:trPr>
          <w:jc w:val="center"/>
        </w:trPr>
        <w:tc>
          <w:tcPr>
            <w:tcW w:w="3758" w:type="dxa"/>
            <w:tcBorders>
              <w:top w:val="nil"/>
              <w:left w:val="single" w:sz="4" w:space="0" w:color="auto"/>
              <w:bottom w:val="nil"/>
              <w:right w:val="single" w:sz="4" w:space="0" w:color="auto"/>
            </w:tcBorders>
            <w:vAlign w:val="bottom"/>
          </w:tcPr>
          <w:p w:rsidR="00EB0232" w:rsidRPr="00F34170" w:rsidRDefault="00EB0232" w:rsidP="00A9603E">
            <w:pPr>
              <w:pStyle w:val="TableCellText10pt"/>
              <w:keepNext w:val="0"/>
              <w:spacing w:after="0"/>
              <w:ind w:left="187"/>
              <w:rPr>
                <w:sz w:val="18"/>
                <w:szCs w:val="18"/>
                <w:lang w:val="en-AU"/>
              </w:rPr>
            </w:pPr>
            <w:r w:rsidRPr="00F34170">
              <w:rPr>
                <w:sz w:val="18"/>
                <w:szCs w:val="18"/>
                <w:lang w:val="en-AU"/>
              </w:rPr>
              <w:t>Constipation</w:t>
            </w:r>
          </w:p>
        </w:tc>
        <w:tc>
          <w:tcPr>
            <w:tcW w:w="1453" w:type="dxa"/>
            <w:tcBorders>
              <w:top w:val="nil"/>
              <w:left w:val="single" w:sz="4" w:space="0" w:color="auto"/>
              <w:bottom w:val="nil"/>
              <w:right w:val="single" w:sz="4" w:space="0" w:color="auto"/>
            </w:tcBorders>
            <w:vAlign w:val="bottom"/>
          </w:tcPr>
          <w:p w:rsidR="00EB0232" w:rsidRPr="00F34170" w:rsidRDefault="00EB0232" w:rsidP="00A9603E">
            <w:pPr>
              <w:pStyle w:val="TableCellText10pt"/>
              <w:keepNext w:val="0"/>
              <w:spacing w:after="0"/>
              <w:jc w:val="center"/>
              <w:rPr>
                <w:iCs/>
                <w:sz w:val="18"/>
                <w:szCs w:val="18"/>
                <w:lang w:val="en-AU"/>
              </w:rPr>
            </w:pPr>
            <w:r w:rsidRPr="00F34170">
              <w:rPr>
                <w:iCs/>
                <w:sz w:val="18"/>
                <w:szCs w:val="18"/>
                <w:lang w:val="en-AU"/>
              </w:rPr>
              <w:t>39 (30)</w:t>
            </w:r>
          </w:p>
        </w:tc>
        <w:tc>
          <w:tcPr>
            <w:tcW w:w="1368" w:type="dxa"/>
            <w:tcBorders>
              <w:top w:val="nil"/>
              <w:left w:val="single" w:sz="4" w:space="0" w:color="auto"/>
              <w:bottom w:val="nil"/>
              <w:right w:val="single" w:sz="4" w:space="0" w:color="auto"/>
            </w:tcBorders>
            <w:vAlign w:val="bottom"/>
          </w:tcPr>
          <w:p w:rsidR="00EB0232" w:rsidRPr="00F34170" w:rsidRDefault="00EB0232" w:rsidP="00A9603E">
            <w:pPr>
              <w:pStyle w:val="TableCellText10pt"/>
              <w:keepNext w:val="0"/>
              <w:spacing w:after="0"/>
              <w:jc w:val="center"/>
              <w:rPr>
                <w:iCs/>
                <w:sz w:val="18"/>
                <w:szCs w:val="18"/>
                <w:lang w:val="en-AU"/>
              </w:rPr>
            </w:pPr>
            <w:r w:rsidRPr="00F34170">
              <w:rPr>
                <w:iCs/>
                <w:sz w:val="18"/>
                <w:szCs w:val="18"/>
                <w:lang w:val="en-AU"/>
              </w:rPr>
              <w:t>1 (&lt; 1)</w:t>
            </w:r>
          </w:p>
        </w:tc>
        <w:tc>
          <w:tcPr>
            <w:tcW w:w="1411" w:type="dxa"/>
            <w:tcBorders>
              <w:top w:val="nil"/>
              <w:left w:val="single" w:sz="4" w:space="0" w:color="auto"/>
              <w:bottom w:val="nil"/>
              <w:right w:val="single" w:sz="4" w:space="0" w:color="auto"/>
            </w:tcBorders>
          </w:tcPr>
          <w:p w:rsidR="00EB0232" w:rsidRPr="00F34170" w:rsidRDefault="00EB0232" w:rsidP="00A9603E">
            <w:pPr>
              <w:pStyle w:val="TableCellText10pt"/>
              <w:keepNext w:val="0"/>
              <w:spacing w:after="0"/>
              <w:jc w:val="center"/>
              <w:rPr>
                <w:iCs/>
                <w:sz w:val="18"/>
                <w:szCs w:val="18"/>
                <w:lang w:val="en-AU"/>
              </w:rPr>
            </w:pPr>
            <w:r w:rsidRPr="00F34170">
              <w:rPr>
                <w:iCs/>
                <w:sz w:val="18"/>
                <w:szCs w:val="18"/>
                <w:lang w:val="en-AU"/>
              </w:rPr>
              <w:t>19 (15)</w:t>
            </w:r>
          </w:p>
        </w:tc>
        <w:tc>
          <w:tcPr>
            <w:tcW w:w="1411" w:type="dxa"/>
            <w:tcBorders>
              <w:top w:val="nil"/>
              <w:left w:val="single" w:sz="4" w:space="0" w:color="auto"/>
              <w:bottom w:val="nil"/>
              <w:right w:val="single" w:sz="4" w:space="0" w:color="auto"/>
            </w:tcBorders>
          </w:tcPr>
          <w:p w:rsidR="00EB0232" w:rsidRPr="00F34170" w:rsidRDefault="00EB0232" w:rsidP="00A9603E">
            <w:pPr>
              <w:pStyle w:val="TableCellText10pt"/>
              <w:keepNext w:val="0"/>
              <w:spacing w:after="0"/>
              <w:jc w:val="center"/>
              <w:rPr>
                <w:iCs/>
                <w:sz w:val="18"/>
                <w:szCs w:val="18"/>
                <w:lang w:val="en-AU"/>
              </w:rPr>
            </w:pPr>
            <w:r w:rsidRPr="00F34170">
              <w:rPr>
                <w:iCs/>
                <w:sz w:val="18"/>
                <w:szCs w:val="18"/>
                <w:lang w:val="en-AU"/>
              </w:rPr>
              <w:t>0</w:t>
            </w:r>
          </w:p>
        </w:tc>
      </w:tr>
      <w:tr w:rsidR="00EB0232" w:rsidRPr="00F34170" w:rsidTr="00BD73FD">
        <w:trPr>
          <w:jc w:val="center"/>
        </w:trPr>
        <w:tc>
          <w:tcPr>
            <w:tcW w:w="3758" w:type="dxa"/>
            <w:tcBorders>
              <w:top w:val="nil"/>
              <w:left w:val="single" w:sz="4" w:space="0" w:color="auto"/>
              <w:bottom w:val="nil"/>
              <w:right w:val="single" w:sz="4" w:space="0" w:color="auto"/>
            </w:tcBorders>
            <w:vAlign w:val="bottom"/>
          </w:tcPr>
          <w:p w:rsidR="00EB0232" w:rsidRPr="00F34170" w:rsidRDefault="00EB0232" w:rsidP="00A9603E">
            <w:pPr>
              <w:pStyle w:val="TableCellText10pt"/>
              <w:keepNext w:val="0"/>
              <w:spacing w:after="0"/>
              <w:ind w:left="187"/>
              <w:rPr>
                <w:sz w:val="18"/>
                <w:szCs w:val="18"/>
                <w:lang w:val="en-AU"/>
              </w:rPr>
            </w:pPr>
            <w:r w:rsidRPr="00F34170">
              <w:rPr>
                <w:sz w:val="18"/>
                <w:szCs w:val="18"/>
                <w:lang w:val="en-AU"/>
              </w:rPr>
              <w:t>Abdominal pain</w:t>
            </w:r>
          </w:p>
        </w:tc>
        <w:tc>
          <w:tcPr>
            <w:tcW w:w="1453" w:type="dxa"/>
            <w:tcBorders>
              <w:top w:val="nil"/>
              <w:left w:val="single" w:sz="4" w:space="0" w:color="auto"/>
              <w:bottom w:val="nil"/>
              <w:right w:val="single" w:sz="4" w:space="0" w:color="auto"/>
            </w:tcBorders>
            <w:vAlign w:val="bottom"/>
          </w:tcPr>
          <w:p w:rsidR="00EB0232" w:rsidRPr="00F34170" w:rsidRDefault="00EB0232" w:rsidP="00A9603E">
            <w:pPr>
              <w:pStyle w:val="TableCellText10pt"/>
              <w:keepNext w:val="0"/>
              <w:spacing w:after="0"/>
              <w:jc w:val="center"/>
              <w:rPr>
                <w:iCs/>
                <w:sz w:val="18"/>
                <w:szCs w:val="18"/>
                <w:lang w:val="en-AU"/>
              </w:rPr>
            </w:pPr>
            <w:r w:rsidRPr="00F34170">
              <w:rPr>
                <w:iCs/>
                <w:sz w:val="18"/>
                <w:szCs w:val="18"/>
                <w:lang w:val="en-AU"/>
              </w:rPr>
              <w:t>18 (14)</w:t>
            </w:r>
          </w:p>
        </w:tc>
        <w:tc>
          <w:tcPr>
            <w:tcW w:w="1368" w:type="dxa"/>
            <w:tcBorders>
              <w:top w:val="nil"/>
              <w:left w:val="single" w:sz="4" w:space="0" w:color="auto"/>
              <w:bottom w:val="nil"/>
              <w:right w:val="single" w:sz="4" w:space="0" w:color="auto"/>
            </w:tcBorders>
            <w:vAlign w:val="bottom"/>
          </w:tcPr>
          <w:p w:rsidR="00EB0232" w:rsidRPr="00F34170" w:rsidRDefault="00EB0232" w:rsidP="00A9603E">
            <w:pPr>
              <w:pStyle w:val="TableCellText10pt"/>
              <w:keepNext w:val="0"/>
              <w:spacing w:after="0"/>
              <w:jc w:val="center"/>
              <w:rPr>
                <w:iCs/>
                <w:sz w:val="18"/>
                <w:szCs w:val="18"/>
                <w:lang w:val="en-AU"/>
              </w:rPr>
            </w:pPr>
            <w:r w:rsidRPr="00F34170">
              <w:rPr>
                <w:iCs/>
                <w:sz w:val="18"/>
                <w:szCs w:val="18"/>
                <w:lang w:val="en-AU"/>
              </w:rPr>
              <w:t>3 (2)</w:t>
            </w:r>
          </w:p>
        </w:tc>
        <w:tc>
          <w:tcPr>
            <w:tcW w:w="1411" w:type="dxa"/>
            <w:tcBorders>
              <w:top w:val="nil"/>
              <w:left w:val="single" w:sz="4" w:space="0" w:color="auto"/>
              <w:bottom w:val="nil"/>
              <w:right w:val="single" w:sz="4" w:space="0" w:color="auto"/>
            </w:tcBorders>
          </w:tcPr>
          <w:p w:rsidR="00EB0232" w:rsidRPr="00F34170" w:rsidRDefault="00EB0232" w:rsidP="00A9603E">
            <w:pPr>
              <w:pStyle w:val="TableCellText10pt"/>
              <w:keepNext w:val="0"/>
              <w:spacing w:after="0"/>
              <w:jc w:val="center"/>
              <w:rPr>
                <w:iCs/>
                <w:sz w:val="18"/>
                <w:szCs w:val="18"/>
                <w:lang w:val="en-AU"/>
              </w:rPr>
            </w:pPr>
            <w:r w:rsidRPr="00F34170">
              <w:rPr>
                <w:iCs/>
                <w:sz w:val="18"/>
                <w:szCs w:val="18"/>
                <w:lang w:val="en-AU"/>
              </w:rPr>
              <w:t>8 (6)</w:t>
            </w:r>
          </w:p>
        </w:tc>
        <w:tc>
          <w:tcPr>
            <w:tcW w:w="1411" w:type="dxa"/>
            <w:tcBorders>
              <w:top w:val="nil"/>
              <w:left w:val="single" w:sz="4" w:space="0" w:color="auto"/>
              <w:bottom w:val="nil"/>
              <w:right w:val="single" w:sz="4" w:space="0" w:color="auto"/>
            </w:tcBorders>
          </w:tcPr>
          <w:p w:rsidR="00EB0232" w:rsidRPr="00F34170" w:rsidRDefault="00EB0232" w:rsidP="00A9603E">
            <w:pPr>
              <w:pStyle w:val="TableCellText10pt"/>
              <w:keepNext w:val="0"/>
              <w:spacing w:after="0"/>
              <w:jc w:val="center"/>
              <w:rPr>
                <w:iCs/>
                <w:sz w:val="18"/>
                <w:szCs w:val="18"/>
                <w:lang w:val="en-AU"/>
              </w:rPr>
            </w:pPr>
            <w:r w:rsidRPr="00F34170">
              <w:rPr>
                <w:iCs/>
                <w:sz w:val="18"/>
                <w:szCs w:val="18"/>
                <w:lang w:val="en-AU"/>
              </w:rPr>
              <w:t>0</w:t>
            </w:r>
          </w:p>
        </w:tc>
      </w:tr>
      <w:tr w:rsidR="00EB0232" w:rsidRPr="00F34170" w:rsidTr="00BD73FD">
        <w:trPr>
          <w:jc w:val="center"/>
        </w:trPr>
        <w:tc>
          <w:tcPr>
            <w:tcW w:w="3758" w:type="dxa"/>
            <w:tcBorders>
              <w:top w:val="nil"/>
              <w:left w:val="single" w:sz="4" w:space="0" w:color="auto"/>
              <w:bottom w:val="nil"/>
              <w:right w:val="single" w:sz="4" w:space="0" w:color="auto"/>
            </w:tcBorders>
            <w:vAlign w:val="bottom"/>
          </w:tcPr>
          <w:p w:rsidR="00EB0232" w:rsidRPr="00F34170" w:rsidRDefault="00EB0232" w:rsidP="00A9603E">
            <w:pPr>
              <w:pStyle w:val="TableCellText10pt"/>
              <w:keepNext w:val="0"/>
              <w:spacing w:after="0"/>
              <w:ind w:left="187"/>
              <w:rPr>
                <w:sz w:val="18"/>
                <w:szCs w:val="18"/>
                <w:lang w:val="en-AU"/>
              </w:rPr>
            </w:pPr>
            <w:r w:rsidRPr="00F34170">
              <w:rPr>
                <w:sz w:val="18"/>
                <w:szCs w:val="18"/>
                <w:lang w:val="en-AU"/>
              </w:rPr>
              <w:t>Stomatitis</w:t>
            </w:r>
          </w:p>
        </w:tc>
        <w:tc>
          <w:tcPr>
            <w:tcW w:w="1453" w:type="dxa"/>
            <w:tcBorders>
              <w:top w:val="nil"/>
              <w:left w:val="single" w:sz="4" w:space="0" w:color="auto"/>
              <w:bottom w:val="nil"/>
              <w:right w:val="single" w:sz="4" w:space="0" w:color="auto"/>
            </w:tcBorders>
            <w:vAlign w:val="bottom"/>
          </w:tcPr>
          <w:p w:rsidR="00EB0232" w:rsidRPr="00F34170" w:rsidRDefault="00EB0232" w:rsidP="00A9603E">
            <w:pPr>
              <w:pStyle w:val="TableCellText10pt"/>
              <w:keepNext w:val="0"/>
              <w:spacing w:after="0"/>
              <w:jc w:val="center"/>
              <w:rPr>
                <w:iCs/>
                <w:sz w:val="18"/>
                <w:szCs w:val="18"/>
                <w:lang w:val="en-AU"/>
              </w:rPr>
            </w:pPr>
            <w:r w:rsidRPr="00F34170">
              <w:rPr>
                <w:iCs/>
                <w:sz w:val="18"/>
                <w:szCs w:val="18"/>
                <w:lang w:val="en-AU"/>
              </w:rPr>
              <w:t>13 (10)</w:t>
            </w:r>
          </w:p>
        </w:tc>
        <w:tc>
          <w:tcPr>
            <w:tcW w:w="1368" w:type="dxa"/>
            <w:tcBorders>
              <w:top w:val="nil"/>
              <w:left w:val="single" w:sz="4" w:space="0" w:color="auto"/>
              <w:bottom w:val="nil"/>
              <w:right w:val="single" w:sz="4" w:space="0" w:color="auto"/>
            </w:tcBorders>
            <w:vAlign w:val="bottom"/>
          </w:tcPr>
          <w:p w:rsidR="00EB0232" w:rsidRPr="00F34170" w:rsidRDefault="00EB0232" w:rsidP="00A9603E">
            <w:pPr>
              <w:pStyle w:val="TableCellText10pt"/>
              <w:keepNext w:val="0"/>
              <w:spacing w:after="0"/>
              <w:jc w:val="center"/>
              <w:rPr>
                <w:iCs/>
                <w:sz w:val="18"/>
                <w:szCs w:val="18"/>
                <w:lang w:val="en-AU"/>
              </w:rPr>
            </w:pPr>
            <w:r w:rsidRPr="00F34170">
              <w:rPr>
                <w:iCs/>
                <w:sz w:val="18"/>
                <w:szCs w:val="18"/>
                <w:lang w:val="en-AU"/>
              </w:rPr>
              <w:t>0</w:t>
            </w:r>
          </w:p>
        </w:tc>
        <w:tc>
          <w:tcPr>
            <w:tcW w:w="1411" w:type="dxa"/>
            <w:tcBorders>
              <w:top w:val="nil"/>
              <w:left w:val="single" w:sz="4" w:space="0" w:color="auto"/>
              <w:bottom w:val="nil"/>
              <w:right w:val="single" w:sz="4" w:space="0" w:color="auto"/>
            </w:tcBorders>
          </w:tcPr>
          <w:p w:rsidR="00EB0232" w:rsidRPr="00F34170" w:rsidRDefault="00EB0232" w:rsidP="00A9603E">
            <w:pPr>
              <w:pStyle w:val="TableCellText10pt"/>
              <w:keepNext w:val="0"/>
              <w:spacing w:after="0"/>
              <w:jc w:val="center"/>
              <w:rPr>
                <w:iCs/>
                <w:sz w:val="18"/>
                <w:szCs w:val="18"/>
                <w:lang w:val="en-AU"/>
              </w:rPr>
            </w:pPr>
            <w:r w:rsidRPr="00F34170">
              <w:rPr>
                <w:iCs/>
                <w:sz w:val="18"/>
                <w:szCs w:val="18"/>
                <w:lang w:val="en-AU"/>
              </w:rPr>
              <w:t>9 (7)</w:t>
            </w:r>
          </w:p>
        </w:tc>
        <w:tc>
          <w:tcPr>
            <w:tcW w:w="1411" w:type="dxa"/>
            <w:tcBorders>
              <w:top w:val="nil"/>
              <w:left w:val="single" w:sz="4" w:space="0" w:color="auto"/>
              <w:bottom w:val="nil"/>
              <w:right w:val="single" w:sz="4" w:space="0" w:color="auto"/>
            </w:tcBorders>
          </w:tcPr>
          <w:p w:rsidR="00EB0232" w:rsidRPr="00F34170" w:rsidRDefault="00EB0232" w:rsidP="00A9603E">
            <w:pPr>
              <w:pStyle w:val="TableCellText10pt"/>
              <w:keepNext w:val="0"/>
              <w:spacing w:after="0"/>
              <w:jc w:val="center"/>
              <w:rPr>
                <w:iCs/>
                <w:sz w:val="18"/>
                <w:szCs w:val="18"/>
                <w:lang w:val="en-AU"/>
              </w:rPr>
            </w:pPr>
            <w:r w:rsidRPr="00F34170">
              <w:rPr>
                <w:iCs/>
                <w:sz w:val="18"/>
                <w:szCs w:val="18"/>
                <w:lang w:val="en-AU"/>
              </w:rPr>
              <w:t>0</w:t>
            </w:r>
          </w:p>
        </w:tc>
      </w:tr>
      <w:tr w:rsidR="00C66AF1" w:rsidRPr="00F34170" w:rsidTr="00BD73FD">
        <w:trPr>
          <w:jc w:val="center"/>
        </w:trPr>
        <w:tc>
          <w:tcPr>
            <w:tcW w:w="3758" w:type="dxa"/>
            <w:tcBorders>
              <w:top w:val="nil"/>
              <w:left w:val="single" w:sz="4" w:space="0" w:color="auto"/>
              <w:bottom w:val="nil"/>
              <w:right w:val="single" w:sz="4" w:space="0" w:color="auto"/>
            </w:tcBorders>
            <w:vAlign w:val="bottom"/>
          </w:tcPr>
          <w:p w:rsidR="00C66AF1" w:rsidRPr="00F34170" w:rsidRDefault="00C66AF1" w:rsidP="00A9603E">
            <w:pPr>
              <w:pStyle w:val="TableCellText10pt"/>
              <w:keepNext w:val="0"/>
              <w:spacing w:after="0"/>
              <w:ind w:left="187"/>
              <w:rPr>
                <w:sz w:val="18"/>
                <w:szCs w:val="18"/>
                <w:lang w:val="en-AU"/>
              </w:rPr>
            </w:pPr>
            <w:r w:rsidRPr="00F34170">
              <w:rPr>
                <w:sz w:val="18"/>
                <w:szCs w:val="18"/>
                <w:lang w:val="en-AU"/>
              </w:rPr>
              <w:t>Dyspepsia</w:t>
            </w:r>
          </w:p>
        </w:tc>
        <w:tc>
          <w:tcPr>
            <w:tcW w:w="1453" w:type="dxa"/>
            <w:tcBorders>
              <w:top w:val="nil"/>
              <w:left w:val="single" w:sz="4" w:space="0" w:color="auto"/>
              <w:bottom w:val="nil"/>
              <w:right w:val="single" w:sz="4" w:space="0" w:color="auto"/>
            </w:tcBorders>
            <w:vAlign w:val="bottom"/>
          </w:tcPr>
          <w:p w:rsidR="00C66AF1" w:rsidRPr="00F34170" w:rsidRDefault="00C66AF1" w:rsidP="00A9603E">
            <w:pPr>
              <w:pStyle w:val="TableCellText10pt"/>
              <w:keepNext w:val="0"/>
              <w:spacing w:after="0"/>
              <w:jc w:val="center"/>
              <w:rPr>
                <w:iCs/>
                <w:sz w:val="18"/>
                <w:szCs w:val="18"/>
                <w:lang w:val="en-AU"/>
              </w:rPr>
            </w:pPr>
            <w:r w:rsidRPr="00F34170">
              <w:rPr>
                <w:iCs/>
                <w:sz w:val="18"/>
                <w:szCs w:val="18"/>
                <w:lang w:val="en-AU"/>
              </w:rPr>
              <w:t>-</w:t>
            </w:r>
          </w:p>
        </w:tc>
        <w:tc>
          <w:tcPr>
            <w:tcW w:w="1368" w:type="dxa"/>
            <w:tcBorders>
              <w:top w:val="nil"/>
              <w:left w:val="single" w:sz="4" w:space="0" w:color="auto"/>
              <w:bottom w:val="nil"/>
              <w:right w:val="single" w:sz="4" w:space="0" w:color="auto"/>
            </w:tcBorders>
            <w:vAlign w:val="bottom"/>
          </w:tcPr>
          <w:p w:rsidR="00C66AF1" w:rsidRPr="00F34170" w:rsidRDefault="00C66AF1" w:rsidP="00A9603E">
            <w:pPr>
              <w:pStyle w:val="TableCellText10pt"/>
              <w:keepNext w:val="0"/>
              <w:spacing w:after="0"/>
              <w:jc w:val="center"/>
              <w:rPr>
                <w:iCs/>
                <w:sz w:val="18"/>
                <w:szCs w:val="18"/>
                <w:lang w:val="en-AU"/>
              </w:rPr>
            </w:pPr>
            <w:r w:rsidRPr="00F34170">
              <w:rPr>
                <w:iCs/>
                <w:sz w:val="18"/>
                <w:szCs w:val="18"/>
                <w:lang w:val="en-AU"/>
              </w:rPr>
              <w:t>-</w:t>
            </w:r>
          </w:p>
        </w:tc>
        <w:tc>
          <w:tcPr>
            <w:tcW w:w="1411" w:type="dxa"/>
            <w:tcBorders>
              <w:top w:val="nil"/>
              <w:left w:val="single" w:sz="4" w:space="0" w:color="auto"/>
              <w:bottom w:val="nil"/>
              <w:right w:val="single" w:sz="4" w:space="0" w:color="auto"/>
            </w:tcBorders>
          </w:tcPr>
          <w:p w:rsidR="00C66AF1" w:rsidRPr="00F34170" w:rsidRDefault="00C66AF1" w:rsidP="00A9603E">
            <w:pPr>
              <w:pStyle w:val="TableCellText10pt"/>
              <w:keepNext w:val="0"/>
              <w:spacing w:after="0"/>
              <w:jc w:val="center"/>
              <w:rPr>
                <w:iCs/>
                <w:sz w:val="18"/>
                <w:szCs w:val="18"/>
                <w:lang w:val="en-AU"/>
              </w:rPr>
            </w:pPr>
            <w:r w:rsidRPr="00F34170">
              <w:rPr>
                <w:iCs/>
                <w:sz w:val="18"/>
                <w:szCs w:val="18"/>
                <w:lang w:val="en-AU"/>
              </w:rPr>
              <w:t>6 (5)</w:t>
            </w:r>
          </w:p>
        </w:tc>
        <w:tc>
          <w:tcPr>
            <w:tcW w:w="1411" w:type="dxa"/>
            <w:tcBorders>
              <w:top w:val="nil"/>
              <w:left w:val="single" w:sz="4" w:space="0" w:color="auto"/>
              <w:bottom w:val="nil"/>
              <w:right w:val="single" w:sz="4" w:space="0" w:color="auto"/>
            </w:tcBorders>
          </w:tcPr>
          <w:p w:rsidR="00C66AF1" w:rsidRPr="00F34170" w:rsidRDefault="00C66AF1" w:rsidP="00A9603E">
            <w:pPr>
              <w:pStyle w:val="TableCellText10pt"/>
              <w:keepNext w:val="0"/>
              <w:spacing w:after="0"/>
              <w:jc w:val="center"/>
              <w:rPr>
                <w:iCs/>
                <w:sz w:val="18"/>
                <w:szCs w:val="18"/>
                <w:lang w:val="en-AU"/>
              </w:rPr>
            </w:pPr>
            <w:r w:rsidRPr="00F34170">
              <w:rPr>
                <w:iCs/>
                <w:sz w:val="18"/>
                <w:szCs w:val="18"/>
                <w:lang w:val="en-AU"/>
              </w:rPr>
              <w:t>0</w:t>
            </w:r>
          </w:p>
        </w:tc>
      </w:tr>
      <w:tr w:rsidR="00EB0232" w:rsidRPr="00F34170" w:rsidTr="00BD73FD">
        <w:trPr>
          <w:jc w:val="center"/>
        </w:trPr>
        <w:tc>
          <w:tcPr>
            <w:tcW w:w="3758" w:type="dxa"/>
            <w:tcBorders>
              <w:top w:val="nil"/>
              <w:left w:val="single" w:sz="4" w:space="0" w:color="auto"/>
              <w:bottom w:val="nil"/>
              <w:right w:val="single" w:sz="4" w:space="0" w:color="auto"/>
            </w:tcBorders>
            <w:vAlign w:val="bottom"/>
          </w:tcPr>
          <w:p w:rsidR="00EB0232" w:rsidRPr="00F34170" w:rsidRDefault="00EB0232" w:rsidP="00A9603E">
            <w:pPr>
              <w:pStyle w:val="TableCellText10pt"/>
              <w:keepNext w:val="0"/>
              <w:spacing w:after="0"/>
              <w:rPr>
                <w:b/>
                <w:sz w:val="18"/>
                <w:szCs w:val="18"/>
                <w:lang w:val="en-AU"/>
              </w:rPr>
            </w:pPr>
            <w:r w:rsidRPr="00F34170">
              <w:rPr>
                <w:b/>
                <w:sz w:val="18"/>
                <w:szCs w:val="18"/>
                <w:lang w:val="en-AU"/>
              </w:rPr>
              <w:t>General disorders and administration site conditions</w:t>
            </w:r>
          </w:p>
        </w:tc>
        <w:tc>
          <w:tcPr>
            <w:tcW w:w="1453" w:type="dxa"/>
            <w:tcBorders>
              <w:top w:val="nil"/>
              <w:left w:val="single" w:sz="4" w:space="0" w:color="auto"/>
              <w:bottom w:val="nil"/>
              <w:right w:val="single" w:sz="4" w:space="0" w:color="auto"/>
            </w:tcBorders>
            <w:vAlign w:val="bottom"/>
          </w:tcPr>
          <w:p w:rsidR="00EB0232" w:rsidRPr="00F34170" w:rsidRDefault="00EB0232" w:rsidP="00A9603E">
            <w:pPr>
              <w:pStyle w:val="TableCellText10pt"/>
              <w:keepNext w:val="0"/>
              <w:spacing w:after="0"/>
              <w:jc w:val="center"/>
              <w:rPr>
                <w:iCs/>
                <w:sz w:val="18"/>
                <w:szCs w:val="18"/>
                <w:lang w:val="en-AU"/>
              </w:rPr>
            </w:pPr>
          </w:p>
        </w:tc>
        <w:tc>
          <w:tcPr>
            <w:tcW w:w="1368" w:type="dxa"/>
            <w:tcBorders>
              <w:top w:val="nil"/>
              <w:left w:val="single" w:sz="4" w:space="0" w:color="auto"/>
              <w:bottom w:val="nil"/>
              <w:right w:val="single" w:sz="4" w:space="0" w:color="auto"/>
            </w:tcBorders>
            <w:vAlign w:val="bottom"/>
          </w:tcPr>
          <w:p w:rsidR="00EB0232" w:rsidRPr="00F34170" w:rsidRDefault="00EB0232" w:rsidP="00A9603E">
            <w:pPr>
              <w:pStyle w:val="TableCellText10pt"/>
              <w:keepNext w:val="0"/>
              <w:spacing w:after="0"/>
              <w:jc w:val="center"/>
              <w:rPr>
                <w:iCs/>
                <w:sz w:val="18"/>
                <w:szCs w:val="18"/>
                <w:lang w:val="en-AU"/>
              </w:rPr>
            </w:pPr>
          </w:p>
        </w:tc>
        <w:tc>
          <w:tcPr>
            <w:tcW w:w="1411" w:type="dxa"/>
            <w:tcBorders>
              <w:top w:val="nil"/>
              <w:left w:val="single" w:sz="4" w:space="0" w:color="auto"/>
              <w:bottom w:val="nil"/>
              <w:right w:val="single" w:sz="4" w:space="0" w:color="auto"/>
            </w:tcBorders>
          </w:tcPr>
          <w:p w:rsidR="00EB0232" w:rsidRPr="00F34170" w:rsidRDefault="00EB0232" w:rsidP="00A9603E">
            <w:pPr>
              <w:pStyle w:val="TableCellText10pt"/>
              <w:keepNext w:val="0"/>
              <w:spacing w:after="0"/>
              <w:jc w:val="center"/>
              <w:rPr>
                <w:iCs/>
                <w:sz w:val="18"/>
                <w:szCs w:val="18"/>
                <w:lang w:val="en-AU"/>
              </w:rPr>
            </w:pPr>
          </w:p>
        </w:tc>
        <w:tc>
          <w:tcPr>
            <w:tcW w:w="1411" w:type="dxa"/>
            <w:tcBorders>
              <w:top w:val="nil"/>
              <w:left w:val="single" w:sz="4" w:space="0" w:color="auto"/>
              <w:bottom w:val="nil"/>
              <w:right w:val="single" w:sz="4" w:space="0" w:color="auto"/>
            </w:tcBorders>
          </w:tcPr>
          <w:p w:rsidR="00EB0232" w:rsidRPr="00F34170" w:rsidRDefault="00EB0232" w:rsidP="00A9603E">
            <w:pPr>
              <w:pStyle w:val="TableCellText10pt"/>
              <w:keepNext w:val="0"/>
              <w:spacing w:after="0"/>
              <w:jc w:val="center"/>
              <w:rPr>
                <w:iCs/>
                <w:sz w:val="18"/>
                <w:szCs w:val="18"/>
                <w:lang w:val="en-AU"/>
              </w:rPr>
            </w:pPr>
          </w:p>
        </w:tc>
      </w:tr>
      <w:tr w:rsidR="00EB0232" w:rsidRPr="00F34170" w:rsidTr="00BD73FD">
        <w:trPr>
          <w:jc w:val="center"/>
        </w:trPr>
        <w:tc>
          <w:tcPr>
            <w:tcW w:w="3758" w:type="dxa"/>
            <w:tcBorders>
              <w:top w:val="nil"/>
              <w:left w:val="single" w:sz="4" w:space="0" w:color="auto"/>
              <w:bottom w:val="nil"/>
              <w:right w:val="single" w:sz="4" w:space="0" w:color="auto"/>
            </w:tcBorders>
            <w:vAlign w:val="bottom"/>
          </w:tcPr>
          <w:p w:rsidR="00EB0232" w:rsidRPr="00F34170" w:rsidRDefault="00EB0232" w:rsidP="00A9603E">
            <w:pPr>
              <w:pStyle w:val="TableCellText10pt"/>
              <w:keepNext w:val="0"/>
              <w:spacing w:after="0"/>
              <w:ind w:left="187"/>
              <w:rPr>
                <w:sz w:val="18"/>
                <w:szCs w:val="18"/>
                <w:lang w:val="en-AU"/>
              </w:rPr>
            </w:pPr>
            <w:r w:rsidRPr="00F34170">
              <w:rPr>
                <w:sz w:val="18"/>
                <w:szCs w:val="18"/>
                <w:lang w:val="en-AU"/>
              </w:rPr>
              <w:t>Asthenia/Fatigue*</w:t>
            </w:r>
          </w:p>
        </w:tc>
        <w:tc>
          <w:tcPr>
            <w:tcW w:w="1453" w:type="dxa"/>
            <w:tcBorders>
              <w:top w:val="nil"/>
              <w:left w:val="single" w:sz="4" w:space="0" w:color="auto"/>
              <w:bottom w:val="nil"/>
              <w:right w:val="single" w:sz="4" w:space="0" w:color="auto"/>
            </w:tcBorders>
            <w:vAlign w:val="bottom"/>
          </w:tcPr>
          <w:p w:rsidR="00EB0232" w:rsidRPr="00F34170" w:rsidRDefault="00EB0232" w:rsidP="00A9603E">
            <w:pPr>
              <w:pStyle w:val="TableCellText10pt"/>
              <w:keepNext w:val="0"/>
              <w:spacing w:after="0"/>
              <w:jc w:val="center"/>
              <w:rPr>
                <w:iCs/>
                <w:sz w:val="18"/>
                <w:szCs w:val="18"/>
                <w:lang w:val="en-AU"/>
              </w:rPr>
            </w:pPr>
            <w:r w:rsidRPr="00F34170">
              <w:rPr>
                <w:iCs/>
                <w:sz w:val="18"/>
                <w:szCs w:val="18"/>
                <w:lang w:val="en-AU"/>
              </w:rPr>
              <w:t>72 (55)</w:t>
            </w:r>
          </w:p>
        </w:tc>
        <w:tc>
          <w:tcPr>
            <w:tcW w:w="1368" w:type="dxa"/>
            <w:tcBorders>
              <w:top w:val="nil"/>
              <w:left w:val="single" w:sz="4" w:space="0" w:color="auto"/>
              <w:bottom w:val="nil"/>
              <w:right w:val="single" w:sz="4" w:space="0" w:color="auto"/>
            </w:tcBorders>
            <w:vAlign w:val="bottom"/>
          </w:tcPr>
          <w:p w:rsidR="00EB0232" w:rsidRPr="00F34170" w:rsidRDefault="00EB0232" w:rsidP="00A9603E">
            <w:pPr>
              <w:pStyle w:val="TableCellText10pt"/>
              <w:keepNext w:val="0"/>
              <w:spacing w:after="0"/>
              <w:jc w:val="center"/>
              <w:rPr>
                <w:iCs/>
                <w:sz w:val="18"/>
                <w:szCs w:val="18"/>
                <w:lang w:val="en-AU"/>
              </w:rPr>
            </w:pPr>
            <w:r w:rsidRPr="00F34170">
              <w:rPr>
                <w:iCs/>
                <w:sz w:val="18"/>
                <w:szCs w:val="18"/>
                <w:lang w:val="en-AU"/>
              </w:rPr>
              <w:t>11 (8)</w:t>
            </w:r>
          </w:p>
        </w:tc>
        <w:tc>
          <w:tcPr>
            <w:tcW w:w="1411" w:type="dxa"/>
            <w:tcBorders>
              <w:top w:val="nil"/>
              <w:left w:val="single" w:sz="4" w:space="0" w:color="auto"/>
              <w:bottom w:val="nil"/>
              <w:right w:val="single" w:sz="4" w:space="0" w:color="auto"/>
            </w:tcBorders>
          </w:tcPr>
          <w:p w:rsidR="00EB0232" w:rsidRPr="00F34170" w:rsidRDefault="00EB0232" w:rsidP="00A9603E">
            <w:pPr>
              <w:pStyle w:val="TableCellText10pt"/>
              <w:keepNext w:val="0"/>
              <w:spacing w:after="0"/>
              <w:jc w:val="center"/>
              <w:rPr>
                <w:iCs/>
                <w:sz w:val="18"/>
                <w:szCs w:val="18"/>
                <w:lang w:val="en-AU"/>
              </w:rPr>
            </w:pPr>
            <w:r w:rsidRPr="00F34170">
              <w:rPr>
                <w:iCs/>
                <w:sz w:val="18"/>
                <w:szCs w:val="18"/>
                <w:lang w:val="en-AU"/>
              </w:rPr>
              <w:t>68 (51.9)</w:t>
            </w:r>
          </w:p>
        </w:tc>
        <w:tc>
          <w:tcPr>
            <w:tcW w:w="1411" w:type="dxa"/>
            <w:tcBorders>
              <w:top w:val="nil"/>
              <w:left w:val="single" w:sz="4" w:space="0" w:color="auto"/>
              <w:bottom w:val="nil"/>
              <w:right w:val="single" w:sz="4" w:space="0" w:color="auto"/>
            </w:tcBorders>
          </w:tcPr>
          <w:p w:rsidR="00EB0232" w:rsidRPr="00F34170" w:rsidRDefault="00EB0232" w:rsidP="00A9603E">
            <w:pPr>
              <w:pStyle w:val="TableCellText10pt"/>
              <w:keepNext w:val="0"/>
              <w:spacing w:after="0"/>
              <w:jc w:val="center"/>
              <w:rPr>
                <w:iCs/>
                <w:sz w:val="18"/>
                <w:szCs w:val="18"/>
                <w:lang w:val="en-AU"/>
              </w:rPr>
            </w:pPr>
            <w:r w:rsidRPr="00F34170">
              <w:rPr>
                <w:iCs/>
                <w:sz w:val="18"/>
                <w:szCs w:val="18"/>
                <w:lang w:val="en-AU"/>
              </w:rPr>
              <w:t>7 (5)</w:t>
            </w:r>
          </w:p>
        </w:tc>
      </w:tr>
      <w:tr w:rsidR="00EB0232" w:rsidRPr="00F34170" w:rsidTr="00BD73FD">
        <w:trPr>
          <w:jc w:val="center"/>
        </w:trPr>
        <w:tc>
          <w:tcPr>
            <w:tcW w:w="3758" w:type="dxa"/>
            <w:tcBorders>
              <w:top w:val="nil"/>
              <w:left w:val="single" w:sz="4" w:space="0" w:color="auto"/>
              <w:bottom w:val="nil"/>
              <w:right w:val="single" w:sz="4" w:space="0" w:color="auto"/>
            </w:tcBorders>
            <w:vAlign w:val="bottom"/>
          </w:tcPr>
          <w:p w:rsidR="00EB0232" w:rsidRPr="00F34170" w:rsidRDefault="00EB0232" w:rsidP="00A9603E">
            <w:pPr>
              <w:pStyle w:val="TableCellText10pt"/>
              <w:keepNext w:val="0"/>
              <w:spacing w:after="0"/>
              <w:ind w:left="187"/>
              <w:rPr>
                <w:sz w:val="18"/>
                <w:szCs w:val="18"/>
                <w:lang w:val="en-AU"/>
              </w:rPr>
            </w:pPr>
            <w:r w:rsidRPr="00F34170">
              <w:rPr>
                <w:sz w:val="18"/>
                <w:szCs w:val="18"/>
                <w:lang w:val="en-AU"/>
              </w:rPr>
              <w:t>Pyrexia</w:t>
            </w:r>
          </w:p>
        </w:tc>
        <w:tc>
          <w:tcPr>
            <w:tcW w:w="1453" w:type="dxa"/>
            <w:tcBorders>
              <w:top w:val="nil"/>
              <w:left w:val="single" w:sz="4" w:space="0" w:color="auto"/>
              <w:bottom w:val="nil"/>
              <w:right w:val="single" w:sz="4" w:space="0" w:color="auto"/>
            </w:tcBorders>
            <w:vAlign w:val="bottom"/>
          </w:tcPr>
          <w:p w:rsidR="00EB0232" w:rsidRPr="00F34170" w:rsidRDefault="00EB0232" w:rsidP="00A9603E">
            <w:pPr>
              <w:pStyle w:val="TableCellText10pt"/>
              <w:keepNext w:val="0"/>
              <w:spacing w:after="0"/>
              <w:jc w:val="center"/>
              <w:rPr>
                <w:iCs/>
                <w:sz w:val="18"/>
                <w:szCs w:val="18"/>
                <w:lang w:val="en-AU"/>
              </w:rPr>
            </w:pPr>
            <w:r w:rsidRPr="00F34170">
              <w:rPr>
                <w:iCs/>
                <w:sz w:val="18"/>
                <w:szCs w:val="18"/>
                <w:lang w:val="en-AU"/>
              </w:rPr>
              <w:t>46 (35)</w:t>
            </w:r>
          </w:p>
        </w:tc>
        <w:tc>
          <w:tcPr>
            <w:tcW w:w="1368" w:type="dxa"/>
            <w:tcBorders>
              <w:top w:val="nil"/>
              <w:left w:val="single" w:sz="4" w:space="0" w:color="auto"/>
              <w:bottom w:val="nil"/>
              <w:right w:val="single" w:sz="4" w:space="0" w:color="auto"/>
            </w:tcBorders>
            <w:vAlign w:val="bottom"/>
          </w:tcPr>
          <w:p w:rsidR="00EB0232" w:rsidRPr="00F34170" w:rsidRDefault="00EB0232" w:rsidP="00A9603E">
            <w:pPr>
              <w:pStyle w:val="TableCellText10pt"/>
              <w:keepNext w:val="0"/>
              <w:spacing w:after="0"/>
              <w:jc w:val="center"/>
              <w:rPr>
                <w:iCs/>
                <w:sz w:val="18"/>
                <w:szCs w:val="18"/>
                <w:lang w:val="en-AU"/>
              </w:rPr>
            </w:pPr>
            <w:r w:rsidRPr="00F34170">
              <w:rPr>
                <w:iCs/>
                <w:sz w:val="18"/>
                <w:szCs w:val="18"/>
                <w:lang w:val="en-AU"/>
              </w:rPr>
              <w:t>7 (5)</w:t>
            </w:r>
          </w:p>
        </w:tc>
        <w:tc>
          <w:tcPr>
            <w:tcW w:w="1411" w:type="dxa"/>
            <w:tcBorders>
              <w:top w:val="nil"/>
              <w:left w:val="single" w:sz="4" w:space="0" w:color="auto"/>
              <w:bottom w:val="nil"/>
              <w:right w:val="single" w:sz="4" w:space="0" w:color="auto"/>
            </w:tcBorders>
          </w:tcPr>
          <w:p w:rsidR="00EB0232" w:rsidRPr="00F34170" w:rsidRDefault="00EB0232" w:rsidP="00A9603E">
            <w:pPr>
              <w:pStyle w:val="TableCellText10pt"/>
              <w:keepNext w:val="0"/>
              <w:spacing w:after="0"/>
              <w:jc w:val="center"/>
              <w:rPr>
                <w:iCs/>
                <w:sz w:val="18"/>
                <w:szCs w:val="18"/>
                <w:lang w:val="en-AU"/>
              </w:rPr>
            </w:pPr>
            <w:r w:rsidRPr="00F34170">
              <w:rPr>
                <w:iCs/>
                <w:sz w:val="18"/>
                <w:szCs w:val="18"/>
                <w:lang w:val="en-AU"/>
              </w:rPr>
              <w:t>22 (17)</w:t>
            </w:r>
          </w:p>
        </w:tc>
        <w:tc>
          <w:tcPr>
            <w:tcW w:w="1411" w:type="dxa"/>
            <w:tcBorders>
              <w:top w:val="nil"/>
              <w:left w:val="single" w:sz="4" w:space="0" w:color="auto"/>
              <w:bottom w:val="nil"/>
              <w:right w:val="single" w:sz="4" w:space="0" w:color="auto"/>
            </w:tcBorders>
          </w:tcPr>
          <w:p w:rsidR="00EB0232" w:rsidRPr="00F34170" w:rsidRDefault="00EB0232" w:rsidP="00A9603E">
            <w:pPr>
              <w:pStyle w:val="TableCellText10pt"/>
              <w:keepNext w:val="0"/>
              <w:spacing w:after="0"/>
              <w:jc w:val="center"/>
              <w:rPr>
                <w:iCs/>
                <w:sz w:val="18"/>
                <w:szCs w:val="18"/>
                <w:lang w:val="en-AU"/>
              </w:rPr>
            </w:pPr>
            <w:r w:rsidRPr="00F34170">
              <w:rPr>
                <w:iCs/>
                <w:sz w:val="18"/>
                <w:szCs w:val="18"/>
                <w:lang w:val="en-AU"/>
              </w:rPr>
              <w:t>5 (4)</w:t>
            </w:r>
          </w:p>
        </w:tc>
      </w:tr>
      <w:tr w:rsidR="00EB0232" w:rsidRPr="00F34170" w:rsidTr="00BD73FD">
        <w:trPr>
          <w:jc w:val="center"/>
        </w:trPr>
        <w:tc>
          <w:tcPr>
            <w:tcW w:w="3758" w:type="dxa"/>
            <w:tcBorders>
              <w:top w:val="nil"/>
              <w:left w:val="single" w:sz="4" w:space="0" w:color="auto"/>
              <w:bottom w:val="nil"/>
              <w:right w:val="single" w:sz="4" w:space="0" w:color="auto"/>
            </w:tcBorders>
            <w:vAlign w:val="bottom"/>
          </w:tcPr>
          <w:p w:rsidR="00EB0232" w:rsidRPr="00F34170" w:rsidRDefault="00EB0232" w:rsidP="00A9603E">
            <w:pPr>
              <w:pStyle w:val="TableCellText10pt"/>
              <w:keepNext w:val="0"/>
              <w:spacing w:after="0"/>
              <w:ind w:left="187"/>
              <w:rPr>
                <w:sz w:val="18"/>
                <w:szCs w:val="18"/>
                <w:lang w:val="en-AU"/>
              </w:rPr>
            </w:pPr>
            <w:r w:rsidRPr="00F34170">
              <w:rPr>
                <w:sz w:val="18"/>
                <w:szCs w:val="18"/>
                <w:lang w:val="en-AU"/>
              </w:rPr>
              <w:t>Chills</w:t>
            </w:r>
          </w:p>
        </w:tc>
        <w:tc>
          <w:tcPr>
            <w:tcW w:w="1453" w:type="dxa"/>
            <w:tcBorders>
              <w:top w:val="nil"/>
              <w:left w:val="single" w:sz="4" w:space="0" w:color="auto"/>
              <w:bottom w:val="nil"/>
              <w:right w:val="single" w:sz="4" w:space="0" w:color="auto"/>
            </w:tcBorders>
            <w:vAlign w:val="bottom"/>
          </w:tcPr>
          <w:p w:rsidR="00EB0232" w:rsidRPr="00F34170" w:rsidRDefault="00EB0232" w:rsidP="00A9603E">
            <w:pPr>
              <w:pStyle w:val="TableCellText10pt"/>
              <w:keepNext w:val="0"/>
              <w:spacing w:after="0"/>
              <w:jc w:val="center"/>
              <w:rPr>
                <w:iCs/>
                <w:sz w:val="18"/>
                <w:szCs w:val="18"/>
                <w:lang w:val="en-AU"/>
              </w:rPr>
            </w:pPr>
            <w:r w:rsidRPr="00F34170">
              <w:rPr>
                <w:iCs/>
                <w:sz w:val="18"/>
                <w:szCs w:val="18"/>
                <w:lang w:val="en-AU"/>
              </w:rPr>
              <w:t>14 (11)</w:t>
            </w:r>
          </w:p>
        </w:tc>
        <w:tc>
          <w:tcPr>
            <w:tcW w:w="1368" w:type="dxa"/>
            <w:tcBorders>
              <w:top w:val="nil"/>
              <w:left w:val="single" w:sz="4" w:space="0" w:color="auto"/>
              <w:bottom w:val="nil"/>
              <w:right w:val="single" w:sz="4" w:space="0" w:color="auto"/>
            </w:tcBorders>
            <w:vAlign w:val="bottom"/>
          </w:tcPr>
          <w:p w:rsidR="00EB0232" w:rsidRPr="00F34170" w:rsidRDefault="00EB0232" w:rsidP="00A9603E">
            <w:pPr>
              <w:pStyle w:val="TableCellText10pt"/>
              <w:keepNext w:val="0"/>
              <w:spacing w:after="0"/>
              <w:jc w:val="center"/>
              <w:rPr>
                <w:iCs/>
                <w:sz w:val="18"/>
                <w:szCs w:val="18"/>
                <w:lang w:val="en-AU"/>
              </w:rPr>
            </w:pPr>
            <w:r w:rsidRPr="00F34170">
              <w:rPr>
                <w:iCs/>
                <w:sz w:val="18"/>
                <w:szCs w:val="18"/>
                <w:lang w:val="en-AU"/>
              </w:rPr>
              <w:t>1 (&lt; 1)</w:t>
            </w:r>
          </w:p>
        </w:tc>
        <w:tc>
          <w:tcPr>
            <w:tcW w:w="1411" w:type="dxa"/>
            <w:tcBorders>
              <w:top w:val="nil"/>
              <w:left w:val="single" w:sz="4" w:space="0" w:color="auto"/>
              <w:bottom w:val="nil"/>
              <w:right w:val="single" w:sz="4" w:space="0" w:color="auto"/>
            </w:tcBorders>
          </w:tcPr>
          <w:p w:rsidR="00EB0232" w:rsidRPr="00F34170" w:rsidRDefault="00EB0232" w:rsidP="00A9603E">
            <w:pPr>
              <w:pStyle w:val="TableCellText10pt"/>
              <w:keepNext w:val="0"/>
              <w:spacing w:after="0"/>
              <w:jc w:val="center"/>
              <w:rPr>
                <w:iCs/>
                <w:sz w:val="18"/>
                <w:szCs w:val="18"/>
                <w:lang w:val="en-AU"/>
              </w:rPr>
            </w:pPr>
            <w:r w:rsidRPr="00F34170">
              <w:rPr>
                <w:iCs/>
                <w:sz w:val="18"/>
                <w:szCs w:val="18"/>
                <w:lang w:val="en-AU"/>
              </w:rPr>
              <w:t>6 (5)</w:t>
            </w:r>
          </w:p>
        </w:tc>
        <w:tc>
          <w:tcPr>
            <w:tcW w:w="1411" w:type="dxa"/>
            <w:tcBorders>
              <w:top w:val="nil"/>
              <w:left w:val="single" w:sz="4" w:space="0" w:color="auto"/>
              <w:bottom w:val="nil"/>
              <w:right w:val="single" w:sz="4" w:space="0" w:color="auto"/>
            </w:tcBorders>
          </w:tcPr>
          <w:p w:rsidR="00EB0232" w:rsidRPr="00F34170" w:rsidRDefault="00EB0232" w:rsidP="00A9603E">
            <w:pPr>
              <w:pStyle w:val="TableCellText10pt"/>
              <w:keepNext w:val="0"/>
              <w:spacing w:after="0"/>
              <w:jc w:val="center"/>
              <w:rPr>
                <w:iCs/>
                <w:sz w:val="18"/>
                <w:szCs w:val="18"/>
                <w:lang w:val="en-AU"/>
              </w:rPr>
            </w:pPr>
            <w:r w:rsidRPr="00F34170">
              <w:rPr>
                <w:iCs/>
                <w:sz w:val="18"/>
                <w:szCs w:val="18"/>
                <w:lang w:val="en-AU"/>
              </w:rPr>
              <w:t>0</w:t>
            </w:r>
          </w:p>
        </w:tc>
      </w:tr>
      <w:tr w:rsidR="00EB0232" w:rsidRPr="00F34170" w:rsidTr="00BD73FD">
        <w:trPr>
          <w:jc w:val="center"/>
        </w:trPr>
        <w:tc>
          <w:tcPr>
            <w:tcW w:w="3758" w:type="dxa"/>
            <w:tcBorders>
              <w:top w:val="nil"/>
              <w:left w:val="single" w:sz="4" w:space="0" w:color="auto"/>
              <w:bottom w:val="nil"/>
              <w:right w:val="single" w:sz="4" w:space="0" w:color="auto"/>
            </w:tcBorders>
            <w:vAlign w:val="bottom"/>
          </w:tcPr>
          <w:p w:rsidR="00EB0232" w:rsidRPr="00F34170" w:rsidRDefault="00EB0232" w:rsidP="00A9603E">
            <w:pPr>
              <w:pStyle w:val="TableCellText10pt"/>
              <w:keepNext w:val="0"/>
              <w:spacing w:after="0"/>
              <w:ind w:left="187"/>
              <w:rPr>
                <w:sz w:val="18"/>
                <w:szCs w:val="18"/>
                <w:lang w:val="en-AU"/>
              </w:rPr>
            </w:pPr>
            <w:r w:rsidRPr="00F34170">
              <w:rPr>
                <w:sz w:val="18"/>
                <w:szCs w:val="18"/>
                <w:lang w:val="en-AU"/>
              </w:rPr>
              <w:t>Oedema peripheral</w:t>
            </w:r>
          </w:p>
        </w:tc>
        <w:tc>
          <w:tcPr>
            <w:tcW w:w="1453" w:type="dxa"/>
            <w:tcBorders>
              <w:top w:val="nil"/>
              <w:left w:val="single" w:sz="4" w:space="0" w:color="auto"/>
              <w:bottom w:val="nil"/>
              <w:right w:val="single" w:sz="4" w:space="0" w:color="auto"/>
            </w:tcBorders>
            <w:vAlign w:val="bottom"/>
          </w:tcPr>
          <w:p w:rsidR="00EB0232" w:rsidRPr="00F34170" w:rsidRDefault="00EB0232" w:rsidP="00A9603E">
            <w:pPr>
              <w:pStyle w:val="TableCellText10pt"/>
              <w:keepNext w:val="0"/>
              <w:spacing w:after="0"/>
              <w:jc w:val="center"/>
              <w:rPr>
                <w:iCs/>
                <w:sz w:val="18"/>
                <w:szCs w:val="18"/>
                <w:lang w:val="en-AU"/>
              </w:rPr>
            </w:pPr>
            <w:r w:rsidRPr="00F34170">
              <w:rPr>
                <w:iCs/>
                <w:sz w:val="18"/>
                <w:szCs w:val="18"/>
                <w:lang w:val="en-AU"/>
              </w:rPr>
              <w:t>13 (10)</w:t>
            </w:r>
          </w:p>
        </w:tc>
        <w:tc>
          <w:tcPr>
            <w:tcW w:w="1368" w:type="dxa"/>
            <w:tcBorders>
              <w:top w:val="nil"/>
              <w:left w:val="single" w:sz="4" w:space="0" w:color="auto"/>
              <w:bottom w:val="nil"/>
              <w:right w:val="single" w:sz="4" w:space="0" w:color="auto"/>
            </w:tcBorders>
            <w:vAlign w:val="bottom"/>
          </w:tcPr>
          <w:p w:rsidR="00EB0232" w:rsidRPr="00F34170" w:rsidRDefault="00EB0232" w:rsidP="00A9603E">
            <w:pPr>
              <w:pStyle w:val="TableCellText10pt"/>
              <w:keepNext w:val="0"/>
              <w:spacing w:after="0"/>
              <w:jc w:val="center"/>
              <w:rPr>
                <w:iCs/>
                <w:sz w:val="18"/>
                <w:szCs w:val="18"/>
                <w:lang w:val="en-AU"/>
              </w:rPr>
            </w:pPr>
            <w:r w:rsidRPr="00F34170">
              <w:rPr>
                <w:iCs/>
                <w:sz w:val="18"/>
                <w:szCs w:val="18"/>
                <w:lang w:val="en-AU"/>
              </w:rPr>
              <w:t>1 (&lt; 1)</w:t>
            </w:r>
          </w:p>
        </w:tc>
        <w:tc>
          <w:tcPr>
            <w:tcW w:w="1411" w:type="dxa"/>
            <w:tcBorders>
              <w:top w:val="nil"/>
              <w:left w:val="single" w:sz="4" w:space="0" w:color="auto"/>
              <w:bottom w:val="nil"/>
              <w:right w:val="single" w:sz="4" w:space="0" w:color="auto"/>
            </w:tcBorders>
          </w:tcPr>
          <w:p w:rsidR="00EB0232" w:rsidRPr="00F34170" w:rsidRDefault="00EA4374" w:rsidP="00A9603E">
            <w:pPr>
              <w:pStyle w:val="TableCellText10pt"/>
              <w:keepNext w:val="0"/>
              <w:spacing w:after="0"/>
              <w:jc w:val="center"/>
              <w:rPr>
                <w:iCs/>
                <w:sz w:val="18"/>
                <w:szCs w:val="18"/>
                <w:lang w:val="en-AU"/>
              </w:rPr>
            </w:pPr>
            <w:r w:rsidRPr="00F34170">
              <w:rPr>
                <w:iCs/>
                <w:sz w:val="18"/>
                <w:szCs w:val="18"/>
                <w:lang w:val="en-AU"/>
              </w:rPr>
              <w:t xml:space="preserve">- </w:t>
            </w:r>
          </w:p>
        </w:tc>
        <w:tc>
          <w:tcPr>
            <w:tcW w:w="1411" w:type="dxa"/>
            <w:tcBorders>
              <w:top w:val="nil"/>
              <w:left w:val="single" w:sz="4" w:space="0" w:color="auto"/>
              <w:bottom w:val="nil"/>
              <w:right w:val="single" w:sz="4" w:space="0" w:color="auto"/>
            </w:tcBorders>
          </w:tcPr>
          <w:p w:rsidR="00EB0232" w:rsidRPr="00F34170" w:rsidRDefault="00EA4374" w:rsidP="00A9603E">
            <w:pPr>
              <w:pStyle w:val="TableCellText10pt"/>
              <w:keepNext w:val="0"/>
              <w:spacing w:after="0"/>
              <w:jc w:val="center"/>
              <w:rPr>
                <w:iCs/>
                <w:sz w:val="18"/>
                <w:szCs w:val="18"/>
                <w:lang w:val="en-AU"/>
              </w:rPr>
            </w:pPr>
            <w:r w:rsidRPr="00F34170">
              <w:rPr>
                <w:iCs/>
                <w:sz w:val="18"/>
                <w:szCs w:val="18"/>
                <w:lang w:val="en-AU"/>
              </w:rPr>
              <w:t xml:space="preserve">- </w:t>
            </w:r>
          </w:p>
        </w:tc>
      </w:tr>
      <w:tr w:rsidR="00EB0232" w:rsidRPr="00F34170" w:rsidTr="00BD73FD">
        <w:trPr>
          <w:jc w:val="center"/>
        </w:trPr>
        <w:tc>
          <w:tcPr>
            <w:tcW w:w="3758" w:type="dxa"/>
            <w:tcBorders>
              <w:top w:val="nil"/>
              <w:left w:val="single" w:sz="4" w:space="0" w:color="auto"/>
              <w:bottom w:val="nil"/>
              <w:right w:val="single" w:sz="4" w:space="0" w:color="auto"/>
            </w:tcBorders>
            <w:vAlign w:val="bottom"/>
          </w:tcPr>
          <w:p w:rsidR="00EB0232" w:rsidRPr="00F34170" w:rsidRDefault="00EB0232" w:rsidP="00A9603E">
            <w:pPr>
              <w:pStyle w:val="TableCellText10pt"/>
              <w:keepNext w:val="0"/>
              <w:spacing w:after="0"/>
              <w:rPr>
                <w:b/>
                <w:sz w:val="18"/>
                <w:szCs w:val="18"/>
                <w:lang w:val="en-AU"/>
              </w:rPr>
            </w:pPr>
            <w:r w:rsidRPr="00F34170">
              <w:rPr>
                <w:b/>
                <w:sz w:val="18"/>
                <w:szCs w:val="18"/>
                <w:lang w:val="en-AU"/>
              </w:rPr>
              <w:lastRenderedPageBreak/>
              <w:t>Blood and lymphatic system disorders</w:t>
            </w:r>
          </w:p>
        </w:tc>
        <w:tc>
          <w:tcPr>
            <w:tcW w:w="1453" w:type="dxa"/>
            <w:tcBorders>
              <w:top w:val="nil"/>
              <w:left w:val="single" w:sz="4" w:space="0" w:color="auto"/>
              <w:bottom w:val="nil"/>
              <w:right w:val="single" w:sz="4" w:space="0" w:color="auto"/>
            </w:tcBorders>
            <w:vAlign w:val="bottom"/>
          </w:tcPr>
          <w:p w:rsidR="00EB0232" w:rsidRPr="00F34170" w:rsidRDefault="00EB0232" w:rsidP="00A9603E">
            <w:pPr>
              <w:pStyle w:val="TableCellText10pt"/>
              <w:keepNext w:val="0"/>
              <w:spacing w:after="0"/>
              <w:jc w:val="center"/>
              <w:rPr>
                <w:iCs/>
                <w:sz w:val="18"/>
                <w:szCs w:val="18"/>
                <w:lang w:val="en-AU"/>
              </w:rPr>
            </w:pPr>
          </w:p>
        </w:tc>
        <w:tc>
          <w:tcPr>
            <w:tcW w:w="1368" w:type="dxa"/>
            <w:tcBorders>
              <w:top w:val="nil"/>
              <w:left w:val="single" w:sz="4" w:space="0" w:color="auto"/>
              <w:bottom w:val="nil"/>
              <w:right w:val="single" w:sz="4" w:space="0" w:color="auto"/>
            </w:tcBorders>
            <w:vAlign w:val="bottom"/>
          </w:tcPr>
          <w:p w:rsidR="00EB0232" w:rsidRPr="00F34170" w:rsidRDefault="00EB0232" w:rsidP="00A9603E">
            <w:pPr>
              <w:pStyle w:val="TableCellText10pt"/>
              <w:keepNext w:val="0"/>
              <w:spacing w:after="0"/>
              <w:jc w:val="center"/>
              <w:rPr>
                <w:iCs/>
                <w:sz w:val="18"/>
                <w:szCs w:val="18"/>
                <w:lang w:val="en-AU"/>
              </w:rPr>
            </w:pPr>
          </w:p>
        </w:tc>
        <w:tc>
          <w:tcPr>
            <w:tcW w:w="1411" w:type="dxa"/>
            <w:tcBorders>
              <w:top w:val="nil"/>
              <w:left w:val="single" w:sz="4" w:space="0" w:color="auto"/>
              <w:bottom w:val="nil"/>
              <w:right w:val="single" w:sz="4" w:space="0" w:color="auto"/>
            </w:tcBorders>
          </w:tcPr>
          <w:p w:rsidR="00EB0232" w:rsidRPr="00F34170" w:rsidRDefault="00EB0232" w:rsidP="00A9603E">
            <w:pPr>
              <w:pStyle w:val="TableCellText10pt"/>
              <w:keepNext w:val="0"/>
              <w:spacing w:after="0"/>
              <w:jc w:val="center"/>
              <w:rPr>
                <w:iCs/>
                <w:sz w:val="18"/>
                <w:szCs w:val="18"/>
                <w:lang w:val="en-AU"/>
              </w:rPr>
            </w:pPr>
          </w:p>
        </w:tc>
        <w:tc>
          <w:tcPr>
            <w:tcW w:w="1411" w:type="dxa"/>
            <w:tcBorders>
              <w:top w:val="nil"/>
              <w:left w:val="single" w:sz="4" w:space="0" w:color="auto"/>
              <w:bottom w:val="nil"/>
              <w:right w:val="single" w:sz="4" w:space="0" w:color="auto"/>
            </w:tcBorders>
          </w:tcPr>
          <w:p w:rsidR="00EB0232" w:rsidRPr="00F34170" w:rsidRDefault="00EB0232" w:rsidP="00A9603E">
            <w:pPr>
              <w:pStyle w:val="TableCellText10pt"/>
              <w:keepNext w:val="0"/>
              <w:spacing w:after="0"/>
              <w:jc w:val="center"/>
              <w:rPr>
                <w:iCs/>
                <w:sz w:val="18"/>
                <w:szCs w:val="18"/>
                <w:lang w:val="en-AU"/>
              </w:rPr>
            </w:pPr>
          </w:p>
        </w:tc>
      </w:tr>
      <w:tr w:rsidR="00EB0232" w:rsidRPr="00F34170" w:rsidTr="00BD73FD">
        <w:trPr>
          <w:jc w:val="center"/>
        </w:trPr>
        <w:tc>
          <w:tcPr>
            <w:tcW w:w="3758" w:type="dxa"/>
            <w:tcBorders>
              <w:top w:val="nil"/>
              <w:left w:val="single" w:sz="4" w:space="0" w:color="auto"/>
              <w:bottom w:val="nil"/>
              <w:right w:val="single" w:sz="4" w:space="0" w:color="auto"/>
            </w:tcBorders>
            <w:vAlign w:val="bottom"/>
          </w:tcPr>
          <w:p w:rsidR="00EB0232" w:rsidRPr="00F34170" w:rsidRDefault="00EB0232" w:rsidP="00A9603E">
            <w:pPr>
              <w:pStyle w:val="TableCellText10pt"/>
              <w:keepNext w:val="0"/>
              <w:spacing w:after="0"/>
              <w:ind w:left="187"/>
              <w:rPr>
                <w:sz w:val="18"/>
                <w:szCs w:val="18"/>
                <w:lang w:val="en-AU"/>
              </w:rPr>
            </w:pPr>
            <w:r w:rsidRPr="00F34170">
              <w:rPr>
                <w:sz w:val="18"/>
                <w:szCs w:val="18"/>
                <w:lang w:val="en-AU"/>
              </w:rPr>
              <w:t>Thrombocytopenia</w:t>
            </w:r>
          </w:p>
        </w:tc>
        <w:tc>
          <w:tcPr>
            <w:tcW w:w="1453" w:type="dxa"/>
            <w:tcBorders>
              <w:top w:val="nil"/>
              <w:left w:val="single" w:sz="4" w:space="0" w:color="auto"/>
              <w:bottom w:val="nil"/>
              <w:right w:val="single" w:sz="4" w:space="0" w:color="auto"/>
            </w:tcBorders>
            <w:vAlign w:val="bottom"/>
          </w:tcPr>
          <w:p w:rsidR="00EB0232" w:rsidRPr="00F34170" w:rsidRDefault="00EB0232" w:rsidP="00A9603E">
            <w:pPr>
              <w:pStyle w:val="TableCellText10pt"/>
              <w:keepNext w:val="0"/>
              <w:spacing w:after="0"/>
              <w:jc w:val="center"/>
              <w:rPr>
                <w:iCs/>
                <w:sz w:val="18"/>
                <w:szCs w:val="18"/>
                <w:lang w:val="en-AU"/>
              </w:rPr>
            </w:pPr>
            <w:r w:rsidRPr="00F34170">
              <w:rPr>
                <w:iCs/>
                <w:sz w:val="18"/>
                <w:szCs w:val="18"/>
                <w:lang w:val="en-AU"/>
              </w:rPr>
              <w:t>53 (41)</w:t>
            </w:r>
          </w:p>
        </w:tc>
        <w:tc>
          <w:tcPr>
            <w:tcW w:w="1368" w:type="dxa"/>
            <w:tcBorders>
              <w:top w:val="nil"/>
              <w:left w:val="single" w:sz="4" w:space="0" w:color="auto"/>
              <w:bottom w:val="nil"/>
              <w:right w:val="single" w:sz="4" w:space="0" w:color="auto"/>
            </w:tcBorders>
            <w:vAlign w:val="bottom"/>
          </w:tcPr>
          <w:p w:rsidR="00EB0232" w:rsidRPr="00F34170" w:rsidRDefault="00EB0232" w:rsidP="00A9603E">
            <w:pPr>
              <w:pStyle w:val="TableCellText10pt"/>
              <w:keepNext w:val="0"/>
              <w:spacing w:after="0"/>
              <w:jc w:val="center"/>
              <w:rPr>
                <w:iCs/>
                <w:sz w:val="18"/>
                <w:szCs w:val="18"/>
                <w:lang w:val="en-AU"/>
              </w:rPr>
            </w:pPr>
            <w:r w:rsidRPr="00F34170">
              <w:rPr>
                <w:iCs/>
                <w:sz w:val="18"/>
                <w:szCs w:val="18"/>
                <w:lang w:val="en-AU"/>
              </w:rPr>
              <w:t>32 (24)</w:t>
            </w:r>
          </w:p>
        </w:tc>
        <w:tc>
          <w:tcPr>
            <w:tcW w:w="1411" w:type="dxa"/>
            <w:tcBorders>
              <w:top w:val="nil"/>
              <w:left w:val="single" w:sz="4" w:space="0" w:color="auto"/>
              <w:bottom w:val="nil"/>
              <w:right w:val="single" w:sz="4" w:space="0" w:color="auto"/>
            </w:tcBorders>
          </w:tcPr>
          <w:p w:rsidR="00EB0232" w:rsidRPr="00F34170" w:rsidRDefault="00EB0232" w:rsidP="00A9603E">
            <w:pPr>
              <w:pStyle w:val="TableCellText10pt"/>
              <w:keepNext w:val="0"/>
              <w:spacing w:after="0"/>
              <w:jc w:val="center"/>
              <w:rPr>
                <w:iCs/>
                <w:sz w:val="18"/>
                <w:szCs w:val="18"/>
                <w:lang w:val="en-AU"/>
              </w:rPr>
            </w:pPr>
            <w:r w:rsidRPr="00F34170">
              <w:rPr>
                <w:iCs/>
                <w:sz w:val="18"/>
                <w:szCs w:val="18"/>
                <w:lang w:val="en-AU"/>
              </w:rPr>
              <w:t>52 (40)</w:t>
            </w:r>
          </w:p>
        </w:tc>
        <w:tc>
          <w:tcPr>
            <w:tcW w:w="1411" w:type="dxa"/>
            <w:tcBorders>
              <w:top w:val="nil"/>
              <w:left w:val="single" w:sz="4" w:space="0" w:color="auto"/>
              <w:bottom w:val="nil"/>
              <w:right w:val="single" w:sz="4" w:space="0" w:color="auto"/>
            </w:tcBorders>
          </w:tcPr>
          <w:p w:rsidR="00EB0232" w:rsidRPr="00F34170" w:rsidRDefault="00EB0232" w:rsidP="00A9603E">
            <w:pPr>
              <w:pStyle w:val="TableCellText10pt"/>
              <w:keepNext w:val="0"/>
              <w:spacing w:after="0"/>
              <w:jc w:val="center"/>
              <w:rPr>
                <w:iCs/>
                <w:sz w:val="18"/>
                <w:szCs w:val="18"/>
                <w:lang w:val="en-AU"/>
              </w:rPr>
            </w:pPr>
            <w:r w:rsidRPr="00F34170">
              <w:rPr>
                <w:iCs/>
                <w:sz w:val="18"/>
                <w:szCs w:val="18"/>
                <w:lang w:val="en-AU"/>
              </w:rPr>
              <w:t>30 (23)</w:t>
            </w:r>
          </w:p>
        </w:tc>
      </w:tr>
      <w:tr w:rsidR="00EB0232" w:rsidRPr="00F34170" w:rsidTr="00BD73FD">
        <w:trPr>
          <w:jc w:val="center"/>
        </w:trPr>
        <w:tc>
          <w:tcPr>
            <w:tcW w:w="3758" w:type="dxa"/>
            <w:tcBorders>
              <w:top w:val="nil"/>
              <w:left w:val="single" w:sz="4" w:space="0" w:color="auto"/>
              <w:bottom w:val="nil"/>
              <w:right w:val="single" w:sz="4" w:space="0" w:color="auto"/>
            </w:tcBorders>
            <w:vAlign w:val="bottom"/>
          </w:tcPr>
          <w:p w:rsidR="00EB0232" w:rsidRPr="00F34170" w:rsidRDefault="00EB0232" w:rsidP="00A9603E">
            <w:pPr>
              <w:pStyle w:val="TableCellText10pt"/>
              <w:keepNext w:val="0"/>
              <w:spacing w:after="0"/>
              <w:ind w:left="187"/>
              <w:rPr>
                <w:sz w:val="18"/>
                <w:szCs w:val="18"/>
                <w:lang w:val="en-AU"/>
              </w:rPr>
            </w:pPr>
            <w:r w:rsidRPr="00F34170">
              <w:rPr>
                <w:sz w:val="18"/>
                <w:szCs w:val="18"/>
                <w:lang w:val="en-AU"/>
              </w:rPr>
              <w:t>Neutropenia</w:t>
            </w:r>
          </w:p>
        </w:tc>
        <w:tc>
          <w:tcPr>
            <w:tcW w:w="1453" w:type="dxa"/>
            <w:tcBorders>
              <w:top w:val="nil"/>
              <w:left w:val="single" w:sz="4" w:space="0" w:color="auto"/>
              <w:bottom w:val="nil"/>
              <w:right w:val="single" w:sz="4" w:space="0" w:color="auto"/>
            </w:tcBorders>
            <w:vAlign w:val="bottom"/>
          </w:tcPr>
          <w:p w:rsidR="00EB0232" w:rsidRPr="00F34170" w:rsidRDefault="00EB0232" w:rsidP="00A9603E">
            <w:pPr>
              <w:pStyle w:val="TableCellText10pt"/>
              <w:keepNext w:val="0"/>
              <w:spacing w:after="0"/>
              <w:jc w:val="center"/>
              <w:rPr>
                <w:iCs/>
                <w:sz w:val="18"/>
                <w:szCs w:val="18"/>
                <w:lang w:val="en-AU"/>
              </w:rPr>
            </w:pPr>
            <w:r w:rsidRPr="00F34170">
              <w:rPr>
                <w:iCs/>
                <w:sz w:val="18"/>
                <w:szCs w:val="18"/>
                <w:lang w:val="en-AU"/>
              </w:rPr>
              <w:t>39 (30)</w:t>
            </w:r>
          </w:p>
        </w:tc>
        <w:tc>
          <w:tcPr>
            <w:tcW w:w="1368" w:type="dxa"/>
            <w:tcBorders>
              <w:top w:val="nil"/>
              <w:left w:val="single" w:sz="4" w:space="0" w:color="auto"/>
              <w:bottom w:val="nil"/>
              <w:right w:val="single" w:sz="4" w:space="0" w:color="auto"/>
            </w:tcBorders>
            <w:vAlign w:val="bottom"/>
          </w:tcPr>
          <w:p w:rsidR="00EB0232" w:rsidRPr="00F34170" w:rsidRDefault="00EB0232" w:rsidP="00A9603E">
            <w:pPr>
              <w:pStyle w:val="TableCellText10pt"/>
              <w:keepNext w:val="0"/>
              <w:spacing w:after="0"/>
              <w:jc w:val="center"/>
              <w:rPr>
                <w:iCs/>
                <w:sz w:val="18"/>
                <w:szCs w:val="18"/>
                <w:lang w:val="en-AU"/>
              </w:rPr>
            </w:pPr>
            <w:r w:rsidRPr="00F34170">
              <w:rPr>
                <w:iCs/>
                <w:sz w:val="18"/>
                <w:szCs w:val="18"/>
                <w:lang w:val="en-AU"/>
              </w:rPr>
              <w:t>26 (20)</w:t>
            </w:r>
          </w:p>
        </w:tc>
        <w:tc>
          <w:tcPr>
            <w:tcW w:w="1411" w:type="dxa"/>
            <w:tcBorders>
              <w:top w:val="nil"/>
              <w:left w:val="single" w:sz="4" w:space="0" w:color="auto"/>
              <w:bottom w:val="nil"/>
              <w:right w:val="single" w:sz="4" w:space="0" w:color="auto"/>
            </w:tcBorders>
          </w:tcPr>
          <w:p w:rsidR="00EB0232" w:rsidRPr="00F34170" w:rsidRDefault="00EB0232" w:rsidP="00A9603E">
            <w:pPr>
              <w:pStyle w:val="TableCellText10pt"/>
              <w:keepNext w:val="0"/>
              <w:spacing w:after="0"/>
              <w:jc w:val="center"/>
              <w:rPr>
                <w:iCs/>
                <w:sz w:val="18"/>
                <w:szCs w:val="18"/>
                <w:lang w:val="en-AU"/>
              </w:rPr>
            </w:pPr>
            <w:r w:rsidRPr="00F34170">
              <w:rPr>
                <w:iCs/>
                <w:sz w:val="18"/>
                <w:szCs w:val="18"/>
                <w:lang w:val="en-AU"/>
              </w:rPr>
              <w:t>38 (29)</w:t>
            </w:r>
          </w:p>
        </w:tc>
        <w:tc>
          <w:tcPr>
            <w:tcW w:w="1411" w:type="dxa"/>
            <w:tcBorders>
              <w:top w:val="nil"/>
              <w:left w:val="single" w:sz="4" w:space="0" w:color="auto"/>
              <w:bottom w:val="nil"/>
              <w:right w:val="single" w:sz="4" w:space="0" w:color="auto"/>
            </w:tcBorders>
          </w:tcPr>
          <w:p w:rsidR="00EB0232" w:rsidRPr="00F34170" w:rsidRDefault="00EB0232" w:rsidP="00A9603E">
            <w:pPr>
              <w:pStyle w:val="TableCellText10pt"/>
              <w:keepNext w:val="0"/>
              <w:spacing w:after="0"/>
              <w:jc w:val="center"/>
              <w:rPr>
                <w:iCs/>
                <w:sz w:val="18"/>
                <w:szCs w:val="18"/>
                <w:lang w:val="en-AU"/>
              </w:rPr>
            </w:pPr>
            <w:r w:rsidRPr="00F34170">
              <w:rPr>
                <w:iCs/>
                <w:sz w:val="18"/>
                <w:szCs w:val="18"/>
                <w:lang w:val="en-AU"/>
              </w:rPr>
              <w:t>24 (18)</w:t>
            </w:r>
          </w:p>
        </w:tc>
      </w:tr>
      <w:tr w:rsidR="00EB0232" w:rsidRPr="00F34170" w:rsidTr="00BD73FD">
        <w:trPr>
          <w:jc w:val="center"/>
        </w:trPr>
        <w:tc>
          <w:tcPr>
            <w:tcW w:w="3758" w:type="dxa"/>
            <w:tcBorders>
              <w:top w:val="nil"/>
              <w:left w:val="single" w:sz="4" w:space="0" w:color="auto"/>
              <w:bottom w:val="nil"/>
              <w:right w:val="single" w:sz="4" w:space="0" w:color="auto"/>
            </w:tcBorders>
            <w:vAlign w:val="bottom"/>
          </w:tcPr>
          <w:p w:rsidR="00EB0232" w:rsidRPr="00F34170" w:rsidRDefault="00EB0232" w:rsidP="00A9603E">
            <w:pPr>
              <w:pStyle w:val="TableCellText10pt"/>
              <w:keepNext w:val="0"/>
              <w:spacing w:after="0"/>
              <w:ind w:left="187"/>
              <w:rPr>
                <w:sz w:val="18"/>
                <w:szCs w:val="18"/>
                <w:lang w:val="en-AU"/>
              </w:rPr>
            </w:pPr>
            <w:r w:rsidRPr="00F34170">
              <w:rPr>
                <w:sz w:val="18"/>
                <w:szCs w:val="18"/>
                <w:lang w:val="en-AU"/>
              </w:rPr>
              <w:t>Anaemia</w:t>
            </w:r>
          </w:p>
        </w:tc>
        <w:tc>
          <w:tcPr>
            <w:tcW w:w="1453" w:type="dxa"/>
            <w:tcBorders>
              <w:top w:val="nil"/>
              <w:left w:val="single" w:sz="4" w:space="0" w:color="auto"/>
              <w:bottom w:val="nil"/>
              <w:right w:val="single" w:sz="4" w:space="0" w:color="auto"/>
            </w:tcBorders>
            <w:vAlign w:val="bottom"/>
          </w:tcPr>
          <w:p w:rsidR="00EB0232" w:rsidRPr="00F34170" w:rsidRDefault="00EB0232" w:rsidP="00A9603E">
            <w:pPr>
              <w:pStyle w:val="TableCellText10pt"/>
              <w:keepNext w:val="0"/>
              <w:spacing w:after="0"/>
              <w:jc w:val="center"/>
              <w:rPr>
                <w:iCs/>
                <w:sz w:val="18"/>
                <w:szCs w:val="18"/>
                <w:lang w:val="en-AU"/>
              </w:rPr>
            </w:pPr>
            <w:r w:rsidRPr="00F34170">
              <w:rPr>
                <w:iCs/>
                <w:sz w:val="18"/>
                <w:szCs w:val="18"/>
                <w:lang w:val="en-AU"/>
              </w:rPr>
              <w:t>32 (24)</w:t>
            </w:r>
          </w:p>
        </w:tc>
        <w:tc>
          <w:tcPr>
            <w:tcW w:w="1368" w:type="dxa"/>
            <w:tcBorders>
              <w:top w:val="nil"/>
              <w:left w:val="single" w:sz="4" w:space="0" w:color="auto"/>
              <w:bottom w:val="nil"/>
              <w:right w:val="single" w:sz="4" w:space="0" w:color="auto"/>
            </w:tcBorders>
            <w:vAlign w:val="bottom"/>
          </w:tcPr>
          <w:p w:rsidR="00EB0232" w:rsidRPr="00F34170" w:rsidRDefault="00EB0232" w:rsidP="00A9603E">
            <w:pPr>
              <w:pStyle w:val="TableCellText10pt"/>
              <w:keepNext w:val="0"/>
              <w:spacing w:after="0"/>
              <w:jc w:val="center"/>
              <w:rPr>
                <w:iCs/>
                <w:sz w:val="18"/>
                <w:szCs w:val="18"/>
                <w:lang w:val="en-AU"/>
              </w:rPr>
            </w:pPr>
            <w:r w:rsidRPr="00F34170">
              <w:rPr>
                <w:iCs/>
                <w:sz w:val="18"/>
                <w:szCs w:val="18"/>
                <w:lang w:val="en-AU"/>
              </w:rPr>
              <w:t>14 (11)</w:t>
            </w:r>
          </w:p>
        </w:tc>
        <w:tc>
          <w:tcPr>
            <w:tcW w:w="1411" w:type="dxa"/>
            <w:tcBorders>
              <w:top w:val="nil"/>
              <w:left w:val="single" w:sz="4" w:space="0" w:color="auto"/>
              <w:bottom w:val="nil"/>
              <w:right w:val="single" w:sz="4" w:space="0" w:color="auto"/>
            </w:tcBorders>
          </w:tcPr>
          <w:p w:rsidR="00EB0232" w:rsidRPr="00F34170" w:rsidRDefault="00EB0232" w:rsidP="00A9603E">
            <w:pPr>
              <w:pStyle w:val="TableCellText10pt"/>
              <w:keepNext w:val="0"/>
              <w:spacing w:after="0"/>
              <w:jc w:val="center"/>
              <w:rPr>
                <w:iCs/>
                <w:sz w:val="18"/>
                <w:szCs w:val="18"/>
                <w:lang w:val="en-AU"/>
              </w:rPr>
            </w:pPr>
            <w:r w:rsidRPr="00F34170">
              <w:rPr>
                <w:iCs/>
                <w:sz w:val="18"/>
                <w:szCs w:val="18"/>
                <w:lang w:val="en-AU"/>
              </w:rPr>
              <w:t>27 (21)</w:t>
            </w:r>
          </w:p>
        </w:tc>
        <w:tc>
          <w:tcPr>
            <w:tcW w:w="1411" w:type="dxa"/>
            <w:tcBorders>
              <w:top w:val="nil"/>
              <w:left w:val="single" w:sz="4" w:space="0" w:color="auto"/>
              <w:bottom w:val="nil"/>
              <w:right w:val="single" w:sz="4" w:space="0" w:color="auto"/>
            </w:tcBorders>
          </w:tcPr>
          <w:p w:rsidR="00EB0232" w:rsidRPr="00F34170" w:rsidRDefault="00EB0232" w:rsidP="00A9603E">
            <w:pPr>
              <w:pStyle w:val="TableCellText10pt"/>
              <w:keepNext w:val="0"/>
              <w:spacing w:after="0"/>
              <w:jc w:val="center"/>
              <w:rPr>
                <w:iCs/>
                <w:sz w:val="18"/>
                <w:szCs w:val="18"/>
                <w:lang w:val="en-AU"/>
              </w:rPr>
            </w:pPr>
            <w:r w:rsidRPr="00F34170">
              <w:rPr>
                <w:iCs/>
                <w:sz w:val="18"/>
                <w:szCs w:val="18"/>
                <w:lang w:val="en-AU"/>
              </w:rPr>
              <w:t>7 (5)</w:t>
            </w:r>
          </w:p>
        </w:tc>
      </w:tr>
      <w:tr w:rsidR="00EB0232" w:rsidRPr="00F34170" w:rsidTr="00BD73FD">
        <w:trPr>
          <w:jc w:val="center"/>
        </w:trPr>
        <w:tc>
          <w:tcPr>
            <w:tcW w:w="3758" w:type="dxa"/>
            <w:tcBorders>
              <w:top w:val="nil"/>
              <w:left w:val="single" w:sz="4" w:space="0" w:color="auto"/>
              <w:bottom w:val="nil"/>
              <w:right w:val="single" w:sz="4" w:space="0" w:color="auto"/>
            </w:tcBorders>
            <w:vAlign w:val="bottom"/>
          </w:tcPr>
          <w:p w:rsidR="00EB0232" w:rsidRPr="00F34170" w:rsidRDefault="00EB0232" w:rsidP="00A9603E">
            <w:pPr>
              <w:pStyle w:val="TableCellText10pt"/>
              <w:keepNext w:val="0"/>
              <w:spacing w:after="0"/>
              <w:ind w:left="187"/>
              <w:rPr>
                <w:sz w:val="18"/>
                <w:szCs w:val="18"/>
                <w:lang w:val="en-AU"/>
              </w:rPr>
            </w:pPr>
            <w:r w:rsidRPr="00F34170">
              <w:rPr>
                <w:sz w:val="18"/>
                <w:szCs w:val="18"/>
                <w:lang w:val="en-AU"/>
              </w:rPr>
              <w:t>Leukopenia</w:t>
            </w:r>
          </w:p>
        </w:tc>
        <w:tc>
          <w:tcPr>
            <w:tcW w:w="1453" w:type="dxa"/>
            <w:tcBorders>
              <w:top w:val="nil"/>
              <w:left w:val="single" w:sz="4" w:space="0" w:color="auto"/>
              <w:bottom w:val="nil"/>
              <w:right w:val="single" w:sz="4" w:space="0" w:color="auto"/>
            </w:tcBorders>
            <w:vAlign w:val="bottom"/>
          </w:tcPr>
          <w:p w:rsidR="00EB0232" w:rsidRPr="00F34170" w:rsidRDefault="00EB0232" w:rsidP="00A9603E">
            <w:pPr>
              <w:pStyle w:val="TableCellText10pt"/>
              <w:keepNext w:val="0"/>
              <w:spacing w:after="0"/>
              <w:jc w:val="center"/>
              <w:rPr>
                <w:iCs/>
                <w:sz w:val="18"/>
                <w:szCs w:val="18"/>
                <w:lang w:val="en-AU"/>
              </w:rPr>
            </w:pPr>
            <w:r w:rsidRPr="00F34170">
              <w:rPr>
                <w:iCs/>
                <w:sz w:val="18"/>
                <w:szCs w:val="18"/>
                <w:lang w:val="en-AU"/>
              </w:rPr>
              <w:t>16 (12)</w:t>
            </w:r>
          </w:p>
        </w:tc>
        <w:tc>
          <w:tcPr>
            <w:tcW w:w="1368" w:type="dxa"/>
            <w:tcBorders>
              <w:top w:val="nil"/>
              <w:left w:val="single" w:sz="4" w:space="0" w:color="auto"/>
              <w:bottom w:val="nil"/>
              <w:right w:val="single" w:sz="4" w:space="0" w:color="auto"/>
            </w:tcBorders>
            <w:vAlign w:val="bottom"/>
          </w:tcPr>
          <w:p w:rsidR="00EB0232" w:rsidRPr="00F34170" w:rsidRDefault="00EB0232" w:rsidP="00A9603E">
            <w:pPr>
              <w:pStyle w:val="TableCellText10pt"/>
              <w:keepNext w:val="0"/>
              <w:spacing w:after="0"/>
              <w:jc w:val="center"/>
              <w:rPr>
                <w:iCs/>
                <w:sz w:val="18"/>
                <w:szCs w:val="18"/>
                <w:lang w:val="en-AU"/>
              </w:rPr>
            </w:pPr>
            <w:r w:rsidRPr="00F34170">
              <w:rPr>
                <w:iCs/>
                <w:sz w:val="18"/>
                <w:szCs w:val="18"/>
                <w:lang w:val="en-AU"/>
              </w:rPr>
              <w:t>8 (6)</w:t>
            </w:r>
          </w:p>
        </w:tc>
        <w:tc>
          <w:tcPr>
            <w:tcW w:w="1411" w:type="dxa"/>
            <w:tcBorders>
              <w:top w:val="nil"/>
              <w:left w:val="single" w:sz="4" w:space="0" w:color="auto"/>
              <w:bottom w:val="nil"/>
              <w:right w:val="single" w:sz="4" w:space="0" w:color="auto"/>
            </w:tcBorders>
          </w:tcPr>
          <w:p w:rsidR="00EB0232" w:rsidRPr="00F34170" w:rsidRDefault="00EB0232" w:rsidP="00A9603E">
            <w:pPr>
              <w:pStyle w:val="TableCellText10pt"/>
              <w:keepNext w:val="0"/>
              <w:spacing w:after="0"/>
              <w:jc w:val="center"/>
              <w:rPr>
                <w:iCs/>
                <w:sz w:val="18"/>
                <w:szCs w:val="18"/>
                <w:lang w:val="en-AU"/>
              </w:rPr>
            </w:pPr>
            <w:r w:rsidRPr="00F34170">
              <w:rPr>
                <w:iCs/>
                <w:sz w:val="18"/>
                <w:szCs w:val="18"/>
                <w:lang w:val="en-AU"/>
              </w:rPr>
              <w:t>16 (12)</w:t>
            </w:r>
          </w:p>
        </w:tc>
        <w:tc>
          <w:tcPr>
            <w:tcW w:w="1411" w:type="dxa"/>
            <w:tcBorders>
              <w:top w:val="nil"/>
              <w:left w:val="single" w:sz="4" w:space="0" w:color="auto"/>
              <w:bottom w:val="nil"/>
              <w:right w:val="single" w:sz="4" w:space="0" w:color="auto"/>
            </w:tcBorders>
          </w:tcPr>
          <w:p w:rsidR="00EB0232" w:rsidRPr="00F34170" w:rsidRDefault="00EB0232" w:rsidP="00A9603E">
            <w:pPr>
              <w:pStyle w:val="TableCellText10pt"/>
              <w:keepNext w:val="0"/>
              <w:spacing w:after="0"/>
              <w:jc w:val="center"/>
              <w:rPr>
                <w:iCs/>
                <w:sz w:val="18"/>
                <w:szCs w:val="18"/>
                <w:lang w:val="en-AU"/>
              </w:rPr>
            </w:pPr>
            <w:r w:rsidRPr="00F34170">
              <w:rPr>
                <w:iCs/>
                <w:sz w:val="18"/>
                <w:szCs w:val="18"/>
                <w:lang w:val="en-AU"/>
              </w:rPr>
              <w:t>8 (6)</w:t>
            </w:r>
          </w:p>
        </w:tc>
      </w:tr>
      <w:tr w:rsidR="00EB0232" w:rsidRPr="00F34170" w:rsidTr="00794937">
        <w:trPr>
          <w:jc w:val="center"/>
        </w:trPr>
        <w:tc>
          <w:tcPr>
            <w:tcW w:w="3758" w:type="dxa"/>
            <w:tcBorders>
              <w:top w:val="nil"/>
              <w:left w:val="single" w:sz="4" w:space="0" w:color="auto"/>
              <w:right w:val="single" w:sz="4" w:space="0" w:color="auto"/>
            </w:tcBorders>
            <w:vAlign w:val="bottom"/>
          </w:tcPr>
          <w:p w:rsidR="00EB0232" w:rsidRPr="00F34170" w:rsidRDefault="00EB0232" w:rsidP="00A9603E">
            <w:pPr>
              <w:pStyle w:val="TableCellText10pt"/>
              <w:keepNext w:val="0"/>
              <w:spacing w:after="0"/>
              <w:rPr>
                <w:b/>
                <w:sz w:val="18"/>
                <w:szCs w:val="18"/>
                <w:lang w:val="en-AU"/>
              </w:rPr>
            </w:pPr>
            <w:r w:rsidRPr="00F34170">
              <w:rPr>
                <w:b/>
                <w:sz w:val="18"/>
                <w:szCs w:val="18"/>
                <w:lang w:val="en-AU"/>
              </w:rPr>
              <w:t>Metabolism and nutrition disorders</w:t>
            </w:r>
          </w:p>
        </w:tc>
        <w:tc>
          <w:tcPr>
            <w:tcW w:w="1453" w:type="dxa"/>
            <w:tcBorders>
              <w:top w:val="nil"/>
              <w:left w:val="single" w:sz="4" w:space="0" w:color="auto"/>
              <w:right w:val="single" w:sz="4" w:space="0" w:color="auto"/>
            </w:tcBorders>
            <w:vAlign w:val="bottom"/>
          </w:tcPr>
          <w:p w:rsidR="00EB0232" w:rsidRPr="00F34170" w:rsidRDefault="00EB0232" w:rsidP="00A9603E">
            <w:pPr>
              <w:pStyle w:val="TableCellText10pt"/>
              <w:keepNext w:val="0"/>
              <w:spacing w:after="0"/>
              <w:rPr>
                <w:sz w:val="18"/>
                <w:szCs w:val="18"/>
                <w:lang w:val="en-AU"/>
              </w:rPr>
            </w:pPr>
          </w:p>
        </w:tc>
        <w:tc>
          <w:tcPr>
            <w:tcW w:w="1368" w:type="dxa"/>
            <w:tcBorders>
              <w:top w:val="nil"/>
              <w:left w:val="single" w:sz="4" w:space="0" w:color="auto"/>
              <w:right w:val="single" w:sz="4" w:space="0" w:color="auto"/>
            </w:tcBorders>
            <w:vAlign w:val="bottom"/>
          </w:tcPr>
          <w:p w:rsidR="00EB0232" w:rsidRPr="00F34170" w:rsidRDefault="00EB0232" w:rsidP="00A9603E">
            <w:pPr>
              <w:pStyle w:val="TableCellText10pt"/>
              <w:keepNext w:val="0"/>
              <w:spacing w:after="0"/>
              <w:rPr>
                <w:sz w:val="18"/>
                <w:szCs w:val="18"/>
                <w:lang w:val="en-AU"/>
              </w:rPr>
            </w:pPr>
          </w:p>
        </w:tc>
        <w:tc>
          <w:tcPr>
            <w:tcW w:w="1411" w:type="dxa"/>
            <w:tcBorders>
              <w:top w:val="nil"/>
              <w:left w:val="single" w:sz="4" w:space="0" w:color="auto"/>
              <w:right w:val="single" w:sz="4" w:space="0" w:color="auto"/>
            </w:tcBorders>
          </w:tcPr>
          <w:p w:rsidR="00EB0232" w:rsidRPr="00F34170" w:rsidRDefault="00EB0232" w:rsidP="00A9603E">
            <w:pPr>
              <w:pStyle w:val="TableCellText10pt"/>
              <w:keepNext w:val="0"/>
              <w:spacing w:after="0"/>
              <w:rPr>
                <w:sz w:val="18"/>
                <w:szCs w:val="18"/>
                <w:lang w:val="en-AU"/>
              </w:rPr>
            </w:pPr>
          </w:p>
        </w:tc>
        <w:tc>
          <w:tcPr>
            <w:tcW w:w="1411" w:type="dxa"/>
            <w:tcBorders>
              <w:top w:val="nil"/>
              <w:left w:val="single" w:sz="4" w:space="0" w:color="auto"/>
              <w:right w:val="single" w:sz="4" w:space="0" w:color="auto"/>
            </w:tcBorders>
          </w:tcPr>
          <w:p w:rsidR="00EB0232" w:rsidRPr="00F34170" w:rsidRDefault="00EB0232" w:rsidP="00A9603E">
            <w:pPr>
              <w:pStyle w:val="TableCellText10pt"/>
              <w:keepNext w:val="0"/>
              <w:spacing w:after="0"/>
              <w:rPr>
                <w:sz w:val="18"/>
                <w:szCs w:val="18"/>
                <w:lang w:val="en-AU"/>
              </w:rPr>
            </w:pPr>
          </w:p>
        </w:tc>
      </w:tr>
      <w:tr w:rsidR="00EB0232" w:rsidRPr="00F34170" w:rsidTr="00794937">
        <w:trPr>
          <w:jc w:val="center"/>
        </w:trPr>
        <w:tc>
          <w:tcPr>
            <w:tcW w:w="3758" w:type="dxa"/>
            <w:tcBorders>
              <w:top w:val="nil"/>
              <w:left w:val="single" w:sz="4" w:space="0" w:color="auto"/>
              <w:right w:val="single" w:sz="4" w:space="0" w:color="auto"/>
            </w:tcBorders>
            <w:vAlign w:val="bottom"/>
          </w:tcPr>
          <w:p w:rsidR="00EB0232" w:rsidRPr="00F34170" w:rsidRDefault="00EB0232" w:rsidP="00A9603E">
            <w:pPr>
              <w:pStyle w:val="TableCellText10pt"/>
              <w:keepNext w:val="0"/>
              <w:spacing w:after="0"/>
              <w:ind w:left="187"/>
              <w:rPr>
                <w:sz w:val="18"/>
                <w:szCs w:val="18"/>
                <w:lang w:val="en-AU"/>
              </w:rPr>
            </w:pPr>
            <w:r w:rsidRPr="00F34170">
              <w:rPr>
                <w:sz w:val="18"/>
                <w:szCs w:val="18"/>
                <w:lang w:val="en-AU"/>
              </w:rPr>
              <w:t>Anorexia</w:t>
            </w:r>
          </w:p>
        </w:tc>
        <w:tc>
          <w:tcPr>
            <w:tcW w:w="1453" w:type="dxa"/>
            <w:tcBorders>
              <w:top w:val="nil"/>
              <w:left w:val="single" w:sz="4" w:space="0" w:color="auto"/>
              <w:right w:val="single" w:sz="4" w:space="0" w:color="auto"/>
            </w:tcBorders>
            <w:vAlign w:val="bottom"/>
          </w:tcPr>
          <w:p w:rsidR="00EB0232" w:rsidRPr="00F34170" w:rsidRDefault="00EB0232" w:rsidP="00A9603E">
            <w:pPr>
              <w:pStyle w:val="TableCellText10pt"/>
              <w:keepNext w:val="0"/>
              <w:spacing w:after="0"/>
              <w:jc w:val="center"/>
              <w:rPr>
                <w:iCs/>
                <w:sz w:val="18"/>
                <w:szCs w:val="18"/>
                <w:lang w:val="en-AU"/>
              </w:rPr>
            </w:pPr>
            <w:r w:rsidRPr="00F34170">
              <w:rPr>
                <w:iCs/>
                <w:sz w:val="18"/>
                <w:szCs w:val="18"/>
                <w:lang w:val="en-AU"/>
              </w:rPr>
              <w:t>37 (28)</w:t>
            </w:r>
          </w:p>
        </w:tc>
        <w:tc>
          <w:tcPr>
            <w:tcW w:w="1368" w:type="dxa"/>
            <w:tcBorders>
              <w:top w:val="nil"/>
              <w:left w:val="single" w:sz="4" w:space="0" w:color="auto"/>
              <w:right w:val="single" w:sz="4" w:space="0" w:color="auto"/>
            </w:tcBorders>
            <w:vAlign w:val="bottom"/>
          </w:tcPr>
          <w:p w:rsidR="00EB0232" w:rsidRPr="00F34170" w:rsidRDefault="00EB0232" w:rsidP="00A9603E">
            <w:pPr>
              <w:pStyle w:val="TableCellText10pt"/>
              <w:keepNext w:val="0"/>
              <w:spacing w:after="0"/>
              <w:jc w:val="center"/>
              <w:rPr>
                <w:iCs/>
                <w:sz w:val="18"/>
                <w:szCs w:val="18"/>
                <w:lang w:val="en-AU"/>
              </w:rPr>
            </w:pPr>
            <w:r w:rsidRPr="00F34170">
              <w:rPr>
                <w:iCs/>
                <w:sz w:val="18"/>
                <w:szCs w:val="18"/>
                <w:lang w:val="en-AU"/>
              </w:rPr>
              <w:t>2 (2)</w:t>
            </w:r>
          </w:p>
        </w:tc>
        <w:tc>
          <w:tcPr>
            <w:tcW w:w="1411" w:type="dxa"/>
            <w:tcBorders>
              <w:top w:val="nil"/>
              <w:left w:val="single" w:sz="4" w:space="0" w:color="auto"/>
              <w:right w:val="single" w:sz="4" w:space="0" w:color="auto"/>
            </w:tcBorders>
          </w:tcPr>
          <w:p w:rsidR="00EB0232" w:rsidRPr="00F34170" w:rsidRDefault="00EB0232" w:rsidP="00A9603E">
            <w:pPr>
              <w:pStyle w:val="TableCellText10pt"/>
              <w:keepNext w:val="0"/>
              <w:spacing w:after="0"/>
              <w:jc w:val="center"/>
              <w:rPr>
                <w:iCs/>
                <w:sz w:val="18"/>
                <w:szCs w:val="18"/>
                <w:lang w:val="en-AU"/>
              </w:rPr>
            </w:pPr>
            <w:r w:rsidRPr="00F34170">
              <w:rPr>
                <w:iCs/>
                <w:sz w:val="18"/>
                <w:szCs w:val="18"/>
                <w:lang w:val="en-AU"/>
              </w:rPr>
              <w:t>34 (26)</w:t>
            </w:r>
          </w:p>
        </w:tc>
        <w:tc>
          <w:tcPr>
            <w:tcW w:w="1411" w:type="dxa"/>
            <w:tcBorders>
              <w:top w:val="nil"/>
              <w:left w:val="single" w:sz="4" w:space="0" w:color="auto"/>
              <w:right w:val="single" w:sz="4" w:space="0" w:color="auto"/>
            </w:tcBorders>
          </w:tcPr>
          <w:p w:rsidR="00EB0232" w:rsidRPr="00F34170" w:rsidRDefault="00EB0232" w:rsidP="00A9603E">
            <w:pPr>
              <w:pStyle w:val="TableCellText10pt"/>
              <w:keepNext w:val="0"/>
              <w:spacing w:after="0"/>
              <w:jc w:val="center"/>
              <w:rPr>
                <w:iCs/>
                <w:sz w:val="18"/>
                <w:szCs w:val="18"/>
                <w:lang w:val="en-AU"/>
              </w:rPr>
            </w:pPr>
            <w:r w:rsidRPr="00F34170">
              <w:rPr>
                <w:iCs/>
                <w:sz w:val="18"/>
                <w:szCs w:val="18"/>
                <w:lang w:val="en-AU"/>
              </w:rPr>
              <w:t>2 (2)</w:t>
            </w:r>
          </w:p>
        </w:tc>
      </w:tr>
      <w:tr w:rsidR="002E6481" w:rsidRPr="00F34170" w:rsidTr="00794937">
        <w:trPr>
          <w:jc w:val="center"/>
        </w:trPr>
        <w:tc>
          <w:tcPr>
            <w:tcW w:w="3758" w:type="dxa"/>
            <w:tcBorders>
              <w:left w:val="single" w:sz="4" w:space="0" w:color="auto"/>
              <w:bottom w:val="nil"/>
              <w:right w:val="single" w:sz="4" w:space="0" w:color="auto"/>
            </w:tcBorders>
            <w:vAlign w:val="bottom"/>
          </w:tcPr>
          <w:p w:rsidR="002E6481" w:rsidRPr="00F34170" w:rsidRDefault="002E6481" w:rsidP="00A9603E">
            <w:pPr>
              <w:pStyle w:val="TableCellText10pt"/>
              <w:keepNext w:val="0"/>
              <w:spacing w:after="0"/>
              <w:ind w:left="187"/>
              <w:rPr>
                <w:sz w:val="18"/>
                <w:szCs w:val="18"/>
                <w:lang w:val="en-AU"/>
              </w:rPr>
            </w:pPr>
            <w:r w:rsidRPr="00F34170">
              <w:rPr>
                <w:sz w:val="18"/>
                <w:szCs w:val="18"/>
                <w:lang w:val="en-AU"/>
              </w:rPr>
              <w:t>Decreased appetite</w:t>
            </w:r>
          </w:p>
        </w:tc>
        <w:tc>
          <w:tcPr>
            <w:tcW w:w="1453" w:type="dxa"/>
            <w:tcBorders>
              <w:left w:val="single" w:sz="4" w:space="0" w:color="auto"/>
              <w:bottom w:val="nil"/>
              <w:right w:val="single" w:sz="4" w:space="0" w:color="auto"/>
            </w:tcBorders>
            <w:vAlign w:val="bottom"/>
          </w:tcPr>
          <w:p w:rsidR="002E6481" w:rsidRPr="00F34170" w:rsidRDefault="002E6481" w:rsidP="00A9603E">
            <w:pPr>
              <w:pStyle w:val="TableCellText10pt"/>
              <w:keepNext w:val="0"/>
              <w:spacing w:after="0"/>
              <w:jc w:val="center"/>
              <w:rPr>
                <w:iCs/>
                <w:sz w:val="18"/>
                <w:szCs w:val="18"/>
                <w:lang w:val="en-AU"/>
              </w:rPr>
            </w:pPr>
            <w:r w:rsidRPr="00F34170">
              <w:rPr>
                <w:iCs/>
                <w:sz w:val="18"/>
                <w:szCs w:val="18"/>
                <w:lang w:val="en-AU"/>
              </w:rPr>
              <w:t>-</w:t>
            </w:r>
          </w:p>
        </w:tc>
        <w:tc>
          <w:tcPr>
            <w:tcW w:w="1368" w:type="dxa"/>
            <w:tcBorders>
              <w:left w:val="single" w:sz="4" w:space="0" w:color="auto"/>
              <w:bottom w:val="nil"/>
              <w:right w:val="single" w:sz="4" w:space="0" w:color="auto"/>
            </w:tcBorders>
            <w:vAlign w:val="bottom"/>
          </w:tcPr>
          <w:p w:rsidR="002E6481" w:rsidRPr="00F34170" w:rsidRDefault="002E6481" w:rsidP="00A9603E">
            <w:pPr>
              <w:pStyle w:val="TableCellText10pt"/>
              <w:keepNext w:val="0"/>
              <w:spacing w:after="0"/>
              <w:jc w:val="center"/>
              <w:rPr>
                <w:iCs/>
                <w:sz w:val="18"/>
                <w:szCs w:val="18"/>
                <w:lang w:val="en-AU"/>
              </w:rPr>
            </w:pPr>
            <w:r w:rsidRPr="00F34170">
              <w:rPr>
                <w:iCs/>
                <w:sz w:val="18"/>
                <w:szCs w:val="18"/>
                <w:lang w:val="en-AU"/>
              </w:rPr>
              <w:t>-</w:t>
            </w:r>
          </w:p>
        </w:tc>
        <w:tc>
          <w:tcPr>
            <w:tcW w:w="1411" w:type="dxa"/>
            <w:tcBorders>
              <w:left w:val="single" w:sz="4" w:space="0" w:color="auto"/>
              <w:bottom w:val="nil"/>
              <w:right w:val="single" w:sz="4" w:space="0" w:color="auto"/>
            </w:tcBorders>
          </w:tcPr>
          <w:p w:rsidR="002E6481" w:rsidRPr="00F34170" w:rsidRDefault="002E6481" w:rsidP="00A9603E">
            <w:pPr>
              <w:pStyle w:val="TableCellText10pt"/>
              <w:keepNext w:val="0"/>
              <w:spacing w:after="0"/>
              <w:jc w:val="center"/>
              <w:rPr>
                <w:iCs/>
                <w:sz w:val="18"/>
                <w:szCs w:val="18"/>
                <w:lang w:val="en-AU"/>
              </w:rPr>
            </w:pPr>
            <w:r w:rsidRPr="00F34170">
              <w:rPr>
                <w:iCs/>
                <w:sz w:val="18"/>
                <w:szCs w:val="18"/>
                <w:lang w:val="en-AU"/>
              </w:rPr>
              <w:t>12 (9)</w:t>
            </w:r>
          </w:p>
        </w:tc>
        <w:tc>
          <w:tcPr>
            <w:tcW w:w="1411" w:type="dxa"/>
            <w:tcBorders>
              <w:left w:val="single" w:sz="4" w:space="0" w:color="auto"/>
              <w:bottom w:val="nil"/>
              <w:right w:val="single" w:sz="4" w:space="0" w:color="auto"/>
            </w:tcBorders>
          </w:tcPr>
          <w:p w:rsidR="002E6481" w:rsidRPr="00F34170" w:rsidRDefault="002E6481" w:rsidP="00A9603E">
            <w:pPr>
              <w:pStyle w:val="TableCellText10pt"/>
              <w:keepNext w:val="0"/>
              <w:spacing w:after="0"/>
              <w:jc w:val="center"/>
              <w:rPr>
                <w:iCs/>
                <w:sz w:val="18"/>
                <w:szCs w:val="18"/>
                <w:lang w:val="en-AU"/>
              </w:rPr>
            </w:pPr>
            <w:r w:rsidRPr="00F34170">
              <w:rPr>
                <w:iCs/>
                <w:sz w:val="18"/>
                <w:szCs w:val="18"/>
                <w:lang w:val="en-AU"/>
              </w:rPr>
              <w:t>1 (1)</w:t>
            </w:r>
          </w:p>
        </w:tc>
      </w:tr>
      <w:tr w:rsidR="002E6481" w:rsidRPr="00F34170" w:rsidTr="00BD73FD">
        <w:trPr>
          <w:jc w:val="center"/>
        </w:trPr>
        <w:tc>
          <w:tcPr>
            <w:tcW w:w="3758" w:type="dxa"/>
            <w:tcBorders>
              <w:top w:val="nil"/>
              <w:left w:val="single" w:sz="4" w:space="0" w:color="auto"/>
              <w:bottom w:val="nil"/>
              <w:right w:val="single" w:sz="4" w:space="0" w:color="auto"/>
            </w:tcBorders>
            <w:vAlign w:val="bottom"/>
          </w:tcPr>
          <w:p w:rsidR="002E6481" w:rsidRPr="00F34170" w:rsidRDefault="002E6481" w:rsidP="00A9603E">
            <w:pPr>
              <w:pStyle w:val="TableCellText10pt"/>
              <w:keepNext w:val="0"/>
              <w:spacing w:after="0"/>
              <w:ind w:left="187"/>
              <w:rPr>
                <w:sz w:val="18"/>
                <w:szCs w:val="18"/>
                <w:lang w:val="en-AU"/>
              </w:rPr>
            </w:pPr>
            <w:r w:rsidRPr="00F34170">
              <w:rPr>
                <w:sz w:val="18"/>
                <w:szCs w:val="18"/>
                <w:lang w:val="en-AU"/>
              </w:rPr>
              <w:t>Hypokal</w:t>
            </w:r>
            <w:r w:rsidR="00CF5E55" w:rsidRPr="00F34170">
              <w:rPr>
                <w:sz w:val="18"/>
                <w:szCs w:val="18"/>
                <w:lang w:val="en-AU"/>
              </w:rPr>
              <w:t>a</w:t>
            </w:r>
            <w:r w:rsidRPr="00F34170">
              <w:rPr>
                <w:sz w:val="18"/>
                <w:szCs w:val="18"/>
                <w:lang w:val="en-AU"/>
              </w:rPr>
              <w:t>emia</w:t>
            </w:r>
          </w:p>
        </w:tc>
        <w:tc>
          <w:tcPr>
            <w:tcW w:w="1453" w:type="dxa"/>
            <w:tcBorders>
              <w:top w:val="nil"/>
              <w:left w:val="single" w:sz="4" w:space="0" w:color="auto"/>
              <w:bottom w:val="nil"/>
              <w:right w:val="single" w:sz="4" w:space="0" w:color="auto"/>
            </w:tcBorders>
            <w:vAlign w:val="bottom"/>
          </w:tcPr>
          <w:p w:rsidR="002E6481" w:rsidRPr="00F34170" w:rsidRDefault="002E6481" w:rsidP="00A9603E">
            <w:pPr>
              <w:pStyle w:val="TableCellText10pt"/>
              <w:keepNext w:val="0"/>
              <w:spacing w:after="0"/>
              <w:jc w:val="center"/>
              <w:rPr>
                <w:iCs/>
                <w:sz w:val="18"/>
                <w:szCs w:val="18"/>
                <w:lang w:val="en-AU"/>
              </w:rPr>
            </w:pPr>
            <w:r w:rsidRPr="00F34170">
              <w:rPr>
                <w:iCs/>
                <w:sz w:val="18"/>
                <w:szCs w:val="18"/>
                <w:lang w:val="en-AU"/>
              </w:rPr>
              <w:t>14 (11)</w:t>
            </w:r>
          </w:p>
        </w:tc>
        <w:tc>
          <w:tcPr>
            <w:tcW w:w="1368" w:type="dxa"/>
            <w:tcBorders>
              <w:top w:val="nil"/>
              <w:left w:val="single" w:sz="4" w:space="0" w:color="auto"/>
              <w:bottom w:val="nil"/>
              <w:right w:val="single" w:sz="4" w:space="0" w:color="auto"/>
            </w:tcBorders>
            <w:vAlign w:val="bottom"/>
          </w:tcPr>
          <w:p w:rsidR="002E6481" w:rsidRPr="00F34170" w:rsidRDefault="002E6481" w:rsidP="00A9603E">
            <w:pPr>
              <w:pStyle w:val="TableCellText10pt"/>
              <w:keepNext w:val="0"/>
              <w:spacing w:after="0"/>
              <w:jc w:val="center"/>
              <w:rPr>
                <w:iCs/>
                <w:sz w:val="18"/>
                <w:szCs w:val="18"/>
                <w:lang w:val="en-AU"/>
              </w:rPr>
            </w:pPr>
            <w:r w:rsidRPr="00F34170">
              <w:rPr>
                <w:iCs/>
                <w:sz w:val="18"/>
                <w:szCs w:val="18"/>
                <w:lang w:val="en-AU"/>
              </w:rPr>
              <w:t>3 (2)</w:t>
            </w:r>
          </w:p>
        </w:tc>
        <w:tc>
          <w:tcPr>
            <w:tcW w:w="1411" w:type="dxa"/>
            <w:tcBorders>
              <w:top w:val="nil"/>
              <w:left w:val="single" w:sz="4" w:space="0" w:color="auto"/>
              <w:bottom w:val="nil"/>
              <w:right w:val="single" w:sz="4" w:space="0" w:color="auto"/>
            </w:tcBorders>
          </w:tcPr>
          <w:p w:rsidR="002E6481" w:rsidRPr="00F34170" w:rsidRDefault="002E6481" w:rsidP="00A9603E">
            <w:pPr>
              <w:pStyle w:val="TableCellText10pt"/>
              <w:keepNext w:val="0"/>
              <w:spacing w:after="0"/>
              <w:jc w:val="center"/>
              <w:rPr>
                <w:iCs/>
                <w:sz w:val="18"/>
                <w:szCs w:val="18"/>
                <w:lang w:val="en-AU"/>
              </w:rPr>
            </w:pPr>
            <w:r w:rsidRPr="00F34170">
              <w:rPr>
                <w:iCs/>
                <w:sz w:val="18"/>
                <w:szCs w:val="18"/>
                <w:lang w:val="en-AU"/>
              </w:rPr>
              <w:t>7 (5)</w:t>
            </w:r>
          </w:p>
        </w:tc>
        <w:tc>
          <w:tcPr>
            <w:tcW w:w="1411" w:type="dxa"/>
            <w:tcBorders>
              <w:top w:val="nil"/>
              <w:left w:val="single" w:sz="4" w:space="0" w:color="auto"/>
              <w:bottom w:val="nil"/>
              <w:right w:val="single" w:sz="4" w:space="0" w:color="auto"/>
            </w:tcBorders>
          </w:tcPr>
          <w:p w:rsidR="002E6481" w:rsidRPr="00F34170" w:rsidRDefault="002E6481" w:rsidP="00A9603E">
            <w:pPr>
              <w:pStyle w:val="TableCellText10pt"/>
              <w:keepNext w:val="0"/>
              <w:spacing w:after="0"/>
              <w:jc w:val="center"/>
              <w:rPr>
                <w:iCs/>
                <w:sz w:val="18"/>
                <w:szCs w:val="18"/>
                <w:lang w:val="en-AU"/>
              </w:rPr>
            </w:pPr>
            <w:r w:rsidRPr="00F34170">
              <w:rPr>
                <w:iCs/>
                <w:sz w:val="18"/>
                <w:szCs w:val="18"/>
                <w:lang w:val="en-AU"/>
              </w:rPr>
              <w:t>2 (2)</w:t>
            </w:r>
          </w:p>
        </w:tc>
      </w:tr>
      <w:tr w:rsidR="002E6481" w:rsidRPr="00F34170" w:rsidTr="00BD73FD">
        <w:trPr>
          <w:jc w:val="center"/>
        </w:trPr>
        <w:tc>
          <w:tcPr>
            <w:tcW w:w="3758" w:type="dxa"/>
            <w:tcBorders>
              <w:top w:val="nil"/>
              <w:left w:val="single" w:sz="4" w:space="0" w:color="auto"/>
              <w:bottom w:val="nil"/>
              <w:right w:val="single" w:sz="4" w:space="0" w:color="auto"/>
            </w:tcBorders>
            <w:vAlign w:val="bottom"/>
          </w:tcPr>
          <w:p w:rsidR="002E6481" w:rsidRPr="00F34170" w:rsidRDefault="002E6481" w:rsidP="00A9603E">
            <w:pPr>
              <w:pStyle w:val="TableCellText10pt"/>
              <w:keepNext w:val="0"/>
              <w:spacing w:after="0"/>
              <w:ind w:left="187"/>
              <w:rPr>
                <w:sz w:val="18"/>
                <w:szCs w:val="18"/>
                <w:lang w:val="en-AU"/>
              </w:rPr>
            </w:pPr>
            <w:r w:rsidRPr="00F34170">
              <w:rPr>
                <w:sz w:val="18"/>
                <w:szCs w:val="18"/>
                <w:lang w:val="en-AU"/>
              </w:rPr>
              <w:t>Hypomagnesaemia</w:t>
            </w:r>
          </w:p>
        </w:tc>
        <w:tc>
          <w:tcPr>
            <w:tcW w:w="1453" w:type="dxa"/>
            <w:tcBorders>
              <w:top w:val="nil"/>
              <w:left w:val="single" w:sz="4" w:space="0" w:color="auto"/>
              <w:bottom w:val="nil"/>
              <w:right w:val="single" w:sz="4" w:space="0" w:color="auto"/>
            </w:tcBorders>
            <w:vAlign w:val="bottom"/>
          </w:tcPr>
          <w:p w:rsidR="002E6481" w:rsidRPr="00F34170" w:rsidRDefault="002E6481" w:rsidP="00A9603E">
            <w:pPr>
              <w:pStyle w:val="TableCellText10pt"/>
              <w:keepNext w:val="0"/>
              <w:spacing w:after="0"/>
              <w:jc w:val="center"/>
              <w:rPr>
                <w:iCs/>
                <w:sz w:val="18"/>
                <w:szCs w:val="18"/>
                <w:lang w:val="en-AU"/>
              </w:rPr>
            </w:pPr>
            <w:r w:rsidRPr="00F34170">
              <w:rPr>
                <w:iCs/>
                <w:sz w:val="18"/>
                <w:szCs w:val="18"/>
                <w:lang w:val="en-AU"/>
              </w:rPr>
              <w:t>-</w:t>
            </w:r>
          </w:p>
        </w:tc>
        <w:tc>
          <w:tcPr>
            <w:tcW w:w="1368" w:type="dxa"/>
            <w:tcBorders>
              <w:top w:val="nil"/>
              <w:left w:val="single" w:sz="4" w:space="0" w:color="auto"/>
              <w:bottom w:val="nil"/>
              <w:right w:val="single" w:sz="4" w:space="0" w:color="auto"/>
            </w:tcBorders>
            <w:vAlign w:val="bottom"/>
          </w:tcPr>
          <w:p w:rsidR="002E6481" w:rsidRPr="00F34170" w:rsidRDefault="002E6481" w:rsidP="00A9603E">
            <w:pPr>
              <w:pStyle w:val="TableCellText10pt"/>
              <w:keepNext w:val="0"/>
              <w:spacing w:after="0"/>
              <w:jc w:val="center"/>
              <w:rPr>
                <w:iCs/>
                <w:sz w:val="18"/>
                <w:szCs w:val="18"/>
                <w:lang w:val="en-AU"/>
              </w:rPr>
            </w:pPr>
            <w:r w:rsidRPr="00F34170">
              <w:rPr>
                <w:iCs/>
                <w:sz w:val="18"/>
                <w:szCs w:val="18"/>
                <w:lang w:val="en-AU"/>
              </w:rPr>
              <w:t>-</w:t>
            </w:r>
          </w:p>
        </w:tc>
        <w:tc>
          <w:tcPr>
            <w:tcW w:w="1411" w:type="dxa"/>
            <w:tcBorders>
              <w:top w:val="nil"/>
              <w:left w:val="single" w:sz="4" w:space="0" w:color="auto"/>
              <w:bottom w:val="nil"/>
              <w:right w:val="single" w:sz="4" w:space="0" w:color="auto"/>
            </w:tcBorders>
          </w:tcPr>
          <w:p w:rsidR="002E6481" w:rsidRPr="00F34170" w:rsidRDefault="002E6481" w:rsidP="00A9603E">
            <w:pPr>
              <w:pStyle w:val="TableCellText10pt"/>
              <w:keepNext w:val="0"/>
              <w:spacing w:after="0"/>
              <w:jc w:val="center"/>
              <w:rPr>
                <w:iCs/>
                <w:sz w:val="18"/>
                <w:szCs w:val="18"/>
                <w:lang w:val="en-AU"/>
              </w:rPr>
            </w:pPr>
            <w:r w:rsidRPr="00F34170">
              <w:rPr>
                <w:iCs/>
                <w:sz w:val="18"/>
                <w:szCs w:val="18"/>
                <w:lang w:val="en-AU"/>
              </w:rPr>
              <w:t>7 (5)</w:t>
            </w:r>
          </w:p>
        </w:tc>
        <w:tc>
          <w:tcPr>
            <w:tcW w:w="1411" w:type="dxa"/>
            <w:tcBorders>
              <w:top w:val="nil"/>
              <w:left w:val="single" w:sz="4" w:space="0" w:color="auto"/>
              <w:bottom w:val="nil"/>
              <w:right w:val="single" w:sz="4" w:space="0" w:color="auto"/>
            </w:tcBorders>
          </w:tcPr>
          <w:p w:rsidR="002E6481" w:rsidRPr="00F34170" w:rsidRDefault="002E6481" w:rsidP="00A9603E">
            <w:pPr>
              <w:pStyle w:val="TableCellText10pt"/>
              <w:keepNext w:val="0"/>
              <w:spacing w:after="0"/>
              <w:jc w:val="center"/>
              <w:rPr>
                <w:iCs/>
                <w:sz w:val="18"/>
                <w:szCs w:val="18"/>
                <w:lang w:val="en-AU"/>
              </w:rPr>
            </w:pPr>
            <w:r w:rsidRPr="00F34170">
              <w:rPr>
                <w:iCs/>
                <w:sz w:val="18"/>
                <w:szCs w:val="18"/>
                <w:lang w:val="en-AU"/>
              </w:rPr>
              <w:t>0</w:t>
            </w:r>
          </w:p>
        </w:tc>
      </w:tr>
      <w:tr w:rsidR="002E6481" w:rsidRPr="00F34170" w:rsidTr="00BD73FD">
        <w:trPr>
          <w:jc w:val="center"/>
        </w:trPr>
        <w:tc>
          <w:tcPr>
            <w:tcW w:w="3758" w:type="dxa"/>
            <w:tcBorders>
              <w:top w:val="nil"/>
              <w:left w:val="single" w:sz="4" w:space="0" w:color="auto"/>
              <w:bottom w:val="nil"/>
              <w:right w:val="single" w:sz="4" w:space="0" w:color="auto"/>
            </w:tcBorders>
            <w:vAlign w:val="bottom"/>
          </w:tcPr>
          <w:p w:rsidR="002E6481" w:rsidRPr="00F34170" w:rsidRDefault="002E6481" w:rsidP="00A9603E">
            <w:pPr>
              <w:pStyle w:val="TableCellText10pt"/>
              <w:keepNext w:val="0"/>
              <w:spacing w:after="0"/>
              <w:rPr>
                <w:b/>
                <w:sz w:val="18"/>
                <w:szCs w:val="18"/>
                <w:lang w:val="en-AU"/>
              </w:rPr>
            </w:pPr>
            <w:r w:rsidRPr="00F34170">
              <w:rPr>
                <w:b/>
                <w:sz w:val="18"/>
                <w:szCs w:val="18"/>
                <w:lang w:val="en-AU"/>
              </w:rPr>
              <w:t>Nervous system disorders</w:t>
            </w:r>
          </w:p>
        </w:tc>
        <w:tc>
          <w:tcPr>
            <w:tcW w:w="1453" w:type="dxa"/>
            <w:tcBorders>
              <w:top w:val="nil"/>
              <w:left w:val="single" w:sz="4" w:space="0" w:color="auto"/>
              <w:bottom w:val="nil"/>
              <w:right w:val="single" w:sz="4" w:space="0" w:color="auto"/>
            </w:tcBorders>
            <w:vAlign w:val="bottom"/>
          </w:tcPr>
          <w:p w:rsidR="002E6481" w:rsidRPr="00F34170" w:rsidRDefault="002E6481" w:rsidP="00A9603E">
            <w:pPr>
              <w:pStyle w:val="TableCellText10pt"/>
              <w:keepNext w:val="0"/>
              <w:spacing w:after="0"/>
              <w:jc w:val="center"/>
              <w:rPr>
                <w:iCs/>
                <w:sz w:val="18"/>
                <w:szCs w:val="18"/>
                <w:lang w:val="en-AU"/>
              </w:rPr>
            </w:pPr>
          </w:p>
        </w:tc>
        <w:tc>
          <w:tcPr>
            <w:tcW w:w="1368" w:type="dxa"/>
            <w:tcBorders>
              <w:top w:val="nil"/>
              <w:left w:val="single" w:sz="4" w:space="0" w:color="auto"/>
              <w:bottom w:val="nil"/>
              <w:right w:val="single" w:sz="4" w:space="0" w:color="auto"/>
            </w:tcBorders>
            <w:vAlign w:val="bottom"/>
          </w:tcPr>
          <w:p w:rsidR="002E6481" w:rsidRPr="00F34170" w:rsidRDefault="002E6481" w:rsidP="00A9603E">
            <w:pPr>
              <w:pStyle w:val="TableCellText10pt"/>
              <w:keepNext w:val="0"/>
              <w:spacing w:after="0"/>
              <w:jc w:val="center"/>
              <w:rPr>
                <w:iCs/>
                <w:sz w:val="18"/>
                <w:szCs w:val="18"/>
                <w:lang w:val="en-AU"/>
              </w:rPr>
            </w:pPr>
          </w:p>
        </w:tc>
        <w:tc>
          <w:tcPr>
            <w:tcW w:w="1411" w:type="dxa"/>
            <w:tcBorders>
              <w:top w:val="nil"/>
              <w:left w:val="single" w:sz="4" w:space="0" w:color="auto"/>
              <w:bottom w:val="nil"/>
              <w:right w:val="single" w:sz="4" w:space="0" w:color="auto"/>
            </w:tcBorders>
          </w:tcPr>
          <w:p w:rsidR="002E6481" w:rsidRPr="00F34170" w:rsidRDefault="002E6481" w:rsidP="00A9603E">
            <w:pPr>
              <w:pStyle w:val="TableCellText10pt"/>
              <w:keepNext w:val="0"/>
              <w:spacing w:after="0"/>
              <w:jc w:val="center"/>
              <w:rPr>
                <w:iCs/>
                <w:sz w:val="18"/>
                <w:szCs w:val="18"/>
                <w:lang w:val="en-AU"/>
              </w:rPr>
            </w:pPr>
          </w:p>
        </w:tc>
        <w:tc>
          <w:tcPr>
            <w:tcW w:w="1411" w:type="dxa"/>
            <w:tcBorders>
              <w:top w:val="nil"/>
              <w:left w:val="single" w:sz="4" w:space="0" w:color="auto"/>
              <w:bottom w:val="nil"/>
              <w:right w:val="single" w:sz="4" w:space="0" w:color="auto"/>
            </w:tcBorders>
          </w:tcPr>
          <w:p w:rsidR="002E6481" w:rsidRPr="00F34170" w:rsidRDefault="002E6481" w:rsidP="00A9603E">
            <w:pPr>
              <w:pStyle w:val="TableCellText10pt"/>
              <w:keepNext w:val="0"/>
              <w:spacing w:after="0"/>
              <w:jc w:val="center"/>
              <w:rPr>
                <w:iCs/>
                <w:sz w:val="18"/>
                <w:szCs w:val="18"/>
                <w:lang w:val="en-AU"/>
              </w:rPr>
            </w:pPr>
          </w:p>
        </w:tc>
      </w:tr>
      <w:tr w:rsidR="002E6481" w:rsidRPr="00F34170" w:rsidTr="00BD73FD">
        <w:trPr>
          <w:jc w:val="center"/>
        </w:trPr>
        <w:tc>
          <w:tcPr>
            <w:tcW w:w="3758" w:type="dxa"/>
            <w:tcBorders>
              <w:top w:val="nil"/>
              <w:left w:val="single" w:sz="4" w:space="0" w:color="auto"/>
              <w:bottom w:val="nil"/>
              <w:right w:val="single" w:sz="4" w:space="0" w:color="auto"/>
            </w:tcBorders>
            <w:vAlign w:val="bottom"/>
          </w:tcPr>
          <w:p w:rsidR="002E6481" w:rsidRPr="00F34170" w:rsidRDefault="002E6481" w:rsidP="00A9603E">
            <w:pPr>
              <w:pStyle w:val="TableCellText10pt"/>
              <w:keepNext w:val="0"/>
              <w:spacing w:after="0"/>
              <w:ind w:left="187"/>
              <w:rPr>
                <w:sz w:val="18"/>
                <w:szCs w:val="18"/>
                <w:lang w:val="en-AU"/>
              </w:rPr>
            </w:pPr>
            <w:r w:rsidRPr="00F34170">
              <w:rPr>
                <w:sz w:val="18"/>
                <w:szCs w:val="18"/>
                <w:lang w:val="en-AU"/>
              </w:rPr>
              <w:t>Dysgeusia</w:t>
            </w:r>
          </w:p>
        </w:tc>
        <w:tc>
          <w:tcPr>
            <w:tcW w:w="1453" w:type="dxa"/>
            <w:tcBorders>
              <w:top w:val="nil"/>
              <w:left w:val="single" w:sz="4" w:space="0" w:color="auto"/>
              <w:bottom w:val="nil"/>
              <w:right w:val="single" w:sz="4" w:space="0" w:color="auto"/>
            </w:tcBorders>
            <w:vAlign w:val="bottom"/>
          </w:tcPr>
          <w:p w:rsidR="002E6481" w:rsidRPr="00F34170" w:rsidRDefault="002E6481" w:rsidP="00A9603E">
            <w:pPr>
              <w:pStyle w:val="TableCellText10pt"/>
              <w:keepNext w:val="0"/>
              <w:spacing w:after="0"/>
              <w:jc w:val="center"/>
              <w:rPr>
                <w:iCs/>
                <w:sz w:val="18"/>
                <w:szCs w:val="18"/>
                <w:lang w:val="en-AU"/>
              </w:rPr>
            </w:pPr>
            <w:r w:rsidRPr="00F34170">
              <w:rPr>
                <w:iCs/>
                <w:sz w:val="18"/>
                <w:szCs w:val="18"/>
                <w:lang w:val="en-AU"/>
              </w:rPr>
              <w:t>27 (21)</w:t>
            </w:r>
          </w:p>
        </w:tc>
        <w:tc>
          <w:tcPr>
            <w:tcW w:w="1368" w:type="dxa"/>
            <w:tcBorders>
              <w:top w:val="nil"/>
              <w:left w:val="single" w:sz="4" w:space="0" w:color="auto"/>
              <w:bottom w:val="nil"/>
              <w:right w:val="single" w:sz="4" w:space="0" w:color="auto"/>
            </w:tcBorders>
            <w:vAlign w:val="bottom"/>
          </w:tcPr>
          <w:p w:rsidR="002E6481" w:rsidRPr="00F34170" w:rsidRDefault="002E6481" w:rsidP="00A9603E">
            <w:pPr>
              <w:pStyle w:val="TableCellText10pt"/>
              <w:keepNext w:val="0"/>
              <w:spacing w:after="0"/>
              <w:jc w:val="center"/>
              <w:rPr>
                <w:iCs/>
                <w:sz w:val="18"/>
                <w:szCs w:val="18"/>
                <w:lang w:val="en-AU"/>
              </w:rPr>
            </w:pPr>
            <w:r w:rsidRPr="00F34170">
              <w:rPr>
                <w:iCs/>
                <w:sz w:val="18"/>
                <w:szCs w:val="18"/>
                <w:lang w:val="en-AU"/>
              </w:rPr>
              <w:t>0</w:t>
            </w:r>
          </w:p>
        </w:tc>
        <w:tc>
          <w:tcPr>
            <w:tcW w:w="1411" w:type="dxa"/>
            <w:tcBorders>
              <w:top w:val="nil"/>
              <w:left w:val="single" w:sz="4" w:space="0" w:color="auto"/>
              <w:bottom w:val="nil"/>
              <w:right w:val="single" w:sz="4" w:space="0" w:color="auto"/>
            </w:tcBorders>
          </w:tcPr>
          <w:p w:rsidR="002E6481" w:rsidRPr="00F34170" w:rsidRDefault="002E6481" w:rsidP="00A9603E">
            <w:pPr>
              <w:pStyle w:val="TableCellText10pt"/>
              <w:keepNext w:val="0"/>
              <w:spacing w:after="0"/>
              <w:jc w:val="center"/>
              <w:rPr>
                <w:iCs/>
                <w:sz w:val="18"/>
                <w:szCs w:val="18"/>
                <w:lang w:val="en-AU"/>
              </w:rPr>
            </w:pPr>
            <w:r w:rsidRPr="00F34170">
              <w:rPr>
                <w:iCs/>
                <w:sz w:val="18"/>
                <w:szCs w:val="18"/>
                <w:lang w:val="en-AU"/>
              </w:rPr>
              <w:t>27 (21)</w:t>
            </w:r>
          </w:p>
        </w:tc>
        <w:tc>
          <w:tcPr>
            <w:tcW w:w="1411" w:type="dxa"/>
            <w:tcBorders>
              <w:top w:val="nil"/>
              <w:left w:val="single" w:sz="4" w:space="0" w:color="auto"/>
              <w:bottom w:val="nil"/>
              <w:right w:val="single" w:sz="4" w:space="0" w:color="auto"/>
            </w:tcBorders>
          </w:tcPr>
          <w:p w:rsidR="002E6481" w:rsidRPr="00F34170" w:rsidRDefault="002E6481" w:rsidP="00A9603E">
            <w:pPr>
              <w:pStyle w:val="TableCellText10pt"/>
              <w:keepNext w:val="0"/>
              <w:spacing w:after="0"/>
              <w:jc w:val="center"/>
              <w:rPr>
                <w:iCs/>
                <w:sz w:val="18"/>
                <w:szCs w:val="18"/>
                <w:lang w:val="en-AU"/>
              </w:rPr>
            </w:pPr>
            <w:r w:rsidRPr="00F34170">
              <w:rPr>
                <w:iCs/>
                <w:sz w:val="18"/>
                <w:szCs w:val="18"/>
                <w:lang w:val="en-AU"/>
              </w:rPr>
              <w:t>0</w:t>
            </w:r>
          </w:p>
        </w:tc>
      </w:tr>
      <w:tr w:rsidR="002E6481" w:rsidRPr="00F34170" w:rsidTr="00BD73FD">
        <w:trPr>
          <w:jc w:val="center"/>
        </w:trPr>
        <w:tc>
          <w:tcPr>
            <w:tcW w:w="3758" w:type="dxa"/>
            <w:tcBorders>
              <w:top w:val="nil"/>
              <w:left w:val="single" w:sz="4" w:space="0" w:color="auto"/>
              <w:bottom w:val="nil"/>
              <w:right w:val="single" w:sz="4" w:space="0" w:color="auto"/>
            </w:tcBorders>
            <w:vAlign w:val="bottom"/>
          </w:tcPr>
          <w:p w:rsidR="002E6481" w:rsidRPr="00F34170" w:rsidRDefault="002E6481" w:rsidP="00A9603E">
            <w:pPr>
              <w:pStyle w:val="TableCellText10pt"/>
              <w:keepNext w:val="0"/>
              <w:spacing w:after="0"/>
              <w:ind w:left="187"/>
              <w:rPr>
                <w:sz w:val="18"/>
                <w:szCs w:val="18"/>
                <w:lang w:val="en-AU"/>
              </w:rPr>
            </w:pPr>
            <w:r w:rsidRPr="00F34170">
              <w:rPr>
                <w:sz w:val="18"/>
                <w:szCs w:val="18"/>
                <w:lang w:val="en-AU"/>
              </w:rPr>
              <w:t>Headache</w:t>
            </w:r>
          </w:p>
        </w:tc>
        <w:tc>
          <w:tcPr>
            <w:tcW w:w="1453" w:type="dxa"/>
            <w:tcBorders>
              <w:top w:val="nil"/>
              <w:left w:val="single" w:sz="4" w:space="0" w:color="auto"/>
              <w:bottom w:val="nil"/>
              <w:right w:val="single" w:sz="4" w:space="0" w:color="auto"/>
            </w:tcBorders>
            <w:vAlign w:val="bottom"/>
          </w:tcPr>
          <w:p w:rsidR="002E6481" w:rsidRPr="00F34170" w:rsidRDefault="002E6481" w:rsidP="00A9603E">
            <w:pPr>
              <w:pStyle w:val="TableCellText10pt"/>
              <w:keepNext w:val="0"/>
              <w:spacing w:after="0"/>
              <w:jc w:val="center"/>
              <w:rPr>
                <w:iCs/>
                <w:sz w:val="18"/>
                <w:szCs w:val="18"/>
                <w:lang w:val="en-AU"/>
              </w:rPr>
            </w:pPr>
            <w:r w:rsidRPr="00F34170">
              <w:rPr>
                <w:iCs/>
                <w:sz w:val="18"/>
                <w:szCs w:val="18"/>
                <w:lang w:val="en-AU"/>
              </w:rPr>
              <w:t>19 (15)</w:t>
            </w:r>
          </w:p>
        </w:tc>
        <w:tc>
          <w:tcPr>
            <w:tcW w:w="1368" w:type="dxa"/>
            <w:tcBorders>
              <w:top w:val="nil"/>
              <w:left w:val="single" w:sz="4" w:space="0" w:color="auto"/>
              <w:bottom w:val="nil"/>
              <w:right w:val="single" w:sz="4" w:space="0" w:color="auto"/>
            </w:tcBorders>
            <w:vAlign w:val="bottom"/>
          </w:tcPr>
          <w:p w:rsidR="002E6481" w:rsidRPr="00F34170" w:rsidRDefault="002E6481" w:rsidP="00A9603E">
            <w:pPr>
              <w:pStyle w:val="TableCellText10pt"/>
              <w:keepNext w:val="0"/>
              <w:spacing w:after="0"/>
              <w:jc w:val="center"/>
              <w:rPr>
                <w:iCs/>
                <w:sz w:val="18"/>
                <w:szCs w:val="18"/>
                <w:lang w:val="en-AU"/>
              </w:rPr>
            </w:pPr>
            <w:r w:rsidRPr="00F34170">
              <w:rPr>
                <w:iCs/>
                <w:sz w:val="18"/>
                <w:szCs w:val="18"/>
                <w:lang w:val="en-AU"/>
              </w:rPr>
              <w:t>0</w:t>
            </w:r>
          </w:p>
        </w:tc>
        <w:tc>
          <w:tcPr>
            <w:tcW w:w="1411" w:type="dxa"/>
            <w:tcBorders>
              <w:top w:val="nil"/>
              <w:left w:val="single" w:sz="4" w:space="0" w:color="auto"/>
              <w:bottom w:val="nil"/>
              <w:right w:val="single" w:sz="4" w:space="0" w:color="auto"/>
            </w:tcBorders>
          </w:tcPr>
          <w:p w:rsidR="002E6481" w:rsidRPr="00F34170" w:rsidRDefault="002E6481" w:rsidP="00A9603E">
            <w:pPr>
              <w:pStyle w:val="TableCellText10pt"/>
              <w:keepNext w:val="0"/>
              <w:spacing w:after="0"/>
              <w:jc w:val="center"/>
              <w:rPr>
                <w:iCs/>
                <w:sz w:val="18"/>
                <w:szCs w:val="18"/>
                <w:lang w:val="en-AU"/>
              </w:rPr>
            </w:pPr>
            <w:r w:rsidRPr="00F34170">
              <w:rPr>
                <w:iCs/>
                <w:sz w:val="18"/>
                <w:szCs w:val="18"/>
                <w:lang w:val="en-AU"/>
              </w:rPr>
              <w:t>14 (11)</w:t>
            </w:r>
          </w:p>
        </w:tc>
        <w:tc>
          <w:tcPr>
            <w:tcW w:w="1411" w:type="dxa"/>
            <w:tcBorders>
              <w:top w:val="nil"/>
              <w:left w:val="single" w:sz="4" w:space="0" w:color="auto"/>
              <w:bottom w:val="nil"/>
              <w:right w:val="single" w:sz="4" w:space="0" w:color="auto"/>
            </w:tcBorders>
          </w:tcPr>
          <w:p w:rsidR="002E6481" w:rsidRPr="00F34170" w:rsidRDefault="002E6481" w:rsidP="00A9603E">
            <w:pPr>
              <w:pStyle w:val="TableCellText10pt"/>
              <w:keepNext w:val="0"/>
              <w:spacing w:after="0"/>
              <w:jc w:val="center"/>
              <w:rPr>
                <w:iCs/>
                <w:sz w:val="18"/>
                <w:szCs w:val="18"/>
                <w:lang w:val="en-AU"/>
              </w:rPr>
            </w:pPr>
            <w:r w:rsidRPr="00F34170">
              <w:rPr>
                <w:iCs/>
                <w:sz w:val="18"/>
                <w:szCs w:val="18"/>
                <w:lang w:val="en-AU"/>
              </w:rPr>
              <w:t>0</w:t>
            </w:r>
          </w:p>
        </w:tc>
      </w:tr>
      <w:tr w:rsidR="002E6481" w:rsidRPr="00F34170" w:rsidTr="00CD353C">
        <w:trPr>
          <w:jc w:val="center"/>
        </w:trPr>
        <w:tc>
          <w:tcPr>
            <w:tcW w:w="3758" w:type="dxa"/>
            <w:tcBorders>
              <w:top w:val="nil"/>
              <w:left w:val="single" w:sz="4" w:space="0" w:color="auto"/>
              <w:right w:val="single" w:sz="4" w:space="0" w:color="auto"/>
            </w:tcBorders>
            <w:vAlign w:val="bottom"/>
          </w:tcPr>
          <w:p w:rsidR="002E6481" w:rsidRPr="00F34170" w:rsidRDefault="002E6481" w:rsidP="00A9603E">
            <w:pPr>
              <w:pStyle w:val="TableCellText10pt"/>
              <w:keepNext w:val="0"/>
              <w:spacing w:after="0"/>
              <w:ind w:left="187"/>
              <w:rPr>
                <w:sz w:val="18"/>
                <w:szCs w:val="18"/>
                <w:lang w:val="en-AU"/>
              </w:rPr>
            </w:pPr>
            <w:r w:rsidRPr="00F34170">
              <w:rPr>
                <w:sz w:val="18"/>
                <w:szCs w:val="18"/>
                <w:lang w:val="en-AU"/>
              </w:rPr>
              <w:t>Dizziness</w:t>
            </w:r>
          </w:p>
        </w:tc>
        <w:tc>
          <w:tcPr>
            <w:tcW w:w="1453" w:type="dxa"/>
            <w:tcBorders>
              <w:top w:val="nil"/>
              <w:left w:val="single" w:sz="4" w:space="0" w:color="auto"/>
              <w:right w:val="single" w:sz="4" w:space="0" w:color="auto"/>
            </w:tcBorders>
            <w:vAlign w:val="bottom"/>
          </w:tcPr>
          <w:p w:rsidR="002E6481" w:rsidRPr="00F34170" w:rsidRDefault="002E6481" w:rsidP="00A9603E">
            <w:pPr>
              <w:pStyle w:val="TableCellText10pt"/>
              <w:keepNext w:val="0"/>
              <w:spacing w:after="0"/>
              <w:jc w:val="center"/>
              <w:rPr>
                <w:iCs/>
                <w:sz w:val="18"/>
                <w:szCs w:val="18"/>
                <w:lang w:val="en-AU"/>
              </w:rPr>
            </w:pPr>
            <w:r w:rsidRPr="00F34170">
              <w:rPr>
                <w:iCs/>
                <w:sz w:val="18"/>
                <w:szCs w:val="18"/>
                <w:lang w:val="en-AU"/>
              </w:rPr>
              <w:t>-</w:t>
            </w:r>
          </w:p>
        </w:tc>
        <w:tc>
          <w:tcPr>
            <w:tcW w:w="1368" w:type="dxa"/>
            <w:tcBorders>
              <w:top w:val="nil"/>
              <w:left w:val="single" w:sz="4" w:space="0" w:color="auto"/>
              <w:right w:val="single" w:sz="4" w:space="0" w:color="auto"/>
            </w:tcBorders>
            <w:vAlign w:val="bottom"/>
          </w:tcPr>
          <w:p w:rsidR="002E6481" w:rsidRPr="00F34170" w:rsidRDefault="002E6481" w:rsidP="00A9603E">
            <w:pPr>
              <w:pStyle w:val="TableCellText10pt"/>
              <w:keepNext w:val="0"/>
              <w:spacing w:after="0"/>
              <w:jc w:val="center"/>
              <w:rPr>
                <w:iCs/>
                <w:sz w:val="18"/>
                <w:szCs w:val="18"/>
                <w:lang w:val="en-AU"/>
              </w:rPr>
            </w:pPr>
            <w:r w:rsidRPr="00F34170">
              <w:rPr>
                <w:iCs/>
                <w:sz w:val="18"/>
                <w:szCs w:val="18"/>
                <w:lang w:val="en-AU"/>
              </w:rPr>
              <w:t>-</w:t>
            </w:r>
          </w:p>
        </w:tc>
        <w:tc>
          <w:tcPr>
            <w:tcW w:w="1411" w:type="dxa"/>
            <w:tcBorders>
              <w:top w:val="nil"/>
              <w:left w:val="single" w:sz="4" w:space="0" w:color="auto"/>
              <w:right w:val="single" w:sz="4" w:space="0" w:color="auto"/>
            </w:tcBorders>
          </w:tcPr>
          <w:p w:rsidR="002E6481" w:rsidRPr="00F34170" w:rsidRDefault="002E6481" w:rsidP="00A9603E">
            <w:pPr>
              <w:pStyle w:val="TableCellText10pt"/>
              <w:keepNext w:val="0"/>
              <w:spacing w:after="0"/>
              <w:jc w:val="center"/>
              <w:rPr>
                <w:iCs/>
                <w:sz w:val="18"/>
                <w:szCs w:val="18"/>
                <w:lang w:val="en-AU"/>
              </w:rPr>
            </w:pPr>
            <w:r w:rsidRPr="00F34170">
              <w:rPr>
                <w:iCs/>
                <w:sz w:val="18"/>
                <w:szCs w:val="18"/>
                <w:lang w:val="en-AU"/>
              </w:rPr>
              <w:t>7 (5)</w:t>
            </w:r>
          </w:p>
        </w:tc>
        <w:tc>
          <w:tcPr>
            <w:tcW w:w="1411" w:type="dxa"/>
            <w:tcBorders>
              <w:top w:val="nil"/>
              <w:left w:val="single" w:sz="4" w:space="0" w:color="auto"/>
              <w:right w:val="single" w:sz="4" w:space="0" w:color="auto"/>
            </w:tcBorders>
          </w:tcPr>
          <w:p w:rsidR="002E6481" w:rsidRPr="00F34170" w:rsidRDefault="002E6481" w:rsidP="00A9603E">
            <w:pPr>
              <w:pStyle w:val="TableCellText10pt"/>
              <w:keepNext w:val="0"/>
              <w:spacing w:after="0"/>
              <w:jc w:val="center"/>
              <w:rPr>
                <w:iCs/>
                <w:sz w:val="18"/>
                <w:szCs w:val="18"/>
                <w:lang w:val="en-AU"/>
              </w:rPr>
            </w:pPr>
            <w:r w:rsidRPr="00F34170">
              <w:rPr>
                <w:iCs/>
                <w:sz w:val="18"/>
                <w:szCs w:val="18"/>
                <w:lang w:val="en-AU"/>
              </w:rPr>
              <w:t>0</w:t>
            </w:r>
          </w:p>
        </w:tc>
      </w:tr>
      <w:tr w:rsidR="00CF5E55" w:rsidRPr="00F34170" w:rsidTr="00CD353C">
        <w:trPr>
          <w:jc w:val="center"/>
        </w:trPr>
        <w:tc>
          <w:tcPr>
            <w:tcW w:w="3758" w:type="dxa"/>
            <w:tcBorders>
              <w:top w:val="nil"/>
              <w:left w:val="single" w:sz="4" w:space="0" w:color="auto"/>
              <w:bottom w:val="single" w:sz="4" w:space="0" w:color="auto"/>
              <w:right w:val="single" w:sz="4" w:space="0" w:color="auto"/>
            </w:tcBorders>
            <w:vAlign w:val="bottom"/>
          </w:tcPr>
          <w:p w:rsidR="00CF5E55" w:rsidRPr="00F34170" w:rsidRDefault="00CF5E55" w:rsidP="00A9603E">
            <w:pPr>
              <w:pStyle w:val="TableCellText10pt"/>
              <w:keepNext w:val="0"/>
              <w:spacing w:after="0"/>
              <w:ind w:left="187"/>
              <w:rPr>
                <w:sz w:val="18"/>
                <w:szCs w:val="18"/>
                <w:lang w:val="en-AU"/>
              </w:rPr>
            </w:pPr>
            <w:r w:rsidRPr="00F34170">
              <w:rPr>
                <w:sz w:val="18"/>
                <w:szCs w:val="18"/>
                <w:lang w:val="en-AU"/>
              </w:rPr>
              <w:t>Lethargy</w:t>
            </w:r>
          </w:p>
        </w:tc>
        <w:tc>
          <w:tcPr>
            <w:tcW w:w="1453" w:type="dxa"/>
            <w:tcBorders>
              <w:top w:val="nil"/>
              <w:left w:val="single" w:sz="4" w:space="0" w:color="auto"/>
              <w:bottom w:val="single" w:sz="4" w:space="0" w:color="auto"/>
              <w:right w:val="single" w:sz="4" w:space="0" w:color="auto"/>
            </w:tcBorders>
            <w:vAlign w:val="bottom"/>
          </w:tcPr>
          <w:p w:rsidR="00CF5E55" w:rsidRPr="00F34170" w:rsidRDefault="00CF5E55" w:rsidP="00A9603E">
            <w:pPr>
              <w:pStyle w:val="TableCellText10pt"/>
              <w:keepNext w:val="0"/>
              <w:spacing w:after="0"/>
              <w:jc w:val="center"/>
              <w:rPr>
                <w:iCs/>
                <w:sz w:val="18"/>
                <w:szCs w:val="18"/>
                <w:lang w:val="en-AU"/>
              </w:rPr>
            </w:pPr>
            <w:r w:rsidRPr="00F34170">
              <w:rPr>
                <w:iCs/>
                <w:sz w:val="18"/>
                <w:szCs w:val="18"/>
                <w:lang w:val="en-AU"/>
              </w:rPr>
              <w:t>-</w:t>
            </w:r>
          </w:p>
        </w:tc>
        <w:tc>
          <w:tcPr>
            <w:tcW w:w="1368" w:type="dxa"/>
            <w:tcBorders>
              <w:top w:val="nil"/>
              <w:left w:val="single" w:sz="4" w:space="0" w:color="auto"/>
              <w:bottom w:val="single" w:sz="4" w:space="0" w:color="auto"/>
              <w:right w:val="single" w:sz="4" w:space="0" w:color="auto"/>
            </w:tcBorders>
            <w:vAlign w:val="bottom"/>
          </w:tcPr>
          <w:p w:rsidR="00CF5E55" w:rsidRPr="00F34170" w:rsidRDefault="00CF5E55" w:rsidP="00A9603E">
            <w:pPr>
              <w:pStyle w:val="TableCellText10pt"/>
              <w:keepNext w:val="0"/>
              <w:spacing w:after="0"/>
              <w:jc w:val="center"/>
              <w:rPr>
                <w:iCs/>
                <w:sz w:val="18"/>
                <w:szCs w:val="18"/>
                <w:lang w:val="en-AU"/>
              </w:rPr>
            </w:pPr>
            <w:r w:rsidRPr="00F34170">
              <w:rPr>
                <w:iCs/>
                <w:sz w:val="18"/>
                <w:szCs w:val="18"/>
                <w:lang w:val="en-AU"/>
              </w:rPr>
              <w:t>-</w:t>
            </w:r>
          </w:p>
        </w:tc>
        <w:tc>
          <w:tcPr>
            <w:tcW w:w="1411" w:type="dxa"/>
            <w:tcBorders>
              <w:top w:val="nil"/>
              <w:left w:val="single" w:sz="4" w:space="0" w:color="auto"/>
              <w:bottom w:val="single" w:sz="4" w:space="0" w:color="auto"/>
              <w:right w:val="single" w:sz="4" w:space="0" w:color="auto"/>
            </w:tcBorders>
          </w:tcPr>
          <w:p w:rsidR="00CF5E55" w:rsidRPr="00F34170" w:rsidRDefault="00CF5E55" w:rsidP="00A9603E">
            <w:pPr>
              <w:pStyle w:val="TableCellText10pt"/>
              <w:keepNext w:val="0"/>
              <w:spacing w:after="0"/>
              <w:jc w:val="center"/>
              <w:rPr>
                <w:iCs/>
                <w:sz w:val="18"/>
                <w:szCs w:val="18"/>
                <w:lang w:val="en-AU"/>
              </w:rPr>
            </w:pPr>
            <w:r w:rsidRPr="00F34170">
              <w:rPr>
                <w:iCs/>
                <w:sz w:val="18"/>
                <w:szCs w:val="18"/>
                <w:lang w:val="en-AU"/>
              </w:rPr>
              <w:t>6 (5)</w:t>
            </w:r>
          </w:p>
        </w:tc>
        <w:tc>
          <w:tcPr>
            <w:tcW w:w="1411" w:type="dxa"/>
            <w:tcBorders>
              <w:top w:val="nil"/>
              <w:left w:val="single" w:sz="4" w:space="0" w:color="auto"/>
              <w:bottom w:val="single" w:sz="4" w:space="0" w:color="auto"/>
              <w:right w:val="single" w:sz="4" w:space="0" w:color="auto"/>
            </w:tcBorders>
          </w:tcPr>
          <w:p w:rsidR="00CF5E55" w:rsidRPr="00F34170" w:rsidRDefault="00CF5E55" w:rsidP="00A9603E">
            <w:pPr>
              <w:pStyle w:val="TableCellText10pt"/>
              <w:keepNext w:val="0"/>
              <w:spacing w:after="0"/>
              <w:jc w:val="center"/>
              <w:rPr>
                <w:iCs/>
                <w:sz w:val="18"/>
                <w:szCs w:val="18"/>
                <w:lang w:val="en-AU"/>
              </w:rPr>
            </w:pPr>
            <w:r w:rsidRPr="00F34170">
              <w:rPr>
                <w:iCs/>
                <w:sz w:val="18"/>
                <w:szCs w:val="18"/>
                <w:lang w:val="en-AU"/>
              </w:rPr>
              <w:t>0</w:t>
            </w:r>
          </w:p>
        </w:tc>
      </w:tr>
      <w:tr w:rsidR="002E6481" w:rsidRPr="00F34170" w:rsidTr="00CD353C">
        <w:trPr>
          <w:jc w:val="center"/>
        </w:trPr>
        <w:tc>
          <w:tcPr>
            <w:tcW w:w="3758" w:type="dxa"/>
            <w:tcBorders>
              <w:top w:val="single" w:sz="4" w:space="0" w:color="auto"/>
              <w:left w:val="single" w:sz="4" w:space="0" w:color="auto"/>
              <w:bottom w:val="nil"/>
              <w:right w:val="single" w:sz="4" w:space="0" w:color="auto"/>
            </w:tcBorders>
            <w:vAlign w:val="bottom"/>
          </w:tcPr>
          <w:p w:rsidR="002E6481" w:rsidRPr="00F34170" w:rsidRDefault="002E6481" w:rsidP="00A9603E">
            <w:pPr>
              <w:pStyle w:val="TableCellText10pt"/>
              <w:keepNext w:val="0"/>
              <w:spacing w:after="0"/>
              <w:rPr>
                <w:sz w:val="18"/>
                <w:szCs w:val="18"/>
                <w:lang w:val="en-AU"/>
              </w:rPr>
            </w:pPr>
            <w:r w:rsidRPr="00F34170">
              <w:rPr>
                <w:b/>
                <w:sz w:val="18"/>
                <w:szCs w:val="18"/>
                <w:lang w:val="en-AU"/>
              </w:rPr>
              <w:t>Musculoskeletal and nutrition disorders</w:t>
            </w:r>
          </w:p>
        </w:tc>
        <w:tc>
          <w:tcPr>
            <w:tcW w:w="1453" w:type="dxa"/>
            <w:tcBorders>
              <w:top w:val="single" w:sz="4" w:space="0" w:color="auto"/>
              <w:left w:val="single" w:sz="4" w:space="0" w:color="auto"/>
              <w:bottom w:val="nil"/>
              <w:right w:val="single" w:sz="4" w:space="0" w:color="auto"/>
            </w:tcBorders>
            <w:vAlign w:val="bottom"/>
          </w:tcPr>
          <w:p w:rsidR="002E6481" w:rsidRPr="00F34170" w:rsidRDefault="002E6481" w:rsidP="00A9603E">
            <w:pPr>
              <w:pStyle w:val="TableCellText10pt"/>
              <w:keepNext w:val="0"/>
              <w:spacing w:after="0"/>
              <w:jc w:val="center"/>
              <w:rPr>
                <w:iCs/>
                <w:sz w:val="18"/>
                <w:szCs w:val="18"/>
                <w:lang w:val="en-AU"/>
              </w:rPr>
            </w:pPr>
          </w:p>
        </w:tc>
        <w:tc>
          <w:tcPr>
            <w:tcW w:w="1368" w:type="dxa"/>
            <w:tcBorders>
              <w:top w:val="single" w:sz="4" w:space="0" w:color="auto"/>
              <w:left w:val="single" w:sz="4" w:space="0" w:color="auto"/>
              <w:bottom w:val="nil"/>
              <w:right w:val="single" w:sz="4" w:space="0" w:color="auto"/>
            </w:tcBorders>
            <w:vAlign w:val="bottom"/>
          </w:tcPr>
          <w:p w:rsidR="002E6481" w:rsidRPr="00F34170" w:rsidRDefault="002E6481" w:rsidP="00A9603E">
            <w:pPr>
              <w:pStyle w:val="TableCellText10pt"/>
              <w:keepNext w:val="0"/>
              <w:spacing w:after="0"/>
              <w:jc w:val="center"/>
              <w:rPr>
                <w:iCs/>
                <w:sz w:val="18"/>
                <w:szCs w:val="18"/>
                <w:lang w:val="en-AU"/>
              </w:rPr>
            </w:pPr>
          </w:p>
        </w:tc>
        <w:tc>
          <w:tcPr>
            <w:tcW w:w="1411" w:type="dxa"/>
            <w:tcBorders>
              <w:top w:val="single" w:sz="4" w:space="0" w:color="auto"/>
              <w:left w:val="single" w:sz="4" w:space="0" w:color="auto"/>
              <w:bottom w:val="nil"/>
              <w:right w:val="single" w:sz="4" w:space="0" w:color="auto"/>
            </w:tcBorders>
          </w:tcPr>
          <w:p w:rsidR="002E6481" w:rsidRPr="00F34170" w:rsidRDefault="002E6481" w:rsidP="00A9603E">
            <w:pPr>
              <w:pStyle w:val="TableCellText10pt"/>
              <w:keepNext w:val="0"/>
              <w:spacing w:after="0"/>
              <w:jc w:val="center"/>
              <w:rPr>
                <w:iCs/>
                <w:sz w:val="18"/>
                <w:szCs w:val="18"/>
                <w:lang w:val="en-AU"/>
              </w:rPr>
            </w:pPr>
          </w:p>
        </w:tc>
        <w:tc>
          <w:tcPr>
            <w:tcW w:w="1411" w:type="dxa"/>
            <w:tcBorders>
              <w:top w:val="single" w:sz="4" w:space="0" w:color="auto"/>
              <w:left w:val="single" w:sz="4" w:space="0" w:color="auto"/>
              <w:bottom w:val="nil"/>
              <w:right w:val="single" w:sz="4" w:space="0" w:color="auto"/>
            </w:tcBorders>
          </w:tcPr>
          <w:p w:rsidR="002E6481" w:rsidRPr="00F34170" w:rsidRDefault="002E6481" w:rsidP="00A9603E">
            <w:pPr>
              <w:pStyle w:val="TableCellText10pt"/>
              <w:keepNext w:val="0"/>
              <w:spacing w:after="0"/>
              <w:jc w:val="center"/>
              <w:rPr>
                <w:iCs/>
                <w:sz w:val="18"/>
                <w:szCs w:val="18"/>
                <w:lang w:val="en-AU"/>
              </w:rPr>
            </w:pPr>
          </w:p>
        </w:tc>
      </w:tr>
      <w:tr w:rsidR="002E6481" w:rsidRPr="00F34170" w:rsidTr="008A7183">
        <w:trPr>
          <w:jc w:val="center"/>
        </w:trPr>
        <w:tc>
          <w:tcPr>
            <w:tcW w:w="3758" w:type="dxa"/>
            <w:tcBorders>
              <w:top w:val="nil"/>
              <w:left w:val="single" w:sz="4" w:space="0" w:color="auto"/>
              <w:right w:val="single" w:sz="4" w:space="0" w:color="auto"/>
            </w:tcBorders>
            <w:vAlign w:val="bottom"/>
          </w:tcPr>
          <w:p w:rsidR="002E6481" w:rsidRPr="00F34170" w:rsidRDefault="002E6481" w:rsidP="00A9603E">
            <w:pPr>
              <w:pStyle w:val="TableCellText10pt"/>
              <w:keepNext w:val="0"/>
              <w:spacing w:after="0"/>
              <w:ind w:left="187"/>
              <w:rPr>
                <w:sz w:val="18"/>
                <w:szCs w:val="18"/>
                <w:lang w:val="en-AU"/>
              </w:rPr>
            </w:pPr>
            <w:r w:rsidRPr="00F34170">
              <w:rPr>
                <w:sz w:val="18"/>
                <w:szCs w:val="18"/>
                <w:lang w:val="en-AU"/>
              </w:rPr>
              <w:t>Muscle spasms</w:t>
            </w:r>
          </w:p>
        </w:tc>
        <w:tc>
          <w:tcPr>
            <w:tcW w:w="1453" w:type="dxa"/>
            <w:tcBorders>
              <w:top w:val="nil"/>
              <w:left w:val="single" w:sz="4" w:space="0" w:color="auto"/>
              <w:right w:val="single" w:sz="4" w:space="0" w:color="auto"/>
            </w:tcBorders>
            <w:vAlign w:val="bottom"/>
          </w:tcPr>
          <w:p w:rsidR="002E6481" w:rsidRPr="00F34170" w:rsidRDefault="002E6481" w:rsidP="00A9603E">
            <w:pPr>
              <w:pStyle w:val="TableCellText10pt"/>
              <w:keepNext w:val="0"/>
              <w:spacing w:after="0"/>
              <w:jc w:val="center"/>
              <w:rPr>
                <w:iCs/>
                <w:sz w:val="18"/>
                <w:szCs w:val="18"/>
                <w:lang w:val="en-AU"/>
              </w:rPr>
            </w:pPr>
            <w:r w:rsidRPr="00F34170">
              <w:rPr>
                <w:iCs/>
                <w:sz w:val="18"/>
                <w:szCs w:val="18"/>
                <w:lang w:val="en-AU"/>
              </w:rPr>
              <w:t>-</w:t>
            </w:r>
          </w:p>
        </w:tc>
        <w:tc>
          <w:tcPr>
            <w:tcW w:w="1368" w:type="dxa"/>
            <w:tcBorders>
              <w:top w:val="nil"/>
              <w:left w:val="single" w:sz="4" w:space="0" w:color="auto"/>
              <w:right w:val="single" w:sz="4" w:space="0" w:color="auto"/>
            </w:tcBorders>
            <w:vAlign w:val="bottom"/>
          </w:tcPr>
          <w:p w:rsidR="002E6481" w:rsidRPr="00F34170" w:rsidRDefault="002E6481" w:rsidP="00A9603E">
            <w:pPr>
              <w:pStyle w:val="TableCellText10pt"/>
              <w:keepNext w:val="0"/>
              <w:spacing w:after="0"/>
              <w:jc w:val="center"/>
              <w:rPr>
                <w:iCs/>
                <w:sz w:val="18"/>
                <w:szCs w:val="18"/>
                <w:lang w:val="en-AU"/>
              </w:rPr>
            </w:pPr>
            <w:r w:rsidRPr="00F34170">
              <w:rPr>
                <w:iCs/>
                <w:sz w:val="18"/>
                <w:szCs w:val="18"/>
                <w:lang w:val="en-AU"/>
              </w:rPr>
              <w:t>-</w:t>
            </w:r>
          </w:p>
        </w:tc>
        <w:tc>
          <w:tcPr>
            <w:tcW w:w="1411" w:type="dxa"/>
            <w:tcBorders>
              <w:top w:val="nil"/>
              <w:left w:val="single" w:sz="4" w:space="0" w:color="auto"/>
              <w:right w:val="single" w:sz="4" w:space="0" w:color="auto"/>
            </w:tcBorders>
          </w:tcPr>
          <w:p w:rsidR="002E6481" w:rsidRPr="00F34170" w:rsidRDefault="002E6481" w:rsidP="00A9603E">
            <w:pPr>
              <w:pStyle w:val="TableCellText10pt"/>
              <w:keepNext w:val="0"/>
              <w:spacing w:after="0"/>
              <w:jc w:val="center"/>
              <w:rPr>
                <w:iCs/>
                <w:sz w:val="18"/>
                <w:szCs w:val="18"/>
                <w:lang w:val="en-AU"/>
              </w:rPr>
            </w:pPr>
            <w:r w:rsidRPr="00F34170">
              <w:rPr>
                <w:iCs/>
                <w:sz w:val="18"/>
                <w:szCs w:val="18"/>
                <w:lang w:val="en-AU"/>
              </w:rPr>
              <w:t>8 (6)</w:t>
            </w:r>
          </w:p>
        </w:tc>
        <w:tc>
          <w:tcPr>
            <w:tcW w:w="1411" w:type="dxa"/>
            <w:tcBorders>
              <w:top w:val="nil"/>
              <w:left w:val="single" w:sz="4" w:space="0" w:color="auto"/>
              <w:right w:val="single" w:sz="4" w:space="0" w:color="auto"/>
            </w:tcBorders>
          </w:tcPr>
          <w:p w:rsidR="002E6481" w:rsidRPr="00F34170" w:rsidRDefault="002E6481" w:rsidP="00A9603E">
            <w:pPr>
              <w:pStyle w:val="TableCellText10pt"/>
              <w:keepNext w:val="0"/>
              <w:spacing w:after="0"/>
              <w:jc w:val="center"/>
              <w:rPr>
                <w:iCs/>
                <w:sz w:val="18"/>
                <w:szCs w:val="18"/>
                <w:lang w:val="en-AU"/>
              </w:rPr>
            </w:pPr>
            <w:r w:rsidRPr="00F34170">
              <w:rPr>
                <w:iCs/>
                <w:sz w:val="18"/>
                <w:szCs w:val="18"/>
                <w:lang w:val="en-AU"/>
              </w:rPr>
              <w:t>0</w:t>
            </w:r>
          </w:p>
        </w:tc>
      </w:tr>
      <w:tr w:rsidR="00CF5E55" w:rsidRPr="00F34170" w:rsidTr="008A7183">
        <w:trPr>
          <w:jc w:val="center"/>
        </w:trPr>
        <w:tc>
          <w:tcPr>
            <w:tcW w:w="3758" w:type="dxa"/>
            <w:tcBorders>
              <w:top w:val="nil"/>
              <w:left w:val="single" w:sz="4" w:space="0" w:color="auto"/>
              <w:right w:val="single" w:sz="4" w:space="0" w:color="auto"/>
            </w:tcBorders>
            <w:vAlign w:val="bottom"/>
          </w:tcPr>
          <w:p w:rsidR="00CF5E55" w:rsidRPr="00F34170" w:rsidRDefault="00CF5E55" w:rsidP="00A9603E">
            <w:pPr>
              <w:pStyle w:val="TableCellText10pt"/>
              <w:keepNext w:val="0"/>
              <w:spacing w:after="0"/>
              <w:ind w:left="187"/>
              <w:rPr>
                <w:sz w:val="18"/>
                <w:szCs w:val="18"/>
                <w:lang w:val="en-AU"/>
              </w:rPr>
            </w:pPr>
            <w:r w:rsidRPr="00F34170">
              <w:rPr>
                <w:sz w:val="18"/>
                <w:szCs w:val="18"/>
                <w:lang w:val="en-AU"/>
              </w:rPr>
              <w:t>Myalgia</w:t>
            </w:r>
          </w:p>
        </w:tc>
        <w:tc>
          <w:tcPr>
            <w:tcW w:w="1453" w:type="dxa"/>
            <w:tcBorders>
              <w:top w:val="nil"/>
              <w:left w:val="single" w:sz="4" w:space="0" w:color="auto"/>
              <w:right w:val="single" w:sz="4" w:space="0" w:color="auto"/>
            </w:tcBorders>
            <w:vAlign w:val="bottom"/>
          </w:tcPr>
          <w:p w:rsidR="00CF5E55" w:rsidRPr="00F34170" w:rsidRDefault="00CF5E55" w:rsidP="00A9603E">
            <w:pPr>
              <w:pStyle w:val="TableCellText10pt"/>
              <w:keepNext w:val="0"/>
              <w:spacing w:after="0"/>
              <w:jc w:val="center"/>
              <w:rPr>
                <w:iCs/>
                <w:sz w:val="18"/>
                <w:szCs w:val="18"/>
                <w:lang w:val="en-AU"/>
              </w:rPr>
            </w:pPr>
            <w:r w:rsidRPr="00F34170">
              <w:rPr>
                <w:iCs/>
                <w:sz w:val="18"/>
                <w:szCs w:val="18"/>
                <w:lang w:val="en-AU"/>
              </w:rPr>
              <w:t>-</w:t>
            </w:r>
          </w:p>
        </w:tc>
        <w:tc>
          <w:tcPr>
            <w:tcW w:w="1368" w:type="dxa"/>
            <w:tcBorders>
              <w:top w:val="nil"/>
              <w:left w:val="single" w:sz="4" w:space="0" w:color="auto"/>
              <w:right w:val="single" w:sz="4" w:space="0" w:color="auto"/>
            </w:tcBorders>
            <w:vAlign w:val="bottom"/>
          </w:tcPr>
          <w:p w:rsidR="00CF5E55" w:rsidRPr="00F34170" w:rsidRDefault="00CF5E55" w:rsidP="00A9603E">
            <w:pPr>
              <w:pStyle w:val="TableCellText10pt"/>
              <w:keepNext w:val="0"/>
              <w:spacing w:after="0"/>
              <w:jc w:val="center"/>
              <w:rPr>
                <w:iCs/>
                <w:sz w:val="18"/>
                <w:szCs w:val="18"/>
                <w:lang w:val="en-AU"/>
              </w:rPr>
            </w:pPr>
            <w:r w:rsidRPr="00F34170">
              <w:rPr>
                <w:iCs/>
                <w:sz w:val="18"/>
                <w:szCs w:val="18"/>
                <w:lang w:val="en-AU"/>
              </w:rPr>
              <w:t>-</w:t>
            </w:r>
          </w:p>
        </w:tc>
        <w:tc>
          <w:tcPr>
            <w:tcW w:w="1411" w:type="dxa"/>
            <w:tcBorders>
              <w:top w:val="nil"/>
              <w:left w:val="single" w:sz="4" w:space="0" w:color="auto"/>
              <w:right w:val="single" w:sz="4" w:space="0" w:color="auto"/>
            </w:tcBorders>
          </w:tcPr>
          <w:p w:rsidR="00CF5E55" w:rsidRPr="00F34170" w:rsidRDefault="00CF5E55" w:rsidP="00A9603E">
            <w:pPr>
              <w:pStyle w:val="TableCellText10pt"/>
              <w:keepNext w:val="0"/>
              <w:spacing w:after="0"/>
              <w:jc w:val="center"/>
              <w:rPr>
                <w:iCs/>
                <w:sz w:val="18"/>
                <w:szCs w:val="18"/>
                <w:lang w:val="en-AU"/>
              </w:rPr>
            </w:pPr>
            <w:r w:rsidRPr="00F34170">
              <w:rPr>
                <w:iCs/>
                <w:sz w:val="18"/>
                <w:szCs w:val="18"/>
                <w:lang w:val="en-AU"/>
              </w:rPr>
              <w:t>7 (5)</w:t>
            </w:r>
          </w:p>
        </w:tc>
        <w:tc>
          <w:tcPr>
            <w:tcW w:w="1411" w:type="dxa"/>
            <w:tcBorders>
              <w:top w:val="nil"/>
              <w:left w:val="single" w:sz="4" w:space="0" w:color="auto"/>
              <w:right w:val="single" w:sz="4" w:space="0" w:color="auto"/>
            </w:tcBorders>
          </w:tcPr>
          <w:p w:rsidR="00CF5E55" w:rsidRPr="00F34170" w:rsidRDefault="00CF5E55" w:rsidP="00A9603E">
            <w:pPr>
              <w:pStyle w:val="TableCellText10pt"/>
              <w:keepNext w:val="0"/>
              <w:spacing w:after="0"/>
              <w:jc w:val="center"/>
              <w:rPr>
                <w:iCs/>
                <w:sz w:val="18"/>
                <w:szCs w:val="18"/>
                <w:lang w:val="en-AU"/>
              </w:rPr>
            </w:pPr>
            <w:r w:rsidRPr="00F34170">
              <w:rPr>
                <w:iCs/>
                <w:sz w:val="18"/>
                <w:szCs w:val="18"/>
                <w:lang w:val="en-AU"/>
              </w:rPr>
              <w:t>1 (1)</w:t>
            </w:r>
          </w:p>
        </w:tc>
      </w:tr>
      <w:tr w:rsidR="00FF16E6" w:rsidRPr="00F34170" w:rsidTr="008A7183">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3758" w:type="dxa"/>
            <w:tcBorders>
              <w:top w:val="nil"/>
            </w:tcBorders>
            <w:vAlign w:val="bottom"/>
          </w:tcPr>
          <w:p w:rsidR="00FF16E6" w:rsidRPr="00F34170" w:rsidRDefault="00FF16E6" w:rsidP="0027280A">
            <w:pPr>
              <w:pStyle w:val="TableCellText10pt"/>
              <w:keepNext w:val="0"/>
              <w:spacing w:after="0"/>
              <w:rPr>
                <w:b/>
                <w:sz w:val="18"/>
                <w:szCs w:val="18"/>
                <w:lang w:val="en-AU"/>
              </w:rPr>
            </w:pPr>
            <w:r w:rsidRPr="00F34170">
              <w:rPr>
                <w:b/>
                <w:sz w:val="18"/>
                <w:szCs w:val="18"/>
                <w:lang w:val="en-AU"/>
              </w:rPr>
              <w:t>Respiratory, thoracic and mediastinal disorders</w:t>
            </w:r>
          </w:p>
        </w:tc>
        <w:tc>
          <w:tcPr>
            <w:tcW w:w="1453" w:type="dxa"/>
            <w:tcBorders>
              <w:top w:val="nil"/>
            </w:tcBorders>
            <w:vAlign w:val="bottom"/>
          </w:tcPr>
          <w:p w:rsidR="00FF16E6" w:rsidRPr="00F34170" w:rsidRDefault="00FF16E6" w:rsidP="0027280A">
            <w:pPr>
              <w:pStyle w:val="TableCellText10pt"/>
              <w:keepNext w:val="0"/>
              <w:spacing w:after="0"/>
              <w:jc w:val="center"/>
              <w:rPr>
                <w:iCs/>
                <w:sz w:val="18"/>
                <w:szCs w:val="18"/>
                <w:lang w:val="en-AU"/>
              </w:rPr>
            </w:pPr>
          </w:p>
        </w:tc>
        <w:tc>
          <w:tcPr>
            <w:tcW w:w="1368" w:type="dxa"/>
            <w:tcBorders>
              <w:top w:val="nil"/>
            </w:tcBorders>
            <w:vAlign w:val="bottom"/>
          </w:tcPr>
          <w:p w:rsidR="00FF16E6" w:rsidRPr="00F34170" w:rsidRDefault="00FF16E6" w:rsidP="0027280A">
            <w:pPr>
              <w:pStyle w:val="TableCellText10pt"/>
              <w:keepNext w:val="0"/>
              <w:spacing w:after="0"/>
              <w:jc w:val="center"/>
              <w:rPr>
                <w:iCs/>
                <w:sz w:val="18"/>
                <w:szCs w:val="18"/>
                <w:lang w:val="en-AU"/>
              </w:rPr>
            </w:pPr>
          </w:p>
        </w:tc>
        <w:tc>
          <w:tcPr>
            <w:tcW w:w="1411" w:type="dxa"/>
            <w:tcBorders>
              <w:top w:val="nil"/>
            </w:tcBorders>
          </w:tcPr>
          <w:p w:rsidR="00FF16E6" w:rsidRPr="00F34170" w:rsidRDefault="00FF16E6" w:rsidP="0027280A">
            <w:pPr>
              <w:pStyle w:val="TableCellText10pt"/>
              <w:keepNext w:val="0"/>
              <w:spacing w:after="0"/>
              <w:jc w:val="center"/>
              <w:rPr>
                <w:iCs/>
                <w:sz w:val="18"/>
                <w:szCs w:val="18"/>
                <w:lang w:val="en-AU"/>
              </w:rPr>
            </w:pPr>
          </w:p>
        </w:tc>
        <w:tc>
          <w:tcPr>
            <w:tcW w:w="1411" w:type="dxa"/>
            <w:tcBorders>
              <w:top w:val="nil"/>
            </w:tcBorders>
          </w:tcPr>
          <w:p w:rsidR="00FF16E6" w:rsidRPr="00F34170" w:rsidRDefault="00FF16E6" w:rsidP="0027280A">
            <w:pPr>
              <w:pStyle w:val="TableCellText10pt"/>
              <w:keepNext w:val="0"/>
              <w:spacing w:after="0"/>
              <w:jc w:val="center"/>
              <w:rPr>
                <w:iCs/>
                <w:sz w:val="18"/>
                <w:szCs w:val="18"/>
                <w:lang w:val="en-AU"/>
              </w:rPr>
            </w:pPr>
          </w:p>
        </w:tc>
      </w:tr>
      <w:tr w:rsidR="00FF16E6" w:rsidRPr="00F34170" w:rsidTr="00FF16E6">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3758" w:type="dxa"/>
            <w:vAlign w:val="bottom"/>
          </w:tcPr>
          <w:p w:rsidR="00FF16E6" w:rsidRPr="00F34170" w:rsidRDefault="00FF16E6" w:rsidP="0027280A">
            <w:pPr>
              <w:pStyle w:val="TableCellText10pt"/>
              <w:keepNext w:val="0"/>
              <w:spacing w:after="0"/>
              <w:ind w:left="187"/>
              <w:rPr>
                <w:sz w:val="18"/>
                <w:szCs w:val="18"/>
                <w:lang w:val="en-AU"/>
              </w:rPr>
            </w:pPr>
            <w:r w:rsidRPr="00F34170">
              <w:rPr>
                <w:sz w:val="18"/>
                <w:szCs w:val="18"/>
                <w:lang w:val="en-AU"/>
              </w:rPr>
              <w:t>Cough</w:t>
            </w:r>
          </w:p>
        </w:tc>
        <w:tc>
          <w:tcPr>
            <w:tcW w:w="1453" w:type="dxa"/>
            <w:vAlign w:val="bottom"/>
          </w:tcPr>
          <w:p w:rsidR="00FF16E6" w:rsidRPr="00F34170" w:rsidRDefault="00FF16E6" w:rsidP="0027280A">
            <w:pPr>
              <w:pStyle w:val="TableCellText10pt"/>
              <w:keepNext w:val="0"/>
              <w:spacing w:after="0"/>
              <w:jc w:val="center"/>
              <w:rPr>
                <w:iCs/>
                <w:sz w:val="18"/>
                <w:szCs w:val="18"/>
                <w:lang w:val="en-AU"/>
              </w:rPr>
            </w:pPr>
            <w:r w:rsidRPr="00F34170">
              <w:rPr>
                <w:iCs/>
                <w:sz w:val="18"/>
                <w:szCs w:val="18"/>
                <w:lang w:val="en-AU"/>
              </w:rPr>
              <w:t>23 (18)</w:t>
            </w:r>
          </w:p>
        </w:tc>
        <w:tc>
          <w:tcPr>
            <w:tcW w:w="1368" w:type="dxa"/>
            <w:noWrap/>
            <w:vAlign w:val="bottom"/>
          </w:tcPr>
          <w:p w:rsidR="00FF16E6" w:rsidRPr="00F34170" w:rsidRDefault="00FF16E6" w:rsidP="0027280A">
            <w:pPr>
              <w:pStyle w:val="TableCellText10pt"/>
              <w:keepNext w:val="0"/>
              <w:spacing w:after="0"/>
              <w:jc w:val="center"/>
              <w:rPr>
                <w:iCs/>
                <w:sz w:val="18"/>
                <w:szCs w:val="18"/>
                <w:lang w:val="en-AU"/>
              </w:rPr>
            </w:pPr>
            <w:r w:rsidRPr="00F34170">
              <w:rPr>
                <w:iCs/>
                <w:sz w:val="18"/>
                <w:szCs w:val="18"/>
                <w:lang w:val="en-AU"/>
              </w:rPr>
              <w:t>0</w:t>
            </w:r>
          </w:p>
        </w:tc>
        <w:tc>
          <w:tcPr>
            <w:tcW w:w="1411" w:type="dxa"/>
            <w:shd w:val="clear" w:color="auto" w:fill="auto"/>
          </w:tcPr>
          <w:p w:rsidR="00FF16E6" w:rsidRPr="00F34170" w:rsidRDefault="00FF16E6" w:rsidP="0027280A">
            <w:pPr>
              <w:pStyle w:val="TableCellText10pt"/>
              <w:keepNext w:val="0"/>
              <w:spacing w:after="0"/>
              <w:jc w:val="center"/>
              <w:rPr>
                <w:iCs/>
                <w:sz w:val="18"/>
                <w:szCs w:val="18"/>
                <w:lang w:val="en-AU"/>
              </w:rPr>
            </w:pPr>
            <w:r w:rsidRPr="00F34170">
              <w:rPr>
                <w:iCs/>
                <w:sz w:val="18"/>
                <w:szCs w:val="18"/>
                <w:lang w:val="en-AU"/>
              </w:rPr>
              <w:t>-</w:t>
            </w:r>
          </w:p>
        </w:tc>
        <w:tc>
          <w:tcPr>
            <w:tcW w:w="1411" w:type="dxa"/>
            <w:shd w:val="clear" w:color="auto" w:fill="auto"/>
          </w:tcPr>
          <w:p w:rsidR="00FF16E6" w:rsidRPr="00F34170" w:rsidRDefault="00FF16E6" w:rsidP="0027280A">
            <w:pPr>
              <w:pStyle w:val="TableCellText10pt"/>
              <w:keepNext w:val="0"/>
              <w:spacing w:after="0"/>
              <w:jc w:val="center"/>
              <w:rPr>
                <w:iCs/>
                <w:sz w:val="18"/>
                <w:szCs w:val="18"/>
                <w:lang w:val="en-AU"/>
              </w:rPr>
            </w:pPr>
            <w:r w:rsidRPr="00F34170">
              <w:rPr>
                <w:iCs/>
                <w:sz w:val="18"/>
                <w:szCs w:val="18"/>
                <w:lang w:val="en-AU"/>
              </w:rPr>
              <w:t>-</w:t>
            </w:r>
          </w:p>
        </w:tc>
      </w:tr>
      <w:tr w:rsidR="00FF16E6" w:rsidRPr="00F34170" w:rsidTr="00FF16E6">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3758" w:type="dxa"/>
            <w:vAlign w:val="bottom"/>
          </w:tcPr>
          <w:p w:rsidR="00FF16E6" w:rsidRPr="00F34170" w:rsidRDefault="00FF16E6" w:rsidP="0027280A">
            <w:pPr>
              <w:pStyle w:val="TableCellText10pt"/>
              <w:keepNext w:val="0"/>
              <w:spacing w:after="0"/>
              <w:ind w:left="187"/>
              <w:rPr>
                <w:sz w:val="18"/>
                <w:szCs w:val="18"/>
                <w:lang w:val="en-AU"/>
              </w:rPr>
            </w:pPr>
            <w:r w:rsidRPr="00F34170">
              <w:rPr>
                <w:sz w:val="18"/>
                <w:szCs w:val="18"/>
                <w:lang w:val="en-AU"/>
              </w:rPr>
              <w:t>Dyspnoea</w:t>
            </w:r>
          </w:p>
        </w:tc>
        <w:tc>
          <w:tcPr>
            <w:tcW w:w="1453" w:type="dxa"/>
            <w:vAlign w:val="bottom"/>
          </w:tcPr>
          <w:p w:rsidR="00FF16E6" w:rsidRPr="00F34170" w:rsidRDefault="00FF16E6" w:rsidP="0027280A">
            <w:pPr>
              <w:pStyle w:val="TableCellText10pt"/>
              <w:keepNext w:val="0"/>
              <w:spacing w:after="0"/>
              <w:jc w:val="center"/>
              <w:rPr>
                <w:iCs/>
                <w:sz w:val="18"/>
                <w:szCs w:val="18"/>
                <w:lang w:val="en-AU"/>
              </w:rPr>
            </w:pPr>
            <w:r w:rsidRPr="00F34170">
              <w:rPr>
                <w:iCs/>
                <w:sz w:val="18"/>
                <w:szCs w:val="18"/>
                <w:lang w:val="en-AU"/>
              </w:rPr>
              <w:t>17 (13)</w:t>
            </w:r>
          </w:p>
        </w:tc>
        <w:tc>
          <w:tcPr>
            <w:tcW w:w="1368" w:type="dxa"/>
            <w:vAlign w:val="bottom"/>
          </w:tcPr>
          <w:p w:rsidR="00FF16E6" w:rsidRPr="00F34170" w:rsidRDefault="00FF16E6" w:rsidP="0027280A">
            <w:pPr>
              <w:pStyle w:val="TableCellText10pt"/>
              <w:keepNext w:val="0"/>
              <w:spacing w:after="0"/>
              <w:jc w:val="center"/>
              <w:rPr>
                <w:iCs/>
                <w:sz w:val="18"/>
                <w:szCs w:val="18"/>
                <w:lang w:val="en-AU"/>
              </w:rPr>
            </w:pPr>
            <w:r w:rsidRPr="00F34170">
              <w:rPr>
                <w:iCs/>
                <w:sz w:val="18"/>
                <w:szCs w:val="18"/>
                <w:lang w:val="en-AU"/>
              </w:rPr>
              <w:t>3 (2)</w:t>
            </w:r>
          </w:p>
        </w:tc>
        <w:tc>
          <w:tcPr>
            <w:tcW w:w="1411" w:type="dxa"/>
            <w:shd w:val="clear" w:color="auto" w:fill="auto"/>
          </w:tcPr>
          <w:p w:rsidR="00FF16E6" w:rsidRPr="00F34170" w:rsidRDefault="00FF16E6" w:rsidP="0027280A">
            <w:pPr>
              <w:pStyle w:val="TableCellText10pt"/>
              <w:keepNext w:val="0"/>
              <w:spacing w:after="0"/>
              <w:jc w:val="center"/>
              <w:rPr>
                <w:iCs/>
                <w:sz w:val="18"/>
                <w:szCs w:val="18"/>
                <w:lang w:val="en-AU"/>
              </w:rPr>
            </w:pPr>
            <w:r w:rsidRPr="00F34170">
              <w:rPr>
                <w:iCs/>
                <w:sz w:val="18"/>
                <w:szCs w:val="18"/>
                <w:lang w:val="en-AU"/>
              </w:rPr>
              <w:t>7 (5)</w:t>
            </w:r>
          </w:p>
        </w:tc>
        <w:tc>
          <w:tcPr>
            <w:tcW w:w="1411" w:type="dxa"/>
            <w:shd w:val="clear" w:color="auto" w:fill="auto"/>
          </w:tcPr>
          <w:p w:rsidR="00FF16E6" w:rsidRPr="00F34170" w:rsidRDefault="00FF16E6" w:rsidP="0027280A">
            <w:pPr>
              <w:pStyle w:val="TableCellText10pt"/>
              <w:keepNext w:val="0"/>
              <w:spacing w:after="0"/>
              <w:jc w:val="center"/>
              <w:rPr>
                <w:iCs/>
                <w:sz w:val="18"/>
                <w:szCs w:val="18"/>
                <w:lang w:val="en-AU"/>
              </w:rPr>
            </w:pPr>
            <w:r w:rsidRPr="00F34170">
              <w:rPr>
                <w:iCs/>
                <w:sz w:val="18"/>
                <w:szCs w:val="18"/>
                <w:lang w:val="en-AU"/>
              </w:rPr>
              <w:t>1 (1)</w:t>
            </w:r>
          </w:p>
        </w:tc>
      </w:tr>
      <w:tr w:rsidR="00FF16E6" w:rsidRPr="00F34170" w:rsidTr="00FF16E6">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3758" w:type="dxa"/>
            <w:vAlign w:val="bottom"/>
          </w:tcPr>
          <w:p w:rsidR="00FF16E6" w:rsidRPr="00F34170" w:rsidRDefault="00FF16E6" w:rsidP="0027280A">
            <w:pPr>
              <w:pStyle w:val="TableCellText10pt"/>
              <w:keepNext w:val="0"/>
              <w:spacing w:after="0"/>
              <w:rPr>
                <w:sz w:val="18"/>
                <w:szCs w:val="18"/>
                <w:lang w:val="en-AU"/>
              </w:rPr>
            </w:pPr>
            <w:r w:rsidRPr="00F34170">
              <w:rPr>
                <w:b/>
                <w:sz w:val="18"/>
                <w:szCs w:val="18"/>
                <w:lang w:val="en-AU"/>
              </w:rPr>
              <w:t>Skin and subcutaneous tissue disorders</w:t>
            </w:r>
          </w:p>
        </w:tc>
        <w:tc>
          <w:tcPr>
            <w:tcW w:w="1453" w:type="dxa"/>
            <w:vAlign w:val="bottom"/>
          </w:tcPr>
          <w:p w:rsidR="00FF16E6" w:rsidRPr="00F34170" w:rsidRDefault="00FF16E6" w:rsidP="0027280A">
            <w:pPr>
              <w:pStyle w:val="TableCellText10pt"/>
              <w:keepNext w:val="0"/>
              <w:spacing w:after="0"/>
              <w:jc w:val="center"/>
              <w:rPr>
                <w:iCs/>
                <w:sz w:val="18"/>
                <w:szCs w:val="18"/>
                <w:lang w:val="en-AU"/>
              </w:rPr>
            </w:pPr>
          </w:p>
        </w:tc>
        <w:tc>
          <w:tcPr>
            <w:tcW w:w="1368" w:type="dxa"/>
            <w:vAlign w:val="bottom"/>
          </w:tcPr>
          <w:p w:rsidR="00FF16E6" w:rsidRPr="00F34170" w:rsidRDefault="00FF16E6" w:rsidP="0027280A">
            <w:pPr>
              <w:pStyle w:val="TableCellText10pt"/>
              <w:keepNext w:val="0"/>
              <w:spacing w:after="0"/>
              <w:jc w:val="center"/>
              <w:rPr>
                <w:iCs/>
                <w:sz w:val="18"/>
                <w:szCs w:val="18"/>
                <w:lang w:val="en-AU"/>
              </w:rPr>
            </w:pPr>
          </w:p>
        </w:tc>
        <w:tc>
          <w:tcPr>
            <w:tcW w:w="1411" w:type="dxa"/>
          </w:tcPr>
          <w:p w:rsidR="00FF16E6" w:rsidRPr="00F34170" w:rsidRDefault="00FF16E6" w:rsidP="0027280A">
            <w:pPr>
              <w:pStyle w:val="TableCellText10pt"/>
              <w:keepNext w:val="0"/>
              <w:spacing w:after="0"/>
              <w:jc w:val="center"/>
              <w:rPr>
                <w:iCs/>
                <w:sz w:val="18"/>
                <w:szCs w:val="18"/>
                <w:lang w:val="en-AU"/>
              </w:rPr>
            </w:pPr>
          </w:p>
        </w:tc>
        <w:tc>
          <w:tcPr>
            <w:tcW w:w="1411" w:type="dxa"/>
          </w:tcPr>
          <w:p w:rsidR="00FF16E6" w:rsidRPr="00F34170" w:rsidRDefault="00FF16E6" w:rsidP="0027280A">
            <w:pPr>
              <w:pStyle w:val="TableCellText10pt"/>
              <w:keepNext w:val="0"/>
              <w:spacing w:after="0"/>
              <w:jc w:val="center"/>
              <w:rPr>
                <w:iCs/>
                <w:sz w:val="18"/>
                <w:szCs w:val="18"/>
                <w:lang w:val="en-AU"/>
              </w:rPr>
            </w:pPr>
          </w:p>
        </w:tc>
      </w:tr>
      <w:tr w:rsidR="00FF16E6" w:rsidRPr="00F34170" w:rsidTr="00FF16E6">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3758" w:type="dxa"/>
            <w:vAlign w:val="bottom"/>
          </w:tcPr>
          <w:p w:rsidR="00FF16E6" w:rsidRPr="00F34170" w:rsidRDefault="00FF16E6" w:rsidP="0027280A">
            <w:pPr>
              <w:pStyle w:val="TableCellText10pt"/>
              <w:keepNext w:val="0"/>
              <w:spacing w:after="0"/>
              <w:ind w:left="187"/>
              <w:rPr>
                <w:sz w:val="18"/>
                <w:szCs w:val="18"/>
                <w:lang w:val="en-AU"/>
              </w:rPr>
            </w:pPr>
            <w:r w:rsidRPr="00F34170">
              <w:rPr>
                <w:sz w:val="18"/>
                <w:szCs w:val="18"/>
                <w:lang w:val="en-AU"/>
              </w:rPr>
              <w:t>Rash</w:t>
            </w:r>
          </w:p>
        </w:tc>
        <w:tc>
          <w:tcPr>
            <w:tcW w:w="1453" w:type="dxa"/>
            <w:vAlign w:val="bottom"/>
          </w:tcPr>
          <w:p w:rsidR="00FF16E6" w:rsidRPr="00F34170" w:rsidRDefault="00FF16E6" w:rsidP="0027280A">
            <w:pPr>
              <w:pStyle w:val="TableCellText10pt"/>
              <w:keepNext w:val="0"/>
              <w:spacing w:after="0"/>
              <w:jc w:val="center"/>
              <w:rPr>
                <w:iCs/>
                <w:sz w:val="18"/>
                <w:szCs w:val="18"/>
                <w:lang w:val="en-AU"/>
              </w:rPr>
            </w:pPr>
            <w:r w:rsidRPr="00F34170">
              <w:rPr>
                <w:iCs/>
                <w:sz w:val="18"/>
                <w:szCs w:val="18"/>
                <w:lang w:val="en-AU"/>
              </w:rPr>
              <w:t>-</w:t>
            </w:r>
          </w:p>
        </w:tc>
        <w:tc>
          <w:tcPr>
            <w:tcW w:w="1368" w:type="dxa"/>
            <w:vAlign w:val="bottom"/>
          </w:tcPr>
          <w:p w:rsidR="00FF16E6" w:rsidRPr="00F34170" w:rsidRDefault="00FF16E6" w:rsidP="0027280A">
            <w:pPr>
              <w:pStyle w:val="TableCellText10pt"/>
              <w:keepNext w:val="0"/>
              <w:spacing w:after="0"/>
              <w:jc w:val="center"/>
              <w:rPr>
                <w:iCs/>
                <w:sz w:val="18"/>
                <w:szCs w:val="18"/>
                <w:lang w:val="en-AU"/>
              </w:rPr>
            </w:pPr>
            <w:r w:rsidRPr="00F34170">
              <w:rPr>
                <w:iCs/>
                <w:sz w:val="18"/>
                <w:szCs w:val="18"/>
                <w:lang w:val="en-AU"/>
              </w:rPr>
              <w:t>-</w:t>
            </w:r>
          </w:p>
        </w:tc>
        <w:tc>
          <w:tcPr>
            <w:tcW w:w="1411" w:type="dxa"/>
          </w:tcPr>
          <w:p w:rsidR="00FF16E6" w:rsidRPr="00F34170" w:rsidRDefault="00FF16E6" w:rsidP="0027280A">
            <w:pPr>
              <w:pStyle w:val="TableCellText10pt"/>
              <w:keepNext w:val="0"/>
              <w:spacing w:after="0"/>
              <w:jc w:val="center"/>
              <w:rPr>
                <w:iCs/>
                <w:sz w:val="18"/>
                <w:szCs w:val="18"/>
                <w:lang w:val="en-AU"/>
              </w:rPr>
            </w:pPr>
            <w:r w:rsidRPr="00F34170">
              <w:rPr>
                <w:iCs/>
                <w:sz w:val="18"/>
                <w:szCs w:val="18"/>
                <w:lang w:val="en-AU"/>
              </w:rPr>
              <w:t>7 (5)</w:t>
            </w:r>
          </w:p>
        </w:tc>
        <w:tc>
          <w:tcPr>
            <w:tcW w:w="1411" w:type="dxa"/>
          </w:tcPr>
          <w:p w:rsidR="00FF16E6" w:rsidRPr="00F34170" w:rsidRDefault="00FF16E6" w:rsidP="0027280A">
            <w:pPr>
              <w:pStyle w:val="TableCellText10pt"/>
              <w:keepNext w:val="0"/>
              <w:spacing w:after="0"/>
              <w:jc w:val="center"/>
              <w:rPr>
                <w:iCs/>
                <w:sz w:val="18"/>
                <w:szCs w:val="18"/>
                <w:lang w:val="en-AU"/>
              </w:rPr>
            </w:pPr>
            <w:r w:rsidRPr="00F34170">
              <w:rPr>
                <w:iCs/>
                <w:sz w:val="18"/>
                <w:szCs w:val="18"/>
                <w:lang w:val="en-AU"/>
              </w:rPr>
              <w:t>0</w:t>
            </w:r>
          </w:p>
        </w:tc>
      </w:tr>
      <w:tr w:rsidR="00FF16E6" w:rsidRPr="00F34170" w:rsidTr="00FF16E6">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3758" w:type="dxa"/>
            <w:vAlign w:val="bottom"/>
          </w:tcPr>
          <w:p w:rsidR="00FF16E6" w:rsidRPr="00F34170" w:rsidRDefault="00FF16E6" w:rsidP="0027280A">
            <w:pPr>
              <w:pStyle w:val="TableCellText10pt"/>
              <w:keepNext w:val="0"/>
              <w:spacing w:after="0"/>
              <w:rPr>
                <w:b/>
                <w:sz w:val="18"/>
                <w:szCs w:val="18"/>
                <w:lang w:val="en-AU"/>
              </w:rPr>
            </w:pPr>
            <w:r w:rsidRPr="00F34170">
              <w:rPr>
                <w:b/>
                <w:sz w:val="18"/>
                <w:szCs w:val="18"/>
                <w:lang w:val="en-AU"/>
              </w:rPr>
              <w:t>Investigations</w:t>
            </w:r>
          </w:p>
        </w:tc>
        <w:tc>
          <w:tcPr>
            <w:tcW w:w="1453" w:type="dxa"/>
            <w:vAlign w:val="bottom"/>
          </w:tcPr>
          <w:p w:rsidR="00FF16E6" w:rsidRPr="00F34170" w:rsidRDefault="00FF16E6" w:rsidP="0027280A">
            <w:pPr>
              <w:pStyle w:val="TableCellText10pt"/>
              <w:keepNext w:val="0"/>
              <w:spacing w:after="0"/>
              <w:jc w:val="center"/>
              <w:rPr>
                <w:iCs/>
                <w:sz w:val="18"/>
                <w:szCs w:val="18"/>
                <w:lang w:val="en-AU"/>
              </w:rPr>
            </w:pPr>
          </w:p>
        </w:tc>
        <w:tc>
          <w:tcPr>
            <w:tcW w:w="1368" w:type="dxa"/>
            <w:vAlign w:val="bottom"/>
          </w:tcPr>
          <w:p w:rsidR="00FF16E6" w:rsidRPr="00F34170" w:rsidRDefault="00FF16E6" w:rsidP="0027280A">
            <w:pPr>
              <w:pStyle w:val="TableCellText10pt"/>
              <w:keepNext w:val="0"/>
              <w:spacing w:after="0"/>
              <w:jc w:val="center"/>
              <w:rPr>
                <w:iCs/>
                <w:sz w:val="18"/>
                <w:szCs w:val="18"/>
                <w:lang w:val="en-AU"/>
              </w:rPr>
            </w:pPr>
          </w:p>
        </w:tc>
        <w:tc>
          <w:tcPr>
            <w:tcW w:w="1411" w:type="dxa"/>
          </w:tcPr>
          <w:p w:rsidR="00FF16E6" w:rsidRPr="00F34170" w:rsidRDefault="00FF16E6" w:rsidP="0027280A">
            <w:pPr>
              <w:pStyle w:val="TableCellText10pt"/>
              <w:keepNext w:val="0"/>
              <w:spacing w:after="0"/>
              <w:jc w:val="center"/>
              <w:rPr>
                <w:iCs/>
                <w:sz w:val="18"/>
                <w:szCs w:val="18"/>
                <w:lang w:val="en-AU"/>
              </w:rPr>
            </w:pPr>
          </w:p>
        </w:tc>
        <w:tc>
          <w:tcPr>
            <w:tcW w:w="1411" w:type="dxa"/>
          </w:tcPr>
          <w:p w:rsidR="00FF16E6" w:rsidRPr="00F34170" w:rsidRDefault="00FF16E6" w:rsidP="0027280A">
            <w:pPr>
              <w:pStyle w:val="TableCellText10pt"/>
              <w:keepNext w:val="0"/>
              <w:spacing w:after="0"/>
              <w:jc w:val="center"/>
              <w:rPr>
                <w:iCs/>
                <w:sz w:val="18"/>
                <w:szCs w:val="18"/>
                <w:lang w:val="en-AU"/>
              </w:rPr>
            </w:pPr>
          </w:p>
        </w:tc>
      </w:tr>
      <w:tr w:rsidR="00FF16E6" w:rsidRPr="00F34170" w:rsidTr="00FF16E6">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3758" w:type="dxa"/>
            <w:vAlign w:val="bottom"/>
          </w:tcPr>
          <w:p w:rsidR="00FF16E6" w:rsidRPr="00F34170" w:rsidRDefault="00FF16E6" w:rsidP="0027280A">
            <w:pPr>
              <w:pStyle w:val="TableCellText10pt"/>
              <w:keepNext w:val="0"/>
              <w:spacing w:after="0"/>
              <w:ind w:left="203"/>
              <w:rPr>
                <w:sz w:val="18"/>
                <w:szCs w:val="18"/>
                <w:lang w:val="en-AU"/>
              </w:rPr>
            </w:pPr>
            <w:r w:rsidRPr="00F34170">
              <w:rPr>
                <w:sz w:val="18"/>
                <w:szCs w:val="18"/>
                <w:lang w:val="en-AU"/>
              </w:rPr>
              <w:t>Weight decreased</w:t>
            </w:r>
          </w:p>
        </w:tc>
        <w:tc>
          <w:tcPr>
            <w:tcW w:w="1453" w:type="dxa"/>
            <w:vAlign w:val="bottom"/>
          </w:tcPr>
          <w:p w:rsidR="00FF16E6" w:rsidRPr="00F34170" w:rsidRDefault="00FF16E6" w:rsidP="0027280A">
            <w:pPr>
              <w:pStyle w:val="TableCellText10pt"/>
              <w:keepNext w:val="0"/>
              <w:spacing w:after="0"/>
              <w:jc w:val="center"/>
              <w:rPr>
                <w:iCs/>
                <w:sz w:val="18"/>
                <w:szCs w:val="18"/>
                <w:lang w:val="en-AU"/>
              </w:rPr>
            </w:pPr>
            <w:r w:rsidRPr="00F34170">
              <w:rPr>
                <w:iCs/>
                <w:sz w:val="18"/>
                <w:szCs w:val="18"/>
                <w:lang w:val="en-AU"/>
              </w:rPr>
              <w:t>13 (10)</w:t>
            </w:r>
          </w:p>
        </w:tc>
        <w:tc>
          <w:tcPr>
            <w:tcW w:w="1368" w:type="dxa"/>
            <w:vAlign w:val="bottom"/>
          </w:tcPr>
          <w:p w:rsidR="00FF16E6" w:rsidRPr="00F34170" w:rsidRDefault="00FF16E6" w:rsidP="0027280A">
            <w:pPr>
              <w:pStyle w:val="TableCellText10pt"/>
              <w:keepNext w:val="0"/>
              <w:spacing w:after="0"/>
              <w:jc w:val="center"/>
              <w:rPr>
                <w:iCs/>
                <w:sz w:val="18"/>
                <w:szCs w:val="18"/>
                <w:lang w:val="en-AU"/>
              </w:rPr>
            </w:pPr>
            <w:r w:rsidRPr="00F34170">
              <w:rPr>
                <w:iCs/>
                <w:sz w:val="18"/>
                <w:szCs w:val="18"/>
                <w:lang w:val="en-AU"/>
              </w:rPr>
              <w:t>0</w:t>
            </w:r>
          </w:p>
        </w:tc>
        <w:tc>
          <w:tcPr>
            <w:tcW w:w="1411" w:type="dxa"/>
          </w:tcPr>
          <w:p w:rsidR="00FF16E6" w:rsidRPr="00F34170" w:rsidRDefault="00FF16E6" w:rsidP="0027280A">
            <w:pPr>
              <w:pStyle w:val="TableCellText10pt"/>
              <w:keepNext w:val="0"/>
              <w:spacing w:after="0"/>
              <w:jc w:val="center"/>
              <w:rPr>
                <w:iCs/>
                <w:sz w:val="18"/>
                <w:szCs w:val="18"/>
                <w:lang w:val="en-AU"/>
              </w:rPr>
            </w:pPr>
            <w:r w:rsidRPr="00F34170">
              <w:rPr>
                <w:iCs/>
                <w:sz w:val="18"/>
                <w:szCs w:val="18"/>
                <w:lang w:val="en-AU"/>
              </w:rPr>
              <w:t>10 (8)</w:t>
            </w:r>
          </w:p>
        </w:tc>
        <w:tc>
          <w:tcPr>
            <w:tcW w:w="1411" w:type="dxa"/>
          </w:tcPr>
          <w:p w:rsidR="00FF16E6" w:rsidRPr="00F34170" w:rsidRDefault="00FF16E6" w:rsidP="0027280A">
            <w:pPr>
              <w:pStyle w:val="TableCellText10pt"/>
              <w:keepNext w:val="0"/>
              <w:spacing w:after="0"/>
              <w:jc w:val="center"/>
              <w:rPr>
                <w:iCs/>
                <w:sz w:val="18"/>
                <w:szCs w:val="18"/>
                <w:lang w:val="en-AU"/>
              </w:rPr>
            </w:pPr>
            <w:r w:rsidRPr="00F34170">
              <w:rPr>
                <w:iCs/>
                <w:sz w:val="18"/>
                <w:szCs w:val="18"/>
                <w:lang w:val="en-AU"/>
              </w:rPr>
              <w:t>0</w:t>
            </w:r>
          </w:p>
        </w:tc>
      </w:tr>
      <w:tr w:rsidR="00FF16E6" w:rsidRPr="00F34170" w:rsidTr="00FF16E6">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3758" w:type="dxa"/>
            <w:vAlign w:val="bottom"/>
          </w:tcPr>
          <w:p w:rsidR="00FF16E6" w:rsidRPr="00F34170" w:rsidRDefault="00FF16E6" w:rsidP="0027280A">
            <w:pPr>
              <w:pStyle w:val="TableCellText10pt"/>
              <w:keepNext w:val="0"/>
              <w:spacing w:after="0"/>
              <w:rPr>
                <w:b/>
                <w:sz w:val="18"/>
                <w:szCs w:val="18"/>
                <w:lang w:val="en-AU"/>
              </w:rPr>
            </w:pPr>
            <w:r w:rsidRPr="00F34170">
              <w:rPr>
                <w:b/>
                <w:sz w:val="18"/>
                <w:szCs w:val="18"/>
                <w:lang w:val="en-AU"/>
              </w:rPr>
              <w:t>Cardiac disorders</w:t>
            </w:r>
          </w:p>
        </w:tc>
        <w:tc>
          <w:tcPr>
            <w:tcW w:w="1453" w:type="dxa"/>
            <w:vAlign w:val="bottom"/>
          </w:tcPr>
          <w:p w:rsidR="00FF16E6" w:rsidRPr="00F34170" w:rsidRDefault="00FF16E6" w:rsidP="0027280A">
            <w:pPr>
              <w:pStyle w:val="TableCellText10pt"/>
              <w:keepNext w:val="0"/>
              <w:spacing w:after="0"/>
              <w:jc w:val="center"/>
              <w:rPr>
                <w:iCs/>
                <w:sz w:val="18"/>
                <w:szCs w:val="18"/>
                <w:lang w:val="en-AU"/>
              </w:rPr>
            </w:pPr>
          </w:p>
        </w:tc>
        <w:tc>
          <w:tcPr>
            <w:tcW w:w="1368" w:type="dxa"/>
            <w:vAlign w:val="bottom"/>
          </w:tcPr>
          <w:p w:rsidR="00FF16E6" w:rsidRPr="00F34170" w:rsidRDefault="00FF16E6" w:rsidP="0027280A">
            <w:pPr>
              <w:pStyle w:val="TableCellText10pt"/>
              <w:keepNext w:val="0"/>
              <w:spacing w:after="0"/>
              <w:jc w:val="center"/>
              <w:rPr>
                <w:iCs/>
                <w:sz w:val="18"/>
                <w:szCs w:val="18"/>
                <w:lang w:val="en-AU"/>
              </w:rPr>
            </w:pPr>
          </w:p>
        </w:tc>
        <w:tc>
          <w:tcPr>
            <w:tcW w:w="1411" w:type="dxa"/>
          </w:tcPr>
          <w:p w:rsidR="00FF16E6" w:rsidRPr="00F34170" w:rsidRDefault="00FF16E6" w:rsidP="0027280A">
            <w:pPr>
              <w:pStyle w:val="TableCellText10pt"/>
              <w:keepNext w:val="0"/>
              <w:spacing w:after="0"/>
              <w:jc w:val="center"/>
              <w:rPr>
                <w:iCs/>
                <w:sz w:val="18"/>
                <w:szCs w:val="18"/>
                <w:lang w:val="en-AU"/>
              </w:rPr>
            </w:pPr>
          </w:p>
        </w:tc>
        <w:tc>
          <w:tcPr>
            <w:tcW w:w="1411" w:type="dxa"/>
          </w:tcPr>
          <w:p w:rsidR="00FF16E6" w:rsidRPr="00F34170" w:rsidRDefault="00FF16E6" w:rsidP="0027280A">
            <w:pPr>
              <w:pStyle w:val="TableCellText10pt"/>
              <w:keepNext w:val="0"/>
              <w:spacing w:after="0"/>
              <w:jc w:val="center"/>
              <w:rPr>
                <w:iCs/>
                <w:sz w:val="18"/>
                <w:szCs w:val="18"/>
                <w:lang w:val="en-AU"/>
              </w:rPr>
            </w:pPr>
          </w:p>
        </w:tc>
      </w:tr>
      <w:tr w:rsidR="00FF16E6" w:rsidRPr="00F34170" w:rsidTr="00FF16E6">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3758" w:type="dxa"/>
            <w:vAlign w:val="bottom"/>
          </w:tcPr>
          <w:p w:rsidR="00FF16E6" w:rsidRPr="00F34170" w:rsidRDefault="00FF16E6" w:rsidP="0027280A">
            <w:pPr>
              <w:pStyle w:val="TableCellText10pt"/>
              <w:keepNext w:val="0"/>
              <w:spacing w:after="0"/>
              <w:ind w:left="203"/>
              <w:rPr>
                <w:sz w:val="18"/>
                <w:szCs w:val="18"/>
                <w:lang w:val="en-AU"/>
              </w:rPr>
            </w:pPr>
            <w:r w:rsidRPr="00F34170">
              <w:rPr>
                <w:sz w:val="18"/>
                <w:szCs w:val="18"/>
                <w:lang w:val="en-AU"/>
              </w:rPr>
              <w:t>Tachycardia</w:t>
            </w:r>
          </w:p>
        </w:tc>
        <w:tc>
          <w:tcPr>
            <w:tcW w:w="1453" w:type="dxa"/>
            <w:vAlign w:val="bottom"/>
          </w:tcPr>
          <w:p w:rsidR="00FF16E6" w:rsidRPr="00F34170" w:rsidRDefault="00FF16E6" w:rsidP="0027280A">
            <w:pPr>
              <w:pStyle w:val="TableCellText10pt"/>
              <w:keepNext w:val="0"/>
              <w:spacing w:after="0"/>
              <w:jc w:val="center"/>
              <w:rPr>
                <w:iCs/>
                <w:sz w:val="18"/>
                <w:szCs w:val="18"/>
                <w:lang w:val="en-AU"/>
              </w:rPr>
            </w:pPr>
            <w:r w:rsidRPr="00F34170">
              <w:rPr>
                <w:iCs/>
                <w:sz w:val="18"/>
                <w:szCs w:val="18"/>
                <w:lang w:val="en-AU"/>
              </w:rPr>
              <w:t>13 (10)</w:t>
            </w:r>
          </w:p>
        </w:tc>
        <w:tc>
          <w:tcPr>
            <w:tcW w:w="1368" w:type="dxa"/>
            <w:vAlign w:val="bottom"/>
          </w:tcPr>
          <w:p w:rsidR="00FF16E6" w:rsidRPr="00F34170" w:rsidRDefault="00FF16E6" w:rsidP="0027280A">
            <w:pPr>
              <w:pStyle w:val="TableCellText10pt"/>
              <w:keepNext w:val="0"/>
              <w:spacing w:after="0"/>
              <w:jc w:val="center"/>
              <w:rPr>
                <w:iCs/>
                <w:sz w:val="18"/>
                <w:szCs w:val="18"/>
                <w:lang w:val="en-AU"/>
              </w:rPr>
            </w:pPr>
            <w:r w:rsidRPr="00F34170">
              <w:rPr>
                <w:iCs/>
                <w:sz w:val="18"/>
                <w:szCs w:val="18"/>
                <w:lang w:val="en-AU"/>
              </w:rPr>
              <w:t>0</w:t>
            </w:r>
          </w:p>
        </w:tc>
        <w:tc>
          <w:tcPr>
            <w:tcW w:w="1411" w:type="dxa"/>
          </w:tcPr>
          <w:p w:rsidR="00FF16E6" w:rsidRPr="00F34170" w:rsidRDefault="00FF16E6" w:rsidP="0027280A">
            <w:pPr>
              <w:pStyle w:val="TableCellText10pt"/>
              <w:keepNext w:val="0"/>
              <w:spacing w:after="0"/>
              <w:jc w:val="center"/>
              <w:rPr>
                <w:iCs/>
                <w:sz w:val="18"/>
                <w:szCs w:val="18"/>
                <w:lang w:val="en-AU"/>
              </w:rPr>
            </w:pPr>
            <w:r w:rsidRPr="00F34170">
              <w:rPr>
                <w:iCs/>
                <w:sz w:val="18"/>
                <w:szCs w:val="18"/>
                <w:lang w:val="en-AU"/>
              </w:rPr>
              <w:t>6 (5)</w:t>
            </w:r>
          </w:p>
        </w:tc>
        <w:tc>
          <w:tcPr>
            <w:tcW w:w="1411" w:type="dxa"/>
          </w:tcPr>
          <w:p w:rsidR="00FF16E6" w:rsidRPr="00F34170" w:rsidRDefault="00FF16E6" w:rsidP="0027280A">
            <w:pPr>
              <w:pStyle w:val="TableCellText10pt"/>
              <w:keepNext w:val="0"/>
              <w:spacing w:after="0"/>
              <w:jc w:val="center"/>
              <w:rPr>
                <w:iCs/>
                <w:sz w:val="18"/>
                <w:szCs w:val="18"/>
                <w:lang w:val="en-AU"/>
              </w:rPr>
            </w:pPr>
            <w:r w:rsidRPr="00F34170">
              <w:rPr>
                <w:iCs/>
                <w:sz w:val="18"/>
                <w:szCs w:val="18"/>
                <w:lang w:val="en-AU"/>
              </w:rPr>
              <w:t>0</w:t>
            </w:r>
          </w:p>
        </w:tc>
      </w:tr>
      <w:tr w:rsidR="00FF16E6" w:rsidRPr="00F34170" w:rsidTr="00FF16E6">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3758" w:type="dxa"/>
            <w:vAlign w:val="bottom"/>
          </w:tcPr>
          <w:p w:rsidR="00FF16E6" w:rsidRPr="00F34170" w:rsidRDefault="00FF16E6" w:rsidP="0027280A">
            <w:pPr>
              <w:pStyle w:val="TableCellText10pt"/>
              <w:keepNext w:val="0"/>
              <w:spacing w:after="0"/>
              <w:rPr>
                <w:sz w:val="18"/>
                <w:szCs w:val="18"/>
                <w:lang w:val="en-AU"/>
              </w:rPr>
            </w:pPr>
            <w:r w:rsidRPr="00F34170">
              <w:rPr>
                <w:b/>
                <w:sz w:val="18"/>
                <w:szCs w:val="18"/>
                <w:lang w:val="en-AU"/>
              </w:rPr>
              <w:t>Infections</w:t>
            </w:r>
          </w:p>
        </w:tc>
        <w:tc>
          <w:tcPr>
            <w:tcW w:w="1453" w:type="dxa"/>
            <w:vAlign w:val="bottom"/>
          </w:tcPr>
          <w:p w:rsidR="00FF16E6" w:rsidRPr="00F34170" w:rsidRDefault="00FF16E6" w:rsidP="0027280A">
            <w:pPr>
              <w:pStyle w:val="TableCellText10pt"/>
              <w:keepNext w:val="0"/>
              <w:spacing w:after="0"/>
              <w:jc w:val="center"/>
              <w:rPr>
                <w:iCs/>
                <w:sz w:val="18"/>
                <w:szCs w:val="18"/>
                <w:lang w:val="en-AU"/>
              </w:rPr>
            </w:pPr>
          </w:p>
        </w:tc>
        <w:tc>
          <w:tcPr>
            <w:tcW w:w="1368" w:type="dxa"/>
            <w:vAlign w:val="bottom"/>
          </w:tcPr>
          <w:p w:rsidR="00FF16E6" w:rsidRPr="00F34170" w:rsidRDefault="00FF16E6" w:rsidP="0027280A">
            <w:pPr>
              <w:pStyle w:val="TableCellText10pt"/>
              <w:keepNext w:val="0"/>
              <w:spacing w:after="0"/>
              <w:jc w:val="center"/>
              <w:rPr>
                <w:iCs/>
                <w:sz w:val="18"/>
                <w:szCs w:val="18"/>
                <w:lang w:val="en-AU"/>
              </w:rPr>
            </w:pPr>
          </w:p>
        </w:tc>
        <w:tc>
          <w:tcPr>
            <w:tcW w:w="1411" w:type="dxa"/>
          </w:tcPr>
          <w:p w:rsidR="00FF16E6" w:rsidRPr="00F34170" w:rsidRDefault="00FF16E6" w:rsidP="0027280A">
            <w:pPr>
              <w:pStyle w:val="TableCellText10pt"/>
              <w:keepNext w:val="0"/>
              <w:spacing w:after="0"/>
              <w:jc w:val="center"/>
              <w:rPr>
                <w:iCs/>
                <w:sz w:val="18"/>
                <w:szCs w:val="18"/>
                <w:lang w:val="en-AU"/>
              </w:rPr>
            </w:pPr>
          </w:p>
        </w:tc>
        <w:tc>
          <w:tcPr>
            <w:tcW w:w="1411" w:type="dxa"/>
          </w:tcPr>
          <w:p w:rsidR="00FF16E6" w:rsidRPr="00F34170" w:rsidRDefault="00FF16E6" w:rsidP="0027280A">
            <w:pPr>
              <w:pStyle w:val="TableCellText10pt"/>
              <w:keepNext w:val="0"/>
              <w:spacing w:after="0"/>
              <w:jc w:val="center"/>
              <w:rPr>
                <w:iCs/>
                <w:sz w:val="18"/>
                <w:szCs w:val="18"/>
                <w:lang w:val="en-AU"/>
              </w:rPr>
            </w:pPr>
          </w:p>
        </w:tc>
      </w:tr>
      <w:tr w:rsidR="00FF16E6" w:rsidRPr="00F34170" w:rsidTr="00FF16E6">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3758" w:type="dxa"/>
            <w:vAlign w:val="bottom"/>
          </w:tcPr>
          <w:p w:rsidR="00FF16E6" w:rsidRPr="00F34170" w:rsidRDefault="00FF16E6" w:rsidP="0027280A">
            <w:pPr>
              <w:pStyle w:val="TableCellText10pt"/>
              <w:keepNext w:val="0"/>
              <w:spacing w:after="0"/>
              <w:ind w:left="203"/>
              <w:rPr>
                <w:sz w:val="18"/>
                <w:szCs w:val="18"/>
                <w:lang w:val="en-AU"/>
              </w:rPr>
            </w:pPr>
            <w:r w:rsidRPr="00F34170">
              <w:rPr>
                <w:sz w:val="18"/>
                <w:szCs w:val="18"/>
                <w:lang w:val="en-AU"/>
              </w:rPr>
              <w:t>Upper respiratory tract infections</w:t>
            </w:r>
          </w:p>
        </w:tc>
        <w:tc>
          <w:tcPr>
            <w:tcW w:w="1453" w:type="dxa"/>
            <w:vAlign w:val="bottom"/>
          </w:tcPr>
          <w:p w:rsidR="00FF16E6" w:rsidRPr="00F34170" w:rsidRDefault="00FF16E6" w:rsidP="0027280A">
            <w:pPr>
              <w:pStyle w:val="TableCellText10pt"/>
              <w:keepNext w:val="0"/>
              <w:spacing w:after="0"/>
              <w:jc w:val="center"/>
              <w:rPr>
                <w:iCs/>
                <w:sz w:val="18"/>
                <w:szCs w:val="18"/>
                <w:lang w:val="en-AU"/>
              </w:rPr>
            </w:pPr>
            <w:r w:rsidRPr="00F34170">
              <w:rPr>
                <w:iCs/>
                <w:sz w:val="18"/>
                <w:szCs w:val="18"/>
                <w:lang w:val="en-AU"/>
              </w:rPr>
              <w:t>-</w:t>
            </w:r>
          </w:p>
        </w:tc>
        <w:tc>
          <w:tcPr>
            <w:tcW w:w="1368" w:type="dxa"/>
            <w:vAlign w:val="bottom"/>
          </w:tcPr>
          <w:p w:rsidR="00FF16E6" w:rsidRPr="00F34170" w:rsidRDefault="00FF16E6" w:rsidP="0027280A">
            <w:pPr>
              <w:pStyle w:val="TableCellText10pt"/>
              <w:keepNext w:val="0"/>
              <w:spacing w:after="0"/>
              <w:jc w:val="center"/>
              <w:rPr>
                <w:iCs/>
                <w:sz w:val="18"/>
                <w:szCs w:val="18"/>
                <w:lang w:val="en-AU"/>
              </w:rPr>
            </w:pPr>
            <w:r w:rsidRPr="00F34170">
              <w:rPr>
                <w:iCs/>
                <w:sz w:val="18"/>
                <w:szCs w:val="18"/>
                <w:lang w:val="en-AU"/>
              </w:rPr>
              <w:t>-</w:t>
            </w:r>
          </w:p>
        </w:tc>
        <w:tc>
          <w:tcPr>
            <w:tcW w:w="1411" w:type="dxa"/>
          </w:tcPr>
          <w:p w:rsidR="00FF16E6" w:rsidRPr="00F34170" w:rsidRDefault="00FF16E6" w:rsidP="0027280A">
            <w:pPr>
              <w:pStyle w:val="TableCellText10pt"/>
              <w:keepNext w:val="0"/>
              <w:spacing w:after="0"/>
              <w:jc w:val="center"/>
              <w:rPr>
                <w:iCs/>
                <w:sz w:val="18"/>
                <w:szCs w:val="18"/>
                <w:lang w:val="en-AU"/>
              </w:rPr>
            </w:pPr>
            <w:r w:rsidRPr="00F34170">
              <w:rPr>
                <w:iCs/>
                <w:sz w:val="18"/>
                <w:szCs w:val="18"/>
                <w:lang w:val="en-AU"/>
              </w:rPr>
              <w:t>6 (5)</w:t>
            </w:r>
          </w:p>
        </w:tc>
        <w:tc>
          <w:tcPr>
            <w:tcW w:w="1411" w:type="dxa"/>
          </w:tcPr>
          <w:p w:rsidR="00FF16E6" w:rsidRPr="00F34170" w:rsidRDefault="00FF16E6" w:rsidP="0027280A">
            <w:pPr>
              <w:pStyle w:val="TableCellText10pt"/>
              <w:keepNext w:val="0"/>
              <w:spacing w:after="0"/>
              <w:jc w:val="center"/>
              <w:rPr>
                <w:iCs/>
                <w:sz w:val="18"/>
                <w:szCs w:val="18"/>
                <w:lang w:val="en-AU"/>
              </w:rPr>
            </w:pPr>
            <w:r w:rsidRPr="00F34170">
              <w:rPr>
                <w:iCs/>
                <w:sz w:val="18"/>
                <w:szCs w:val="18"/>
                <w:lang w:val="en-AU"/>
              </w:rPr>
              <w:t>0</w:t>
            </w:r>
          </w:p>
        </w:tc>
      </w:tr>
      <w:tr w:rsidR="00FF16E6" w:rsidRPr="00F34170" w:rsidTr="00FF16E6">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3758" w:type="dxa"/>
            <w:vAlign w:val="bottom"/>
          </w:tcPr>
          <w:p w:rsidR="00FF16E6" w:rsidRPr="00F34170" w:rsidRDefault="00FF16E6" w:rsidP="0027280A">
            <w:pPr>
              <w:pStyle w:val="TableCellText10pt"/>
              <w:keepNext w:val="0"/>
              <w:spacing w:after="0"/>
              <w:rPr>
                <w:sz w:val="18"/>
                <w:szCs w:val="18"/>
                <w:lang w:val="en-AU"/>
              </w:rPr>
            </w:pPr>
            <w:r w:rsidRPr="00F34170">
              <w:rPr>
                <w:b/>
                <w:sz w:val="18"/>
                <w:szCs w:val="18"/>
                <w:lang w:val="en-AU"/>
              </w:rPr>
              <w:t>Vascular disorders</w:t>
            </w:r>
          </w:p>
        </w:tc>
        <w:tc>
          <w:tcPr>
            <w:tcW w:w="1453" w:type="dxa"/>
            <w:vAlign w:val="bottom"/>
          </w:tcPr>
          <w:p w:rsidR="00FF16E6" w:rsidRPr="00F34170" w:rsidRDefault="00FF16E6" w:rsidP="0027280A">
            <w:pPr>
              <w:pStyle w:val="TableCellText10pt"/>
              <w:keepNext w:val="0"/>
              <w:spacing w:after="0"/>
              <w:jc w:val="center"/>
              <w:rPr>
                <w:iCs/>
                <w:sz w:val="18"/>
                <w:szCs w:val="18"/>
                <w:lang w:val="en-AU"/>
              </w:rPr>
            </w:pPr>
          </w:p>
        </w:tc>
        <w:tc>
          <w:tcPr>
            <w:tcW w:w="1368" w:type="dxa"/>
            <w:vAlign w:val="bottom"/>
          </w:tcPr>
          <w:p w:rsidR="00FF16E6" w:rsidRPr="00F34170" w:rsidRDefault="00FF16E6" w:rsidP="0027280A">
            <w:pPr>
              <w:pStyle w:val="TableCellText10pt"/>
              <w:keepNext w:val="0"/>
              <w:spacing w:after="0"/>
              <w:jc w:val="center"/>
              <w:rPr>
                <w:iCs/>
                <w:sz w:val="18"/>
                <w:szCs w:val="18"/>
                <w:lang w:val="en-AU"/>
              </w:rPr>
            </w:pPr>
          </w:p>
        </w:tc>
        <w:tc>
          <w:tcPr>
            <w:tcW w:w="1411" w:type="dxa"/>
          </w:tcPr>
          <w:p w:rsidR="00FF16E6" w:rsidRPr="00F34170" w:rsidRDefault="00FF16E6" w:rsidP="0027280A">
            <w:pPr>
              <w:pStyle w:val="TableCellText10pt"/>
              <w:keepNext w:val="0"/>
              <w:spacing w:after="0"/>
              <w:jc w:val="center"/>
              <w:rPr>
                <w:iCs/>
                <w:sz w:val="18"/>
                <w:szCs w:val="18"/>
                <w:lang w:val="en-AU"/>
              </w:rPr>
            </w:pPr>
          </w:p>
        </w:tc>
        <w:tc>
          <w:tcPr>
            <w:tcW w:w="1411" w:type="dxa"/>
          </w:tcPr>
          <w:p w:rsidR="00FF16E6" w:rsidRPr="00F34170" w:rsidRDefault="00FF16E6" w:rsidP="0027280A">
            <w:pPr>
              <w:pStyle w:val="TableCellText10pt"/>
              <w:keepNext w:val="0"/>
              <w:spacing w:after="0"/>
              <w:jc w:val="center"/>
              <w:rPr>
                <w:iCs/>
                <w:sz w:val="18"/>
                <w:szCs w:val="18"/>
                <w:lang w:val="en-AU"/>
              </w:rPr>
            </w:pPr>
          </w:p>
        </w:tc>
      </w:tr>
      <w:tr w:rsidR="00FF16E6" w:rsidRPr="00F34170" w:rsidTr="00FF16E6">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3758" w:type="dxa"/>
            <w:vAlign w:val="bottom"/>
          </w:tcPr>
          <w:p w:rsidR="00FF16E6" w:rsidRPr="00F34170" w:rsidRDefault="00FF16E6" w:rsidP="0027280A">
            <w:pPr>
              <w:pStyle w:val="TableCellText10pt"/>
              <w:keepNext w:val="0"/>
              <w:spacing w:after="0"/>
              <w:ind w:left="203"/>
              <w:rPr>
                <w:sz w:val="18"/>
                <w:szCs w:val="18"/>
                <w:lang w:val="en-AU"/>
              </w:rPr>
            </w:pPr>
            <w:r w:rsidRPr="00F34170">
              <w:rPr>
                <w:sz w:val="18"/>
                <w:szCs w:val="18"/>
                <w:lang w:val="en-AU"/>
              </w:rPr>
              <w:t>Hypotension</w:t>
            </w:r>
          </w:p>
        </w:tc>
        <w:tc>
          <w:tcPr>
            <w:tcW w:w="1453" w:type="dxa"/>
            <w:vAlign w:val="bottom"/>
          </w:tcPr>
          <w:p w:rsidR="00FF16E6" w:rsidRPr="00F34170" w:rsidRDefault="00FF16E6" w:rsidP="0027280A">
            <w:pPr>
              <w:pStyle w:val="TableCellText10pt"/>
              <w:keepNext w:val="0"/>
              <w:spacing w:after="0"/>
              <w:jc w:val="center"/>
              <w:rPr>
                <w:iCs/>
                <w:sz w:val="18"/>
                <w:szCs w:val="18"/>
                <w:lang w:val="en-AU"/>
              </w:rPr>
            </w:pPr>
            <w:r w:rsidRPr="00F34170">
              <w:rPr>
                <w:iCs/>
                <w:sz w:val="18"/>
                <w:szCs w:val="18"/>
                <w:lang w:val="en-AU"/>
              </w:rPr>
              <w:t>-</w:t>
            </w:r>
          </w:p>
        </w:tc>
        <w:tc>
          <w:tcPr>
            <w:tcW w:w="1368" w:type="dxa"/>
            <w:vAlign w:val="bottom"/>
          </w:tcPr>
          <w:p w:rsidR="00FF16E6" w:rsidRPr="00F34170" w:rsidRDefault="00FF16E6" w:rsidP="0027280A">
            <w:pPr>
              <w:pStyle w:val="TableCellText10pt"/>
              <w:keepNext w:val="0"/>
              <w:spacing w:after="0"/>
              <w:jc w:val="center"/>
              <w:rPr>
                <w:iCs/>
                <w:sz w:val="18"/>
                <w:szCs w:val="18"/>
                <w:lang w:val="en-AU"/>
              </w:rPr>
            </w:pPr>
            <w:r w:rsidRPr="00F34170">
              <w:rPr>
                <w:iCs/>
                <w:sz w:val="18"/>
                <w:szCs w:val="18"/>
                <w:lang w:val="en-AU"/>
              </w:rPr>
              <w:t>-</w:t>
            </w:r>
          </w:p>
        </w:tc>
        <w:tc>
          <w:tcPr>
            <w:tcW w:w="1411" w:type="dxa"/>
          </w:tcPr>
          <w:p w:rsidR="00FF16E6" w:rsidRPr="00F34170" w:rsidRDefault="00FF16E6" w:rsidP="0027280A">
            <w:pPr>
              <w:pStyle w:val="TableCellText10pt"/>
              <w:keepNext w:val="0"/>
              <w:spacing w:after="0"/>
              <w:jc w:val="center"/>
              <w:rPr>
                <w:iCs/>
                <w:sz w:val="18"/>
                <w:szCs w:val="18"/>
                <w:lang w:val="en-AU"/>
              </w:rPr>
            </w:pPr>
            <w:r w:rsidRPr="00F34170">
              <w:rPr>
                <w:iCs/>
                <w:sz w:val="18"/>
                <w:szCs w:val="18"/>
                <w:lang w:val="en-AU"/>
              </w:rPr>
              <w:t>6 (5)</w:t>
            </w:r>
          </w:p>
        </w:tc>
        <w:tc>
          <w:tcPr>
            <w:tcW w:w="1411" w:type="dxa"/>
          </w:tcPr>
          <w:p w:rsidR="00FF16E6" w:rsidRPr="00F34170" w:rsidRDefault="00FF16E6" w:rsidP="0027280A">
            <w:pPr>
              <w:pStyle w:val="TableCellText10pt"/>
              <w:keepNext w:val="0"/>
              <w:spacing w:after="0"/>
              <w:jc w:val="center"/>
              <w:rPr>
                <w:iCs/>
                <w:sz w:val="18"/>
                <w:szCs w:val="18"/>
                <w:lang w:val="en-AU"/>
              </w:rPr>
            </w:pPr>
            <w:r w:rsidRPr="00F34170">
              <w:rPr>
                <w:iCs/>
                <w:sz w:val="18"/>
                <w:szCs w:val="18"/>
                <w:lang w:val="en-AU"/>
              </w:rPr>
              <w:t>1 (1)</w:t>
            </w:r>
          </w:p>
        </w:tc>
      </w:tr>
    </w:tbl>
    <w:p w:rsidR="0008366E" w:rsidRPr="00F34170" w:rsidRDefault="0008366E" w:rsidP="00770232">
      <w:pPr>
        <w:pStyle w:val="BodyText"/>
        <w:spacing w:before="120" w:after="0"/>
        <w:rPr>
          <w:sz w:val="16"/>
          <w:szCs w:val="16"/>
          <w:lang w:val="en-AU"/>
        </w:rPr>
      </w:pPr>
      <w:r w:rsidRPr="00F34170">
        <w:rPr>
          <w:sz w:val="16"/>
          <w:szCs w:val="16"/>
          <w:lang w:val="en-AU"/>
        </w:rPr>
        <w:t>*Comb</w:t>
      </w:r>
      <w:r w:rsidR="00222ACD" w:rsidRPr="00F34170">
        <w:rPr>
          <w:sz w:val="16"/>
          <w:szCs w:val="16"/>
          <w:lang w:val="en-AU"/>
        </w:rPr>
        <w:t xml:space="preserve">ined MedDRA </w:t>
      </w:r>
      <w:r w:rsidR="00F57BA4" w:rsidRPr="00F34170">
        <w:rPr>
          <w:sz w:val="16"/>
          <w:szCs w:val="16"/>
          <w:lang w:val="en-AU"/>
        </w:rPr>
        <w:t>t</w:t>
      </w:r>
      <w:r w:rsidRPr="00F34170">
        <w:rPr>
          <w:sz w:val="16"/>
          <w:szCs w:val="16"/>
          <w:lang w:val="en-AU"/>
        </w:rPr>
        <w:t xml:space="preserve">erms are reported instead of individual </w:t>
      </w:r>
      <w:r w:rsidR="00F57BA4" w:rsidRPr="00F34170">
        <w:rPr>
          <w:sz w:val="16"/>
          <w:szCs w:val="16"/>
          <w:lang w:val="en-AU"/>
        </w:rPr>
        <w:t>terms</w:t>
      </w:r>
      <w:r w:rsidRPr="00F34170">
        <w:rPr>
          <w:sz w:val="16"/>
          <w:szCs w:val="16"/>
          <w:lang w:val="en-AU"/>
        </w:rPr>
        <w:t xml:space="preserve"> to provide a more accurate representation of similar types of adverse drug reactions</w:t>
      </w:r>
      <w:r w:rsidR="00EB0232" w:rsidRPr="00F34170">
        <w:rPr>
          <w:sz w:val="16"/>
          <w:szCs w:val="16"/>
          <w:lang w:val="en-AU"/>
        </w:rPr>
        <w:t>.</w:t>
      </w:r>
    </w:p>
    <w:p w:rsidR="00F57BA4" w:rsidRPr="00F34170" w:rsidRDefault="00F57BA4" w:rsidP="00F57BA4">
      <w:pPr>
        <w:pStyle w:val="BodyText"/>
        <w:spacing w:after="0"/>
        <w:rPr>
          <w:sz w:val="16"/>
          <w:szCs w:val="16"/>
          <w:lang w:val="en-AU"/>
        </w:rPr>
      </w:pPr>
      <w:r w:rsidRPr="00F34170">
        <w:rPr>
          <w:sz w:val="16"/>
          <w:szCs w:val="16"/>
          <w:lang w:val="en-AU"/>
        </w:rPr>
        <w:t>The symbol (-</w:t>
      </w:r>
      <w:r w:rsidR="00F34170" w:rsidRPr="00F34170">
        <w:rPr>
          <w:sz w:val="16"/>
          <w:szCs w:val="16"/>
          <w:lang w:val="en-AU"/>
        </w:rPr>
        <w:t>) indicates</w:t>
      </w:r>
      <w:r w:rsidRPr="00F34170">
        <w:rPr>
          <w:sz w:val="16"/>
          <w:szCs w:val="16"/>
          <w:lang w:val="en-AU"/>
        </w:rPr>
        <w:t xml:space="preserve"> that the term does not meet the relevant cut-off for inclusion in that column.</w:t>
      </w:r>
    </w:p>
    <w:p w:rsidR="002E0F05" w:rsidRPr="00F34170" w:rsidRDefault="002E0F05" w:rsidP="00413BB0">
      <w:pPr>
        <w:autoSpaceDE w:val="0"/>
        <w:autoSpaceDN w:val="0"/>
        <w:adjustRightInd w:val="0"/>
        <w:rPr>
          <w:rFonts w:eastAsia="TimesNewRoman,Bold"/>
          <w:bCs/>
          <w:sz w:val="22"/>
          <w:szCs w:val="22"/>
          <w:lang w:val="en-AU"/>
        </w:rPr>
      </w:pPr>
    </w:p>
    <w:p w:rsidR="002E0F05" w:rsidRPr="00F34170" w:rsidRDefault="002E0F05" w:rsidP="00413BB0">
      <w:pPr>
        <w:autoSpaceDE w:val="0"/>
        <w:autoSpaceDN w:val="0"/>
        <w:adjustRightInd w:val="0"/>
        <w:rPr>
          <w:rFonts w:eastAsia="TimesNewRoman"/>
          <w:sz w:val="22"/>
          <w:szCs w:val="22"/>
          <w:lang w:val="en-AU" w:eastAsia="zh-CN"/>
        </w:rPr>
      </w:pPr>
      <w:r w:rsidRPr="00F34170">
        <w:rPr>
          <w:sz w:val="22"/>
          <w:szCs w:val="22"/>
          <w:lang w:val="en-AU"/>
        </w:rPr>
        <w:t xml:space="preserve">The principal clinically important groups of adverse reactions in patients with PTCL treated with romidepsin are gastrointestinal disturbances, </w:t>
      </w:r>
      <w:r w:rsidRPr="00F34170">
        <w:rPr>
          <w:rFonts w:eastAsia="TimesNewRoman"/>
          <w:sz w:val="22"/>
          <w:szCs w:val="22"/>
          <w:lang w:val="en-AU" w:eastAsia="zh-CN"/>
        </w:rPr>
        <w:t>asthenic conditions</w:t>
      </w:r>
      <w:r w:rsidR="00082222">
        <w:rPr>
          <w:rFonts w:eastAsia="TimesNewRoman"/>
          <w:sz w:val="22"/>
          <w:szCs w:val="22"/>
          <w:lang w:val="en-AU" w:eastAsia="zh-CN"/>
        </w:rPr>
        <w:t xml:space="preserve">, </w:t>
      </w:r>
      <w:r w:rsidRPr="00F34170">
        <w:rPr>
          <w:rFonts w:eastAsia="TimesNewRoman"/>
          <w:sz w:val="22"/>
          <w:szCs w:val="22"/>
          <w:lang w:val="en-AU" w:eastAsia="zh-CN"/>
        </w:rPr>
        <w:t>infections</w:t>
      </w:r>
      <w:r w:rsidR="00082222">
        <w:rPr>
          <w:rFonts w:eastAsia="TimesNewRoman"/>
          <w:sz w:val="22"/>
          <w:szCs w:val="22"/>
          <w:lang w:val="en-AU" w:eastAsia="zh-CN"/>
        </w:rPr>
        <w:t xml:space="preserve">, </w:t>
      </w:r>
      <w:r w:rsidR="00082222" w:rsidRPr="00F34170">
        <w:rPr>
          <w:rFonts w:eastAsia="TimesNewRoman"/>
          <w:sz w:val="22"/>
          <w:szCs w:val="22"/>
          <w:lang w:val="en-AU" w:eastAsia="zh-CN"/>
        </w:rPr>
        <w:t>haematological toxicities</w:t>
      </w:r>
      <w:r w:rsidR="00082222">
        <w:rPr>
          <w:rFonts w:eastAsia="TimesNewRoman"/>
          <w:sz w:val="22"/>
          <w:szCs w:val="22"/>
          <w:lang w:val="en-AU" w:eastAsia="zh-CN"/>
        </w:rPr>
        <w:t xml:space="preserve"> and clinical chemistry abnormalities</w:t>
      </w:r>
      <w:r w:rsidRPr="00F34170">
        <w:rPr>
          <w:rFonts w:eastAsia="TimesNewRoman"/>
          <w:sz w:val="22"/>
          <w:szCs w:val="22"/>
          <w:lang w:val="en-AU" w:eastAsia="zh-CN"/>
        </w:rPr>
        <w:t>.</w:t>
      </w:r>
    </w:p>
    <w:p w:rsidR="000C6F2B" w:rsidRPr="00F34170" w:rsidRDefault="000C6F2B" w:rsidP="00413BB0">
      <w:pPr>
        <w:autoSpaceDE w:val="0"/>
        <w:autoSpaceDN w:val="0"/>
        <w:adjustRightInd w:val="0"/>
        <w:rPr>
          <w:rFonts w:eastAsia="TimesNewRoman"/>
          <w:sz w:val="22"/>
          <w:szCs w:val="22"/>
          <w:lang w:val="en-AU" w:eastAsia="zh-CN"/>
        </w:rPr>
      </w:pPr>
    </w:p>
    <w:p w:rsidR="002E0F05" w:rsidRPr="00F34170" w:rsidRDefault="002E0F05" w:rsidP="00413BB0">
      <w:pPr>
        <w:pStyle w:val="BodyText"/>
        <w:keepNext/>
        <w:spacing w:after="0" w:line="280" w:lineRule="atLeast"/>
        <w:outlineLvl w:val="0"/>
        <w:rPr>
          <w:i/>
          <w:sz w:val="22"/>
          <w:szCs w:val="22"/>
          <w:lang w:val="en-AU"/>
        </w:rPr>
      </w:pPr>
      <w:r w:rsidRPr="00F34170">
        <w:rPr>
          <w:i/>
          <w:sz w:val="22"/>
          <w:szCs w:val="22"/>
          <w:lang w:val="en-AU"/>
        </w:rPr>
        <w:t>Gastrointestinal</w:t>
      </w:r>
      <w:r w:rsidR="000C6F2B" w:rsidRPr="00F34170">
        <w:rPr>
          <w:i/>
          <w:sz w:val="22"/>
          <w:szCs w:val="22"/>
          <w:lang w:val="en-AU"/>
        </w:rPr>
        <w:t xml:space="preserve"> disturbances</w:t>
      </w:r>
    </w:p>
    <w:p w:rsidR="002E0F05" w:rsidRPr="00F34170" w:rsidRDefault="002E0F05" w:rsidP="00413BB0">
      <w:pPr>
        <w:autoSpaceDE w:val="0"/>
        <w:autoSpaceDN w:val="0"/>
        <w:adjustRightInd w:val="0"/>
        <w:spacing w:before="120"/>
        <w:rPr>
          <w:sz w:val="22"/>
          <w:szCs w:val="22"/>
          <w:lang w:val="en-AU"/>
        </w:rPr>
      </w:pPr>
      <w:r w:rsidRPr="00F34170">
        <w:rPr>
          <w:sz w:val="22"/>
          <w:szCs w:val="22"/>
          <w:lang w:val="en-AU"/>
        </w:rPr>
        <w:t>Gastrointestinal</w:t>
      </w:r>
      <w:r w:rsidR="00222ACD" w:rsidRPr="00F34170">
        <w:rPr>
          <w:sz w:val="22"/>
          <w:szCs w:val="22"/>
          <w:lang w:val="en-AU"/>
        </w:rPr>
        <w:t xml:space="preserve"> (GI)</w:t>
      </w:r>
      <w:r w:rsidRPr="00F34170">
        <w:rPr>
          <w:sz w:val="22"/>
          <w:szCs w:val="22"/>
          <w:lang w:val="en-AU"/>
        </w:rPr>
        <w:t xml:space="preserve"> reactions, such as nausea, vomiting and diarrh</w:t>
      </w:r>
      <w:r w:rsidR="00222ACD" w:rsidRPr="00F34170">
        <w:rPr>
          <w:sz w:val="22"/>
          <w:szCs w:val="22"/>
          <w:lang w:val="en-AU"/>
        </w:rPr>
        <w:t>o</w:t>
      </w:r>
      <w:r w:rsidRPr="00F34170">
        <w:rPr>
          <w:sz w:val="22"/>
          <w:szCs w:val="22"/>
          <w:lang w:val="en-AU"/>
        </w:rPr>
        <w:t>ea were commonly reported but generally mild to moderate in intensity and non</w:t>
      </w:r>
      <w:r w:rsidR="00222ACD" w:rsidRPr="00F34170">
        <w:rPr>
          <w:sz w:val="22"/>
          <w:szCs w:val="22"/>
          <w:lang w:val="en-AU"/>
        </w:rPr>
        <w:t>-</w:t>
      </w:r>
      <w:r w:rsidRPr="00F34170">
        <w:rPr>
          <w:sz w:val="22"/>
          <w:szCs w:val="22"/>
          <w:lang w:val="en-AU"/>
        </w:rPr>
        <w:t>serious, and most patients continued romidepsin despit</w:t>
      </w:r>
      <w:r w:rsidR="00222ACD" w:rsidRPr="00F34170">
        <w:rPr>
          <w:sz w:val="22"/>
          <w:szCs w:val="22"/>
          <w:lang w:val="en-AU"/>
        </w:rPr>
        <w:t xml:space="preserve">e the occurrence of GI events. </w:t>
      </w:r>
      <w:r w:rsidRPr="00F34170">
        <w:rPr>
          <w:sz w:val="22"/>
          <w:szCs w:val="22"/>
          <w:lang w:val="en-AU"/>
        </w:rPr>
        <w:t>In accordance with the study protocols, anti</w:t>
      </w:r>
      <w:r w:rsidRPr="00F34170">
        <w:rPr>
          <w:sz w:val="22"/>
          <w:szCs w:val="22"/>
          <w:lang w:val="en-AU"/>
        </w:rPr>
        <w:noBreakHyphen/>
        <w:t>emetic support was commonly used. Dehydration concurrent with vomiting and/or diarrh</w:t>
      </w:r>
      <w:r w:rsidR="001A029C" w:rsidRPr="00F34170">
        <w:rPr>
          <w:sz w:val="22"/>
          <w:szCs w:val="22"/>
          <w:lang w:val="en-AU"/>
        </w:rPr>
        <w:t>o</w:t>
      </w:r>
      <w:r w:rsidRPr="00F34170">
        <w:rPr>
          <w:sz w:val="22"/>
          <w:szCs w:val="22"/>
          <w:lang w:val="en-AU"/>
        </w:rPr>
        <w:t>ea was uncommon.</w:t>
      </w:r>
    </w:p>
    <w:p w:rsidR="002E0F05" w:rsidRPr="00F34170" w:rsidRDefault="002E0F05" w:rsidP="00413BB0">
      <w:pPr>
        <w:autoSpaceDE w:val="0"/>
        <w:autoSpaceDN w:val="0"/>
        <w:adjustRightInd w:val="0"/>
        <w:rPr>
          <w:sz w:val="22"/>
          <w:szCs w:val="22"/>
          <w:lang w:val="en-AU"/>
        </w:rPr>
      </w:pPr>
    </w:p>
    <w:p w:rsidR="002E0F05" w:rsidRPr="00F34170" w:rsidRDefault="002E0F05" w:rsidP="00413BB0">
      <w:pPr>
        <w:pStyle w:val="BodyText"/>
        <w:keepNext/>
        <w:spacing w:after="0" w:line="280" w:lineRule="atLeast"/>
        <w:outlineLvl w:val="0"/>
        <w:rPr>
          <w:i/>
          <w:sz w:val="22"/>
          <w:szCs w:val="22"/>
          <w:lang w:val="en-AU"/>
        </w:rPr>
      </w:pPr>
      <w:r w:rsidRPr="00F34170">
        <w:rPr>
          <w:i/>
          <w:sz w:val="22"/>
          <w:szCs w:val="22"/>
          <w:lang w:val="en-AU"/>
        </w:rPr>
        <w:t>Asthenic Conditions</w:t>
      </w:r>
    </w:p>
    <w:p w:rsidR="002E0F05" w:rsidRPr="00F34170" w:rsidRDefault="002E0F05" w:rsidP="00413BB0">
      <w:pPr>
        <w:autoSpaceDE w:val="0"/>
        <w:autoSpaceDN w:val="0"/>
        <w:adjustRightInd w:val="0"/>
        <w:spacing w:before="120"/>
        <w:rPr>
          <w:sz w:val="22"/>
          <w:szCs w:val="22"/>
          <w:lang w:val="en-AU"/>
        </w:rPr>
      </w:pPr>
      <w:r w:rsidRPr="00F34170">
        <w:rPr>
          <w:sz w:val="22"/>
          <w:szCs w:val="22"/>
          <w:lang w:val="en-AU"/>
        </w:rPr>
        <w:t>Asthenic conditions generally presented early during treatment and were mostly Gr</w:t>
      </w:r>
      <w:r w:rsidR="00222ACD" w:rsidRPr="00F34170">
        <w:rPr>
          <w:sz w:val="22"/>
          <w:szCs w:val="22"/>
          <w:lang w:val="en-AU"/>
        </w:rPr>
        <w:t>ade 1 or 2 in intensity and non-</w:t>
      </w:r>
      <w:r w:rsidRPr="00F34170">
        <w:rPr>
          <w:sz w:val="22"/>
          <w:szCs w:val="22"/>
          <w:lang w:val="en-AU"/>
        </w:rPr>
        <w:t>serious</w:t>
      </w:r>
      <w:r w:rsidR="000C6F2B" w:rsidRPr="00F34170">
        <w:rPr>
          <w:sz w:val="22"/>
          <w:szCs w:val="22"/>
          <w:lang w:val="en-AU"/>
        </w:rPr>
        <w:t xml:space="preserve">. However, Grade 3 or 4 and/or serious asthenic conditions have been reported. </w:t>
      </w:r>
      <w:r w:rsidR="000C6F2B" w:rsidRPr="00F34170">
        <w:rPr>
          <w:sz w:val="22"/>
          <w:szCs w:val="22"/>
          <w:lang w:val="en-AU"/>
        </w:rPr>
        <w:lastRenderedPageBreak/>
        <w:t>Asthenic conditions were an infrequently reported cause of discontinuation in patients with PTCL (&lt;</w:t>
      </w:r>
      <w:r w:rsidR="00222ACD" w:rsidRPr="00F34170">
        <w:rPr>
          <w:sz w:val="22"/>
          <w:szCs w:val="22"/>
          <w:lang w:val="en-AU"/>
        </w:rPr>
        <w:t> </w:t>
      </w:r>
      <w:r w:rsidR="000C6F2B" w:rsidRPr="00F34170">
        <w:rPr>
          <w:sz w:val="22"/>
          <w:szCs w:val="22"/>
          <w:lang w:val="en-AU"/>
        </w:rPr>
        <w:t>2%).</w:t>
      </w:r>
    </w:p>
    <w:p w:rsidR="0065242E" w:rsidRPr="00F34170" w:rsidRDefault="0065242E" w:rsidP="00413BB0">
      <w:pPr>
        <w:autoSpaceDE w:val="0"/>
        <w:autoSpaceDN w:val="0"/>
        <w:adjustRightInd w:val="0"/>
        <w:rPr>
          <w:sz w:val="22"/>
          <w:szCs w:val="22"/>
          <w:lang w:val="en-AU"/>
        </w:rPr>
      </w:pPr>
    </w:p>
    <w:p w:rsidR="000C6F2B" w:rsidRPr="00F34170" w:rsidRDefault="000C6F2B" w:rsidP="00413BB0">
      <w:pPr>
        <w:keepNext/>
        <w:autoSpaceDE w:val="0"/>
        <w:autoSpaceDN w:val="0"/>
        <w:adjustRightInd w:val="0"/>
        <w:rPr>
          <w:i/>
          <w:sz w:val="22"/>
          <w:szCs w:val="22"/>
          <w:lang w:val="en-AU"/>
        </w:rPr>
      </w:pPr>
      <w:r w:rsidRPr="00F34170">
        <w:rPr>
          <w:i/>
          <w:sz w:val="22"/>
          <w:szCs w:val="22"/>
          <w:lang w:val="en-AU"/>
        </w:rPr>
        <w:t>H</w:t>
      </w:r>
      <w:r w:rsidR="00222ACD" w:rsidRPr="00F34170">
        <w:rPr>
          <w:i/>
          <w:sz w:val="22"/>
          <w:szCs w:val="22"/>
          <w:lang w:val="en-AU"/>
        </w:rPr>
        <w:t>a</w:t>
      </w:r>
      <w:r w:rsidRPr="00F34170">
        <w:rPr>
          <w:i/>
          <w:sz w:val="22"/>
          <w:szCs w:val="22"/>
          <w:lang w:val="en-AU"/>
        </w:rPr>
        <w:t xml:space="preserve">ematological </w:t>
      </w:r>
      <w:r w:rsidRPr="00F34170">
        <w:rPr>
          <w:rFonts w:eastAsia="TimesNewRoman"/>
          <w:i/>
          <w:sz w:val="22"/>
          <w:szCs w:val="22"/>
          <w:lang w:val="en-AU" w:eastAsia="zh-CN"/>
        </w:rPr>
        <w:t>toxicities</w:t>
      </w:r>
      <w:r w:rsidR="008A2DA9" w:rsidRPr="00F34170">
        <w:rPr>
          <w:rFonts w:eastAsia="TimesNewRoman"/>
          <w:i/>
          <w:sz w:val="22"/>
          <w:szCs w:val="22"/>
          <w:lang w:val="en-AU" w:eastAsia="zh-CN"/>
        </w:rPr>
        <w:t xml:space="preserve"> and clinical chemistry</w:t>
      </w:r>
    </w:p>
    <w:p w:rsidR="000C6F2B" w:rsidRDefault="000C6F2B" w:rsidP="00413BB0">
      <w:pPr>
        <w:autoSpaceDE w:val="0"/>
        <w:autoSpaceDN w:val="0"/>
        <w:adjustRightInd w:val="0"/>
        <w:spacing w:before="120"/>
        <w:rPr>
          <w:sz w:val="22"/>
          <w:szCs w:val="22"/>
          <w:lang w:val="en-AU"/>
        </w:rPr>
      </w:pPr>
      <w:r w:rsidRPr="00F34170">
        <w:rPr>
          <w:sz w:val="22"/>
          <w:szCs w:val="22"/>
          <w:lang w:val="en-AU"/>
        </w:rPr>
        <w:t>The incidence of h</w:t>
      </w:r>
      <w:r w:rsidR="00222ACD" w:rsidRPr="00F34170">
        <w:rPr>
          <w:sz w:val="22"/>
          <w:szCs w:val="22"/>
          <w:lang w:val="en-AU"/>
        </w:rPr>
        <w:t>a</w:t>
      </w:r>
      <w:r w:rsidRPr="00F34170">
        <w:rPr>
          <w:sz w:val="22"/>
          <w:szCs w:val="22"/>
          <w:lang w:val="en-AU"/>
        </w:rPr>
        <w:t>ematologic toxicities including neutropenia and thrombocytopenia was common in patients with PTCL, and were more often Grade</w:t>
      </w:r>
      <w:r w:rsidR="00222ACD" w:rsidRPr="00F34170">
        <w:rPr>
          <w:sz w:val="22"/>
          <w:szCs w:val="22"/>
          <w:lang w:val="en-AU"/>
        </w:rPr>
        <w:t> </w:t>
      </w:r>
      <w:r w:rsidRPr="00F34170">
        <w:rPr>
          <w:sz w:val="22"/>
          <w:szCs w:val="22"/>
          <w:lang w:val="en-AU"/>
        </w:rPr>
        <w:t>3 or 4. Both thrombocytopenia and neutropenia commonly led to a dose being held, or less commonly to dose reduction or discontinuation in a few patients. Hypokal</w:t>
      </w:r>
      <w:r w:rsidR="00222ACD" w:rsidRPr="00F34170">
        <w:rPr>
          <w:sz w:val="22"/>
          <w:szCs w:val="22"/>
          <w:lang w:val="en-AU"/>
        </w:rPr>
        <w:t>a</w:t>
      </w:r>
      <w:r w:rsidRPr="00F34170">
        <w:rPr>
          <w:sz w:val="22"/>
          <w:szCs w:val="22"/>
          <w:lang w:val="en-AU"/>
        </w:rPr>
        <w:t>emia was also commonly observed in PTCL.</w:t>
      </w:r>
    </w:p>
    <w:p w:rsidR="00F36037" w:rsidRPr="00173698" w:rsidRDefault="00F36037" w:rsidP="00F36037">
      <w:pPr>
        <w:autoSpaceDE w:val="0"/>
        <w:autoSpaceDN w:val="0"/>
        <w:adjustRightInd w:val="0"/>
        <w:rPr>
          <w:sz w:val="22"/>
          <w:szCs w:val="22"/>
          <w:lang w:val="en-AU"/>
        </w:rPr>
      </w:pPr>
    </w:p>
    <w:p w:rsidR="00895E54" w:rsidRPr="00173698" w:rsidRDefault="00895E54" w:rsidP="00895E54">
      <w:pPr>
        <w:pStyle w:val="C-BodyText"/>
        <w:spacing w:before="0" w:after="0" w:line="240" w:lineRule="auto"/>
        <w:rPr>
          <w:sz w:val="22"/>
          <w:szCs w:val="22"/>
        </w:rPr>
      </w:pPr>
      <w:r w:rsidRPr="00173698">
        <w:rPr>
          <w:sz w:val="22"/>
          <w:szCs w:val="22"/>
        </w:rPr>
        <w:t xml:space="preserve">In a separate </w:t>
      </w:r>
      <w:r>
        <w:rPr>
          <w:sz w:val="22"/>
          <w:szCs w:val="22"/>
        </w:rPr>
        <w:t xml:space="preserve">phase 2, multicenter, open-label study designed to evaluate the activity and tolerability of romidepsin in patients with PTCL who had received prior systemic therapy </w:t>
      </w:r>
      <w:r w:rsidRPr="00173698">
        <w:rPr>
          <w:sz w:val="22"/>
          <w:szCs w:val="22"/>
        </w:rPr>
        <w:t xml:space="preserve">conducted by the National Cancer Institute (NCI) - Study 1312, a higher incidence of adverse drug reactions related to clinical chemistry abnormalities were noted compared to the pivotal trial, due to more intensive monitoring and </w:t>
      </w:r>
      <w:r>
        <w:rPr>
          <w:sz w:val="22"/>
          <w:szCs w:val="22"/>
        </w:rPr>
        <w:t xml:space="preserve">routine reporting of laboratory abnormalities as adverse events without consideration of their clinical significance. </w:t>
      </w:r>
      <w:r w:rsidRPr="00895E54">
        <w:rPr>
          <w:sz w:val="22"/>
          <w:szCs w:val="22"/>
        </w:rPr>
        <w:t xml:space="preserve">These include </w:t>
      </w:r>
      <w:r>
        <w:rPr>
          <w:sz w:val="22"/>
          <w:szCs w:val="22"/>
        </w:rPr>
        <w:t xml:space="preserve">the following (frequency provided </w:t>
      </w:r>
      <w:r w:rsidR="00051F28">
        <w:rPr>
          <w:sz w:val="22"/>
          <w:szCs w:val="22"/>
        </w:rPr>
        <w:t>for</w:t>
      </w:r>
      <w:r>
        <w:rPr>
          <w:sz w:val="22"/>
          <w:szCs w:val="22"/>
        </w:rPr>
        <w:t xml:space="preserve"> the NCI study versus that in the pivotal trial): </w:t>
      </w:r>
      <w:r w:rsidRPr="00895E54">
        <w:rPr>
          <w:sz w:val="22"/>
          <w:szCs w:val="22"/>
        </w:rPr>
        <w:t>hypocalcaemia (47%</w:t>
      </w:r>
      <w:r>
        <w:rPr>
          <w:sz w:val="22"/>
          <w:szCs w:val="22"/>
        </w:rPr>
        <w:t xml:space="preserve"> vs. 2%</w:t>
      </w:r>
      <w:r w:rsidRPr="00895E54">
        <w:rPr>
          <w:sz w:val="22"/>
          <w:szCs w:val="22"/>
        </w:rPr>
        <w:t>), increased aspartate transaminase (34%</w:t>
      </w:r>
      <w:r>
        <w:rPr>
          <w:sz w:val="22"/>
          <w:szCs w:val="22"/>
        </w:rPr>
        <w:t xml:space="preserve"> vs. 3%</w:t>
      </w:r>
      <w:r w:rsidRPr="00895E54">
        <w:rPr>
          <w:sz w:val="22"/>
          <w:szCs w:val="22"/>
        </w:rPr>
        <w:t>), increased alanine transaminase (32%</w:t>
      </w:r>
      <w:r>
        <w:rPr>
          <w:sz w:val="22"/>
          <w:szCs w:val="22"/>
        </w:rPr>
        <w:t xml:space="preserve"> vs. 3%</w:t>
      </w:r>
      <w:r w:rsidRPr="00895E54">
        <w:rPr>
          <w:sz w:val="22"/>
          <w:szCs w:val="22"/>
        </w:rPr>
        <w:t>), hypoalbuminemia (32%</w:t>
      </w:r>
      <w:r>
        <w:rPr>
          <w:sz w:val="22"/>
          <w:szCs w:val="22"/>
        </w:rPr>
        <w:t xml:space="preserve"> vs. 0</w:t>
      </w:r>
      <w:r w:rsidR="00051F28">
        <w:rPr>
          <w:sz w:val="22"/>
          <w:szCs w:val="22"/>
        </w:rPr>
        <w:t>%</w:t>
      </w:r>
      <w:r w:rsidRPr="00895E54">
        <w:rPr>
          <w:sz w:val="22"/>
          <w:szCs w:val="22"/>
        </w:rPr>
        <w:t>), hypomagnesaemia (26%</w:t>
      </w:r>
      <w:r>
        <w:rPr>
          <w:sz w:val="22"/>
          <w:szCs w:val="22"/>
        </w:rPr>
        <w:t xml:space="preserve"> vs. 5%</w:t>
      </w:r>
      <w:r w:rsidRPr="00895E54">
        <w:rPr>
          <w:sz w:val="22"/>
          <w:szCs w:val="22"/>
        </w:rPr>
        <w:t>), hyperglycaemia (17%</w:t>
      </w:r>
      <w:r>
        <w:rPr>
          <w:sz w:val="22"/>
          <w:szCs w:val="22"/>
        </w:rPr>
        <w:t xml:space="preserve"> vs. 1%</w:t>
      </w:r>
      <w:r w:rsidRPr="00895E54">
        <w:rPr>
          <w:sz w:val="22"/>
          <w:szCs w:val="22"/>
        </w:rPr>
        <w:t>), and hypokalaemia (15%</w:t>
      </w:r>
      <w:r>
        <w:rPr>
          <w:sz w:val="22"/>
          <w:szCs w:val="22"/>
        </w:rPr>
        <w:t xml:space="preserve"> vs. 5%</w:t>
      </w:r>
      <w:r w:rsidRPr="00895E54">
        <w:rPr>
          <w:sz w:val="22"/>
          <w:szCs w:val="22"/>
        </w:rPr>
        <w:t>)</w:t>
      </w:r>
      <w:r>
        <w:rPr>
          <w:sz w:val="22"/>
          <w:szCs w:val="22"/>
        </w:rPr>
        <w:t xml:space="preserve">. </w:t>
      </w:r>
      <w:r w:rsidRPr="00173698">
        <w:rPr>
          <w:sz w:val="22"/>
          <w:szCs w:val="22"/>
        </w:rPr>
        <w:t xml:space="preserve">Most patients continued treatment unchanged despite the occurrence of these reactions, and </w:t>
      </w:r>
      <w:r w:rsidR="009E0F31">
        <w:rPr>
          <w:sz w:val="22"/>
          <w:szCs w:val="22"/>
        </w:rPr>
        <w:t>only two</w:t>
      </w:r>
      <w:r w:rsidRPr="00173698">
        <w:rPr>
          <w:sz w:val="22"/>
          <w:szCs w:val="22"/>
        </w:rPr>
        <w:t xml:space="preserve"> patient</w:t>
      </w:r>
      <w:r w:rsidR="009E0F31">
        <w:rPr>
          <w:sz w:val="22"/>
          <w:szCs w:val="22"/>
        </w:rPr>
        <w:t>s</w:t>
      </w:r>
      <w:r w:rsidRPr="00173698">
        <w:rPr>
          <w:sz w:val="22"/>
          <w:szCs w:val="22"/>
        </w:rPr>
        <w:t xml:space="preserve"> w</w:t>
      </w:r>
      <w:r w:rsidR="009E0F31">
        <w:rPr>
          <w:sz w:val="22"/>
          <w:szCs w:val="22"/>
        </w:rPr>
        <w:t>ere</w:t>
      </w:r>
      <w:r w:rsidRPr="00173698">
        <w:rPr>
          <w:sz w:val="22"/>
          <w:szCs w:val="22"/>
        </w:rPr>
        <w:t xml:space="preserve"> required to permanently discontinue </w:t>
      </w:r>
      <w:r w:rsidR="00F95259">
        <w:rPr>
          <w:sz w:val="22"/>
          <w:szCs w:val="22"/>
        </w:rPr>
        <w:t>therapy due to these reactions.</w:t>
      </w:r>
    </w:p>
    <w:p w:rsidR="00895E54" w:rsidRPr="00F34170" w:rsidRDefault="00895E54" w:rsidP="00413BB0">
      <w:pPr>
        <w:autoSpaceDE w:val="0"/>
        <w:autoSpaceDN w:val="0"/>
        <w:adjustRightInd w:val="0"/>
        <w:rPr>
          <w:sz w:val="22"/>
          <w:szCs w:val="22"/>
          <w:lang w:val="en-AU"/>
        </w:rPr>
      </w:pPr>
    </w:p>
    <w:p w:rsidR="000C6F2B" w:rsidRPr="00F34170" w:rsidRDefault="000C6F2B" w:rsidP="00413BB0">
      <w:pPr>
        <w:pStyle w:val="BodyText"/>
        <w:keepNext/>
        <w:spacing w:after="0" w:line="280" w:lineRule="atLeast"/>
        <w:outlineLvl w:val="0"/>
        <w:rPr>
          <w:sz w:val="22"/>
          <w:szCs w:val="22"/>
          <w:lang w:val="en-AU"/>
        </w:rPr>
      </w:pPr>
      <w:r w:rsidRPr="00F34170">
        <w:rPr>
          <w:i/>
          <w:sz w:val="22"/>
          <w:szCs w:val="22"/>
          <w:lang w:val="en-AU"/>
        </w:rPr>
        <w:t>Infections</w:t>
      </w:r>
    </w:p>
    <w:p w:rsidR="000C6F2B" w:rsidRPr="00F34170" w:rsidRDefault="000C6F2B" w:rsidP="00413BB0">
      <w:pPr>
        <w:autoSpaceDE w:val="0"/>
        <w:autoSpaceDN w:val="0"/>
        <w:adjustRightInd w:val="0"/>
        <w:spacing w:before="120"/>
        <w:rPr>
          <w:sz w:val="22"/>
          <w:szCs w:val="22"/>
          <w:lang w:val="en-AU"/>
        </w:rPr>
      </w:pPr>
      <w:r w:rsidRPr="00F34170">
        <w:rPr>
          <w:sz w:val="22"/>
          <w:szCs w:val="22"/>
          <w:lang w:val="en-AU"/>
        </w:rPr>
        <w:t>In patients with PTCL</w:t>
      </w:r>
      <w:r w:rsidR="00222ACD" w:rsidRPr="00F34170">
        <w:rPr>
          <w:sz w:val="22"/>
          <w:szCs w:val="22"/>
          <w:lang w:val="en-AU"/>
        </w:rPr>
        <w:t>,</w:t>
      </w:r>
      <w:r w:rsidRPr="00F34170">
        <w:rPr>
          <w:sz w:val="22"/>
          <w:szCs w:val="22"/>
          <w:lang w:val="en-AU"/>
        </w:rPr>
        <w:t xml:space="preserve"> infections were commonly observed (55%), and the most commonly reported types were upper respiratory tract infection </w:t>
      </w:r>
      <w:r w:rsidR="00222ACD" w:rsidRPr="00F34170">
        <w:rPr>
          <w:sz w:val="22"/>
          <w:szCs w:val="22"/>
          <w:lang w:val="en-AU"/>
        </w:rPr>
        <w:t>(</w:t>
      </w:r>
      <w:r w:rsidRPr="00F34170">
        <w:rPr>
          <w:sz w:val="22"/>
          <w:szCs w:val="22"/>
          <w:lang w:val="en-AU"/>
        </w:rPr>
        <w:t>8%</w:t>
      </w:r>
      <w:r w:rsidR="00222ACD" w:rsidRPr="00F34170">
        <w:rPr>
          <w:sz w:val="22"/>
          <w:szCs w:val="22"/>
          <w:lang w:val="en-AU"/>
        </w:rPr>
        <w:t>)</w:t>
      </w:r>
      <w:r w:rsidRPr="00F34170">
        <w:rPr>
          <w:sz w:val="22"/>
          <w:szCs w:val="22"/>
          <w:lang w:val="en-AU"/>
        </w:rPr>
        <w:t xml:space="preserve">, urinary tract infection </w:t>
      </w:r>
      <w:r w:rsidR="00222ACD" w:rsidRPr="00F34170">
        <w:rPr>
          <w:sz w:val="22"/>
          <w:szCs w:val="22"/>
          <w:lang w:val="en-AU"/>
        </w:rPr>
        <w:t>(</w:t>
      </w:r>
      <w:r w:rsidRPr="00F34170">
        <w:rPr>
          <w:sz w:val="22"/>
          <w:szCs w:val="22"/>
          <w:lang w:val="en-AU"/>
        </w:rPr>
        <w:t>7%</w:t>
      </w:r>
      <w:r w:rsidR="00222ACD" w:rsidRPr="00F34170">
        <w:rPr>
          <w:sz w:val="22"/>
          <w:szCs w:val="22"/>
          <w:lang w:val="en-AU"/>
        </w:rPr>
        <w:t>)</w:t>
      </w:r>
      <w:r w:rsidRPr="00F34170">
        <w:rPr>
          <w:sz w:val="22"/>
          <w:szCs w:val="22"/>
          <w:lang w:val="en-AU"/>
        </w:rPr>
        <w:t xml:space="preserve">, pneumonia </w:t>
      </w:r>
      <w:r w:rsidR="00222ACD" w:rsidRPr="00F34170">
        <w:rPr>
          <w:sz w:val="22"/>
          <w:szCs w:val="22"/>
          <w:lang w:val="en-AU"/>
        </w:rPr>
        <w:t>(</w:t>
      </w:r>
      <w:r w:rsidRPr="00F34170">
        <w:rPr>
          <w:sz w:val="22"/>
          <w:szCs w:val="22"/>
          <w:lang w:val="en-AU"/>
        </w:rPr>
        <w:t>6%</w:t>
      </w:r>
      <w:r w:rsidR="00222ACD" w:rsidRPr="00F34170">
        <w:rPr>
          <w:sz w:val="22"/>
          <w:szCs w:val="22"/>
          <w:lang w:val="en-AU"/>
        </w:rPr>
        <w:t>)</w:t>
      </w:r>
      <w:r w:rsidRPr="00F34170">
        <w:rPr>
          <w:sz w:val="22"/>
          <w:szCs w:val="22"/>
          <w:lang w:val="en-AU"/>
        </w:rPr>
        <w:t xml:space="preserve">, and sepsis and oral candidiasis </w:t>
      </w:r>
      <w:r w:rsidR="00222ACD" w:rsidRPr="00F34170">
        <w:rPr>
          <w:sz w:val="22"/>
          <w:szCs w:val="22"/>
          <w:lang w:val="en-AU"/>
        </w:rPr>
        <w:t>(</w:t>
      </w:r>
      <w:r w:rsidRPr="00F34170">
        <w:rPr>
          <w:sz w:val="22"/>
          <w:szCs w:val="22"/>
          <w:lang w:val="en-AU"/>
        </w:rPr>
        <w:t>5%</w:t>
      </w:r>
      <w:r w:rsidR="00222ACD" w:rsidRPr="00F34170">
        <w:rPr>
          <w:sz w:val="22"/>
          <w:szCs w:val="22"/>
          <w:lang w:val="en-AU"/>
        </w:rPr>
        <w:t>).</w:t>
      </w:r>
    </w:p>
    <w:p w:rsidR="00C96852" w:rsidRPr="00F34170" w:rsidRDefault="00C96852" w:rsidP="00413BB0">
      <w:pPr>
        <w:autoSpaceDE w:val="0"/>
        <w:autoSpaceDN w:val="0"/>
        <w:adjustRightInd w:val="0"/>
        <w:rPr>
          <w:sz w:val="22"/>
          <w:szCs w:val="22"/>
          <w:lang w:val="en-AU"/>
        </w:rPr>
      </w:pPr>
    </w:p>
    <w:p w:rsidR="00C96852" w:rsidRPr="00F34170" w:rsidRDefault="00C96852" w:rsidP="00413BB0">
      <w:pPr>
        <w:pStyle w:val="BodyText"/>
        <w:keepNext/>
        <w:spacing w:after="0" w:line="280" w:lineRule="atLeast"/>
        <w:outlineLvl w:val="0"/>
        <w:rPr>
          <w:i/>
          <w:sz w:val="22"/>
          <w:szCs w:val="22"/>
          <w:lang w:val="en-AU"/>
        </w:rPr>
      </w:pPr>
      <w:r w:rsidRPr="00F34170">
        <w:rPr>
          <w:i/>
          <w:sz w:val="22"/>
          <w:szCs w:val="22"/>
          <w:lang w:val="en-AU"/>
        </w:rPr>
        <w:t>Tumour lysis syndrome</w:t>
      </w:r>
    </w:p>
    <w:p w:rsidR="000C6F2B" w:rsidRPr="00F34170" w:rsidRDefault="00C96852" w:rsidP="00413BB0">
      <w:pPr>
        <w:autoSpaceDE w:val="0"/>
        <w:autoSpaceDN w:val="0"/>
        <w:adjustRightInd w:val="0"/>
        <w:spacing w:before="120"/>
        <w:rPr>
          <w:sz w:val="22"/>
          <w:szCs w:val="22"/>
          <w:lang w:val="en-AU"/>
        </w:rPr>
      </w:pPr>
      <w:r w:rsidRPr="00F34170">
        <w:rPr>
          <w:sz w:val="22"/>
          <w:szCs w:val="22"/>
          <w:lang w:val="en-AU"/>
        </w:rPr>
        <w:t>Tumour lysis syndrome (TLS) has been reported to occur in patients with advanced disease and 2% of patients w</w:t>
      </w:r>
      <w:r w:rsidR="00222ACD" w:rsidRPr="00F34170">
        <w:rPr>
          <w:sz w:val="22"/>
          <w:szCs w:val="22"/>
          <w:lang w:val="en-AU"/>
        </w:rPr>
        <w:t>ith Stage III/IV PTCL.</w:t>
      </w:r>
    </w:p>
    <w:p w:rsidR="005B33BD" w:rsidRPr="00F34170" w:rsidRDefault="005B33BD" w:rsidP="00413BB0">
      <w:pPr>
        <w:autoSpaceDE w:val="0"/>
        <w:autoSpaceDN w:val="0"/>
        <w:adjustRightInd w:val="0"/>
        <w:rPr>
          <w:sz w:val="22"/>
          <w:szCs w:val="22"/>
          <w:lang w:val="en-AU"/>
        </w:rPr>
      </w:pPr>
    </w:p>
    <w:p w:rsidR="005B33BD" w:rsidRPr="00F34170" w:rsidRDefault="005B33BD" w:rsidP="00413BB0">
      <w:pPr>
        <w:pStyle w:val="C-BodyText"/>
        <w:keepNext/>
        <w:spacing w:before="0" w:after="0"/>
        <w:rPr>
          <w:i/>
          <w:sz w:val="22"/>
          <w:szCs w:val="22"/>
          <w:lang w:val="en-AU"/>
        </w:rPr>
      </w:pPr>
      <w:r w:rsidRPr="00F34170">
        <w:rPr>
          <w:i/>
          <w:sz w:val="22"/>
          <w:szCs w:val="22"/>
          <w:lang w:val="en-AU"/>
        </w:rPr>
        <w:t>Discontinuations</w:t>
      </w:r>
    </w:p>
    <w:p w:rsidR="005B33BD" w:rsidRPr="00F34170" w:rsidRDefault="005B33BD" w:rsidP="00413BB0">
      <w:pPr>
        <w:autoSpaceDE w:val="0"/>
        <w:autoSpaceDN w:val="0"/>
        <w:adjustRightInd w:val="0"/>
        <w:spacing w:before="120"/>
        <w:rPr>
          <w:sz w:val="22"/>
          <w:szCs w:val="22"/>
          <w:lang w:val="en-AU"/>
        </w:rPr>
      </w:pPr>
      <w:r w:rsidRPr="00F34170">
        <w:rPr>
          <w:sz w:val="22"/>
          <w:szCs w:val="22"/>
          <w:lang w:val="en-AU"/>
        </w:rPr>
        <w:t>Discontinuation due to an adverse event occurred in 19% of patients in the study. Thrombocytopenia and pneumonia were the only events leading to treatment discontinuation in at least 2% of patients.</w:t>
      </w:r>
    </w:p>
    <w:p w:rsidR="005B33BD" w:rsidRPr="00F34170" w:rsidRDefault="005B33BD" w:rsidP="00413BB0">
      <w:pPr>
        <w:autoSpaceDE w:val="0"/>
        <w:autoSpaceDN w:val="0"/>
        <w:adjustRightInd w:val="0"/>
        <w:rPr>
          <w:rFonts w:eastAsia="TimesNewRoman"/>
          <w:sz w:val="22"/>
          <w:szCs w:val="22"/>
          <w:lang w:val="en-AU" w:eastAsia="zh-CN"/>
        </w:rPr>
      </w:pPr>
    </w:p>
    <w:p w:rsidR="0083243A" w:rsidRPr="00F34170" w:rsidRDefault="0083243A" w:rsidP="00413BB0">
      <w:pPr>
        <w:pStyle w:val="C-BodyText"/>
        <w:keepNext/>
        <w:spacing w:before="0" w:after="0"/>
        <w:rPr>
          <w:b/>
          <w:sz w:val="22"/>
          <w:szCs w:val="22"/>
          <w:lang w:val="en-AU"/>
        </w:rPr>
      </w:pPr>
      <w:r w:rsidRPr="00F34170">
        <w:rPr>
          <w:b/>
          <w:sz w:val="22"/>
          <w:szCs w:val="22"/>
          <w:lang w:val="en-AU"/>
        </w:rPr>
        <w:t>Serious Adverse Events</w:t>
      </w:r>
    </w:p>
    <w:p w:rsidR="0083243A" w:rsidRPr="00F34170" w:rsidRDefault="009156EF" w:rsidP="00413BB0">
      <w:pPr>
        <w:autoSpaceDE w:val="0"/>
        <w:autoSpaceDN w:val="0"/>
        <w:adjustRightInd w:val="0"/>
        <w:spacing w:before="120"/>
        <w:rPr>
          <w:rFonts w:eastAsia="TimesNewRoman"/>
          <w:sz w:val="22"/>
          <w:szCs w:val="22"/>
          <w:lang w:val="en-AU" w:eastAsia="zh-CN"/>
        </w:rPr>
      </w:pPr>
      <w:r w:rsidRPr="00F34170">
        <w:rPr>
          <w:rFonts w:eastAsia="TimesNewRoman"/>
          <w:sz w:val="22"/>
          <w:szCs w:val="22"/>
          <w:lang w:val="en-AU" w:eastAsia="zh-CN"/>
        </w:rPr>
        <w:t>Infections were the most common type of serious adverse events (SAE) reported, with 19% of patients experiencing a serious infection during the study. SAEs reported in ≥</w:t>
      </w:r>
      <w:r w:rsidR="00222ACD" w:rsidRPr="00F34170">
        <w:rPr>
          <w:rFonts w:eastAsia="TimesNewRoman"/>
          <w:sz w:val="22"/>
          <w:szCs w:val="22"/>
          <w:lang w:val="en-AU" w:eastAsia="zh-CN"/>
        </w:rPr>
        <w:t> </w:t>
      </w:r>
      <w:r w:rsidRPr="00F34170">
        <w:rPr>
          <w:rFonts w:eastAsia="TimesNewRoman"/>
          <w:sz w:val="22"/>
          <w:szCs w:val="22"/>
          <w:lang w:val="en-AU" w:eastAsia="zh-CN"/>
        </w:rPr>
        <w:t xml:space="preserve">2% of patients in the study were </w:t>
      </w:r>
      <w:r w:rsidR="00F835A3" w:rsidRPr="00F34170">
        <w:rPr>
          <w:sz w:val="22"/>
          <w:szCs w:val="22"/>
          <w:lang w:val="en-AU"/>
        </w:rPr>
        <w:t>pyrexia (7%), pneumonia, sepsis, vomiting (5%), cellulitis, deep vein thrombosis (4%), febrile neutropenia, abdominal pain (3%), chest pain, neutropenia, pulmonary embolism, dyspn</w:t>
      </w:r>
      <w:r w:rsidR="001A029C" w:rsidRPr="00F34170">
        <w:rPr>
          <w:sz w:val="22"/>
          <w:szCs w:val="22"/>
          <w:lang w:val="en-AU"/>
        </w:rPr>
        <w:t>o</w:t>
      </w:r>
      <w:r w:rsidR="00F835A3" w:rsidRPr="00F34170">
        <w:rPr>
          <w:sz w:val="22"/>
          <w:szCs w:val="22"/>
          <w:lang w:val="en-AU"/>
        </w:rPr>
        <w:t>ea, and dehydration (2%).</w:t>
      </w:r>
    </w:p>
    <w:p w:rsidR="00F835A3" w:rsidRPr="00F34170" w:rsidRDefault="00F835A3" w:rsidP="00413BB0">
      <w:pPr>
        <w:pStyle w:val="C-BodyText"/>
        <w:spacing w:before="0" w:after="0" w:line="240" w:lineRule="auto"/>
        <w:rPr>
          <w:sz w:val="22"/>
          <w:szCs w:val="22"/>
          <w:lang w:val="en-AU"/>
        </w:rPr>
      </w:pPr>
    </w:p>
    <w:p w:rsidR="008A2DA9" w:rsidRPr="00F34170" w:rsidRDefault="008A2DA9" w:rsidP="00413BB0">
      <w:pPr>
        <w:pStyle w:val="C-BodyText"/>
        <w:keepNext/>
        <w:spacing w:before="0" w:after="0" w:line="240" w:lineRule="auto"/>
        <w:rPr>
          <w:b/>
          <w:sz w:val="22"/>
          <w:szCs w:val="22"/>
          <w:lang w:val="en-AU"/>
        </w:rPr>
      </w:pPr>
      <w:r w:rsidRPr="00F34170">
        <w:rPr>
          <w:b/>
          <w:sz w:val="22"/>
          <w:szCs w:val="22"/>
          <w:lang w:val="en-AU"/>
        </w:rPr>
        <w:t>Deaths</w:t>
      </w:r>
    </w:p>
    <w:p w:rsidR="00F835A3" w:rsidRPr="00F34170" w:rsidRDefault="00F835A3" w:rsidP="00413BB0">
      <w:pPr>
        <w:pStyle w:val="C-BodyText"/>
        <w:spacing w:after="0" w:line="240" w:lineRule="auto"/>
        <w:rPr>
          <w:sz w:val="22"/>
          <w:szCs w:val="22"/>
          <w:lang w:val="en-AU"/>
        </w:rPr>
      </w:pPr>
      <w:r w:rsidRPr="00F34170">
        <w:rPr>
          <w:sz w:val="22"/>
          <w:szCs w:val="22"/>
          <w:lang w:val="en-AU"/>
        </w:rPr>
        <w:t xml:space="preserve">In the clinical trial, </w:t>
      </w:r>
      <w:r w:rsidR="008A2DA9" w:rsidRPr="00F34170">
        <w:rPr>
          <w:sz w:val="22"/>
          <w:szCs w:val="22"/>
          <w:lang w:val="en-AU"/>
        </w:rPr>
        <w:t>deaths within 30</w:t>
      </w:r>
      <w:r w:rsidR="00222ACD" w:rsidRPr="00F34170">
        <w:rPr>
          <w:sz w:val="22"/>
          <w:szCs w:val="22"/>
          <w:lang w:val="en-AU"/>
        </w:rPr>
        <w:t> </w:t>
      </w:r>
      <w:r w:rsidR="008A2DA9" w:rsidRPr="00F34170">
        <w:rPr>
          <w:sz w:val="22"/>
          <w:szCs w:val="22"/>
          <w:lang w:val="en-AU"/>
        </w:rPr>
        <w:t>days of the last dose occurred in 8</w:t>
      </w:r>
      <w:r w:rsidR="00222ACD" w:rsidRPr="00F34170">
        <w:rPr>
          <w:sz w:val="22"/>
          <w:szCs w:val="22"/>
          <w:lang w:val="en-AU"/>
        </w:rPr>
        <w:t> </w:t>
      </w:r>
      <w:r w:rsidR="008A2DA9" w:rsidRPr="00F34170">
        <w:rPr>
          <w:sz w:val="22"/>
          <w:szCs w:val="22"/>
          <w:lang w:val="en-AU"/>
        </w:rPr>
        <w:t>patients (6%), most frequent</w:t>
      </w:r>
      <w:r w:rsidR="00222ACD" w:rsidRPr="00F34170">
        <w:rPr>
          <w:sz w:val="22"/>
          <w:szCs w:val="22"/>
          <w:lang w:val="en-AU"/>
        </w:rPr>
        <w:t xml:space="preserve">ly due to disease progression. </w:t>
      </w:r>
      <w:r w:rsidR="008A2DA9" w:rsidRPr="00F34170">
        <w:rPr>
          <w:sz w:val="22"/>
          <w:szCs w:val="22"/>
          <w:lang w:val="en-AU"/>
        </w:rPr>
        <w:t>T</w:t>
      </w:r>
      <w:r w:rsidRPr="00F34170">
        <w:rPr>
          <w:sz w:val="22"/>
          <w:szCs w:val="22"/>
          <w:lang w:val="en-AU"/>
        </w:rPr>
        <w:t xml:space="preserve">here were 5 deaths </w:t>
      </w:r>
      <w:r w:rsidR="008A2DA9" w:rsidRPr="00F34170">
        <w:rPr>
          <w:sz w:val="22"/>
          <w:szCs w:val="22"/>
          <w:lang w:val="en-AU"/>
        </w:rPr>
        <w:t>due to infections in the setting of</w:t>
      </w:r>
      <w:r w:rsidRPr="00F34170">
        <w:rPr>
          <w:sz w:val="22"/>
          <w:szCs w:val="22"/>
          <w:lang w:val="en-AU"/>
        </w:rPr>
        <w:t xml:space="preserve"> disease progression</w:t>
      </w:r>
      <w:r w:rsidR="008A2DA9" w:rsidRPr="00F34170">
        <w:rPr>
          <w:sz w:val="22"/>
          <w:szCs w:val="22"/>
          <w:lang w:val="en-AU"/>
        </w:rPr>
        <w:t xml:space="preserve"> concurrent with</w:t>
      </w:r>
      <w:r w:rsidRPr="00F34170">
        <w:rPr>
          <w:sz w:val="22"/>
          <w:szCs w:val="22"/>
          <w:lang w:val="en-AU"/>
        </w:rPr>
        <w:t xml:space="preserve"> multi-organ failure/sepsis, pneumonia, septic shock, candida sepsis, and</w:t>
      </w:r>
      <w:r w:rsidR="00222ACD" w:rsidRPr="00F34170">
        <w:rPr>
          <w:sz w:val="22"/>
          <w:szCs w:val="22"/>
          <w:lang w:val="en-AU"/>
        </w:rPr>
        <w:t xml:space="preserve"> sepsis/cardiogenic shock.</w:t>
      </w:r>
    </w:p>
    <w:p w:rsidR="006018E5" w:rsidRPr="00F34170" w:rsidRDefault="006018E5" w:rsidP="00413BB0">
      <w:pPr>
        <w:autoSpaceDE w:val="0"/>
        <w:autoSpaceDN w:val="0"/>
        <w:adjustRightInd w:val="0"/>
        <w:rPr>
          <w:sz w:val="22"/>
          <w:szCs w:val="22"/>
          <w:lang w:val="en-AU"/>
        </w:rPr>
      </w:pPr>
    </w:p>
    <w:p w:rsidR="006018E5" w:rsidRPr="00F34170" w:rsidRDefault="006018E5" w:rsidP="00413BB0">
      <w:pPr>
        <w:keepNext/>
        <w:autoSpaceDE w:val="0"/>
        <w:autoSpaceDN w:val="0"/>
        <w:adjustRightInd w:val="0"/>
        <w:rPr>
          <w:b/>
          <w:sz w:val="22"/>
          <w:szCs w:val="22"/>
          <w:lang w:val="en-AU"/>
        </w:rPr>
      </w:pPr>
      <w:r w:rsidRPr="00F34170">
        <w:rPr>
          <w:b/>
          <w:sz w:val="22"/>
          <w:szCs w:val="22"/>
          <w:lang w:val="en-AU"/>
        </w:rPr>
        <w:t>Post marketing data</w:t>
      </w:r>
    </w:p>
    <w:p w:rsidR="006018E5" w:rsidRPr="00F34170" w:rsidRDefault="006018E5" w:rsidP="00413BB0">
      <w:pPr>
        <w:autoSpaceDE w:val="0"/>
        <w:autoSpaceDN w:val="0"/>
        <w:adjustRightInd w:val="0"/>
        <w:spacing w:before="120"/>
        <w:rPr>
          <w:sz w:val="22"/>
          <w:szCs w:val="22"/>
          <w:lang w:val="en-AU"/>
        </w:rPr>
      </w:pPr>
      <w:r w:rsidRPr="00F34170">
        <w:rPr>
          <w:sz w:val="22"/>
          <w:szCs w:val="22"/>
          <w:lang w:val="en-AU"/>
        </w:rPr>
        <w:t>No additional safety signals have been observed from post-marketing experience.</w:t>
      </w:r>
    </w:p>
    <w:p w:rsidR="0083243A" w:rsidRPr="00F34170" w:rsidRDefault="0083243A" w:rsidP="00413BB0">
      <w:pPr>
        <w:autoSpaceDE w:val="0"/>
        <w:autoSpaceDN w:val="0"/>
        <w:adjustRightInd w:val="0"/>
        <w:rPr>
          <w:sz w:val="22"/>
          <w:szCs w:val="22"/>
          <w:lang w:val="en-AU"/>
        </w:rPr>
      </w:pPr>
    </w:p>
    <w:p w:rsidR="004C4142" w:rsidRPr="00F34170" w:rsidRDefault="004C4142" w:rsidP="00413BB0">
      <w:pPr>
        <w:autoSpaceDE w:val="0"/>
        <w:autoSpaceDN w:val="0"/>
        <w:adjustRightInd w:val="0"/>
        <w:rPr>
          <w:sz w:val="22"/>
          <w:szCs w:val="22"/>
          <w:lang w:val="en-AU"/>
        </w:rPr>
      </w:pPr>
    </w:p>
    <w:p w:rsidR="0083243A" w:rsidRPr="00F34170" w:rsidRDefault="0083243A" w:rsidP="00413BB0">
      <w:pPr>
        <w:pStyle w:val="ListParagraph"/>
        <w:keepNext/>
        <w:numPr>
          <w:ilvl w:val="0"/>
          <w:numId w:val="15"/>
        </w:numPr>
        <w:ind w:left="1080" w:hanging="1080"/>
        <w:rPr>
          <w:b/>
          <w:sz w:val="28"/>
          <w:szCs w:val="28"/>
          <w:lang w:val="en-AU"/>
        </w:rPr>
      </w:pPr>
      <w:r w:rsidRPr="00F34170">
        <w:rPr>
          <w:b/>
          <w:sz w:val="28"/>
          <w:szCs w:val="28"/>
          <w:lang w:val="en-AU"/>
        </w:rPr>
        <w:lastRenderedPageBreak/>
        <w:t>Dosage and administration</w:t>
      </w:r>
    </w:p>
    <w:p w:rsidR="0083243A" w:rsidRPr="00F34170" w:rsidRDefault="0083243A" w:rsidP="00413BB0">
      <w:pPr>
        <w:spacing w:before="120"/>
        <w:rPr>
          <w:sz w:val="22"/>
          <w:szCs w:val="22"/>
          <w:lang w:val="en-AU"/>
        </w:rPr>
      </w:pPr>
      <w:r w:rsidRPr="00F34170">
        <w:rPr>
          <w:sz w:val="22"/>
          <w:szCs w:val="22"/>
          <w:lang w:val="en-AU"/>
        </w:rPr>
        <w:t>Istodax should be administered under the supervision of a physician qualified in the use of chemotherapeutic agents.</w:t>
      </w:r>
      <w:r w:rsidR="00E357BC" w:rsidRPr="00F34170">
        <w:rPr>
          <w:sz w:val="22"/>
          <w:szCs w:val="22"/>
          <w:lang w:val="en-AU"/>
        </w:rPr>
        <w:t xml:space="preserve"> Serum potassium and magnesium should be within the normal range before each administration of Istodax.</w:t>
      </w:r>
    </w:p>
    <w:p w:rsidR="0083243A" w:rsidRPr="00F34170" w:rsidRDefault="0083243A" w:rsidP="00413BB0">
      <w:pPr>
        <w:rPr>
          <w:sz w:val="22"/>
          <w:szCs w:val="22"/>
          <w:lang w:val="en-AU"/>
        </w:rPr>
      </w:pPr>
    </w:p>
    <w:p w:rsidR="0083243A" w:rsidRPr="00F34170" w:rsidRDefault="0083243A" w:rsidP="00413BB0">
      <w:pPr>
        <w:rPr>
          <w:sz w:val="22"/>
          <w:szCs w:val="22"/>
          <w:lang w:val="en-AU"/>
        </w:rPr>
      </w:pPr>
      <w:r w:rsidRPr="00F34170">
        <w:rPr>
          <w:sz w:val="22"/>
          <w:szCs w:val="22"/>
          <w:lang w:val="en-AU"/>
        </w:rPr>
        <w:t>Istodax is an anti</w:t>
      </w:r>
      <w:r w:rsidR="003B3A17" w:rsidRPr="00F34170">
        <w:rPr>
          <w:sz w:val="22"/>
          <w:szCs w:val="22"/>
          <w:lang w:val="en-AU"/>
        </w:rPr>
        <w:t>-</w:t>
      </w:r>
      <w:r w:rsidRPr="00F34170">
        <w:rPr>
          <w:sz w:val="22"/>
          <w:szCs w:val="22"/>
          <w:lang w:val="en-AU"/>
        </w:rPr>
        <w:t>neoplastic agent and, as with other potentially toxic compounds, caution should be exercised when preparing and handling Istodax solutions. The use of gloves is recommended.</w:t>
      </w:r>
    </w:p>
    <w:p w:rsidR="00222ACD" w:rsidRPr="00F34170" w:rsidRDefault="00222ACD" w:rsidP="00413BB0">
      <w:pPr>
        <w:rPr>
          <w:sz w:val="22"/>
          <w:szCs w:val="22"/>
          <w:lang w:val="en-AU"/>
        </w:rPr>
      </w:pPr>
    </w:p>
    <w:p w:rsidR="00D46714" w:rsidRPr="00F34170" w:rsidRDefault="00D46714" w:rsidP="00413BB0">
      <w:pPr>
        <w:rPr>
          <w:sz w:val="22"/>
          <w:szCs w:val="22"/>
          <w:lang w:val="en-AU"/>
        </w:rPr>
      </w:pPr>
      <w:r w:rsidRPr="00F34170">
        <w:rPr>
          <w:sz w:val="22"/>
          <w:szCs w:val="22"/>
          <w:lang w:val="en-AU"/>
        </w:rPr>
        <w:t>Any unused product or waste material should be disposed of in accordance with local requirements for disposal of cytotoxic compounds.</w:t>
      </w:r>
    </w:p>
    <w:p w:rsidR="0083243A" w:rsidRPr="00F34170" w:rsidRDefault="0083243A" w:rsidP="00413BB0">
      <w:pPr>
        <w:rPr>
          <w:sz w:val="22"/>
          <w:szCs w:val="22"/>
          <w:lang w:val="en-AU"/>
        </w:rPr>
      </w:pPr>
    </w:p>
    <w:p w:rsidR="0083243A" w:rsidRPr="00F34170" w:rsidRDefault="0083243A" w:rsidP="00413BB0">
      <w:pPr>
        <w:keepNext/>
        <w:ind w:left="567" w:hanging="567"/>
        <w:rPr>
          <w:b/>
          <w:sz w:val="22"/>
          <w:szCs w:val="22"/>
          <w:lang w:val="en-AU"/>
        </w:rPr>
      </w:pPr>
      <w:r w:rsidRPr="00F34170">
        <w:rPr>
          <w:b/>
          <w:sz w:val="22"/>
          <w:szCs w:val="22"/>
          <w:lang w:val="en-AU"/>
        </w:rPr>
        <w:t>Preparation</w:t>
      </w:r>
      <w:r w:rsidR="00A060BA" w:rsidRPr="00F34170">
        <w:rPr>
          <w:b/>
          <w:sz w:val="22"/>
          <w:szCs w:val="22"/>
          <w:lang w:val="en-AU"/>
        </w:rPr>
        <w:t xml:space="preserve"> and Administration</w:t>
      </w:r>
    </w:p>
    <w:p w:rsidR="00F25AE6" w:rsidRPr="00F34170" w:rsidRDefault="00F25AE6" w:rsidP="00413BB0">
      <w:pPr>
        <w:spacing w:before="120"/>
        <w:rPr>
          <w:sz w:val="22"/>
          <w:szCs w:val="22"/>
          <w:lang w:val="en-AU"/>
        </w:rPr>
      </w:pPr>
      <w:r w:rsidRPr="00F34170">
        <w:rPr>
          <w:sz w:val="22"/>
          <w:szCs w:val="22"/>
          <w:lang w:val="en-AU"/>
        </w:rPr>
        <w:t xml:space="preserve">Istodax </w:t>
      </w:r>
      <w:r w:rsidR="00A42FE2" w:rsidRPr="00F34170">
        <w:rPr>
          <w:sz w:val="22"/>
          <w:szCs w:val="22"/>
          <w:lang w:val="en-AU"/>
        </w:rPr>
        <w:t>must</w:t>
      </w:r>
      <w:r w:rsidRPr="00F34170">
        <w:rPr>
          <w:sz w:val="22"/>
          <w:szCs w:val="22"/>
          <w:lang w:val="en-AU"/>
        </w:rPr>
        <w:t xml:space="preserve"> be reconstituted with the solvent provided and further diluted with 0.9% sodium chloride injection before intravenous infusion using the following guidelines</w:t>
      </w:r>
      <w:r w:rsidR="00073603" w:rsidRPr="00F34170">
        <w:rPr>
          <w:sz w:val="22"/>
          <w:szCs w:val="22"/>
          <w:lang w:val="en-AU"/>
        </w:rPr>
        <w:t>:</w:t>
      </w:r>
    </w:p>
    <w:p w:rsidR="00F25AE6" w:rsidRPr="00F34170" w:rsidRDefault="00F25AE6" w:rsidP="00413BB0">
      <w:pPr>
        <w:pStyle w:val="ListParagraph"/>
        <w:numPr>
          <w:ilvl w:val="0"/>
          <w:numId w:val="21"/>
        </w:numPr>
        <w:spacing w:before="120"/>
        <w:contextualSpacing w:val="0"/>
        <w:rPr>
          <w:sz w:val="22"/>
          <w:szCs w:val="22"/>
          <w:lang w:val="en-AU"/>
        </w:rPr>
      </w:pPr>
      <w:r w:rsidRPr="00F34170">
        <w:rPr>
          <w:sz w:val="22"/>
          <w:szCs w:val="22"/>
          <w:lang w:val="en-AU"/>
        </w:rPr>
        <w:t xml:space="preserve">Each 10 mg single-use vial of Istodax </w:t>
      </w:r>
      <w:r w:rsidR="00A42FE2" w:rsidRPr="00F34170">
        <w:rPr>
          <w:sz w:val="22"/>
          <w:szCs w:val="22"/>
          <w:lang w:val="en-AU"/>
        </w:rPr>
        <w:t>must</w:t>
      </w:r>
      <w:r w:rsidRPr="00F34170">
        <w:rPr>
          <w:sz w:val="22"/>
          <w:szCs w:val="22"/>
          <w:lang w:val="en-AU"/>
        </w:rPr>
        <w:t xml:space="preserve"> be reconstituted with 2 mL of the supplied solvent: With a suitable syringe, aseptically withdraw 2 mL of solvent from the solvent vial provided, and slowly inject it into the Istodax vial. Swirl the contents of the vial until there are no visible particles in the resulting solution. The reconstituted solution </w:t>
      </w:r>
      <w:r w:rsidR="00073603" w:rsidRPr="00F34170">
        <w:rPr>
          <w:sz w:val="22"/>
          <w:szCs w:val="22"/>
          <w:lang w:val="en-AU"/>
        </w:rPr>
        <w:t>should contain Istodax 5 mg/mL.</w:t>
      </w:r>
    </w:p>
    <w:p w:rsidR="00F25AE6" w:rsidRPr="00F34170" w:rsidRDefault="00F25AE6" w:rsidP="00413BB0">
      <w:pPr>
        <w:ind w:left="567" w:hanging="567"/>
        <w:rPr>
          <w:sz w:val="22"/>
          <w:szCs w:val="22"/>
          <w:lang w:val="en-AU"/>
        </w:rPr>
      </w:pPr>
    </w:p>
    <w:p w:rsidR="00F25AE6" w:rsidRPr="00F34170" w:rsidRDefault="00F25AE6" w:rsidP="00413BB0">
      <w:pPr>
        <w:pStyle w:val="ListParagraph"/>
        <w:numPr>
          <w:ilvl w:val="0"/>
          <w:numId w:val="21"/>
        </w:numPr>
        <w:contextualSpacing w:val="0"/>
        <w:rPr>
          <w:sz w:val="22"/>
          <w:szCs w:val="22"/>
          <w:lang w:val="en-AU"/>
        </w:rPr>
      </w:pPr>
      <w:r w:rsidRPr="00F34170">
        <w:rPr>
          <w:sz w:val="22"/>
          <w:szCs w:val="22"/>
          <w:lang w:val="en-AU"/>
        </w:rPr>
        <w:t>Before intravenous infusion, further dilute the reconstituted solution: Extract the appropriate amount of the reconstituted Istodax solution from the vi</w:t>
      </w:r>
      <w:r w:rsidR="005D7200" w:rsidRPr="00F34170">
        <w:rPr>
          <w:sz w:val="22"/>
          <w:szCs w:val="22"/>
          <w:lang w:val="en-AU"/>
        </w:rPr>
        <w:t>als to deliver the desired dose. Then,</w:t>
      </w:r>
      <w:r w:rsidRPr="00F34170">
        <w:rPr>
          <w:sz w:val="22"/>
          <w:szCs w:val="22"/>
          <w:lang w:val="en-AU"/>
        </w:rPr>
        <w:t xml:space="preserve"> using proper aseptic technique</w:t>
      </w:r>
      <w:r w:rsidR="005D7200" w:rsidRPr="00F34170">
        <w:rPr>
          <w:sz w:val="22"/>
          <w:szCs w:val="22"/>
          <w:lang w:val="en-AU"/>
        </w:rPr>
        <w:t>,</w:t>
      </w:r>
      <w:r w:rsidRPr="00F34170">
        <w:rPr>
          <w:sz w:val="22"/>
          <w:szCs w:val="22"/>
          <w:lang w:val="en-AU"/>
        </w:rPr>
        <w:t xml:space="preserve"> dilute with 500 mL </w:t>
      </w:r>
      <w:r w:rsidR="005D7200" w:rsidRPr="00F34170">
        <w:rPr>
          <w:sz w:val="22"/>
          <w:szCs w:val="22"/>
          <w:lang w:val="en-AU"/>
        </w:rPr>
        <w:t>0.9% Sodium Chloride Injection.</w:t>
      </w:r>
    </w:p>
    <w:p w:rsidR="00F25AE6" w:rsidRPr="00F34170" w:rsidRDefault="00F25AE6" w:rsidP="00413BB0">
      <w:pPr>
        <w:rPr>
          <w:sz w:val="22"/>
          <w:szCs w:val="22"/>
          <w:lang w:val="en-AU"/>
        </w:rPr>
      </w:pPr>
    </w:p>
    <w:p w:rsidR="00F25AE6" w:rsidRPr="00F34170" w:rsidRDefault="00F25AE6" w:rsidP="00413BB0">
      <w:pPr>
        <w:pStyle w:val="ListParagraph"/>
        <w:numPr>
          <w:ilvl w:val="0"/>
          <w:numId w:val="20"/>
        </w:numPr>
        <w:ind w:left="720"/>
        <w:contextualSpacing w:val="0"/>
        <w:rPr>
          <w:sz w:val="22"/>
          <w:szCs w:val="22"/>
          <w:lang w:val="en-AU"/>
        </w:rPr>
      </w:pPr>
      <w:r w:rsidRPr="00F34170">
        <w:rPr>
          <w:sz w:val="22"/>
          <w:szCs w:val="22"/>
          <w:lang w:val="en-AU"/>
        </w:rPr>
        <w:t>The diluted solution is compatible with polyvinyl chloride (PVC), ethylene vinyl acetate (EVA), polyethylene (PE) infusion bags as well as glass bottles. Parenteral drug products should be inspected visually for particulate matter and discolouration before administration, whenever solution and container permit.</w:t>
      </w:r>
    </w:p>
    <w:p w:rsidR="00F25AE6" w:rsidRPr="00F34170" w:rsidRDefault="00F25AE6" w:rsidP="00413BB0">
      <w:pPr>
        <w:rPr>
          <w:sz w:val="22"/>
          <w:szCs w:val="22"/>
          <w:lang w:val="en-AU"/>
        </w:rPr>
      </w:pPr>
    </w:p>
    <w:p w:rsidR="00EA496E" w:rsidRPr="00F34170" w:rsidRDefault="00F25AE6" w:rsidP="00413BB0">
      <w:pPr>
        <w:pStyle w:val="ListParagraph"/>
        <w:numPr>
          <w:ilvl w:val="0"/>
          <w:numId w:val="20"/>
        </w:numPr>
        <w:ind w:left="720"/>
        <w:contextualSpacing w:val="0"/>
        <w:rPr>
          <w:sz w:val="22"/>
          <w:szCs w:val="22"/>
          <w:lang w:val="en-AU"/>
        </w:rPr>
      </w:pPr>
      <w:r w:rsidRPr="00F34170">
        <w:rPr>
          <w:sz w:val="22"/>
          <w:szCs w:val="22"/>
          <w:lang w:val="en-AU"/>
        </w:rPr>
        <w:t xml:space="preserve">Istodax is for single-use </w:t>
      </w:r>
      <w:r w:rsidR="00EA496E" w:rsidRPr="00F34170">
        <w:rPr>
          <w:sz w:val="22"/>
          <w:szCs w:val="22"/>
          <w:lang w:val="en-AU"/>
        </w:rPr>
        <w:t>in one patient only, and any residue should be discarded.</w:t>
      </w:r>
    </w:p>
    <w:p w:rsidR="00EA496E" w:rsidRPr="00F34170" w:rsidRDefault="00EA496E" w:rsidP="00EA496E">
      <w:pPr>
        <w:pStyle w:val="ListParagraph"/>
        <w:rPr>
          <w:sz w:val="22"/>
          <w:szCs w:val="22"/>
          <w:lang w:val="en-AU"/>
        </w:rPr>
      </w:pPr>
    </w:p>
    <w:p w:rsidR="00F25AE6" w:rsidRPr="00F34170" w:rsidRDefault="00EA496E" w:rsidP="00413BB0">
      <w:pPr>
        <w:pStyle w:val="ListParagraph"/>
        <w:numPr>
          <w:ilvl w:val="0"/>
          <w:numId w:val="20"/>
        </w:numPr>
        <w:ind w:left="720"/>
        <w:contextualSpacing w:val="0"/>
        <w:rPr>
          <w:sz w:val="22"/>
          <w:szCs w:val="22"/>
          <w:lang w:val="en-AU"/>
        </w:rPr>
      </w:pPr>
      <w:r w:rsidRPr="00F34170">
        <w:rPr>
          <w:sz w:val="22"/>
          <w:szCs w:val="22"/>
          <w:lang w:val="en-AU"/>
        </w:rPr>
        <w:t>Istodax</w:t>
      </w:r>
      <w:r w:rsidR="00F25AE6" w:rsidRPr="00F34170">
        <w:rPr>
          <w:sz w:val="22"/>
          <w:szCs w:val="22"/>
          <w:lang w:val="en-AU"/>
        </w:rPr>
        <w:t xml:space="preserve"> does not contain antimicrobial preservatives. To reduce microbiological hazard, use as soon as practicable after dilution. If storage is necessary, hold at 2-8°C for not more than 24</w:t>
      </w:r>
      <w:r w:rsidR="005D7200" w:rsidRPr="00F34170">
        <w:rPr>
          <w:sz w:val="22"/>
          <w:szCs w:val="22"/>
          <w:lang w:val="en-AU"/>
        </w:rPr>
        <w:t> </w:t>
      </w:r>
      <w:r w:rsidR="00F25AE6" w:rsidRPr="00F34170">
        <w:rPr>
          <w:sz w:val="22"/>
          <w:szCs w:val="22"/>
          <w:lang w:val="en-AU"/>
        </w:rPr>
        <w:t>hours.</w:t>
      </w:r>
    </w:p>
    <w:p w:rsidR="00F25AE6" w:rsidRPr="00F34170" w:rsidRDefault="00F25AE6" w:rsidP="00413BB0">
      <w:pPr>
        <w:rPr>
          <w:sz w:val="22"/>
          <w:szCs w:val="22"/>
          <w:lang w:val="en-AU"/>
        </w:rPr>
      </w:pPr>
    </w:p>
    <w:p w:rsidR="00F25AE6" w:rsidRPr="00F34170" w:rsidRDefault="00F25AE6" w:rsidP="00413BB0">
      <w:pPr>
        <w:pStyle w:val="ListParagraph"/>
        <w:numPr>
          <w:ilvl w:val="0"/>
          <w:numId w:val="21"/>
        </w:numPr>
        <w:contextualSpacing w:val="0"/>
        <w:rPr>
          <w:sz w:val="22"/>
          <w:szCs w:val="22"/>
          <w:lang w:val="en-AU"/>
        </w:rPr>
      </w:pPr>
      <w:r w:rsidRPr="00F34170">
        <w:rPr>
          <w:sz w:val="22"/>
          <w:szCs w:val="22"/>
          <w:lang w:val="en-AU"/>
        </w:rPr>
        <w:t>Administer intravenously over a 4</w:t>
      </w:r>
      <w:r w:rsidR="005D7200" w:rsidRPr="00F34170">
        <w:rPr>
          <w:sz w:val="22"/>
          <w:szCs w:val="22"/>
          <w:lang w:val="en-AU"/>
        </w:rPr>
        <w:t>-</w:t>
      </w:r>
      <w:r w:rsidRPr="00F34170">
        <w:rPr>
          <w:sz w:val="22"/>
          <w:szCs w:val="22"/>
          <w:lang w:val="en-AU"/>
        </w:rPr>
        <w:t>hour period.</w:t>
      </w:r>
    </w:p>
    <w:p w:rsidR="00F25AE6" w:rsidRPr="00F34170" w:rsidRDefault="00F25AE6" w:rsidP="00413BB0">
      <w:pPr>
        <w:pStyle w:val="C-TableText"/>
        <w:tabs>
          <w:tab w:val="left" w:pos="567"/>
        </w:tabs>
        <w:spacing w:before="0" w:after="0" w:line="260" w:lineRule="exact"/>
        <w:rPr>
          <w:szCs w:val="22"/>
          <w:lang w:val="en-AU"/>
        </w:rPr>
      </w:pPr>
    </w:p>
    <w:p w:rsidR="0083243A" w:rsidRPr="00F34170" w:rsidRDefault="0083243A" w:rsidP="00413BB0">
      <w:pPr>
        <w:keepNext/>
        <w:rPr>
          <w:b/>
          <w:sz w:val="22"/>
          <w:szCs w:val="22"/>
          <w:lang w:val="en-AU"/>
        </w:rPr>
      </w:pPr>
      <w:r w:rsidRPr="00F34170">
        <w:rPr>
          <w:b/>
          <w:sz w:val="22"/>
          <w:szCs w:val="22"/>
          <w:lang w:val="en-AU"/>
        </w:rPr>
        <w:t>Recommended dosage</w:t>
      </w:r>
    </w:p>
    <w:p w:rsidR="0083243A" w:rsidRPr="00F34170" w:rsidRDefault="0083243A" w:rsidP="00413BB0">
      <w:pPr>
        <w:spacing w:before="120"/>
        <w:rPr>
          <w:sz w:val="22"/>
          <w:szCs w:val="22"/>
          <w:lang w:val="en-AU"/>
        </w:rPr>
      </w:pPr>
      <w:r w:rsidRPr="00F34170">
        <w:rPr>
          <w:sz w:val="22"/>
          <w:szCs w:val="22"/>
          <w:lang w:val="en-AU"/>
        </w:rPr>
        <w:t>The recommended dose is 14 mg/m</w:t>
      </w:r>
      <w:r w:rsidRPr="00F34170">
        <w:rPr>
          <w:sz w:val="22"/>
          <w:szCs w:val="22"/>
          <w:vertAlign w:val="superscript"/>
          <w:lang w:val="en-AU"/>
        </w:rPr>
        <w:t>2</w:t>
      </w:r>
      <w:r w:rsidRPr="00F34170">
        <w:rPr>
          <w:sz w:val="22"/>
          <w:szCs w:val="22"/>
          <w:lang w:val="en-AU"/>
        </w:rPr>
        <w:t xml:space="preserve"> administered intravenously over a 4-hour period on Days 1, 8 and 15 of a 28-day cycle. Cycles should be repeated every 28 days provided that the patient continues to benefit from and tolerates the therapy.</w:t>
      </w:r>
    </w:p>
    <w:p w:rsidR="0083243A" w:rsidRPr="00F34170" w:rsidRDefault="0083243A" w:rsidP="00413BB0">
      <w:pPr>
        <w:rPr>
          <w:sz w:val="22"/>
          <w:szCs w:val="22"/>
          <w:lang w:val="en-AU"/>
        </w:rPr>
      </w:pPr>
    </w:p>
    <w:p w:rsidR="0083243A" w:rsidRPr="00F34170" w:rsidRDefault="0083243A" w:rsidP="00413BB0">
      <w:pPr>
        <w:keepNext/>
        <w:rPr>
          <w:b/>
          <w:sz w:val="22"/>
          <w:szCs w:val="22"/>
          <w:lang w:val="en-AU"/>
        </w:rPr>
      </w:pPr>
      <w:r w:rsidRPr="00F34170">
        <w:rPr>
          <w:b/>
          <w:sz w:val="22"/>
          <w:szCs w:val="22"/>
          <w:lang w:val="en-AU"/>
        </w:rPr>
        <w:t>Dosage adjustments during treatment</w:t>
      </w:r>
    </w:p>
    <w:p w:rsidR="0083243A" w:rsidRPr="00F34170" w:rsidRDefault="0083243A" w:rsidP="00413BB0">
      <w:pPr>
        <w:keepNext/>
        <w:spacing w:before="120"/>
        <w:rPr>
          <w:sz w:val="22"/>
          <w:szCs w:val="22"/>
          <w:u w:val="single"/>
          <w:lang w:val="en-AU"/>
        </w:rPr>
      </w:pPr>
      <w:r w:rsidRPr="00F34170">
        <w:rPr>
          <w:sz w:val="22"/>
          <w:szCs w:val="22"/>
          <w:u w:val="single"/>
          <w:lang w:val="en-AU"/>
        </w:rPr>
        <w:t>Haematological Toxicities:</w:t>
      </w:r>
    </w:p>
    <w:p w:rsidR="0083243A" w:rsidRPr="00F34170" w:rsidRDefault="0083243A" w:rsidP="00413BB0">
      <w:pPr>
        <w:spacing w:before="120"/>
        <w:rPr>
          <w:sz w:val="22"/>
          <w:szCs w:val="22"/>
          <w:lang w:val="en-AU"/>
        </w:rPr>
      </w:pPr>
      <w:r w:rsidRPr="00F34170">
        <w:rPr>
          <w:sz w:val="22"/>
          <w:szCs w:val="22"/>
          <w:lang w:val="en-AU"/>
        </w:rPr>
        <w:t>Administration of Istodax should be delayed when patients experience Grade 3 or 4 neutropenia or thrombocytopenia until the specific cytopenia returns to ANC</w:t>
      </w:r>
      <w:r w:rsidR="005D7200" w:rsidRPr="00F34170">
        <w:rPr>
          <w:sz w:val="22"/>
          <w:szCs w:val="22"/>
          <w:lang w:val="en-AU"/>
        </w:rPr>
        <w:t> </w:t>
      </w:r>
      <w:r w:rsidRPr="00F34170">
        <w:rPr>
          <w:sz w:val="22"/>
          <w:szCs w:val="22"/>
          <w:lang w:val="en-AU"/>
        </w:rPr>
        <w:t>≥ 1.5 x 10</w:t>
      </w:r>
      <w:r w:rsidRPr="00F34170">
        <w:rPr>
          <w:sz w:val="22"/>
          <w:szCs w:val="22"/>
          <w:vertAlign w:val="superscript"/>
          <w:lang w:val="en-AU"/>
        </w:rPr>
        <w:t>9</w:t>
      </w:r>
      <w:r w:rsidRPr="00F34170">
        <w:rPr>
          <w:sz w:val="22"/>
          <w:szCs w:val="22"/>
          <w:lang w:val="en-AU"/>
        </w:rPr>
        <w:t>/L and/or platelet count ≥ 75 x 10</w:t>
      </w:r>
      <w:r w:rsidRPr="00F34170">
        <w:rPr>
          <w:sz w:val="22"/>
          <w:szCs w:val="22"/>
          <w:vertAlign w:val="superscript"/>
          <w:lang w:val="en-AU"/>
        </w:rPr>
        <w:t>9</w:t>
      </w:r>
      <w:r w:rsidRPr="00F34170">
        <w:rPr>
          <w:sz w:val="22"/>
          <w:szCs w:val="22"/>
          <w:lang w:val="en-AU"/>
        </w:rPr>
        <w:t>/L or baseline, then therapy may be restarted at 14 mg/m</w:t>
      </w:r>
      <w:r w:rsidRPr="00F34170">
        <w:rPr>
          <w:sz w:val="22"/>
          <w:szCs w:val="22"/>
          <w:vertAlign w:val="superscript"/>
          <w:lang w:val="en-AU"/>
        </w:rPr>
        <w:t>2</w:t>
      </w:r>
      <w:r w:rsidRPr="00F34170">
        <w:rPr>
          <w:sz w:val="22"/>
          <w:szCs w:val="22"/>
          <w:lang w:val="en-AU"/>
        </w:rPr>
        <w:t>.</w:t>
      </w:r>
    </w:p>
    <w:p w:rsidR="0083243A" w:rsidRPr="00F34170" w:rsidRDefault="0083243A" w:rsidP="00413BB0">
      <w:pPr>
        <w:rPr>
          <w:sz w:val="22"/>
          <w:szCs w:val="22"/>
          <w:lang w:val="en-AU"/>
        </w:rPr>
      </w:pPr>
    </w:p>
    <w:p w:rsidR="0083243A" w:rsidRPr="00F34170" w:rsidRDefault="0083243A" w:rsidP="00413BB0">
      <w:pPr>
        <w:rPr>
          <w:sz w:val="22"/>
          <w:szCs w:val="22"/>
          <w:lang w:val="en-AU"/>
        </w:rPr>
      </w:pPr>
      <w:r w:rsidRPr="00F34170">
        <w:rPr>
          <w:sz w:val="22"/>
          <w:szCs w:val="22"/>
          <w:lang w:val="en-AU"/>
        </w:rPr>
        <w:t xml:space="preserve">Patients who develop Grade 4 febrile (≥ 38.5°C) neutropenia or thrombocytopenia that requires platelet transfusion should have subsequent doses of Istodax delayed until specific cytopenia returns to Grade 1 or baseline. The Istodax dose should </w:t>
      </w:r>
      <w:r w:rsidR="005D7200" w:rsidRPr="00F34170">
        <w:rPr>
          <w:sz w:val="22"/>
          <w:szCs w:val="22"/>
          <w:lang w:val="en-AU"/>
        </w:rPr>
        <w:t xml:space="preserve">then </w:t>
      </w:r>
      <w:r w:rsidRPr="00F34170">
        <w:rPr>
          <w:sz w:val="22"/>
          <w:szCs w:val="22"/>
          <w:lang w:val="en-AU"/>
        </w:rPr>
        <w:t>be permanently reduced to 10 mg/m</w:t>
      </w:r>
      <w:r w:rsidRPr="00F34170">
        <w:rPr>
          <w:sz w:val="22"/>
          <w:szCs w:val="22"/>
          <w:vertAlign w:val="superscript"/>
          <w:lang w:val="en-AU"/>
        </w:rPr>
        <w:t>2</w:t>
      </w:r>
      <w:r w:rsidRPr="00F34170">
        <w:rPr>
          <w:sz w:val="22"/>
          <w:szCs w:val="22"/>
          <w:lang w:val="en-AU"/>
        </w:rPr>
        <w:t>.</w:t>
      </w:r>
    </w:p>
    <w:p w:rsidR="0083243A" w:rsidRPr="00F34170" w:rsidRDefault="0083243A" w:rsidP="00413BB0">
      <w:pPr>
        <w:rPr>
          <w:sz w:val="22"/>
          <w:szCs w:val="22"/>
          <w:lang w:val="en-AU"/>
        </w:rPr>
      </w:pPr>
    </w:p>
    <w:p w:rsidR="0083243A" w:rsidRPr="00F34170" w:rsidRDefault="0083243A" w:rsidP="00413BB0">
      <w:pPr>
        <w:keepNext/>
        <w:rPr>
          <w:sz w:val="22"/>
          <w:szCs w:val="22"/>
          <w:u w:val="single"/>
          <w:lang w:val="en-AU"/>
        </w:rPr>
      </w:pPr>
      <w:r w:rsidRPr="00F34170">
        <w:rPr>
          <w:sz w:val="22"/>
          <w:szCs w:val="22"/>
          <w:u w:val="single"/>
          <w:lang w:val="en-AU"/>
        </w:rPr>
        <w:lastRenderedPageBreak/>
        <w:t>Non-haematologic toxicities (except alopecia):</w:t>
      </w:r>
    </w:p>
    <w:p w:rsidR="0083243A" w:rsidRPr="00F34170" w:rsidRDefault="0083243A" w:rsidP="00413BB0">
      <w:pPr>
        <w:spacing w:before="120"/>
        <w:rPr>
          <w:sz w:val="22"/>
          <w:szCs w:val="22"/>
          <w:lang w:val="en-AU"/>
        </w:rPr>
      </w:pPr>
      <w:r w:rsidRPr="00F34170">
        <w:rPr>
          <w:sz w:val="22"/>
          <w:szCs w:val="22"/>
          <w:lang w:val="en-AU"/>
        </w:rPr>
        <w:t>Treatment with Istodax should be delayed if patients develop Grade 2 or 3 NCI CTCAE toxicity until toxicity returns to Grade 1 or baseline, then therapy may be restarted at 14 mg/m</w:t>
      </w:r>
      <w:r w:rsidRPr="00F34170">
        <w:rPr>
          <w:sz w:val="22"/>
          <w:szCs w:val="22"/>
          <w:vertAlign w:val="superscript"/>
          <w:lang w:val="en-AU"/>
        </w:rPr>
        <w:t>2</w:t>
      </w:r>
      <w:r w:rsidRPr="00F34170">
        <w:rPr>
          <w:sz w:val="22"/>
          <w:szCs w:val="22"/>
          <w:lang w:val="en-AU"/>
        </w:rPr>
        <w:t>/dose. If Grade 3 toxicity recurs or Grade 4 toxicity is observed, treatment with Istodax should be delayed until toxicity returns to Grade 1 or baseline and the dose should be permanently reduced</w:t>
      </w:r>
      <w:r w:rsidR="005D7200" w:rsidRPr="00F34170">
        <w:rPr>
          <w:sz w:val="22"/>
          <w:szCs w:val="22"/>
          <w:lang w:val="en-AU"/>
        </w:rPr>
        <w:t xml:space="preserve"> </w:t>
      </w:r>
      <w:r w:rsidRPr="00F34170">
        <w:rPr>
          <w:sz w:val="22"/>
          <w:szCs w:val="22"/>
          <w:lang w:val="en-AU"/>
        </w:rPr>
        <w:t>to 10 mg/m</w:t>
      </w:r>
      <w:r w:rsidRPr="00F34170">
        <w:rPr>
          <w:sz w:val="22"/>
          <w:szCs w:val="22"/>
          <w:vertAlign w:val="superscript"/>
          <w:lang w:val="en-AU"/>
        </w:rPr>
        <w:t>2</w:t>
      </w:r>
      <w:r w:rsidRPr="00F34170">
        <w:rPr>
          <w:sz w:val="22"/>
          <w:szCs w:val="22"/>
          <w:lang w:val="en-AU"/>
        </w:rPr>
        <w:t>/dose</w:t>
      </w:r>
      <w:r w:rsidR="005D7200" w:rsidRPr="00F34170">
        <w:rPr>
          <w:sz w:val="22"/>
          <w:szCs w:val="22"/>
          <w:lang w:val="en-AU"/>
        </w:rPr>
        <w:t>.</w:t>
      </w:r>
    </w:p>
    <w:p w:rsidR="005D7200" w:rsidRPr="00F34170" w:rsidRDefault="005D7200" w:rsidP="00413BB0">
      <w:pPr>
        <w:rPr>
          <w:sz w:val="22"/>
          <w:szCs w:val="22"/>
          <w:lang w:val="en-AU"/>
        </w:rPr>
      </w:pPr>
    </w:p>
    <w:p w:rsidR="0083243A" w:rsidRPr="00F34170" w:rsidRDefault="0083243A" w:rsidP="00413BB0">
      <w:pPr>
        <w:rPr>
          <w:sz w:val="22"/>
          <w:szCs w:val="22"/>
          <w:lang w:val="en-AU"/>
        </w:rPr>
      </w:pPr>
      <w:r w:rsidRPr="00F34170">
        <w:rPr>
          <w:sz w:val="22"/>
          <w:szCs w:val="22"/>
          <w:lang w:val="en-AU"/>
        </w:rPr>
        <w:t>Istodax should be permanently discontinued for NCI CTCAE Grade 3 or 4 toxicity that is recurrent despite dose reduction.</w:t>
      </w:r>
    </w:p>
    <w:p w:rsidR="00FC4376" w:rsidRPr="00F34170" w:rsidRDefault="00FC4376" w:rsidP="00413BB0">
      <w:pPr>
        <w:rPr>
          <w:sz w:val="22"/>
          <w:szCs w:val="22"/>
          <w:lang w:val="en-AU"/>
        </w:rPr>
      </w:pPr>
    </w:p>
    <w:p w:rsidR="00FC4376" w:rsidRPr="00F34170" w:rsidRDefault="00FC4376" w:rsidP="00413BB0">
      <w:pPr>
        <w:pStyle w:val="ListParagraph"/>
        <w:keepNext/>
        <w:ind w:left="0"/>
        <w:rPr>
          <w:sz w:val="22"/>
          <w:szCs w:val="22"/>
          <w:u w:val="single"/>
          <w:lang w:val="en-AU"/>
        </w:rPr>
      </w:pPr>
      <w:r w:rsidRPr="00F34170">
        <w:rPr>
          <w:sz w:val="22"/>
          <w:szCs w:val="22"/>
          <w:u w:val="single"/>
          <w:lang w:val="en-AU"/>
        </w:rPr>
        <w:t>Use in Patients with Hepatic Impairment</w:t>
      </w:r>
    </w:p>
    <w:p w:rsidR="00FC4376" w:rsidRPr="00F34170" w:rsidRDefault="00FC4376" w:rsidP="00413BB0">
      <w:pPr>
        <w:spacing w:before="120"/>
        <w:rPr>
          <w:sz w:val="22"/>
          <w:szCs w:val="22"/>
          <w:lang w:val="en-AU"/>
        </w:rPr>
      </w:pPr>
      <w:r w:rsidRPr="00F34170">
        <w:rPr>
          <w:sz w:val="22"/>
          <w:szCs w:val="22"/>
          <w:lang w:val="en-AU"/>
        </w:rPr>
        <w:t>No formal studies have been conducted in patients with hepatic impairment. Patients with alanine aminotransferase (ALT), aspartate aminotransferase (AST), or bilirubin &gt; 2x upper limit of normal (ULN) (&gt; 3x ULN in the presence of liver metastases) were excluded from the pivotal clinical study. A population PK analysis showed that mild hepatic impairment [total bilirubin (TB) ≤ ULN and AST &gt; ULN; or TB &gt; 1.0x - 1.5x ULN and any AST] had no significant influence on romidepsin PK. The effect of moderate (TB &gt; 1.5x - 3x ULN and any AST) and severe (TB &gt; 3x ULN and any AST) hepatic impairment on romidepsin PK is unknown. Because romidepsin is primarily eliminated through metabolism, patients with moderate and severe hepatic impairment should be treated with caution.</w:t>
      </w:r>
    </w:p>
    <w:p w:rsidR="007E7881" w:rsidRPr="00F34170" w:rsidRDefault="007E7881" w:rsidP="00413BB0">
      <w:pPr>
        <w:rPr>
          <w:sz w:val="22"/>
          <w:szCs w:val="22"/>
          <w:lang w:val="en-AU"/>
        </w:rPr>
      </w:pPr>
    </w:p>
    <w:p w:rsidR="00FC4376" w:rsidRPr="00F34170" w:rsidRDefault="00FC4376" w:rsidP="00413BB0">
      <w:pPr>
        <w:keepNext/>
        <w:rPr>
          <w:sz w:val="22"/>
          <w:szCs w:val="22"/>
          <w:u w:val="single"/>
          <w:lang w:val="en-AU"/>
        </w:rPr>
      </w:pPr>
      <w:r w:rsidRPr="00F34170">
        <w:rPr>
          <w:sz w:val="22"/>
          <w:szCs w:val="22"/>
          <w:u w:val="single"/>
          <w:lang w:val="en-AU"/>
        </w:rPr>
        <w:t>Use in Patients with Renal Impairment</w:t>
      </w:r>
    </w:p>
    <w:p w:rsidR="00FC4376" w:rsidRPr="00F34170" w:rsidRDefault="00FC4376" w:rsidP="00413BB0">
      <w:pPr>
        <w:spacing w:before="120"/>
        <w:rPr>
          <w:sz w:val="22"/>
          <w:szCs w:val="22"/>
          <w:lang w:val="en-AU"/>
        </w:rPr>
      </w:pPr>
      <w:r w:rsidRPr="00F34170">
        <w:rPr>
          <w:sz w:val="22"/>
          <w:szCs w:val="22"/>
          <w:lang w:val="en-AU"/>
        </w:rPr>
        <w:t>No formal studies have been conducted in patients with renal impairment. Patients with serum creatinine &gt; </w:t>
      </w:r>
      <w:r w:rsidR="004B3C6E" w:rsidRPr="00F34170">
        <w:rPr>
          <w:sz w:val="22"/>
          <w:szCs w:val="22"/>
          <w:lang w:val="en-AU"/>
        </w:rPr>
        <w:t>176.8 µmol/L</w:t>
      </w:r>
      <w:r w:rsidRPr="00F34170">
        <w:rPr>
          <w:sz w:val="22"/>
          <w:szCs w:val="22"/>
          <w:lang w:val="en-AU"/>
        </w:rPr>
        <w:t xml:space="preserve"> were excluded from the pivotal study. However, renal excretion does not play a significant role in the elimination of romidepsin as metabolism is primarily hepatic. A population PK analysis showed that romidepsin PK were not affected by different levels of renal impairment. However, as the effect of end-stage renal disease has not been studied, patients with end-stage renal disease should be treated with caution.</w:t>
      </w:r>
    </w:p>
    <w:p w:rsidR="0083243A" w:rsidRPr="00F34170" w:rsidRDefault="0083243A" w:rsidP="00413BB0">
      <w:pPr>
        <w:rPr>
          <w:sz w:val="22"/>
          <w:szCs w:val="22"/>
          <w:lang w:val="en-AU"/>
        </w:rPr>
      </w:pPr>
    </w:p>
    <w:p w:rsidR="0083243A" w:rsidRPr="00F34170" w:rsidRDefault="0083243A" w:rsidP="00413BB0">
      <w:pPr>
        <w:rPr>
          <w:sz w:val="22"/>
          <w:szCs w:val="22"/>
          <w:lang w:val="en-AU"/>
        </w:rPr>
      </w:pPr>
    </w:p>
    <w:p w:rsidR="0083243A" w:rsidRPr="00F34170" w:rsidRDefault="0083243A" w:rsidP="00413BB0">
      <w:pPr>
        <w:pStyle w:val="ListParagraph"/>
        <w:keepNext/>
        <w:numPr>
          <w:ilvl w:val="0"/>
          <w:numId w:val="15"/>
        </w:numPr>
        <w:ind w:left="1080" w:hanging="1080"/>
        <w:rPr>
          <w:sz w:val="28"/>
          <w:szCs w:val="28"/>
          <w:lang w:val="en-AU"/>
        </w:rPr>
      </w:pPr>
      <w:r w:rsidRPr="00F34170">
        <w:rPr>
          <w:b/>
          <w:sz w:val="28"/>
          <w:szCs w:val="28"/>
          <w:lang w:val="en-AU"/>
        </w:rPr>
        <w:t>Overdosage</w:t>
      </w:r>
    </w:p>
    <w:p w:rsidR="00C7676B" w:rsidRPr="00F34170" w:rsidRDefault="0083243A" w:rsidP="00413BB0">
      <w:pPr>
        <w:spacing w:before="120"/>
        <w:rPr>
          <w:sz w:val="22"/>
          <w:szCs w:val="22"/>
          <w:lang w:val="en-AU"/>
        </w:rPr>
      </w:pPr>
      <w:r w:rsidRPr="00F34170">
        <w:rPr>
          <w:sz w:val="22"/>
          <w:szCs w:val="22"/>
          <w:lang w:val="en-AU"/>
        </w:rPr>
        <w:t xml:space="preserve">No specific information is available on the treatment of overdosage of Istodax. There is no known antidote for romidepsin and it is not known if romidepsin is dialyzable. In the event of an overdose, close clinical monitoring may be instituted and supportive therapy given as required. For information on the management of overdose, </w:t>
      </w:r>
      <w:r w:rsidR="00C7676B" w:rsidRPr="00F34170">
        <w:rPr>
          <w:sz w:val="22"/>
          <w:szCs w:val="22"/>
          <w:lang w:val="en-AU"/>
        </w:rPr>
        <w:t>in Australia, contact the Poisons Advisory Centre on 13</w:t>
      </w:r>
      <w:r w:rsidR="005D7200" w:rsidRPr="00F34170">
        <w:rPr>
          <w:sz w:val="22"/>
          <w:szCs w:val="22"/>
          <w:lang w:val="en-AU"/>
        </w:rPr>
        <w:t> </w:t>
      </w:r>
      <w:r w:rsidR="00C7676B" w:rsidRPr="00F34170">
        <w:rPr>
          <w:sz w:val="22"/>
          <w:szCs w:val="22"/>
          <w:lang w:val="en-AU"/>
        </w:rPr>
        <w:t>11</w:t>
      </w:r>
      <w:r w:rsidR="005D7200" w:rsidRPr="00F34170">
        <w:rPr>
          <w:sz w:val="22"/>
          <w:szCs w:val="22"/>
          <w:lang w:val="en-AU"/>
        </w:rPr>
        <w:t> </w:t>
      </w:r>
      <w:r w:rsidR="00993B13">
        <w:rPr>
          <w:sz w:val="22"/>
          <w:szCs w:val="22"/>
          <w:lang w:val="en-AU"/>
        </w:rPr>
        <w:t>26.</w:t>
      </w:r>
    </w:p>
    <w:p w:rsidR="005F1653" w:rsidRPr="00F34170" w:rsidRDefault="005F1653" w:rsidP="00413BB0">
      <w:pPr>
        <w:rPr>
          <w:sz w:val="22"/>
          <w:szCs w:val="22"/>
          <w:lang w:val="en-AU"/>
        </w:rPr>
      </w:pPr>
    </w:p>
    <w:p w:rsidR="005F1653" w:rsidRPr="00F34170" w:rsidRDefault="005F1653" w:rsidP="00413BB0">
      <w:pPr>
        <w:rPr>
          <w:sz w:val="22"/>
          <w:szCs w:val="22"/>
          <w:lang w:val="en-AU"/>
        </w:rPr>
      </w:pPr>
    </w:p>
    <w:p w:rsidR="0083243A" w:rsidRPr="00F34170" w:rsidRDefault="0083243A" w:rsidP="00413BB0">
      <w:pPr>
        <w:pStyle w:val="ListParagraph"/>
        <w:numPr>
          <w:ilvl w:val="0"/>
          <w:numId w:val="15"/>
        </w:numPr>
        <w:ind w:left="1080" w:hanging="1080"/>
        <w:rPr>
          <w:b/>
          <w:sz w:val="28"/>
          <w:szCs w:val="28"/>
          <w:lang w:val="en-AU"/>
        </w:rPr>
      </w:pPr>
      <w:r w:rsidRPr="00F34170">
        <w:rPr>
          <w:b/>
          <w:sz w:val="28"/>
          <w:szCs w:val="28"/>
          <w:lang w:val="en-AU"/>
        </w:rPr>
        <w:t>Presentation and Storage Conditions</w:t>
      </w:r>
    </w:p>
    <w:p w:rsidR="0083243A" w:rsidRPr="00F34170" w:rsidRDefault="0083243A" w:rsidP="00413BB0">
      <w:pPr>
        <w:keepNext/>
        <w:spacing w:before="120"/>
        <w:rPr>
          <w:b/>
          <w:sz w:val="22"/>
          <w:szCs w:val="22"/>
          <w:lang w:val="en-AU"/>
        </w:rPr>
      </w:pPr>
      <w:r w:rsidRPr="00F34170">
        <w:rPr>
          <w:b/>
          <w:sz w:val="22"/>
          <w:szCs w:val="22"/>
          <w:lang w:val="en-AU"/>
        </w:rPr>
        <w:t>Presentation</w:t>
      </w:r>
    </w:p>
    <w:p w:rsidR="0083243A" w:rsidRPr="00F34170" w:rsidRDefault="0083243A" w:rsidP="00413BB0">
      <w:pPr>
        <w:spacing w:before="120"/>
        <w:rPr>
          <w:sz w:val="22"/>
          <w:szCs w:val="22"/>
          <w:lang w:val="en-AU"/>
        </w:rPr>
      </w:pPr>
      <w:r w:rsidRPr="00F34170">
        <w:rPr>
          <w:sz w:val="22"/>
          <w:szCs w:val="22"/>
          <w:lang w:val="en-AU"/>
        </w:rPr>
        <w:t xml:space="preserve">Istodax is supplied as a </w:t>
      </w:r>
      <w:r w:rsidR="004554D3" w:rsidRPr="00F34170">
        <w:rPr>
          <w:sz w:val="22"/>
          <w:szCs w:val="22"/>
          <w:lang w:val="en-AU"/>
        </w:rPr>
        <w:t>composite</w:t>
      </w:r>
      <w:r w:rsidRPr="00F34170">
        <w:rPr>
          <w:sz w:val="22"/>
          <w:szCs w:val="22"/>
          <w:lang w:val="en-AU"/>
        </w:rPr>
        <w:t xml:space="preserve"> pack with a sterile single-use vial containing 10 mg of lyophilised romidepsin</w:t>
      </w:r>
      <w:r w:rsidR="004554D3" w:rsidRPr="00F34170">
        <w:rPr>
          <w:sz w:val="22"/>
          <w:szCs w:val="22"/>
          <w:lang w:val="en-AU"/>
        </w:rPr>
        <w:t>,</w:t>
      </w:r>
      <w:r w:rsidRPr="00F34170">
        <w:rPr>
          <w:sz w:val="22"/>
          <w:szCs w:val="22"/>
          <w:lang w:val="en-AU"/>
        </w:rPr>
        <w:t xml:space="preserve"> and a second sterile vial containing 2 mL of solvent.</w:t>
      </w:r>
    </w:p>
    <w:p w:rsidR="0083243A" w:rsidRPr="00F34170" w:rsidRDefault="0083243A" w:rsidP="00413BB0">
      <w:pPr>
        <w:rPr>
          <w:sz w:val="22"/>
          <w:szCs w:val="22"/>
          <w:lang w:val="en-AU"/>
        </w:rPr>
      </w:pPr>
    </w:p>
    <w:p w:rsidR="0083243A" w:rsidRPr="00F34170" w:rsidRDefault="0083243A" w:rsidP="00413BB0">
      <w:pPr>
        <w:rPr>
          <w:sz w:val="22"/>
          <w:szCs w:val="22"/>
          <w:lang w:val="en-AU"/>
        </w:rPr>
      </w:pPr>
      <w:r w:rsidRPr="00F34170">
        <w:rPr>
          <w:sz w:val="22"/>
          <w:szCs w:val="22"/>
          <w:lang w:val="en-AU"/>
        </w:rPr>
        <w:t>Romidepsin is a white to off-white lyophilised sterile powder for concentrate for solution for infusion. The solvent is a clear colourless solution.</w:t>
      </w:r>
    </w:p>
    <w:p w:rsidR="0083243A" w:rsidRPr="00F34170" w:rsidRDefault="0083243A" w:rsidP="00413BB0">
      <w:pPr>
        <w:rPr>
          <w:sz w:val="22"/>
          <w:szCs w:val="22"/>
          <w:lang w:val="en-AU"/>
        </w:rPr>
      </w:pPr>
    </w:p>
    <w:p w:rsidR="0083243A" w:rsidRPr="00F34170" w:rsidRDefault="0083243A" w:rsidP="00413BB0">
      <w:pPr>
        <w:keepNext/>
        <w:rPr>
          <w:b/>
          <w:sz w:val="22"/>
          <w:szCs w:val="22"/>
          <w:lang w:val="en-AU"/>
        </w:rPr>
      </w:pPr>
      <w:r w:rsidRPr="00F34170">
        <w:rPr>
          <w:b/>
          <w:sz w:val="22"/>
          <w:szCs w:val="22"/>
          <w:lang w:val="en-AU"/>
        </w:rPr>
        <w:t>Composition:</w:t>
      </w:r>
    </w:p>
    <w:p w:rsidR="0083243A" w:rsidRPr="00F34170" w:rsidRDefault="0083243A" w:rsidP="00413BB0">
      <w:pPr>
        <w:keepNext/>
        <w:spacing w:before="120"/>
        <w:rPr>
          <w:sz w:val="22"/>
          <w:szCs w:val="22"/>
          <w:u w:val="single"/>
          <w:lang w:val="en-AU"/>
        </w:rPr>
      </w:pPr>
      <w:r w:rsidRPr="00F34170">
        <w:rPr>
          <w:sz w:val="22"/>
          <w:szCs w:val="22"/>
          <w:u w:val="single"/>
          <w:lang w:val="en-AU"/>
        </w:rPr>
        <w:t>Active:</w:t>
      </w:r>
    </w:p>
    <w:p w:rsidR="0083243A" w:rsidRPr="00F34170" w:rsidRDefault="0083243A" w:rsidP="00413BB0">
      <w:pPr>
        <w:spacing w:before="120"/>
        <w:rPr>
          <w:sz w:val="22"/>
          <w:szCs w:val="22"/>
          <w:lang w:val="en-AU"/>
        </w:rPr>
      </w:pPr>
      <w:r w:rsidRPr="00F34170">
        <w:rPr>
          <w:sz w:val="22"/>
          <w:szCs w:val="22"/>
          <w:lang w:val="en-AU"/>
        </w:rPr>
        <w:t>Romidepsin 10 mg per vial.</w:t>
      </w:r>
    </w:p>
    <w:p w:rsidR="0083243A" w:rsidRPr="00F34170" w:rsidRDefault="0083243A" w:rsidP="00413BB0">
      <w:pPr>
        <w:rPr>
          <w:sz w:val="22"/>
          <w:szCs w:val="22"/>
          <w:lang w:val="en-AU"/>
        </w:rPr>
      </w:pPr>
    </w:p>
    <w:p w:rsidR="0083243A" w:rsidRPr="00F34170" w:rsidRDefault="0083243A" w:rsidP="00413BB0">
      <w:pPr>
        <w:keepNext/>
        <w:rPr>
          <w:sz w:val="22"/>
          <w:szCs w:val="22"/>
          <w:u w:val="single"/>
          <w:lang w:val="en-AU"/>
        </w:rPr>
      </w:pPr>
      <w:r w:rsidRPr="00F34170">
        <w:rPr>
          <w:sz w:val="22"/>
          <w:szCs w:val="22"/>
          <w:u w:val="single"/>
          <w:lang w:val="en-AU"/>
        </w:rPr>
        <w:t>Excipients:</w:t>
      </w:r>
    </w:p>
    <w:p w:rsidR="0083243A" w:rsidRPr="00F34170" w:rsidRDefault="00EF7C5D" w:rsidP="00413BB0">
      <w:pPr>
        <w:spacing w:before="120"/>
        <w:rPr>
          <w:sz w:val="22"/>
          <w:szCs w:val="22"/>
          <w:lang w:val="en-AU"/>
        </w:rPr>
      </w:pPr>
      <w:r w:rsidRPr="00F34170">
        <w:rPr>
          <w:sz w:val="22"/>
          <w:szCs w:val="22"/>
          <w:lang w:val="en-AU"/>
        </w:rPr>
        <w:t>Povidone 20 mg per vial</w:t>
      </w:r>
    </w:p>
    <w:p w:rsidR="0083243A" w:rsidRPr="00F34170" w:rsidRDefault="0083243A" w:rsidP="00413BB0">
      <w:pPr>
        <w:rPr>
          <w:sz w:val="22"/>
          <w:szCs w:val="22"/>
          <w:lang w:val="en-AU"/>
        </w:rPr>
      </w:pPr>
    </w:p>
    <w:p w:rsidR="0083243A" w:rsidRPr="00F34170" w:rsidRDefault="00EF7C5D" w:rsidP="00413BB0">
      <w:pPr>
        <w:keepNext/>
        <w:rPr>
          <w:sz w:val="22"/>
          <w:szCs w:val="22"/>
          <w:u w:val="single"/>
          <w:lang w:val="en-AU"/>
        </w:rPr>
      </w:pPr>
      <w:r w:rsidRPr="00F34170">
        <w:rPr>
          <w:sz w:val="22"/>
          <w:szCs w:val="22"/>
          <w:u w:val="single"/>
          <w:lang w:val="en-AU"/>
        </w:rPr>
        <w:t>Solvent:</w:t>
      </w:r>
    </w:p>
    <w:p w:rsidR="0083243A" w:rsidRPr="00F34170" w:rsidRDefault="0083243A" w:rsidP="00413BB0">
      <w:pPr>
        <w:spacing w:before="120"/>
        <w:rPr>
          <w:sz w:val="22"/>
          <w:szCs w:val="22"/>
          <w:lang w:val="en-AU"/>
        </w:rPr>
      </w:pPr>
      <w:r w:rsidRPr="00F34170">
        <w:rPr>
          <w:sz w:val="22"/>
          <w:szCs w:val="22"/>
          <w:lang w:val="en-AU"/>
        </w:rPr>
        <w:t>2 mL of a solution comprising 80% propylene glycol and 20% anhydrous ethanol.</w:t>
      </w:r>
    </w:p>
    <w:p w:rsidR="005F1653" w:rsidRPr="00F34170" w:rsidRDefault="005F1653" w:rsidP="00413BB0">
      <w:pPr>
        <w:rPr>
          <w:sz w:val="22"/>
          <w:szCs w:val="22"/>
          <w:lang w:val="en-AU"/>
        </w:rPr>
      </w:pPr>
    </w:p>
    <w:p w:rsidR="0083243A" w:rsidRPr="00F34170" w:rsidRDefault="0083243A" w:rsidP="00413BB0">
      <w:pPr>
        <w:keepNext/>
        <w:rPr>
          <w:b/>
          <w:sz w:val="22"/>
          <w:szCs w:val="22"/>
          <w:lang w:val="en-AU"/>
        </w:rPr>
      </w:pPr>
      <w:r w:rsidRPr="00F34170">
        <w:rPr>
          <w:b/>
          <w:sz w:val="22"/>
          <w:szCs w:val="22"/>
          <w:lang w:val="en-AU"/>
        </w:rPr>
        <w:t>Storage conditions</w:t>
      </w:r>
    </w:p>
    <w:p w:rsidR="0083243A" w:rsidRPr="00F34170" w:rsidRDefault="00497FB0" w:rsidP="00413BB0">
      <w:pPr>
        <w:spacing w:before="120"/>
        <w:rPr>
          <w:sz w:val="22"/>
          <w:szCs w:val="22"/>
          <w:lang w:val="en-AU"/>
        </w:rPr>
      </w:pPr>
      <w:r w:rsidRPr="00F34170">
        <w:rPr>
          <w:sz w:val="22"/>
          <w:szCs w:val="22"/>
          <w:lang w:val="en-AU"/>
        </w:rPr>
        <w:t>Store u</w:t>
      </w:r>
      <w:r w:rsidR="0083243A" w:rsidRPr="00F34170">
        <w:rPr>
          <w:sz w:val="22"/>
          <w:szCs w:val="22"/>
          <w:lang w:val="en-AU"/>
        </w:rPr>
        <w:t>nopened vial</w:t>
      </w:r>
      <w:r w:rsidRPr="00F34170">
        <w:rPr>
          <w:sz w:val="22"/>
          <w:szCs w:val="22"/>
          <w:lang w:val="en-AU"/>
        </w:rPr>
        <w:t>s</w:t>
      </w:r>
      <w:r w:rsidR="0083243A" w:rsidRPr="00F34170">
        <w:rPr>
          <w:sz w:val="22"/>
          <w:szCs w:val="22"/>
          <w:lang w:val="en-AU"/>
        </w:rPr>
        <w:t xml:space="preserve"> of Istodax</w:t>
      </w:r>
      <w:r w:rsidRPr="00F34170">
        <w:rPr>
          <w:sz w:val="22"/>
          <w:szCs w:val="22"/>
          <w:lang w:val="en-AU"/>
        </w:rPr>
        <w:t xml:space="preserve"> and solvent </w:t>
      </w:r>
      <w:r w:rsidR="0083243A" w:rsidRPr="00F34170">
        <w:rPr>
          <w:sz w:val="22"/>
          <w:szCs w:val="22"/>
          <w:lang w:val="en-AU"/>
        </w:rPr>
        <w:t>below 25°C.</w:t>
      </w:r>
      <w:r w:rsidR="00711F5A" w:rsidRPr="00F34170">
        <w:rPr>
          <w:sz w:val="22"/>
          <w:szCs w:val="22"/>
          <w:lang w:val="en-AU"/>
        </w:rPr>
        <w:t xml:space="preserve"> Store vials in carton until use.</w:t>
      </w:r>
    </w:p>
    <w:p w:rsidR="0083243A" w:rsidRPr="00F34170" w:rsidRDefault="0083243A" w:rsidP="00413BB0">
      <w:pPr>
        <w:rPr>
          <w:sz w:val="22"/>
          <w:szCs w:val="22"/>
          <w:lang w:val="en-AU"/>
        </w:rPr>
      </w:pPr>
    </w:p>
    <w:p w:rsidR="0083243A" w:rsidRPr="00F34170" w:rsidRDefault="0083243A" w:rsidP="00413BB0">
      <w:pPr>
        <w:keepNext/>
        <w:rPr>
          <w:b/>
          <w:sz w:val="22"/>
          <w:szCs w:val="22"/>
          <w:lang w:val="en-AU"/>
        </w:rPr>
      </w:pPr>
      <w:r w:rsidRPr="00F34170">
        <w:rPr>
          <w:b/>
          <w:sz w:val="22"/>
          <w:szCs w:val="22"/>
          <w:lang w:val="en-AU"/>
        </w:rPr>
        <w:t>Container type</w:t>
      </w:r>
    </w:p>
    <w:p w:rsidR="0083243A" w:rsidRPr="00F34170" w:rsidRDefault="0083243A" w:rsidP="00413BB0">
      <w:pPr>
        <w:spacing w:before="120"/>
        <w:rPr>
          <w:sz w:val="22"/>
          <w:szCs w:val="22"/>
          <w:lang w:val="en-AU"/>
        </w:rPr>
      </w:pPr>
      <w:r w:rsidRPr="00F34170">
        <w:rPr>
          <w:sz w:val="22"/>
          <w:szCs w:val="22"/>
          <w:lang w:val="en-AU"/>
        </w:rPr>
        <w:t>Istodax 10 mg powder vial: 10 m</w:t>
      </w:r>
      <w:r w:rsidR="005D7200" w:rsidRPr="00F34170">
        <w:rPr>
          <w:sz w:val="22"/>
          <w:szCs w:val="22"/>
          <w:lang w:val="en-AU"/>
        </w:rPr>
        <w:t>L</w:t>
      </w:r>
      <w:r w:rsidRPr="00F34170">
        <w:rPr>
          <w:sz w:val="22"/>
          <w:szCs w:val="22"/>
          <w:lang w:val="en-AU"/>
        </w:rPr>
        <w:t xml:space="preserve"> glass vial (type I) with a 20 mm butyl rubber stopper.</w:t>
      </w:r>
    </w:p>
    <w:p w:rsidR="0083243A" w:rsidRPr="00F34170" w:rsidRDefault="0083243A" w:rsidP="00413BB0">
      <w:pPr>
        <w:rPr>
          <w:sz w:val="22"/>
          <w:szCs w:val="22"/>
          <w:lang w:val="en-AU"/>
        </w:rPr>
      </w:pPr>
    </w:p>
    <w:p w:rsidR="0083243A" w:rsidRPr="00F34170" w:rsidRDefault="0083243A" w:rsidP="00413BB0">
      <w:pPr>
        <w:rPr>
          <w:sz w:val="22"/>
          <w:szCs w:val="22"/>
          <w:lang w:val="en-AU"/>
        </w:rPr>
      </w:pPr>
      <w:r w:rsidRPr="00F34170">
        <w:rPr>
          <w:sz w:val="22"/>
          <w:szCs w:val="22"/>
          <w:lang w:val="en-AU"/>
        </w:rPr>
        <w:t xml:space="preserve">Solvent: </w:t>
      </w:r>
      <w:r w:rsidR="00A42FE2" w:rsidRPr="00F34170">
        <w:rPr>
          <w:sz w:val="22"/>
          <w:szCs w:val="22"/>
          <w:lang w:val="en-AU"/>
        </w:rPr>
        <w:t>2</w:t>
      </w:r>
      <w:r w:rsidRPr="00F34170">
        <w:rPr>
          <w:sz w:val="22"/>
          <w:szCs w:val="22"/>
          <w:lang w:val="en-AU"/>
        </w:rPr>
        <w:t> mL glass vial (type I) with a 13 mm butyl Teflon-faced plug stopper.</w:t>
      </w:r>
    </w:p>
    <w:p w:rsidR="0083243A" w:rsidRPr="00F34170" w:rsidRDefault="0083243A" w:rsidP="00413BB0">
      <w:pPr>
        <w:rPr>
          <w:sz w:val="22"/>
          <w:szCs w:val="22"/>
          <w:lang w:val="en-AU"/>
        </w:rPr>
      </w:pPr>
    </w:p>
    <w:p w:rsidR="0083243A" w:rsidRPr="00F34170" w:rsidRDefault="0083243A" w:rsidP="00413BB0">
      <w:pPr>
        <w:rPr>
          <w:sz w:val="22"/>
          <w:szCs w:val="22"/>
          <w:lang w:val="en-AU"/>
        </w:rPr>
      </w:pPr>
      <w:r w:rsidRPr="00F34170">
        <w:rPr>
          <w:sz w:val="22"/>
          <w:szCs w:val="22"/>
          <w:lang w:val="en-AU"/>
        </w:rPr>
        <w:t xml:space="preserve">Istodax </w:t>
      </w:r>
      <w:r w:rsidR="004554D3" w:rsidRPr="00F34170">
        <w:rPr>
          <w:sz w:val="22"/>
          <w:szCs w:val="22"/>
          <w:lang w:val="en-AU"/>
        </w:rPr>
        <w:t>composite</w:t>
      </w:r>
      <w:r w:rsidR="00AA51B8" w:rsidRPr="00F34170">
        <w:rPr>
          <w:sz w:val="22"/>
          <w:szCs w:val="22"/>
          <w:lang w:val="en-AU"/>
        </w:rPr>
        <w:t xml:space="preserve"> </w:t>
      </w:r>
      <w:r w:rsidRPr="00F34170">
        <w:rPr>
          <w:sz w:val="22"/>
          <w:szCs w:val="22"/>
          <w:lang w:val="en-AU"/>
        </w:rPr>
        <w:t>pack</w:t>
      </w:r>
      <w:r w:rsidR="005D7200" w:rsidRPr="00F34170">
        <w:rPr>
          <w:sz w:val="22"/>
          <w:szCs w:val="22"/>
          <w:lang w:val="en-AU"/>
        </w:rPr>
        <w:t xml:space="preserve"> containing 1 vial of romidepsin 10 mg and 1 </w:t>
      </w:r>
      <w:r w:rsidRPr="00F34170">
        <w:rPr>
          <w:sz w:val="22"/>
          <w:szCs w:val="22"/>
          <w:lang w:val="en-AU"/>
        </w:rPr>
        <w:t>vial of solvent 2 mL.</w:t>
      </w:r>
    </w:p>
    <w:p w:rsidR="0083243A" w:rsidRPr="00F34170" w:rsidRDefault="0083243A" w:rsidP="00413BB0">
      <w:pPr>
        <w:rPr>
          <w:sz w:val="22"/>
          <w:szCs w:val="22"/>
          <w:lang w:val="en-AU"/>
        </w:rPr>
      </w:pPr>
    </w:p>
    <w:p w:rsidR="0083243A" w:rsidRPr="00F34170" w:rsidRDefault="0083243A" w:rsidP="00413BB0">
      <w:pPr>
        <w:rPr>
          <w:sz w:val="22"/>
          <w:szCs w:val="22"/>
          <w:lang w:val="en-AU"/>
        </w:rPr>
      </w:pPr>
    </w:p>
    <w:p w:rsidR="0083243A" w:rsidRPr="00F34170" w:rsidRDefault="0083243A" w:rsidP="00413BB0">
      <w:pPr>
        <w:pStyle w:val="ListParagraph"/>
        <w:keepNext/>
        <w:numPr>
          <w:ilvl w:val="0"/>
          <w:numId w:val="15"/>
        </w:numPr>
        <w:ind w:left="1080" w:hanging="1080"/>
        <w:rPr>
          <w:sz w:val="28"/>
          <w:szCs w:val="28"/>
          <w:lang w:val="en-AU"/>
        </w:rPr>
      </w:pPr>
      <w:r w:rsidRPr="00F34170">
        <w:rPr>
          <w:b/>
          <w:sz w:val="28"/>
          <w:szCs w:val="28"/>
          <w:lang w:val="en-AU"/>
        </w:rPr>
        <w:t>Name and Address of the sponsor</w:t>
      </w:r>
    </w:p>
    <w:p w:rsidR="00936703" w:rsidRPr="00F34170" w:rsidRDefault="00936703" w:rsidP="001F716E">
      <w:pPr>
        <w:keepNext/>
        <w:spacing w:before="120"/>
        <w:rPr>
          <w:sz w:val="22"/>
          <w:szCs w:val="22"/>
          <w:lang w:val="en-AU"/>
        </w:rPr>
      </w:pPr>
      <w:r w:rsidRPr="00F34170">
        <w:rPr>
          <w:sz w:val="22"/>
          <w:szCs w:val="22"/>
          <w:lang w:val="en-AU"/>
        </w:rPr>
        <w:t>Sponsored in Australia by:</w:t>
      </w:r>
    </w:p>
    <w:p w:rsidR="00936703" w:rsidRPr="00F34170" w:rsidRDefault="00936703" w:rsidP="001F716E">
      <w:pPr>
        <w:keepNext/>
        <w:rPr>
          <w:sz w:val="22"/>
          <w:szCs w:val="22"/>
          <w:lang w:val="en-AU"/>
        </w:rPr>
      </w:pPr>
    </w:p>
    <w:p w:rsidR="0083243A" w:rsidRPr="00F34170" w:rsidRDefault="0083243A" w:rsidP="00993B13">
      <w:pPr>
        <w:keepNext/>
        <w:rPr>
          <w:sz w:val="22"/>
          <w:szCs w:val="22"/>
          <w:lang w:val="en-AU"/>
        </w:rPr>
      </w:pPr>
      <w:r w:rsidRPr="00F34170">
        <w:rPr>
          <w:sz w:val="22"/>
          <w:szCs w:val="22"/>
          <w:lang w:val="en-AU"/>
        </w:rPr>
        <w:t>Celgene Pty Limited</w:t>
      </w:r>
    </w:p>
    <w:p w:rsidR="0083243A" w:rsidRPr="00F34170" w:rsidRDefault="0083243A" w:rsidP="00993B13">
      <w:pPr>
        <w:keepNext/>
        <w:rPr>
          <w:sz w:val="22"/>
          <w:szCs w:val="22"/>
          <w:lang w:val="en-AU"/>
        </w:rPr>
      </w:pPr>
      <w:r w:rsidRPr="00F34170">
        <w:rPr>
          <w:sz w:val="22"/>
          <w:szCs w:val="22"/>
          <w:lang w:val="en-AU"/>
        </w:rPr>
        <w:t>Level 7, 607 St Kilda Road,</w:t>
      </w:r>
    </w:p>
    <w:p w:rsidR="0083243A" w:rsidRPr="00F34170" w:rsidRDefault="0083243A" w:rsidP="00993B13">
      <w:pPr>
        <w:keepNext/>
        <w:rPr>
          <w:sz w:val="22"/>
          <w:szCs w:val="22"/>
          <w:lang w:val="en-AU"/>
        </w:rPr>
      </w:pPr>
      <w:r w:rsidRPr="00F34170">
        <w:rPr>
          <w:sz w:val="22"/>
          <w:szCs w:val="22"/>
          <w:lang w:val="en-AU"/>
        </w:rPr>
        <w:t>Melbourne, V</w:t>
      </w:r>
      <w:r w:rsidR="00BF7D24" w:rsidRPr="00F34170">
        <w:rPr>
          <w:sz w:val="22"/>
          <w:szCs w:val="22"/>
          <w:lang w:val="en-AU"/>
        </w:rPr>
        <w:t>ictoria</w:t>
      </w:r>
      <w:r w:rsidRPr="00F34170">
        <w:rPr>
          <w:sz w:val="22"/>
          <w:szCs w:val="22"/>
          <w:lang w:val="en-AU"/>
        </w:rPr>
        <w:t xml:space="preserve"> 3004. </w:t>
      </w:r>
    </w:p>
    <w:p w:rsidR="0083243A" w:rsidRPr="00F34170" w:rsidRDefault="0083243A" w:rsidP="00413BB0">
      <w:pPr>
        <w:rPr>
          <w:bCs/>
          <w:sz w:val="22"/>
          <w:szCs w:val="22"/>
          <w:lang w:val="en-AU"/>
        </w:rPr>
      </w:pPr>
      <w:r w:rsidRPr="00F34170">
        <w:rPr>
          <w:sz w:val="22"/>
          <w:szCs w:val="22"/>
          <w:lang w:val="en-AU"/>
        </w:rPr>
        <w:t>Australia</w:t>
      </w:r>
      <w:r w:rsidRPr="00F34170">
        <w:rPr>
          <w:bCs/>
          <w:sz w:val="22"/>
          <w:szCs w:val="22"/>
          <w:lang w:val="en-AU"/>
        </w:rPr>
        <w:t>.</w:t>
      </w:r>
    </w:p>
    <w:p w:rsidR="00936703" w:rsidRPr="00F34170" w:rsidRDefault="00936703" w:rsidP="00413BB0">
      <w:pPr>
        <w:rPr>
          <w:bCs/>
          <w:sz w:val="22"/>
          <w:szCs w:val="22"/>
          <w:lang w:val="en-AU"/>
        </w:rPr>
      </w:pPr>
    </w:p>
    <w:p w:rsidR="0083243A" w:rsidRPr="00F34170" w:rsidRDefault="0083243A" w:rsidP="00413BB0">
      <w:pPr>
        <w:rPr>
          <w:sz w:val="22"/>
          <w:szCs w:val="22"/>
          <w:lang w:val="en-AU"/>
        </w:rPr>
      </w:pPr>
    </w:p>
    <w:p w:rsidR="0083243A" w:rsidRPr="00F34170" w:rsidRDefault="0083243A" w:rsidP="00413BB0">
      <w:pPr>
        <w:pStyle w:val="ListParagraph"/>
        <w:keepNext/>
        <w:numPr>
          <w:ilvl w:val="0"/>
          <w:numId w:val="15"/>
        </w:numPr>
        <w:ind w:left="1080" w:hanging="1080"/>
        <w:rPr>
          <w:sz w:val="28"/>
          <w:szCs w:val="28"/>
          <w:lang w:val="en-AU"/>
        </w:rPr>
      </w:pPr>
      <w:r w:rsidRPr="00F34170">
        <w:rPr>
          <w:b/>
          <w:bCs/>
          <w:sz w:val="28"/>
          <w:szCs w:val="28"/>
          <w:lang w:val="en-AU"/>
        </w:rPr>
        <w:t>Poison Schedule of the medicine</w:t>
      </w:r>
    </w:p>
    <w:p w:rsidR="0083243A" w:rsidRPr="00F34170" w:rsidRDefault="0083243A" w:rsidP="00413BB0">
      <w:pPr>
        <w:spacing w:before="120"/>
        <w:rPr>
          <w:sz w:val="22"/>
          <w:szCs w:val="22"/>
          <w:lang w:val="en-AU"/>
        </w:rPr>
      </w:pPr>
      <w:r w:rsidRPr="00F34170">
        <w:rPr>
          <w:sz w:val="22"/>
          <w:szCs w:val="22"/>
          <w:lang w:val="en-AU"/>
        </w:rPr>
        <w:t>Schedule 4 (Prescription Only Medicine)</w:t>
      </w:r>
    </w:p>
    <w:p w:rsidR="0083243A" w:rsidRPr="00F34170" w:rsidRDefault="0083243A" w:rsidP="00413BB0">
      <w:pPr>
        <w:rPr>
          <w:sz w:val="22"/>
          <w:szCs w:val="22"/>
          <w:lang w:val="en-AU"/>
        </w:rPr>
      </w:pPr>
    </w:p>
    <w:p w:rsidR="0083243A" w:rsidRPr="00F34170" w:rsidRDefault="0083243A" w:rsidP="00413BB0">
      <w:pPr>
        <w:rPr>
          <w:sz w:val="22"/>
          <w:szCs w:val="22"/>
          <w:lang w:val="en-AU"/>
        </w:rPr>
      </w:pPr>
    </w:p>
    <w:p w:rsidR="0083243A" w:rsidRPr="00F34170" w:rsidRDefault="0083243A" w:rsidP="00413BB0">
      <w:pPr>
        <w:pStyle w:val="ListParagraph"/>
        <w:keepNext/>
        <w:numPr>
          <w:ilvl w:val="0"/>
          <w:numId w:val="15"/>
        </w:numPr>
        <w:ind w:left="1080" w:hanging="1080"/>
        <w:rPr>
          <w:b/>
          <w:sz w:val="28"/>
          <w:szCs w:val="28"/>
          <w:lang w:val="en-AU"/>
        </w:rPr>
      </w:pPr>
      <w:r w:rsidRPr="00F34170">
        <w:rPr>
          <w:b/>
          <w:sz w:val="28"/>
          <w:szCs w:val="28"/>
          <w:lang w:val="en-AU"/>
        </w:rPr>
        <w:t>Date of first inclusion in the Australian Register of Therapeutic Goods (the ARTG)</w:t>
      </w:r>
    </w:p>
    <w:p w:rsidR="0083243A" w:rsidRPr="00F34170" w:rsidRDefault="00A450BC" w:rsidP="00413BB0">
      <w:pPr>
        <w:spacing w:before="120"/>
        <w:rPr>
          <w:szCs w:val="22"/>
          <w:lang w:val="en-AU"/>
        </w:rPr>
      </w:pPr>
      <w:r>
        <w:rPr>
          <w:bCs/>
          <w:sz w:val="22"/>
          <w:szCs w:val="22"/>
          <w:lang w:val="en-AU"/>
        </w:rPr>
        <w:t>07 August 2013</w:t>
      </w:r>
    </w:p>
    <w:sectPr w:rsidR="0083243A" w:rsidRPr="00F34170" w:rsidSect="00581927">
      <w:headerReference w:type="default" r:id="rId9"/>
      <w:footerReference w:type="even" r:id="rId10"/>
      <w:footerReference w:type="default" r:id="rId11"/>
      <w:pgSz w:w="11906" w:h="16838" w:code="9"/>
      <w:pgMar w:top="1080" w:right="1281" w:bottom="1440" w:left="1440" w:header="578" w:footer="57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4FEB" w:rsidRDefault="00CC4FEB">
      <w:r>
        <w:separator/>
      </w:r>
    </w:p>
    <w:p w:rsidR="00CC4FEB" w:rsidRDefault="00CC4FEB"/>
  </w:endnote>
  <w:endnote w:type="continuationSeparator" w:id="0">
    <w:p w:rsidR="00CC4FEB" w:rsidRDefault="00CC4FEB">
      <w:r>
        <w:continuationSeparator/>
      </w:r>
    </w:p>
    <w:p w:rsidR="00CC4FEB" w:rsidRDefault="00CC4FE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NewRoman">
    <w:altName w:val="Arial Unicode MS"/>
    <w:panose1 w:val="00000000000000000000"/>
    <w:charset w:val="00"/>
    <w:family w:val="roman"/>
    <w:notTrueType/>
    <w:pitch w:val="default"/>
    <w:sig w:usb0="00000083" w:usb1="08070000" w:usb2="00000010" w:usb3="00000000" w:csb0="00020009" w:csb1="00000000"/>
  </w:font>
  <w:font w:name="TimesNewRoman,Bold">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2F1" w:rsidRDefault="0074019F" w:rsidP="00706930">
    <w:pPr>
      <w:pStyle w:val="Footer"/>
      <w:framePr w:wrap="around" w:vAnchor="text" w:hAnchor="margin" w:xAlign="right" w:y="1"/>
      <w:rPr>
        <w:rStyle w:val="PageNumber"/>
      </w:rPr>
    </w:pPr>
    <w:r>
      <w:rPr>
        <w:rStyle w:val="PageNumber"/>
      </w:rPr>
      <w:fldChar w:fldCharType="begin"/>
    </w:r>
    <w:r w:rsidR="006252F1">
      <w:rPr>
        <w:rStyle w:val="PageNumber"/>
      </w:rPr>
      <w:instrText xml:space="preserve">PAGE  </w:instrText>
    </w:r>
    <w:r>
      <w:rPr>
        <w:rStyle w:val="PageNumber"/>
      </w:rPr>
      <w:fldChar w:fldCharType="separate"/>
    </w:r>
    <w:r w:rsidR="006252F1">
      <w:rPr>
        <w:rStyle w:val="PageNumber"/>
        <w:noProof/>
      </w:rPr>
      <w:t>16</w:t>
    </w:r>
    <w:r>
      <w:rPr>
        <w:rStyle w:val="PageNumber"/>
      </w:rPr>
      <w:fldChar w:fldCharType="end"/>
    </w:r>
  </w:p>
  <w:p w:rsidR="006252F1" w:rsidRDefault="006252F1" w:rsidP="00706930">
    <w:pPr>
      <w:pStyle w:val="Footer"/>
      <w:ind w:right="360"/>
    </w:pPr>
  </w:p>
  <w:p w:rsidR="006252F1" w:rsidRDefault="006252F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2F1" w:rsidRPr="00706930" w:rsidRDefault="0074019F" w:rsidP="00706930">
    <w:pPr>
      <w:pStyle w:val="Footer"/>
      <w:framePr w:wrap="around" w:vAnchor="text" w:hAnchor="margin" w:xAlign="right" w:y="1"/>
      <w:rPr>
        <w:rStyle w:val="PageNumber"/>
        <w:sz w:val="20"/>
        <w:szCs w:val="20"/>
      </w:rPr>
    </w:pPr>
    <w:r w:rsidRPr="00706930">
      <w:rPr>
        <w:rStyle w:val="PageNumber"/>
        <w:sz w:val="20"/>
        <w:szCs w:val="20"/>
      </w:rPr>
      <w:fldChar w:fldCharType="begin"/>
    </w:r>
    <w:r w:rsidR="006252F1" w:rsidRPr="00706930">
      <w:rPr>
        <w:rStyle w:val="PageNumber"/>
        <w:sz w:val="20"/>
        <w:szCs w:val="20"/>
      </w:rPr>
      <w:instrText xml:space="preserve">PAGE  </w:instrText>
    </w:r>
    <w:r w:rsidRPr="00706930">
      <w:rPr>
        <w:rStyle w:val="PageNumber"/>
        <w:sz w:val="20"/>
        <w:szCs w:val="20"/>
      </w:rPr>
      <w:fldChar w:fldCharType="separate"/>
    </w:r>
    <w:r w:rsidR="00251366">
      <w:rPr>
        <w:rStyle w:val="PageNumber"/>
        <w:noProof/>
        <w:sz w:val="20"/>
        <w:szCs w:val="20"/>
      </w:rPr>
      <w:t>12</w:t>
    </w:r>
    <w:r w:rsidRPr="00706930">
      <w:rPr>
        <w:rStyle w:val="PageNumber"/>
        <w:sz w:val="20"/>
        <w:szCs w:val="20"/>
      </w:rPr>
      <w:fldChar w:fldCharType="end"/>
    </w:r>
  </w:p>
  <w:p w:rsidR="006252F1" w:rsidRPr="00957B30" w:rsidRDefault="006252F1" w:rsidP="00284F33">
    <w:pPr>
      <w:tabs>
        <w:tab w:val="left" w:pos="6059"/>
      </w:tabs>
      <w:rPr>
        <w:sz w:val="18"/>
        <w:szCs w:val="18"/>
      </w:rPr>
    </w:pPr>
    <w:r>
      <w:rPr>
        <w:sz w:val="18"/>
        <w:szCs w:val="18"/>
      </w:rPr>
      <w:t>Istodax</w:t>
    </w:r>
    <w:r w:rsidRPr="00284F33">
      <w:rPr>
        <w:sz w:val="18"/>
        <w:szCs w:val="18"/>
        <w:vertAlign w:val="superscript"/>
      </w:rPr>
      <w:t>®</w:t>
    </w:r>
    <w:r>
      <w:rPr>
        <w:sz w:val="18"/>
        <w:szCs w:val="18"/>
      </w:rPr>
      <w:t xml:space="preserve"> (romidepsin) Powder for Injection</w:t>
    </w:r>
    <w:r w:rsidRPr="00957B30">
      <w:rPr>
        <w:sz w:val="18"/>
        <w:szCs w:val="18"/>
      </w:rPr>
      <w:t xml:space="preserve"> – </w:t>
    </w:r>
    <w:r w:rsidR="00E94C77">
      <w:rPr>
        <w:sz w:val="18"/>
        <w:szCs w:val="18"/>
      </w:rPr>
      <w:t xml:space="preserve">AU </w:t>
    </w:r>
    <w:r w:rsidRPr="00957B30">
      <w:rPr>
        <w:sz w:val="18"/>
        <w:szCs w:val="18"/>
      </w:rPr>
      <w:t>Product Information</w:t>
    </w:r>
  </w:p>
  <w:p w:rsidR="006252F1" w:rsidRPr="00A25CAC" w:rsidRDefault="006252F1" w:rsidP="00C314A4">
    <w:pPr>
      <w:rPr>
        <w:sz w:val="10"/>
        <w:szCs w:val="10"/>
        <w:lang w:val="en-US"/>
      </w:rPr>
    </w:pPr>
    <w:r w:rsidRPr="004A4D17">
      <w:rPr>
        <w:sz w:val="10"/>
        <w:szCs w:val="10"/>
      </w:rPr>
      <w:t>Celgene v</w:t>
    </w:r>
    <w:r>
      <w:rPr>
        <w:sz w:val="10"/>
        <w:szCs w:val="10"/>
      </w:rPr>
      <w:t>1.0</w:t>
    </w:r>
    <w:r w:rsidRPr="004A4D17">
      <w:rPr>
        <w:sz w:val="10"/>
        <w:szCs w:val="10"/>
      </w:rPr>
      <w:t xml:space="preserve"> – </w:t>
    </w:r>
    <w:r w:rsidR="00A450BC">
      <w:rPr>
        <w:sz w:val="10"/>
        <w:szCs w:val="10"/>
      </w:rPr>
      <w:t>August</w:t>
    </w:r>
    <w:r>
      <w:rPr>
        <w:sz w:val="10"/>
        <w:szCs w:val="10"/>
      </w:rPr>
      <w:t xml:space="preserve"> 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4FEB" w:rsidRDefault="00CC4FEB">
      <w:r>
        <w:separator/>
      </w:r>
    </w:p>
    <w:p w:rsidR="00CC4FEB" w:rsidRDefault="00CC4FEB"/>
  </w:footnote>
  <w:footnote w:type="continuationSeparator" w:id="0">
    <w:p w:rsidR="00CC4FEB" w:rsidRDefault="00CC4FEB">
      <w:r>
        <w:continuationSeparator/>
      </w:r>
    </w:p>
    <w:p w:rsidR="00CC4FEB" w:rsidRDefault="00CC4FE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shd w:val="clear" w:color="auto" w:fill="E4F2E0"/>
      <w:tblLook w:val="04A0"/>
    </w:tblPr>
    <w:tblGrid>
      <w:gridCol w:w="8720"/>
    </w:tblGrid>
    <w:tr w:rsidR="007C60B6" w:rsidTr="00F671F4">
      <w:tc>
        <w:tcPr>
          <w:tcW w:w="8720" w:type="dxa"/>
          <w:shd w:val="clear" w:color="auto" w:fill="E4F2E0"/>
        </w:tcPr>
        <w:p w:rsidR="007C60B6" w:rsidRPr="007C60B6" w:rsidRDefault="007C60B6" w:rsidP="00F671F4">
          <w:pPr>
            <w:pStyle w:val="Footer"/>
            <w:rPr>
              <w:rFonts w:asciiTheme="majorHAnsi" w:hAnsiTheme="majorHAnsi"/>
              <w:b/>
              <w:sz w:val="20"/>
              <w:szCs w:val="20"/>
            </w:rPr>
          </w:pPr>
          <w:r w:rsidRPr="007C60B6">
            <w:rPr>
              <w:rFonts w:asciiTheme="majorHAnsi" w:hAnsiTheme="majorHAnsi"/>
              <w:b/>
              <w:sz w:val="20"/>
              <w:szCs w:val="20"/>
            </w:rPr>
            <w:t xml:space="preserve">Attachment 1: Product information for AusPAR Istodax; romidepsin; </w:t>
          </w:r>
          <w:r w:rsidRPr="007C60B6">
            <w:rPr>
              <w:rFonts w:asciiTheme="majorHAnsi" w:hAnsiTheme="majorHAnsi"/>
              <w:b/>
              <w:sz w:val="20"/>
              <w:szCs w:val="20"/>
              <w:lang w:val="en-AU"/>
            </w:rPr>
            <w:t xml:space="preserve">Celgene Australia Pty Ltd; </w:t>
          </w:r>
          <w:r w:rsidRPr="007C60B6">
            <w:rPr>
              <w:rFonts w:asciiTheme="majorHAnsi" w:hAnsiTheme="majorHAnsi"/>
              <w:b/>
              <w:sz w:val="20"/>
              <w:szCs w:val="20"/>
            </w:rPr>
            <w:t>PM-2012-01446-3-4 Date of Finalisation 20 November 2013. This Product Information was approved at the time this AusPAR was published.</w:t>
          </w:r>
        </w:p>
      </w:tc>
    </w:tr>
  </w:tbl>
  <w:p w:rsidR="006252F1" w:rsidRPr="00B559E1" w:rsidRDefault="006252F1">
    <w:pP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728A2"/>
    <w:multiLevelType w:val="hybridMultilevel"/>
    <w:tmpl w:val="6150AB8E"/>
    <w:lvl w:ilvl="0" w:tplc="DFEE5D0E">
      <w:start w:val="1"/>
      <w:numFmt w:val="decimal"/>
      <w:lvlText w:val="%1."/>
      <w:lvlJc w:val="left"/>
      <w:pPr>
        <w:ind w:left="810" w:hanging="360"/>
      </w:pPr>
      <w:rPr>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C7810D1"/>
    <w:multiLevelType w:val="hybridMultilevel"/>
    <w:tmpl w:val="2F2AEB9C"/>
    <w:lvl w:ilvl="0" w:tplc="6A001E54">
      <w:start w:val="1"/>
      <w:numFmt w:val="decimal"/>
      <w:lvlText w:val="%1."/>
      <w:lvlJc w:val="left"/>
      <w:pPr>
        <w:ind w:left="360" w:hanging="360"/>
      </w:pPr>
      <w:rPr>
        <w:rFonts w:hint="default"/>
        <w:b/>
        <w:cap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
    <w:nsid w:val="1B117F5A"/>
    <w:multiLevelType w:val="hybridMultilevel"/>
    <w:tmpl w:val="0350538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1C10358B"/>
    <w:multiLevelType w:val="hybridMultilevel"/>
    <w:tmpl w:val="B15CB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114BE2"/>
    <w:multiLevelType w:val="hybridMultilevel"/>
    <w:tmpl w:val="238CF6C4"/>
    <w:lvl w:ilvl="0" w:tplc="878EBB98">
      <w:start w:val="1"/>
      <w:numFmt w:val="lowerRoman"/>
      <w:lvlText w:val="%1)"/>
      <w:lvlJc w:val="left"/>
      <w:pPr>
        <w:ind w:left="360" w:hanging="360"/>
      </w:pPr>
      <w:rPr>
        <w:rFonts w:hint="default"/>
        <w:b/>
        <w:cap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1FB4055"/>
    <w:multiLevelType w:val="hybridMultilevel"/>
    <w:tmpl w:val="B9D250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7CE3BEC"/>
    <w:multiLevelType w:val="hybridMultilevel"/>
    <w:tmpl w:val="BE9841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7FF134F"/>
    <w:multiLevelType w:val="hybridMultilevel"/>
    <w:tmpl w:val="F886BB1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88C4668"/>
    <w:multiLevelType w:val="hybridMultilevel"/>
    <w:tmpl w:val="A830CB72"/>
    <w:lvl w:ilvl="0" w:tplc="13F284A4">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nsid w:val="2AC5111B"/>
    <w:multiLevelType w:val="hybridMultilevel"/>
    <w:tmpl w:val="EB1AD2E6"/>
    <w:lvl w:ilvl="0" w:tplc="D5FA88F8">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nsid w:val="2B093092"/>
    <w:multiLevelType w:val="hybridMultilevel"/>
    <w:tmpl w:val="D092EC8E"/>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tabs>
          <w:tab w:val="num" w:pos="2010"/>
        </w:tabs>
        <w:ind w:left="2010" w:hanging="360"/>
      </w:pPr>
      <w:rPr>
        <w:rFonts w:ascii="Courier New" w:hAnsi="Courier New" w:cs="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12">
    <w:nsid w:val="2D530E75"/>
    <w:multiLevelType w:val="hybridMultilevel"/>
    <w:tmpl w:val="126CFD7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C808DA"/>
    <w:multiLevelType w:val="hybridMultilevel"/>
    <w:tmpl w:val="9EFA5248"/>
    <w:lvl w:ilvl="0" w:tplc="C400A592">
      <w:start w:val="1"/>
      <w:numFmt w:val="lowerRoman"/>
      <w:lvlText w:val="%1)"/>
      <w:lvlJc w:val="left"/>
      <w:pPr>
        <w:ind w:left="540" w:hanging="360"/>
      </w:pPr>
      <w:rPr>
        <w:rFonts w:hint="default"/>
        <w:b/>
        <w:cap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4486DCB"/>
    <w:multiLevelType w:val="hybridMultilevel"/>
    <w:tmpl w:val="EBE8E1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4A41CF9"/>
    <w:multiLevelType w:val="hybridMultilevel"/>
    <w:tmpl w:val="48B25CC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54F50BFC"/>
    <w:multiLevelType w:val="hybridMultilevel"/>
    <w:tmpl w:val="D5B07B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62540217"/>
    <w:multiLevelType w:val="hybridMultilevel"/>
    <w:tmpl w:val="B6D813F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6A411E7D"/>
    <w:multiLevelType w:val="hybridMultilevel"/>
    <w:tmpl w:val="C2E2E3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6A6908DC"/>
    <w:multiLevelType w:val="hybridMultilevel"/>
    <w:tmpl w:val="349A5322"/>
    <w:lvl w:ilvl="0" w:tplc="13F284A4">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73166807"/>
    <w:multiLevelType w:val="hybridMultilevel"/>
    <w:tmpl w:val="3BD6E23A"/>
    <w:lvl w:ilvl="0" w:tplc="F80ECCC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14"/>
  </w:num>
  <w:num w:numId="3">
    <w:abstractNumId w:val="19"/>
  </w:num>
  <w:num w:numId="4">
    <w:abstractNumId w:val="18"/>
  </w:num>
  <w:num w:numId="5">
    <w:abstractNumId w:val="7"/>
  </w:num>
  <w:num w:numId="6">
    <w:abstractNumId w:val="9"/>
  </w:num>
  <w:num w:numId="7">
    <w:abstractNumId w:val="16"/>
  </w:num>
  <w:num w:numId="8">
    <w:abstractNumId w:val="11"/>
  </w:num>
  <w:num w:numId="9">
    <w:abstractNumId w:val="15"/>
  </w:num>
  <w:num w:numId="10">
    <w:abstractNumId w:val="17"/>
  </w:num>
  <w:num w:numId="11">
    <w:abstractNumId w:val="3"/>
  </w:num>
  <w:num w:numId="12">
    <w:abstractNumId w:val="5"/>
  </w:num>
  <w:num w:numId="13">
    <w:abstractNumId w:val="1"/>
  </w:num>
  <w:num w:numId="14">
    <w:abstractNumId w:val="0"/>
  </w:num>
  <w:num w:numId="15">
    <w:abstractNumId w:val="13"/>
  </w:num>
  <w:num w:numId="16">
    <w:abstractNumId w:val="4"/>
  </w:num>
  <w:num w:numId="17">
    <w:abstractNumId w:val="20"/>
  </w:num>
  <w:num w:numId="18">
    <w:abstractNumId w:val="12"/>
  </w:num>
  <w:num w:numId="19">
    <w:abstractNumId w:val="12"/>
  </w:num>
  <w:num w:numId="20">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720"/>
  <w:noPunctuationKerning/>
  <w:characterSpacingControl w:val="doNotCompress"/>
  <w:hdrShapeDefaults>
    <o:shapedefaults v:ext="edit" spidmax="222209"/>
  </w:hdrShapeDefaults>
  <w:footnotePr>
    <w:footnote w:id="-1"/>
    <w:footnote w:id="0"/>
  </w:footnotePr>
  <w:endnotePr>
    <w:endnote w:id="-1"/>
    <w:endnote w:id="0"/>
  </w:endnotePr>
  <w:compat/>
  <w:rsids>
    <w:rsidRoot w:val="00184223"/>
    <w:rsid w:val="00002FF1"/>
    <w:rsid w:val="00004341"/>
    <w:rsid w:val="00007084"/>
    <w:rsid w:val="000105F4"/>
    <w:rsid w:val="00011732"/>
    <w:rsid w:val="00012620"/>
    <w:rsid w:val="00012FB1"/>
    <w:rsid w:val="00013773"/>
    <w:rsid w:val="00013D3C"/>
    <w:rsid w:val="0001430E"/>
    <w:rsid w:val="00015622"/>
    <w:rsid w:val="00015A81"/>
    <w:rsid w:val="000160F8"/>
    <w:rsid w:val="00020F92"/>
    <w:rsid w:val="00022AF1"/>
    <w:rsid w:val="000236CE"/>
    <w:rsid w:val="00025611"/>
    <w:rsid w:val="00026022"/>
    <w:rsid w:val="000275E4"/>
    <w:rsid w:val="00030940"/>
    <w:rsid w:val="00030BEC"/>
    <w:rsid w:val="00033949"/>
    <w:rsid w:val="000342AF"/>
    <w:rsid w:val="00034733"/>
    <w:rsid w:val="000347C1"/>
    <w:rsid w:val="00034806"/>
    <w:rsid w:val="00037781"/>
    <w:rsid w:val="0004057E"/>
    <w:rsid w:val="00040806"/>
    <w:rsid w:val="00044269"/>
    <w:rsid w:val="0005090C"/>
    <w:rsid w:val="000513CC"/>
    <w:rsid w:val="00051F28"/>
    <w:rsid w:val="0005410E"/>
    <w:rsid w:val="00054371"/>
    <w:rsid w:val="000547F1"/>
    <w:rsid w:val="000578F3"/>
    <w:rsid w:val="00063689"/>
    <w:rsid w:val="00065FAF"/>
    <w:rsid w:val="00067C9B"/>
    <w:rsid w:val="00071538"/>
    <w:rsid w:val="00071A6B"/>
    <w:rsid w:val="00072316"/>
    <w:rsid w:val="00073603"/>
    <w:rsid w:val="00074B18"/>
    <w:rsid w:val="00076E2B"/>
    <w:rsid w:val="00077C19"/>
    <w:rsid w:val="00082222"/>
    <w:rsid w:val="0008366E"/>
    <w:rsid w:val="00083977"/>
    <w:rsid w:val="00083EED"/>
    <w:rsid w:val="00086F36"/>
    <w:rsid w:val="00087838"/>
    <w:rsid w:val="00093681"/>
    <w:rsid w:val="00093E0A"/>
    <w:rsid w:val="00094D4D"/>
    <w:rsid w:val="000A0872"/>
    <w:rsid w:val="000A11EA"/>
    <w:rsid w:val="000A2487"/>
    <w:rsid w:val="000A3196"/>
    <w:rsid w:val="000A6F8F"/>
    <w:rsid w:val="000A7A97"/>
    <w:rsid w:val="000B2EEF"/>
    <w:rsid w:val="000B5AC1"/>
    <w:rsid w:val="000B6871"/>
    <w:rsid w:val="000C01C3"/>
    <w:rsid w:val="000C1CE5"/>
    <w:rsid w:val="000C23B1"/>
    <w:rsid w:val="000C4245"/>
    <w:rsid w:val="000C4F09"/>
    <w:rsid w:val="000C6F07"/>
    <w:rsid w:val="000C6F2B"/>
    <w:rsid w:val="000D0800"/>
    <w:rsid w:val="000D2581"/>
    <w:rsid w:val="000D26E3"/>
    <w:rsid w:val="000D4EB1"/>
    <w:rsid w:val="000E1ACF"/>
    <w:rsid w:val="000E249A"/>
    <w:rsid w:val="000E5457"/>
    <w:rsid w:val="000E64F1"/>
    <w:rsid w:val="000F2012"/>
    <w:rsid w:val="000F28CE"/>
    <w:rsid w:val="000F4D40"/>
    <w:rsid w:val="000F7CB2"/>
    <w:rsid w:val="00100A62"/>
    <w:rsid w:val="00102A15"/>
    <w:rsid w:val="001035C5"/>
    <w:rsid w:val="00103DCD"/>
    <w:rsid w:val="00105245"/>
    <w:rsid w:val="001062EC"/>
    <w:rsid w:val="001076B4"/>
    <w:rsid w:val="00112E1E"/>
    <w:rsid w:val="001135FC"/>
    <w:rsid w:val="001154F2"/>
    <w:rsid w:val="00116A89"/>
    <w:rsid w:val="0012026F"/>
    <w:rsid w:val="001225FE"/>
    <w:rsid w:val="00123195"/>
    <w:rsid w:val="0012324E"/>
    <w:rsid w:val="0012565E"/>
    <w:rsid w:val="00131CA6"/>
    <w:rsid w:val="00132B59"/>
    <w:rsid w:val="001350C8"/>
    <w:rsid w:val="00135538"/>
    <w:rsid w:val="00142AF8"/>
    <w:rsid w:val="00142FEA"/>
    <w:rsid w:val="00144932"/>
    <w:rsid w:val="001452CF"/>
    <w:rsid w:val="0014577F"/>
    <w:rsid w:val="00150577"/>
    <w:rsid w:val="00150C42"/>
    <w:rsid w:val="0015266B"/>
    <w:rsid w:val="00153882"/>
    <w:rsid w:val="00154957"/>
    <w:rsid w:val="00157D42"/>
    <w:rsid w:val="00160601"/>
    <w:rsid w:val="00160B7D"/>
    <w:rsid w:val="00162FA9"/>
    <w:rsid w:val="00164473"/>
    <w:rsid w:val="001706BE"/>
    <w:rsid w:val="00171B28"/>
    <w:rsid w:val="00173698"/>
    <w:rsid w:val="00173CCB"/>
    <w:rsid w:val="00176F56"/>
    <w:rsid w:val="00177670"/>
    <w:rsid w:val="00181B84"/>
    <w:rsid w:val="00182480"/>
    <w:rsid w:val="00184223"/>
    <w:rsid w:val="00186257"/>
    <w:rsid w:val="00186A77"/>
    <w:rsid w:val="00190AED"/>
    <w:rsid w:val="001910F0"/>
    <w:rsid w:val="0019169C"/>
    <w:rsid w:val="001931C3"/>
    <w:rsid w:val="001942DE"/>
    <w:rsid w:val="00197924"/>
    <w:rsid w:val="001A029C"/>
    <w:rsid w:val="001A0814"/>
    <w:rsid w:val="001A16A6"/>
    <w:rsid w:val="001A2746"/>
    <w:rsid w:val="001A2FC9"/>
    <w:rsid w:val="001A45B0"/>
    <w:rsid w:val="001A4B75"/>
    <w:rsid w:val="001A5B7F"/>
    <w:rsid w:val="001A66E0"/>
    <w:rsid w:val="001A6F07"/>
    <w:rsid w:val="001B0B31"/>
    <w:rsid w:val="001B4540"/>
    <w:rsid w:val="001B55E6"/>
    <w:rsid w:val="001C3077"/>
    <w:rsid w:val="001C3221"/>
    <w:rsid w:val="001C4934"/>
    <w:rsid w:val="001C6202"/>
    <w:rsid w:val="001D10C4"/>
    <w:rsid w:val="001D6C74"/>
    <w:rsid w:val="001D7C1C"/>
    <w:rsid w:val="001E209E"/>
    <w:rsid w:val="001E264E"/>
    <w:rsid w:val="001E3788"/>
    <w:rsid w:val="001E5004"/>
    <w:rsid w:val="001E520A"/>
    <w:rsid w:val="001E685E"/>
    <w:rsid w:val="001E6983"/>
    <w:rsid w:val="001F1142"/>
    <w:rsid w:val="001F13A5"/>
    <w:rsid w:val="001F3FA3"/>
    <w:rsid w:val="001F716E"/>
    <w:rsid w:val="001F78FE"/>
    <w:rsid w:val="00200F4D"/>
    <w:rsid w:val="002019C5"/>
    <w:rsid w:val="002028C3"/>
    <w:rsid w:val="00206B5B"/>
    <w:rsid w:val="00207267"/>
    <w:rsid w:val="00211802"/>
    <w:rsid w:val="00212290"/>
    <w:rsid w:val="002139C4"/>
    <w:rsid w:val="00213CBF"/>
    <w:rsid w:val="002159E8"/>
    <w:rsid w:val="00215DC0"/>
    <w:rsid w:val="0021690A"/>
    <w:rsid w:val="00220DBE"/>
    <w:rsid w:val="00222ACD"/>
    <w:rsid w:val="00227506"/>
    <w:rsid w:val="0023002E"/>
    <w:rsid w:val="00232425"/>
    <w:rsid w:val="0023620A"/>
    <w:rsid w:val="002362E4"/>
    <w:rsid w:val="002375AF"/>
    <w:rsid w:val="0024209B"/>
    <w:rsid w:val="00243256"/>
    <w:rsid w:val="00243F2A"/>
    <w:rsid w:val="002447D2"/>
    <w:rsid w:val="00244A68"/>
    <w:rsid w:val="002453B2"/>
    <w:rsid w:val="00245C59"/>
    <w:rsid w:val="0024661B"/>
    <w:rsid w:val="00251366"/>
    <w:rsid w:val="002528F3"/>
    <w:rsid w:val="00252917"/>
    <w:rsid w:val="002531BE"/>
    <w:rsid w:val="00257607"/>
    <w:rsid w:val="00264C97"/>
    <w:rsid w:val="00271B5F"/>
    <w:rsid w:val="00272553"/>
    <w:rsid w:val="0027280A"/>
    <w:rsid w:val="00273740"/>
    <w:rsid w:val="00274A15"/>
    <w:rsid w:val="002817DA"/>
    <w:rsid w:val="002840E3"/>
    <w:rsid w:val="00284F33"/>
    <w:rsid w:val="0028727A"/>
    <w:rsid w:val="002901E3"/>
    <w:rsid w:val="00292093"/>
    <w:rsid w:val="002927E7"/>
    <w:rsid w:val="00292E33"/>
    <w:rsid w:val="00293EE0"/>
    <w:rsid w:val="00293F83"/>
    <w:rsid w:val="0029790E"/>
    <w:rsid w:val="002A2594"/>
    <w:rsid w:val="002A3E8A"/>
    <w:rsid w:val="002A6A11"/>
    <w:rsid w:val="002A6E8A"/>
    <w:rsid w:val="002A78C0"/>
    <w:rsid w:val="002B072F"/>
    <w:rsid w:val="002B1A8C"/>
    <w:rsid w:val="002B25E2"/>
    <w:rsid w:val="002B27F1"/>
    <w:rsid w:val="002B33BC"/>
    <w:rsid w:val="002B45BC"/>
    <w:rsid w:val="002B470B"/>
    <w:rsid w:val="002B61C4"/>
    <w:rsid w:val="002C000D"/>
    <w:rsid w:val="002C0803"/>
    <w:rsid w:val="002C2777"/>
    <w:rsid w:val="002C3D88"/>
    <w:rsid w:val="002C4B94"/>
    <w:rsid w:val="002C7786"/>
    <w:rsid w:val="002C7A45"/>
    <w:rsid w:val="002D0326"/>
    <w:rsid w:val="002D1C3F"/>
    <w:rsid w:val="002D3BB7"/>
    <w:rsid w:val="002D5FFA"/>
    <w:rsid w:val="002E0F05"/>
    <w:rsid w:val="002E1960"/>
    <w:rsid w:val="002E1C20"/>
    <w:rsid w:val="002E1F7B"/>
    <w:rsid w:val="002E4AC9"/>
    <w:rsid w:val="002E6481"/>
    <w:rsid w:val="002F343F"/>
    <w:rsid w:val="002F3ED1"/>
    <w:rsid w:val="002F46A4"/>
    <w:rsid w:val="00304152"/>
    <w:rsid w:val="00306A6E"/>
    <w:rsid w:val="003161EE"/>
    <w:rsid w:val="003227E4"/>
    <w:rsid w:val="00322F90"/>
    <w:rsid w:val="00325935"/>
    <w:rsid w:val="00326CE9"/>
    <w:rsid w:val="00326E00"/>
    <w:rsid w:val="00330732"/>
    <w:rsid w:val="00334934"/>
    <w:rsid w:val="003357A8"/>
    <w:rsid w:val="0033727B"/>
    <w:rsid w:val="00337CF8"/>
    <w:rsid w:val="0034128A"/>
    <w:rsid w:val="00341AEE"/>
    <w:rsid w:val="00341D88"/>
    <w:rsid w:val="00341E0E"/>
    <w:rsid w:val="00342EC0"/>
    <w:rsid w:val="0034609D"/>
    <w:rsid w:val="00347035"/>
    <w:rsid w:val="003474DD"/>
    <w:rsid w:val="003502A6"/>
    <w:rsid w:val="00350651"/>
    <w:rsid w:val="00351C9F"/>
    <w:rsid w:val="0035215A"/>
    <w:rsid w:val="0036208E"/>
    <w:rsid w:val="003626AA"/>
    <w:rsid w:val="0036289C"/>
    <w:rsid w:val="00362C78"/>
    <w:rsid w:val="00362F77"/>
    <w:rsid w:val="00363EF0"/>
    <w:rsid w:val="00364074"/>
    <w:rsid w:val="00366665"/>
    <w:rsid w:val="00371D0B"/>
    <w:rsid w:val="0037228C"/>
    <w:rsid w:val="003778F4"/>
    <w:rsid w:val="00380C78"/>
    <w:rsid w:val="00381CB9"/>
    <w:rsid w:val="00386190"/>
    <w:rsid w:val="00392082"/>
    <w:rsid w:val="00396A77"/>
    <w:rsid w:val="003A0247"/>
    <w:rsid w:val="003A1370"/>
    <w:rsid w:val="003B3A17"/>
    <w:rsid w:val="003B76FA"/>
    <w:rsid w:val="003C1132"/>
    <w:rsid w:val="003C3736"/>
    <w:rsid w:val="003C522D"/>
    <w:rsid w:val="003D05BA"/>
    <w:rsid w:val="003D253F"/>
    <w:rsid w:val="003D2790"/>
    <w:rsid w:val="003D29EC"/>
    <w:rsid w:val="003D5209"/>
    <w:rsid w:val="003D527C"/>
    <w:rsid w:val="003D5C79"/>
    <w:rsid w:val="003D60E5"/>
    <w:rsid w:val="003D736E"/>
    <w:rsid w:val="003E0B1D"/>
    <w:rsid w:val="003E4EA9"/>
    <w:rsid w:val="003E6CF8"/>
    <w:rsid w:val="003F306C"/>
    <w:rsid w:val="003F46C6"/>
    <w:rsid w:val="003F6580"/>
    <w:rsid w:val="0040022D"/>
    <w:rsid w:val="00402CF6"/>
    <w:rsid w:val="00406F59"/>
    <w:rsid w:val="00411F30"/>
    <w:rsid w:val="00413BB0"/>
    <w:rsid w:val="00413C8E"/>
    <w:rsid w:val="00414ABB"/>
    <w:rsid w:val="004207DB"/>
    <w:rsid w:val="00422614"/>
    <w:rsid w:val="004246F6"/>
    <w:rsid w:val="0042653C"/>
    <w:rsid w:val="004271FF"/>
    <w:rsid w:val="00430765"/>
    <w:rsid w:val="004327C0"/>
    <w:rsid w:val="00435C72"/>
    <w:rsid w:val="00435C96"/>
    <w:rsid w:val="00436230"/>
    <w:rsid w:val="00440BC7"/>
    <w:rsid w:val="00443071"/>
    <w:rsid w:val="00444358"/>
    <w:rsid w:val="004450FE"/>
    <w:rsid w:val="00446564"/>
    <w:rsid w:val="004475F5"/>
    <w:rsid w:val="00452034"/>
    <w:rsid w:val="0045445C"/>
    <w:rsid w:val="004554D3"/>
    <w:rsid w:val="00456DEC"/>
    <w:rsid w:val="00457EC2"/>
    <w:rsid w:val="004618B7"/>
    <w:rsid w:val="0046194B"/>
    <w:rsid w:val="00463E9D"/>
    <w:rsid w:val="00477DDF"/>
    <w:rsid w:val="00480066"/>
    <w:rsid w:val="004804A1"/>
    <w:rsid w:val="00480B1D"/>
    <w:rsid w:val="00481542"/>
    <w:rsid w:val="004824F2"/>
    <w:rsid w:val="00484E7C"/>
    <w:rsid w:val="00491322"/>
    <w:rsid w:val="004930A2"/>
    <w:rsid w:val="0049446B"/>
    <w:rsid w:val="00494F28"/>
    <w:rsid w:val="00497DF3"/>
    <w:rsid w:val="00497FB0"/>
    <w:rsid w:val="004A08A9"/>
    <w:rsid w:val="004A4056"/>
    <w:rsid w:val="004A4B55"/>
    <w:rsid w:val="004A4B75"/>
    <w:rsid w:val="004A4D17"/>
    <w:rsid w:val="004A6498"/>
    <w:rsid w:val="004A64F0"/>
    <w:rsid w:val="004B1512"/>
    <w:rsid w:val="004B3961"/>
    <w:rsid w:val="004B3C6E"/>
    <w:rsid w:val="004C08F5"/>
    <w:rsid w:val="004C1AB8"/>
    <w:rsid w:val="004C4142"/>
    <w:rsid w:val="004C6AD7"/>
    <w:rsid w:val="004D3004"/>
    <w:rsid w:val="004D3578"/>
    <w:rsid w:val="004D499B"/>
    <w:rsid w:val="004D4E37"/>
    <w:rsid w:val="004D598E"/>
    <w:rsid w:val="004D7211"/>
    <w:rsid w:val="004E2E2A"/>
    <w:rsid w:val="004E3744"/>
    <w:rsid w:val="004E4339"/>
    <w:rsid w:val="004F18F3"/>
    <w:rsid w:val="004F3F2E"/>
    <w:rsid w:val="004F53D0"/>
    <w:rsid w:val="004F6FC1"/>
    <w:rsid w:val="004F7A0A"/>
    <w:rsid w:val="00500415"/>
    <w:rsid w:val="005054E4"/>
    <w:rsid w:val="00513D3B"/>
    <w:rsid w:val="00515CEF"/>
    <w:rsid w:val="00516F19"/>
    <w:rsid w:val="00517157"/>
    <w:rsid w:val="00517217"/>
    <w:rsid w:val="00517AB3"/>
    <w:rsid w:val="00521F3F"/>
    <w:rsid w:val="00525303"/>
    <w:rsid w:val="005253BB"/>
    <w:rsid w:val="0052583E"/>
    <w:rsid w:val="00527B2C"/>
    <w:rsid w:val="005352C5"/>
    <w:rsid w:val="005360C4"/>
    <w:rsid w:val="005407AD"/>
    <w:rsid w:val="00542B11"/>
    <w:rsid w:val="00545DEF"/>
    <w:rsid w:val="005473C9"/>
    <w:rsid w:val="0055186A"/>
    <w:rsid w:val="00557A47"/>
    <w:rsid w:val="00563F66"/>
    <w:rsid w:val="0056485B"/>
    <w:rsid w:val="00567A8B"/>
    <w:rsid w:val="00571258"/>
    <w:rsid w:val="00571670"/>
    <w:rsid w:val="00573125"/>
    <w:rsid w:val="00575C06"/>
    <w:rsid w:val="00580037"/>
    <w:rsid w:val="00580183"/>
    <w:rsid w:val="00581927"/>
    <w:rsid w:val="00582589"/>
    <w:rsid w:val="00582679"/>
    <w:rsid w:val="00582997"/>
    <w:rsid w:val="005863D0"/>
    <w:rsid w:val="0059241D"/>
    <w:rsid w:val="0059389D"/>
    <w:rsid w:val="00594830"/>
    <w:rsid w:val="005A0882"/>
    <w:rsid w:val="005A4548"/>
    <w:rsid w:val="005A4816"/>
    <w:rsid w:val="005A5B5C"/>
    <w:rsid w:val="005A7B0C"/>
    <w:rsid w:val="005B29C6"/>
    <w:rsid w:val="005B2D41"/>
    <w:rsid w:val="005B33BD"/>
    <w:rsid w:val="005B362A"/>
    <w:rsid w:val="005B438D"/>
    <w:rsid w:val="005B69C3"/>
    <w:rsid w:val="005B7320"/>
    <w:rsid w:val="005B7DF3"/>
    <w:rsid w:val="005C159D"/>
    <w:rsid w:val="005C48F8"/>
    <w:rsid w:val="005C5733"/>
    <w:rsid w:val="005C57A3"/>
    <w:rsid w:val="005C6716"/>
    <w:rsid w:val="005C7FEA"/>
    <w:rsid w:val="005D1D23"/>
    <w:rsid w:val="005D220C"/>
    <w:rsid w:val="005D3324"/>
    <w:rsid w:val="005D41FF"/>
    <w:rsid w:val="005D5B6C"/>
    <w:rsid w:val="005D7200"/>
    <w:rsid w:val="005D7FBB"/>
    <w:rsid w:val="005E28E6"/>
    <w:rsid w:val="005E51CB"/>
    <w:rsid w:val="005E5BF5"/>
    <w:rsid w:val="005E631C"/>
    <w:rsid w:val="005E68D7"/>
    <w:rsid w:val="005F1653"/>
    <w:rsid w:val="005F2ACD"/>
    <w:rsid w:val="005F3D47"/>
    <w:rsid w:val="005F3EAB"/>
    <w:rsid w:val="005F4EAB"/>
    <w:rsid w:val="005F70EE"/>
    <w:rsid w:val="006001B9"/>
    <w:rsid w:val="0060077A"/>
    <w:rsid w:val="0060180D"/>
    <w:rsid w:val="006018E5"/>
    <w:rsid w:val="006029BC"/>
    <w:rsid w:val="006032E6"/>
    <w:rsid w:val="00604F1C"/>
    <w:rsid w:val="006101C8"/>
    <w:rsid w:val="00610A73"/>
    <w:rsid w:val="00613D83"/>
    <w:rsid w:val="0061722F"/>
    <w:rsid w:val="00620E74"/>
    <w:rsid w:val="006252F1"/>
    <w:rsid w:val="0062606F"/>
    <w:rsid w:val="00631C02"/>
    <w:rsid w:val="00633528"/>
    <w:rsid w:val="00635100"/>
    <w:rsid w:val="006354C5"/>
    <w:rsid w:val="00636125"/>
    <w:rsid w:val="0063719E"/>
    <w:rsid w:val="00637413"/>
    <w:rsid w:val="0064283C"/>
    <w:rsid w:val="00643FA9"/>
    <w:rsid w:val="00644225"/>
    <w:rsid w:val="00644E20"/>
    <w:rsid w:val="00645AA1"/>
    <w:rsid w:val="006469A5"/>
    <w:rsid w:val="0065242E"/>
    <w:rsid w:val="00655179"/>
    <w:rsid w:val="00655E4D"/>
    <w:rsid w:val="00655EF3"/>
    <w:rsid w:val="00657CE0"/>
    <w:rsid w:val="00660F6A"/>
    <w:rsid w:val="0066424E"/>
    <w:rsid w:val="006670FF"/>
    <w:rsid w:val="006676DB"/>
    <w:rsid w:val="006725C5"/>
    <w:rsid w:val="006728C7"/>
    <w:rsid w:val="0067333A"/>
    <w:rsid w:val="006737D9"/>
    <w:rsid w:val="00673AC7"/>
    <w:rsid w:val="00675AC8"/>
    <w:rsid w:val="0067616B"/>
    <w:rsid w:val="00676490"/>
    <w:rsid w:val="00680224"/>
    <w:rsid w:val="00680E76"/>
    <w:rsid w:val="006856BE"/>
    <w:rsid w:val="006876F3"/>
    <w:rsid w:val="006914EB"/>
    <w:rsid w:val="0069280A"/>
    <w:rsid w:val="00695FF3"/>
    <w:rsid w:val="0069697C"/>
    <w:rsid w:val="006A48DE"/>
    <w:rsid w:val="006A5487"/>
    <w:rsid w:val="006A7DFE"/>
    <w:rsid w:val="006A7EF6"/>
    <w:rsid w:val="006B2040"/>
    <w:rsid w:val="006B2651"/>
    <w:rsid w:val="006B40FB"/>
    <w:rsid w:val="006B6EB6"/>
    <w:rsid w:val="006B799C"/>
    <w:rsid w:val="006C3388"/>
    <w:rsid w:val="006C3A8F"/>
    <w:rsid w:val="006C3EE9"/>
    <w:rsid w:val="006C5499"/>
    <w:rsid w:val="006C5E90"/>
    <w:rsid w:val="006C71F0"/>
    <w:rsid w:val="006D0A1D"/>
    <w:rsid w:val="006D1777"/>
    <w:rsid w:val="006D3683"/>
    <w:rsid w:val="006D7B3A"/>
    <w:rsid w:val="006E0564"/>
    <w:rsid w:val="006E111E"/>
    <w:rsid w:val="006E21E7"/>
    <w:rsid w:val="006E25BB"/>
    <w:rsid w:val="006E3834"/>
    <w:rsid w:val="006E4EEA"/>
    <w:rsid w:val="006E5DD4"/>
    <w:rsid w:val="006E6695"/>
    <w:rsid w:val="006F0BE9"/>
    <w:rsid w:val="006F28E8"/>
    <w:rsid w:val="006F3CA6"/>
    <w:rsid w:val="006F473B"/>
    <w:rsid w:val="006F5D66"/>
    <w:rsid w:val="00706622"/>
    <w:rsid w:val="00706930"/>
    <w:rsid w:val="00710D11"/>
    <w:rsid w:val="00710E26"/>
    <w:rsid w:val="00711F5A"/>
    <w:rsid w:val="00713015"/>
    <w:rsid w:val="0071692F"/>
    <w:rsid w:val="00717411"/>
    <w:rsid w:val="00721587"/>
    <w:rsid w:val="007224A8"/>
    <w:rsid w:val="007247EE"/>
    <w:rsid w:val="00727442"/>
    <w:rsid w:val="00727CDD"/>
    <w:rsid w:val="00731485"/>
    <w:rsid w:val="007318DC"/>
    <w:rsid w:val="007329BA"/>
    <w:rsid w:val="00733741"/>
    <w:rsid w:val="00734414"/>
    <w:rsid w:val="00736FA3"/>
    <w:rsid w:val="007371ED"/>
    <w:rsid w:val="0074019F"/>
    <w:rsid w:val="007402A1"/>
    <w:rsid w:val="007424D1"/>
    <w:rsid w:val="00742D88"/>
    <w:rsid w:val="00743BFE"/>
    <w:rsid w:val="0074746A"/>
    <w:rsid w:val="00747F19"/>
    <w:rsid w:val="007501B3"/>
    <w:rsid w:val="00750B75"/>
    <w:rsid w:val="007540B7"/>
    <w:rsid w:val="00754AEF"/>
    <w:rsid w:val="0075693A"/>
    <w:rsid w:val="00757CC7"/>
    <w:rsid w:val="007600E0"/>
    <w:rsid w:val="007614A0"/>
    <w:rsid w:val="00764B2B"/>
    <w:rsid w:val="00766FE8"/>
    <w:rsid w:val="00770232"/>
    <w:rsid w:val="0077070C"/>
    <w:rsid w:val="007707E3"/>
    <w:rsid w:val="00772272"/>
    <w:rsid w:val="0077242B"/>
    <w:rsid w:val="0077496E"/>
    <w:rsid w:val="00776A9A"/>
    <w:rsid w:val="00776B12"/>
    <w:rsid w:val="00781D85"/>
    <w:rsid w:val="0078302F"/>
    <w:rsid w:val="0078470D"/>
    <w:rsid w:val="00784D65"/>
    <w:rsid w:val="007931CD"/>
    <w:rsid w:val="00794221"/>
    <w:rsid w:val="00794937"/>
    <w:rsid w:val="00796C3D"/>
    <w:rsid w:val="007A6E7A"/>
    <w:rsid w:val="007A7655"/>
    <w:rsid w:val="007B0862"/>
    <w:rsid w:val="007B0C8D"/>
    <w:rsid w:val="007B42F9"/>
    <w:rsid w:val="007C198A"/>
    <w:rsid w:val="007C2573"/>
    <w:rsid w:val="007C60B6"/>
    <w:rsid w:val="007C63DD"/>
    <w:rsid w:val="007C68FC"/>
    <w:rsid w:val="007D0B42"/>
    <w:rsid w:val="007D0DF9"/>
    <w:rsid w:val="007D3F28"/>
    <w:rsid w:val="007D6498"/>
    <w:rsid w:val="007D6524"/>
    <w:rsid w:val="007D6BF2"/>
    <w:rsid w:val="007D7B09"/>
    <w:rsid w:val="007E307E"/>
    <w:rsid w:val="007E3AC7"/>
    <w:rsid w:val="007E46F9"/>
    <w:rsid w:val="007E5433"/>
    <w:rsid w:val="007E5E09"/>
    <w:rsid w:val="007E68E8"/>
    <w:rsid w:val="007E7881"/>
    <w:rsid w:val="007F0D11"/>
    <w:rsid w:val="007F17A5"/>
    <w:rsid w:val="007F2562"/>
    <w:rsid w:val="0080090A"/>
    <w:rsid w:val="00802ADD"/>
    <w:rsid w:val="00804412"/>
    <w:rsid w:val="00805FA1"/>
    <w:rsid w:val="00810BAE"/>
    <w:rsid w:val="00810BDF"/>
    <w:rsid w:val="0081685F"/>
    <w:rsid w:val="008169AE"/>
    <w:rsid w:val="00817388"/>
    <w:rsid w:val="008203E0"/>
    <w:rsid w:val="00827B2F"/>
    <w:rsid w:val="0083080A"/>
    <w:rsid w:val="00831EDB"/>
    <w:rsid w:val="0083243A"/>
    <w:rsid w:val="0083639D"/>
    <w:rsid w:val="00837535"/>
    <w:rsid w:val="00837DB6"/>
    <w:rsid w:val="00842C37"/>
    <w:rsid w:val="00843837"/>
    <w:rsid w:val="00843904"/>
    <w:rsid w:val="00845B22"/>
    <w:rsid w:val="00847C46"/>
    <w:rsid w:val="00853A59"/>
    <w:rsid w:val="0085418B"/>
    <w:rsid w:val="00854EAE"/>
    <w:rsid w:val="008554DC"/>
    <w:rsid w:val="00856451"/>
    <w:rsid w:val="008564B3"/>
    <w:rsid w:val="008576F6"/>
    <w:rsid w:val="008629F2"/>
    <w:rsid w:val="00865D5E"/>
    <w:rsid w:val="0087012B"/>
    <w:rsid w:val="008713E9"/>
    <w:rsid w:val="00877851"/>
    <w:rsid w:val="00882BF7"/>
    <w:rsid w:val="00882F24"/>
    <w:rsid w:val="00883CC0"/>
    <w:rsid w:val="00886FBE"/>
    <w:rsid w:val="008928F4"/>
    <w:rsid w:val="008936D7"/>
    <w:rsid w:val="00893FCC"/>
    <w:rsid w:val="00894416"/>
    <w:rsid w:val="00895E54"/>
    <w:rsid w:val="00895FE9"/>
    <w:rsid w:val="0089702B"/>
    <w:rsid w:val="008A2DA9"/>
    <w:rsid w:val="008A30D2"/>
    <w:rsid w:val="008A48DF"/>
    <w:rsid w:val="008A50C5"/>
    <w:rsid w:val="008A7183"/>
    <w:rsid w:val="008A77FE"/>
    <w:rsid w:val="008B0597"/>
    <w:rsid w:val="008B2E76"/>
    <w:rsid w:val="008B3776"/>
    <w:rsid w:val="008B4AD6"/>
    <w:rsid w:val="008B4C25"/>
    <w:rsid w:val="008B4E7D"/>
    <w:rsid w:val="008C1466"/>
    <w:rsid w:val="008C2797"/>
    <w:rsid w:val="008C2D6C"/>
    <w:rsid w:val="008C6246"/>
    <w:rsid w:val="008C6C92"/>
    <w:rsid w:val="008D572B"/>
    <w:rsid w:val="008D5AA4"/>
    <w:rsid w:val="008E0559"/>
    <w:rsid w:val="008E0630"/>
    <w:rsid w:val="008E21DF"/>
    <w:rsid w:val="008E62A8"/>
    <w:rsid w:val="008E6493"/>
    <w:rsid w:val="008F0C03"/>
    <w:rsid w:val="008F234C"/>
    <w:rsid w:val="008F4D4A"/>
    <w:rsid w:val="008F52B7"/>
    <w:rsid w:val="00900824"/>
    <w:rsid w:val="00901DE2"/>
    <w:rsid w:val="00902114"/>
    <w:rsid w:val="00902487"/>
    <w:rsid w:val="00903235"/>
    <w:rsid w:val="00903762"/>
    <w:rsid w:val="00903A4A"/>
    <w:rsid w:val="009045D6"/>
    <w:rsid w:val="00907044"/>
    <w:rsid w:val="009156EF"/>
    <w:rsid w:val="00920DC1"/>
    <w:rsid w:val="0092573C"/>
    <w:rsid w:val="009278EF"/>
    <w:rsid w:val="00933231"/>
    <w:rsid w:val="009362AE"/>
    <w:rsid w:val="00936703"/>
    <w:rsid w:val="009414F8"/>
    <w:rsid w:val="00943247"/>
    <w:rsid w:val="00953DC3"/>
    <w:rsid w:val="00957B30"/>
    <w:rsid w:val="00957B88"/>
    <w:rsid w:val="009616F7"/>
    <w:rsid w:val="00961D7D"/>
    <w:rsid w:val="00963047"/>
    <w:rsid w:val="0096672C"/>
    <w:rsid w:val="00971BD1"/>
    <w:rsid w:val="00973D13"/>
    <w:rsid w:val="00982016"/>
    <w:rsid w:val="00984F70"/>
    <w:rsid w:val="009854D2"/>
    <w:rsid w:val="009902CF"/>
    <w:rsid w:val="00991325"/>
    <w:rsid w:val="00992CEF"/>
    <w:rsid w:val="00993B13"/>
    <w:rsid w:val="009959AD"/>
    <w:rsid w:val="00997056"/>
    <w:rsid w:val="009A2723"/>
    <w:rsid w:val="009B0CE8"/>
    <w:rsid w:val="009B1C28"/>
    <w:rsid w:val="009B1FEF"/>
    <w:rsid w:val="009B200E"/>
    <w:rsid w:val="009B2C79"/>
    <w:rsid w:val="009B3997"/>
    <w:rsid w:val="009B523D"/>
    <w:rsid w:val="009B6950"/>
    <w:rsid w:val="009B6FEC"/>
    <w:rsid w:val="009B7097"/>
    <w:rsid w:val="009C22E8"/>
    <w:rsid w:val="009C365B"/>
    <w:rsid w:val="009C6389"/>
    <w:rsid w:val="009C7C6C"/>
    <w:rsid w:val="009D64A8"/>
    <w:rsid w:val="009E0F31"/>
    <w:rsid w:val="009E38C8"/>
    <w:rsid w:val="009E7322"/>
    <w:rsid w:val="009F2A85"/>
    <w:rsid w:val="009F6769"/>
    <w:rsid w:val="00A00A1A"/>
    <w:rsid w:val="00A0263D"/>
    <w:rsid w:val="00A032AA"/>
    <w:rsid w:val="00A05BF9"/>
    <w:rsid w:val="00A060BA"/>
    <w:rsid w:val="00A06ECD"/>
    <w:rsid w:val="00A073A7"/>
    <w:rsid w:val="00A11F13"/>
    <w:rsid w:val="00A1386F"/>
    <w:rsid w:val="00A20973"/>
    <w:rsid w:val="00A2129F"/>
    <w:rsid w:val="00A25184"/>
    <w:rsid w:val="00A25CAC"/>
    <w:rsid w:val="00A32178"/>
    <w:rsid w:val="00A3295C"/>
    <w:rsid w:val="00A33BC0"/>
    <w:rsid w:val="00A3460D"/>
    <w:rsid w:val="00A35EAB"/>
    <w:rsid w:val="00A4113A"/>
    <w:rsid w:val="00A42FE2"/>
    <w:rsid w:val="00A450BC"/>
    <w:rsid w:val="00A45FF6"/>
    <w:rsid w:val="00A4609F"/>
    <w:rsid w:val="00A51762"/>
    <w:rsid w:val="00A60048"/>
    <w:rsid w:val="00A610EA"/>
    <w:rsid w:val="00A64D53"/>
    <w:rsid w:val="00A65CFF"/>
    <w:rsid w:val="00A8345C"/>
    <w:rsid w:val="00A85C9C"/>
    <w:rsid w:val="00A90108"/>
    <w:rsid w:val="00A91047"/>
    <w:rsid w:val="00A93460"/>
    <w:rsid w:val="00A94AF8"/>
    <w:rsid w:val="00A9603E"/>
    <w:rsid w:val="00A96A16"/>
    <w:rsid w:val="00AA04E0"/>
    <w:rsid w:val="00AA06A1"/>
    <w:rsid w:val="00AA18E5"/>
    <w:rsid w:val="00AA2A2C"/>
    <w:rsid w:val="00AA2C64"/>
    <w:rsid w:val="00AA3F0C"/>
    <w:rsid w:val="00AA51B8"/>
    <w:rsid w:val="00AA64B1"/>
    <w:rsid w:val="00AA693C"/>
    <w:rsid w:val="00AB1118"/>
    <w:rsid w:val="00AB2D8E"/>
    <w:rsid w:val="00AB3283"/>
    <w:rsid w:val="00AB3C21"/>
    <w:rsid w:val="00AB4CF2"/>
    <w:rsid w:val="00AB78F7"/>
    <w:rsid w:val="00AC1299"/>
    <w:rsid w:val="00AC2BF2"/>
    <w:rsid w:val="00AC57EB"/>
    <w:rsid w:val="00AD0B7E"/>
    <w:rsid w:val="00AD0E60"/>
    <w:rsid w:val="00AD115A"/>
    <w:rsid w:val="00AD3E28"/>
    <w:rsid w:val="00AD4027"/>
    <w:rsid w:val="00AD5C5E"/>
    <w:rsid w:val="00AD7804"/>
    <w:rsid w:val="00AE1E13"/>
    <w:rsid w:val="00AE22C2"/>
    <w:rsid w:val="00AE3B02"/>
    <w:rsid w:val="00AE3EC2"/>
    <w:rsid w:val="00AF14C7"/>
    <w:rsid w:val="00AF62F9"/>
    <w:rsid w:val="00B009C7"/>
    <w:rsid w:val="00B0538E"/>
    <w:rsid w:val="00B053B8"/>
    <w:rsid w:val="00B05490"/>
    <w:rsid w:val="00B07BC6"/>
    <w:rsid w:val="00B102CE"/>
    <w:rsid w:val="00B17DF3"/>
    <w:rsid w:val="00B21AA0"/>
    <w:rsid w:val="00B236B8"/>
    <w:rsid w:val="00B2395D"/>
    <w:rsid w:val="00B24C49"/>
    <w:rsid w:val="00B30385"/>
    <w:rsid w:val="00B304F3"/>
    <w:rsid w:val="00B330E5"/>
    <w:rsid w:val="00B34B06"/>
    <w:rsid w:val="00B35DD7"/>
    <w:rsid w:val="00B369D3"/>
    <w:rsid w:val="00B37003"/>
    <w:rsid w:val="00B37126"/>
    <w:rsid w:val="00B37692"/>
    <w:rsid w:val="00B40ABE"/>
    <w:rsid w:val="00B45DDE"/>
    <w:rsid w:val="00B47500"/>
    <w:rsid w:val="00B47752"/>
    <w:rsid w:val="00B47C14"/>
    <w:rsid w:val="00B50B1B"/>
    <w:rsid w:val="00B514BC"/>
    <w:rsid w:val="00B52874"/>
    <w:rsid w:val="00B5306D"/>
    <w:rsid w:val="00B54548"/>
    <w:rsid w:val="00B559E1"/>
    <w:rsid w:val="00B61F4C"/>
    <w:rsid w:val="00B64838"/>
    <w:rsid w:val="00B70D1B"/>
    <w:rsid w:val="00B8282C"/>
    <w:rsid w:val="00B86916"/>
    <w:rsid w:val="00B93850"/>
    <w:rsid w:val="00BA241C"/>
    <w:rsid w:val="00BA248B"/>
    <w:rsid w:val="00BA2B9E"/>
    <w:rsid w:val="00BA4B99"/>
    <w:rsid w:val="00BA50C0"/>
    <w:rsid w:val="00BB1D64"/>
    <w:rsid w:val="00BB50E0"/>
    <w:rsid w:val="00BC00D0"/>
    <w:rsid w:val="00BC0571"/>
    <w:rsid w:val="00BC0A5B"/>
    <w:rsid w:val="00BC1891"/>
    <w:rsid w:val="00BC4A60"/>
    <w:rsid w:val="00BC5562"/>
    <w:rsid w:val="00BC578F"/>
    <w:rsid w:val="00BC69C1"/>
    <w:rsid w:val="00BD1059"/>
    <w:rsid w:val="00BD2F59"/>
    <w:rsid w:val="00BD387F"/>
    <w:rsid w:val="00BD3C16"/>
    <w:rsid w:val="00BD6C9B"/>
    <w:rsid w:val="00BD73FD"/>
    <w:rsid w:val="00BD7C95"/>
    <w:rsid w:val="00BE186B"/>
    <w:rsid w:val="00BE18E0"/>
    <w:rsid w:val="00BE2BB0"/>
    <w:rsid w:val="00BE48B2"/>
    <w:rsid w:val="00BE663C"/>
    <w:rsid w:val="00BE69F5"/>
    <w:rsid w:val="00BF078C"/>
    <w:rsid w:val="00BF5252"/>
    <w:rsid w:val="00BF5594"/>
    <w:rsid w:val="00BF5DE8"/>
    <w:rsid w:val="00BF7D24"/>
    <w:rsid w:val="00C01D42"/>
    <w:rsid w:val="00C039AF"/>
    <w:rsid w:val="00C04956"/>
    <w:rsid w:val="00C06D34"/>
    <w:rsid w:val="00C100B5"/>
    <w:rsid w:val="00C102A9"/>
    <w:rsid w:val="00C10415"/>
    <w:rsid w:val="00C1151F"/>
    <w:rsid w:val="00C12919"/>
    <w:rsid w:val="00C160B3"/>
    <w:rsid w:val="00C23968"/>
    <w:rsid w:val="00C26044"/>
    <w:rsid w:val="00C30950"/>
    <w:rsid w:val="00C314A4"/>
    <w:rsid w:val="00C34EF6"/>
    <w:rsid w:val="00C359A2"/>
    <w:rsid w:val="00C40387"/>
    <w:rsid w:val="00C44C2C"/>
    <w:rsid w:val="00C4566E"/>
    <w:rsid w:val="00C46A58"/>
    <w:rsid w:val="00C5115A"/>
    <w:rsid w:val="00C51666"/>
    <w:rsid w:val="00C5414F"/>
    <w:rsid w:val="00C56E63"/>
    <w:rsid w:val="00C626FD"/>
    <w:rsid w:val="00C6587A"/>
    <w:rsid w:val="00C658CF"/>
    <w:rsid w:val="00C66AF1"/>
    <w:rsid w:val="00C71853"/>
    <w:rsid w:val="00C741D4"/>
    <w:rsid w:val="00C7676B"/>
    <w:rsid w:val="00C76D8D"/>
    <w:rsid w:val="00C876C4"/>
    <w:rsid w:val="00C951AE"/>
    <w:rsid w:val="00C96852"/>
    <w:rsid w:val="00C96F5C"/>
    <w:rsid w:val="00C9767D"/>
    <w:rsid w:val="00CA0924"/>
    <w:rsid w:val="00CA3257"/>
    <w:rsid w:val="00CA4303"/>
    <w:rsid w:val="00CA4D84"/>
    <w:rsid w:val="00CA67E8"/>
    <w:rsid w:val="00CB06B4"/>
    <w:rsid w:val="00CB2618"/>
    <w:rsid w:val="00CB3F2E"/>
    <w:rsid w:val="00CC0AEA"/>
    <w:rsid w:val="00CC16EB"/>
    <w:rsid w:val="00CC2708"/>
    <w:rsid w:val="00CC4FEB"/>
    <w:rsid w:val="00CC6B2C"/>
    <w:rsid w:val="00CD0C83"/>
    <w:rsid w:val="00CD353C"/>
    <w:rsid w:val="00CD5213"/>
    <w:rsid w:val="00CD5423"/>
    <w:rsid w:val="00CD57C7"/>
    <w:rsid w:val="00CD6762"/>
    <w:rsid w:val="00CD77A8"/>
    <w:rsid w:val="00CE0CC1"/>
    <w:rsid w:val="00CE1147"/>
    <w:rsid w:val="00CE197C"/>
    <w:rsid w:val="00CE3ED5"/>
    <w:rsid w:val="00CE49F5"/>
    <w:rsid w:val="00CE5D87"/>
    <w:rsid w:val="00CE7AC0"/>
    <w:rsid w:val="00CF2A3E"/>
    <w:rsid w:val="00CF4642"/>
    <w:rsid w:val="00CF5E55"/>
    <w:rsid w:val="00CF72C3"/>
    <w:rsid w:val="00D049AD"/>
    <w:rsid w:val="00D04BB0"/>
    <w:rsid w:val="00D10049"/>
    <w:rsid w:val="00D111CA"/>
    <w:rsid w:val="00D120E9"/>
    <w:rsid w:val="00D1222A"/>
    <w:rsid w:val="00D137E4"/>
    <w:rsid w:val="00D14291"/>
    <w:rsid w:val="00D20F0C"/>
    <w:rsid w:val="00D2129C"/>
    <w:rsid w:val="00D24365"/>
    <w:rsid w:val="00D2466F"/>
    <w:rsid w:val="00D262BE"/>
    <w:rsid w:val="00D27A31"/>
    <w:rsid w:val="00D3014F"/>
    <w:rsid w:val="00D318F7"/>
    <w:rsid w:val="00D3363B"/>
    <w:rsid w:val="00D35D8F"/>
    <w:rsid w:val="00D4028C"/>
    <w:rsid w:val="00D43416"/>
    <w:rsid w:val="00D44060"/>
    <w:rsid w:val="00D44722"/>
    <w:rsid w:val="00D45F36"/>
    <w:rsid w:val="00D46714"/>
    <w:rsid w:val="00D50169"/>
    <w:rsid w:val="00D50634"/>
    <w:rsid w:val="00D57039"/>
    <w:rsid w:val="00D6343A"/>
    <w:rsid w:val="00D63B9E"/>
    <w:rsid w:val="00D64481"/>
    <w:rsid w:val="00D66C0B"/>
    <w:rsid w:val="00D70000"/>
    <w:rsid w:val="00D7363D"/>
    <w:rsid w:val="00D74227"/>
    <w:rsid w:val="00D77FC6"/>
    <w:rsid w:val="00D82621"/>
    <w:rsid w:val="00D83755"/>
    <w:rsid w:val="00D84589"/>
    <w:rsid w:val="00D85906"/>
    <w:rsid w:val="00D865F9"/>
    <w:rsid w:val="00D94DD2"/>
    <w:rsid w:val="00D96703"/>
    <w:rsid w:val="00D971AB"/>
    <w:rsid w:val="00DA1A90"/>
    <w:rsid w:val="00DA345A"/>
    <w:rsid w:val="00DA4D60"/>
    <w:rsid w:val="00DA545C"/>
    <w:rsid w:val="00DA7776"/>
    <w:rsid w:val="00DB1420"/>
    <w:rsid w:val="00DB48AF"/>
    <w:rsid w:val="00DB5E63"/>
    <w:rsid w:val="00DB6415"/>
    <w:rsid w:val="00DC0BDF"/>
    <w:rsid w:val="00DC1349"/>
    <w:rsid w:val="00DC3B91"/>
    <w:rsid w:val="00DC5C77"/>
    <w:rsid w:val="00DC64C6"/>
    <w:rsid w:val="00DC6B9C"/>
    <w:rsid w:val="00DC6CC3"/>
    <w:rsid w:val="00DD13E9"/>
    <w:rsid w:val="00DD21B5"/>
    <w:rsid w:val="00DD3F11"/>
    <w:rsid w:val="00DD4546"/>
    <w:rsid w:val="00DD498B"/>
    <w:rsid w:val="00DD582A"/>
    <w:rsid w:val="00DD67D7"/>
    <w:rsid w:val="00DD7667"/>
    <w:rsid w:val="00DD7F44"/>
    <w:rsid w:val="00DD7FD0"/>
    <w:rsid w:val="00DE01A8"/>
    <w:rsid w:val="00DE09A0"/>
    <w:rsid w:val="00DE1ED3"/>
    <w:rsid w:val="00DE2BC8"/>
    <w:rsid w:val="00DE6714"/>
    <w:rsid w:val="00DE6F3B"/>
    <w:rsid w:val="00DF1938"/>
    <w:rsid w:val="00DF1C2C"/>
    <w:rsid w:val="00DF225F"/>
    <w:rsid w:val="00DF267A"/>
    <w:rsid w:val="00DF3CB6"/>
    <w:rsid w:val="00DF4FF3"/>
    <w:rsid w:val="00DF6678"/>
    <w:rsid w:val="00E00E8C"/>
    <w:rsid w:val="00E05922"/>
    <w:rsid w:val="00E0791D"/>
    <w:rsid w:val="00E15C45"/>
    <w:rsid w:val="00E16927"/>
    <w:rsid w:val="00E2546C"/>
    <w:rsid w:val="00E2560B"/>
    <w:rsid w:val="00E263CB"/>
    <w:rsid w:val="00E270A6"/>
    <w:rsid w:val="00E27162"/>
    <w:rsid w:val="00E277B9"/>
    <w:rsid w:val="00E30B9E"/>
    <w:rsid w:val="00E33C9F"/>
    <w:rsid w:val="00E35498"/>
    <w:rsid w:val="00E35759"/>
    <w:rsid w:val="00E357BC"/>
    <w:rsid w:val="00E35EC2"/>
    <w:rsid w:val="00E3746D"/>
    <w:rsid w:val="00E37809"/>
    <w:rsid w:val="00E41790"/>
    <w:rsid w:val="00E446FB"/>
    <w:rsid w:val="00E50F86"/>
    <w:rsid w:val="00E52B64"/>
    <w:rsid w:val="00E54BF4"/>
    <w:rsid w:val="00E54FB6"/>
    <w:rsid w:val="00E576DD"/>
    <w:rsid w:val="00E57E0E"/>
    <w:rsid w:val="00E610DF"/>
    <w:rsid w:val="00E638EE"/>
    <w:rsid w:val="00E72EC2"/>
    <w:rsid w:val="00E731BA"/>
    <w:rsid w:val="00E742BA"/>
    <w:rsid w:val="00E76642"/>
    <w:rsid w:val="00E801C7"/>
    <w:rsid w:val="00E8142C"/>
    <w:rsid w:val="00E816EE"/>
    <w:rsid w:val="00E83FCD"/>
    <w:rsid w:val="00E875E5"/>
    <w:rsid w:val="00E9100D"/>
    <w:rsid w:val="00E91146"/>
    <w:rsid w:val="00E9204E"/>
    <w:rsid w:val="00E93857"/>
    <w:rsid w:val="00E93C71"/>
    <w:rsid w:val="00E94C77"/>
    <w:rsid w:val="00E9546D"/>
    <w:rsid w:val="00E95D04"/>
    <w:rsid w:val="00E9746F"/>
    <w:rsid w:val="00EA164B"/>
    <w:rsid w:val="00EA1EEA"/>
    <w:rsid w:val="00EA37C7"/>
    <w:rsid w:val="00EA4374"/>
    <w:rsid w:val="00EA496E"/>
    <w:rsid w:val="00EA71AB"/>
    <w:rsid w:val="00EB0232"/>
    <w:rsid w:val="00EB03F4"/>
    <w:rsid w:val="00EB1671"/>
    <w:rsid w:val="00EB51FF"/>
    <w:rsid w:val="00EB566E"/>
    <w:rsid w:val="00EC3D47"/>
    <w:rsid w:val="00EC5AB6"/>
    <w:rsid w:val="00ED3122"/>
    <w:rsid w:val="00ED7DC7"/>
    <w:rsid w:val="00EE3193"/>
    <w:rsid w:val="00EE6823"/>
    <w:rsid w:val="00EE6DAA"/>
    <w:rsid w:val="00EE78BD"/>
    <w:rsid w:val="00EF4EAF"/>
    <w:rsid w:val="00EF7C5D"/>
    <w:rsid w:val="00F0084F"/>
    <w:rsid w:val="00F025F1"/>
    <w:rsid w:val="00F07AF1"/>
    <w:rsid w:val="00F12580"/>
    <w:rsid w:val="00F12960"/>
    <w:rsid w:val="00F12A54"/>
    <w:rsid w:val="00F14246"/>
    <w:rsid w:val="00F155F6"/>
    <w:rsid w:val="00F16F40"/>
    <w:rsid w:val="00F17AB6"/>
    <w:rsid w:val="00F22930"/>
    <w:rsid w:val="00F236C7"/>
    <w:rsid w:val="00F2405B"/>
    <w:rsid w:val="00F254D2"/>
    <w:rsid w:val="00F25AE6"/>
    <w:rsid w:val="00F260E8"/>
    <w:rsid w:val="00F279C0"/>
    <w:rsid w:val="00F30743"/>
    <w:rsid w:val="00F34170"/>
    <w:rsid w:val="00F36037"/>
    <w:rsid w:val="00F36FC7"/>
    <w:rsid w:val="00F42CD6"/>
    <w:rsid w:val="00F43DDD"/>
    <w:rsid w:val="00F45A0D"/>
    <w:rsid w:val="00F562ED"/>
    <w:rsid w:val="00F57BA4"/>
    <w:rsid w:val="00F61809"/>
    <w:rsid w:val="00F63AD3"/>
    <w:rsid w:val="00F65F81"/>
    <w:rsid w:val="00F67DCD"/>
    <w:rsid w:val="00F71750"/>
    <w:rsid w:val="00F739E9"/>
    <w:rsid w:val="00F7532B"/>
    <w:rsid w:val="00F770ED"/>
    <w:rsid w:val="00F77C2C"/>
    <w:rsid w:val="00F77E74"/>
    <w:rsid w:val="00F82E97"/>
    <w:rsid w:val="00F82EE0"/>
    <w:rsid w:val="00F835A3"/>
    <w:rsid w:val="00F83D6F"/>
    <w:rsid w:val="00F913CB"/>
    <w:rsid w:val="00F92481"/>
    <w:rsid w:val="00F93F52"/>
    <w:rsid w:val="00F948F6"/>
    <w:rsid w:val="00F9495C"/>
    <w:rsid w:val="00F94C11"/>
    <w:rsid w:val="00F95259"/>
    <w:rsid w:val="00F95433"/>
    <w:rsid w:val="00F97245"/>
    <w:rsid w:val="00FA069F"/>
    <w:rsid w:val="00FA0DF8"/>
    <w:rsid w:val="00FA1BC8"/>
    <w:rsid w:val="00FA32A7"/>
    <w:rsid w:val="00FA54F8"/>
    <w:rsid w:val="00FA62BF"/>
    <w:rsid w:val="00FA6B38"/>
    <w:rsid w:val="00FA6B4C"/>
    <w:rsid w:val="00FA762A"/>
    <w:rsid w:val="00FA78A3"/>
    <w:rsid w:val="00FB135B"/>
    <w:rsid w:val="00FB2498"/>
    <w:rsid w:val="00FB298C"/>
    <w:rsid w:val="00FB35C7"/>
    <w:rsid w:val="00FB41CD"/>
    <w:rsid w:val="00FB5A8D"/>
    <w:rsid w:val="00FB72DE"/>
    <w:rsid w:val="00FC4376"/>
    <w:rsid w:val="00FC7088"/>
    <w:rsid w:val="00FD20B7"/>
    <w:rsid w:val="00FD2DDD"/>
    <w:rsid w:val="00FD58E0"/>
    <w:rsid w:val="00FD7C60"/>
    <w:rsid w:val="00FE136E"/>
    <w:rsid w:val="00FE31BA"/>
    <w:rsid w:val="00FE3711"/>
    <w:rsid w:val="00FE4163"/>
    <w:rsid w:val="00FE4870"/>
    <w:rsid w:val="00FF16E6"/>
    <w:rsid w:val="00FF4D7E"/>
    <w:rsid w:val="00FF4F41"/>
    <w:rsid w:val="00FF5074"/>
    <w:rsid w:val="00FF5F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22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List Bullet" w:qFormat="1"/>
    <w:lsdException w:name="List Bullet 2" w:qFormat="1"/>
    <w:lsdException w:name="List Bullet 3"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46B"/>
    <w:rPr>
      <w:sz w:val="24"/>
      <w:szCs w:val="24"/>
      <w:lang w:val="en-GB" w:eastAsia="en-US"/>
    </w:rPr>
  </w:style>
  <w:style w:type="paragraph" w:styleId="Heading2">
    <w:name w:val="heading 2"/>
    <w:basedOn w:val="Normal"/>
    <w:next w:val="Normal"/>
    <w:qFormat/>
    <w:rsid w:val="00DD67D7"/>
    <w:pPr>
      <w:keepNext/>
      <w:tabs>
        <w:tab w:val="left" w:pos="567"/>
      </w:tabs>
      <w:spacing w:before="240" w:after="60" w:line="260" w:lineRule="exact"/>
      <w:outlineLvl w:val="1"/>
    </w:pPr>
    <w:rPr>
      <w:rFonts w:ascii="Helvetica" w:hAnsi="Helvetica"/>
      <w:b/>
      <w:i/>
      <w:szCs w:val="20"/>
    </w:rPr>
  </w:style>
  <w:style w:type="paragraph" w:styleId="Heading3">
    <w:name w:val="heading 3"/>
    <w:basedOn w:val="Normal"/>
    <w:next w:val="Normal"/>
    <w:link w:val="Heading3Char"/>
    <w:qFormat/>
    <w:rsid w:val="00FE31BA"/>
    <w:pPr>
      <w:keepNext/>
      <w:spacing w:before="240" w:after="60"/>
      <w:outlineLvl w:val="2"/>
    </w:pPr>
    <w:rPr>
      <w:rFonts w:ascii="Arial" w:hAnsi="Arial" w:cs="Arial"/>
      <w:b/>
      <w:bCs/>
      <w:sz w:val="26"/>
      <w:szCs w:val="26"/>
    </w:rPr>
  </w:style>
  <w:style w:type="paragraph" w:styleId="Heading6">
    <w:name w:val="heading 6"/>
    <w:basedOn w:val="Normal"/>
    <w:next w:val="Normal"/>
    <w:qFormat/>
    <w:rsid w:val="00DD67D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DD67D7"/>
    <w:pPr>
      <w:jc w:val="center"/>
    </w:pPr>
    <w:rPr>
      <w:i/>
      <w:iCs/>
      <w:sz w:val="48"/>
      <w:szCs w:val="20"/>
    </w:rPr>
  </w:style>
  <w:style w:type="paragraph" w:customStyle="1" w:styleId="C-TableHeader">
    <w:name w:val="C-Table Header"/>
    <w:next w:val="C-TableText"/>
    <w:link w:val="C-TableHeaderChar"/>
    <w:uiPriority w:val="99"/>
    <w:rsid w:val="00DD67D7"/>
    <w:pPr>
      <w:keepNext/>
      <w:spacing w:before="60" w:after="60"/>
    </w:pPr>
    <w:rPr>
      <w:b/>
      <w:sz w:val="22"/>
      <w:lang w:eastAsia="en-US"/>
    </w:rPr>
  </w:style>
  <w:style w:type="paragraph" w:customStyle="1" w:styleId="C-TableText">
    <w:name w:val="C-Table Text"/>
    <w:link w:val="C-TableTextChar"/>
    <w:rsid w:val="00DD67D7"/>
    <w:pPr>
      <w:spacing w:before="60" w:after="60"/>
    </w:pPr>
    <w:rPr>
      <w:sz w:val="22"/>
      <w:lang w:eastAsia="en-US"/>
    </w:rPr>
  </w:style>
  <w:style w:type="character" w:customStyle="1" w:styleId="C-BodyTextChar">
    <w:name w:val="C-Body Text Char"/>
    <w:basedOn w:val="DefaultParagraphFont"/>
    <w:link w:val="C-BodyText"/>
    <w:rsid w:val="00DD67D7"/>
    <w:rPr>
      <w:sz w:val="24"/>
      <w:lang w:val="en-US" w:eastAsia="en-US" w:bidi="ar-SA"/>
    </w:rPr>
  </w:style>
  <w:style w:type="paragraph" w:styleId="BodyText2">
    <w:name w:val="Body Text 2"/>
    <w:basedOn w:val="Normal"/>
    <w:rsid w:val="00DD67D7"/>
    <w:pPr>
      <w:tabs>
        <w:tab w:val="left" w:pos="567"/>
      </w:tabs>
      <w:spacing w:line="260" w:lineRule="exact"/>
    </w:pPr>
    <w:rPr>
      <w:b/>
      <w:bCs/>
      <w:sz w:val="22"/>
      <w:szCs w:val="20"/>
    </w:rPr>
  </w:style>
  <w:style w:type="paragraph" w:styleId="Title">
    <w:name w:val="Title"/>
    <w:basedOn w:val="Normal"/>
    <w:qFormat/>
    <w:rsid w:val="00DD67D7"/>
    <w:pPr>
      <w:autoSpaceDE w:val="0"/>
      <w:autoSpaceDN w:val="0"/>
      <w:adjustRightInd w:val="0"/>
      <w:jc w:val="center"/>
    </w:pPr>
    <w:rPr>
      <w:b/>
      <w:bCs/>
      <w:i/>
      <w:iCs/>
      <w:sz w:val="20"/>
      <w:szCs w:val="20"/>
      <w:lang w:val="en-US"/>
    </w:rPr>
  </w:style>
  <w:style w:type="paragraph" w:styleId="Header">
    <w:name w:val="header"/>
    <w:basedOn w:val="Normal"/>
    <w:rsid w:val="00DD67D7"/>
    <w:pPr>
      <w:tabs>
        <w:tab w:val="left" w:pos="567"/>
        <w:tab w:val="center" w:pos="4153"/>
        <w:tab w:val="right" w:pos="8306"/>
      </w:tabs>
    </w:pPr>
    <w:rPr>
      <w:rFonts w:ascii="Helvetica" w:hAnsi="Helvetica"/>
      <w:sz w:val="20"/>
      <w:szCs w:val="20"/>
    </w:rPr>
  </w:style>
  <w:style w:type="paragraph" w:styleId="Caption">
    <w:name w:val="caption"/>
    <w:basedOn w:val="Normal"/>
    <w:next w:val="Normal"/>
    <w:uiPriority w:val="35"/>
    <w:qFormat/>
    <w:rsid w:val="00DD67D7"/>
    <w:pPr>
      <w:suppressAutoHyphens/>
      <w:spacing w:before="120" w:after="120"/>
    </w:pPr>
    <w:rPr>
      <w:rFonts w:ascii="Arial" w:hAnsi="Arial"/>
      <w:b/>
      <w:bCs/>
      <w:sz w:val="20"/>
      <w:szCs w:val="20"/>
      <w:lang w:val="en-US"/>
    </w:rPr>
  </w:style>
  <w:style w:type="paragraph" w:customStyle="1" w:styleId="C-Bullet">
    <w:name w:val="C-Bullet"/>
    <w:rsid w:val="00DD67D7"/>
    <w:pPr>
      <w:tabs>
        <w:tab w:val="num" w:pos="720"/>
      </w:tabs>
      <w:spacing w:before="120" w:after="120" w:line="280" w:lineRule="atLeast"/>
      <w:ind w:left="720" w:hanging="360"/>
    </w:pPr>
    <w:rPr>
      <w:sz w:val="24"/>
      <w:lang w:eastAsia="en-US"/>
    </w:rPr>
  </w:style>
  <w:style w:type="paragraph" w:styleId="BodyText">
    <w:name w:val="Body Text"/>
    <w:basedOn w:val="Normal"/>
    <w:link w:val="BodyTextChar"/>
    <w:rsid w:val="00DD67D7"/>
    <w:pPr>
      <w:spacing w:after="120"/>
    </w:pPr>
  </w:style>
  <w:style w:type="paragraph" w:customStyle="1" w:styleId="C-TableFootnote">
    <w:name w:val="C-Table Footnote"/>
    <w:next w:val="Normal"/>
    <w:uiPriority w:val="99"/>
    <w:rsid w:val="00DD67D7"/>
    <w:pPr>
      <w:tabs>
        <w:tab w:val="left" w:pos="432"/>
      </w:tabs>
      <w:ind w:left="432" w:hanging="432"/>
    </w:pPr>
    <w:rPr>
      <w:rFonts w:cs="Arial"/>
      <w:lang w:eastAsia="en-US"/>
    </w:rPr>
  </w:style>
  <w:style w:type="paragraph" w:styleId="BalloonText">
    <w:name w:val="Balloon Text"/>
    <w:basedOn w:val="Normal"/>
    <w:semiHidden/>
    <w:rsid w:val="00DD67D7"/>
    <w:rPr>
      <w:rFonts w:ascii="Tahoma" w:hAnsi="Tahoma" w:cs="Tahoma"/>
      <w:sz w:val="16"/>
      <w:szCs w:val="16"/>
    </w:rPr>
  </w:style>
  <w:style w:type="paragraph" w:styleId="Footer">
    <w:name w:val="footer"/>
    <w:basedOn w:val="Normal"/>
    <w:link w:val="FooterChar"/>
    <w:uiPriority w:val="99"/>
    <w:rsid w:val="00F94C11"/>
    <w:pPr>
      <w:tabs>
        <w:tab w:val="center" w:pos="4153"/>
        <w:tab w:val="right" w:pos="8306"/>
      </w:tabs>
    </w:pPr>
  </w:style>
  <w:style w:type="paragraph" w:customStyle="1" w:styleId="text">
    <w:name w:val="text"/>
    <w:basedOn w:val="Normal"/>
    <w:rsid w:val="00F94C11"/>
    <w:rPr>
      <w:szCs w:val="20"/>
      <w:lang w:eastAsia="de-DE"/>
    </w:rPr>
  </w:style>
  <w:style w:type="character" w:styleId="PageNumber">
    <w:name w:val="page number"/>
    <w:basedOn w:val="DefaultParagraphFont"/>
    <w:rsid w:val="00706930"/>
  </w:style>
  <w:style w:type="table" w:styleId="TableGrid">
    <w:name w:val="Table Grid"/>
    <w:basedOn w:val="TableNormal"/>
    <w:uiPriority w:val="59"/>
    <w:rsid w:val="00E256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91322"/>
    <w:pPr>
      <w:autoSpaceDE w:val="0"/>
      <w:autoSpaceDN w:val="0"/>
      <w:adjustRightInd w:val="0"/>
    </w:pPr>
    <w:rPr>
      <w:rFonts w:eastAsia="SimSun"/>
      <w:color w:val="000000"/>
      <w:sz w:val="24"/>
      <w:szCs w:val="24"/>
      <w:lang w:val="en-AU"/>
    </w:rPr>
  </w:style>
  <w:style w:type="paragraph" w:styleId="NormalWeb">
    <w:name w:val="Normal (Web)"/>
    <w:basedOn w:val="Normal"/>
    <w:uiPriority w:val="99"/>
    <w:semiHidden/>
    <w:unhideWhenUsed/>
    <w:rsid w:val="00363EF0"/>
    <w:pPr>
      <w:spacing w:before="100" w:beforeAutospacing="1" w:after="100" w:afterAutospacing="1"/>
    </w:pPr>
    <w:rPr>
      <w:rFonts w:eastAsia="Calibri"/>
      <w:lang w:val="en-AU" w:eastAsia="en-AU"/>
    </w:rPr>
  </w:style>
  <w:style w:type="character" w:styleId="CommentReference">
    <w:name w:val="annotation reference"/>
    <w:basedOn w:val="DefaultParagraphFont"/>
    <w:rsid w:val="00034806"/>
    <w:rPr>
      <w:sz w:val="16"/>
      <w:szCs w:val="16"/>
    </w:rPr>
  </w:style>
  <w:style w:type="paragraph" w:styleId="CommentText">
    <w:name w:val="annotation text"/>
    <w:basedOn w:val="Normal"/>
    <w:link w:val="CommentTextChar"/>
    <w:rsid w:val="00034806"/>
    <w:rPr>
      <w:sz w:val="20"/>
      <w:szCs w:val="20"/>
    </w:rPr>
  </w:style>
  <w:style w:type="paragraph" w:styleId="CommentSubject">
    <w:name w:val="annotation subject"/>
    <w:basedOn w:val="CommentText"/>
    <w:next w:val="CommentText"/>
    <w:semiHidden/>
    <w:rsid w:val="00034806"/>
    <w:rPr>
      <w:b/>
      <w:bCs/>
    </w:rPr>
  </w:style>
  <w:style w:type="paragraph" w:styleId="PlainText">
    <w:name w:val="Plain Text"/>
    <w:basedOn w:val="Normal"/>
    <w:rsid w:val="00B514BC"/>
    <w:rPr>
      <w:rFonts w:ascii="Arial" w:hAnsi="Arial" w:cs="Arial"/>
      <w:sz w:val="20"/>
      <w:szCs w:val="20"/>
      <w:lang w:val="en-AU" w:eastAsia="en-AU"/>
    </w:rPr>
  </w:style>
  <w:style w:type="paragraph" w:customStyle="1" w:styleId="C-BodyText">
    <w:name w:val="C-Body Text"/>
    <w:link w:val="C-BodyTextChar"/>
    <w:rsid w:val="00164473"/>
    <w:pPr>
      <w:spacing w:before="120" w:after="120" w:line="280" w:lineRule="atLeast"/>
    </w:pPr>
    <w:rPr>
      <w:sz w:val="24"/>
      <w:lang w:eastAsia="en-US"/>
    </w:rPr>
  </w:style>
  <w:style w:type="character" w:customStyle="1" w:styleId="C-TableTextChar">
    <w:name w:val="C-Table Text Char"/>
    <w:basedOn w:val="DefaultParagraphFont"/>
    <w:link w:val="C-TableText"/>
    <w:locked/>
    <w:rsid w:val="006C3A8F"/>
    <w:rPr>
      <w:sz w:val="22"/>
      <w:lang w:val="en-US" w:eastAsia="en-US" w:bidi="ar-SA"/>
    </w:rPr>
  </w:style>
  <w:style w:type="character" w:customStyle="1" w:styleId="C-TableHeaderChar">
    <w:name w:val="C-Table Header Char"/>
    <w:basedOn w:val="DefaultParagraphFont"/>
    <w:link w:val="C-TableHeader"/>
    <w:rsid w:val="006C3A8F"/>
    <w:rPr>
      <w:b/>
      <w:sz w:val="22"/>
      <w:lang w:val="en-US" w:eastAsia="en-US" w:bidi="ar-SA"/>
    </w:rPr>
  </w:style>
  <w:style w:type="character" w:customStyle="1" w:styleId="Heading3Char">
    <w:name w:val="Heading 3 Char"/>
    <w:basedOn w:val="DefaultParagraphFont"/>
    <w:link w:val="Heading3"/>
    <w:rsid w:val="00FE31BA"/>
    <w:rPr>
      <w:rFonts w:ascii="Arial" w:hAnsi="Arial" w:cs="Arial"/>
      <w:b/>
      <w:bCs/>
      <w:sz w:val="26"/>
      <w:szCs w:val="26"/>
      <w:lang w:val="en-GB" w:eastAsia="en-US" w:bidi="ar-SA"/>
    </w:rPr>
  </w:style>
  <w:style w:type="paragraph" w:styleId="ListParagraph">
    <w:name w:val="List Paragraph"/>
    <w:basedOn w:val="Normal"/>
    <w:uiPriority w:val="34"/>
    <w:qFormat/>
    <w:rsid w:val="00215DC0"/>
    <w:pPr>
      <w:ind w:left="720"/>
      <w:contextualSpacing/>
    </w:pPr>
  </w:style>
  <w:style w:type="paragraph" w:styleId="Revision">
    <w:name w:val="Revision"/>
    <w:hidden/>
    <w:uiPriority w:val="99"/>
    <w:semiHidden/>
    <w:rsid w:val="00920DC1"/>
    <w:rPr>
      <w:sz w:val="24"/>
      <w:szCs w:val="24"/>
      <w:lang w:val="en-GB" w:eastAsia="en-US"/>
    </w:rPr>
  </w:style>
  <w:style w:type="character" w:customStyle="1" w:styleId="CommentTextChar">
    <w:name w:val="Comment Text Char"/>
    <w:basedOn w:val="DefaultParagraphFont"/>
    <w:link w:val="CommentText"/>
    <w:rsid w:val="0083243A"/>
    <w:rPr>
      <w:lang w:val="en-GB" w:eastAsia="en-US"/>
    </w:rPr>
  </w:style>
  <w:style w:type="paragraph" w:customStyle="1" w:styleId="TableCellText10pt">
    <w:name w:val="Table Cell Text 10pt"/>
    <w:basedOn w:val="Normal"/>
    <w:rsid w:val="0087012B"/>
    <w:pPr>
      <w:keepNext/>
      <w:spacing w:before="40" w:after="40"/>
    </w:pPr>
    <w:rPr>
      <w:kern w:val="24"/>
      <w:sz w:val="20"/>
      <w:lang w:val="en-US" w:eastAsia="ja-JP"/>
    </w:rPr>
  </w:style>
  <w:style w:type="paragraph" w:customStyle="1" w:styleId="TableCellHeading10pt">
    <w:name w:val="Table Cell Heading 10pt"/>
    <w:basedOn w:val="Normal"/>
    <w:rsid w:val="0087012B"/>
    <w:pPr>
      <w:keepNext/>
      <w:spacing w:before="40" w:after="40"/>
      <w:jc w:val="center"/>
    </w:pPr>
    <w:rPr>
      <w:b/>
      <w:kern w:val="20"/>
      <w:sz w:val="20"/>
      <w:lang w:val="en-US" w:eastAsia="ja-JP"/>
    </w:rPr>
  </w:style>
  <w:style w:type="character" w:customStyle="1" w:styleId="BodyTextChar">
    <w:name w:val="Body Text Char"/>
    <w:basedOn w:val="DefaultParagraphFont"/>
    <w:link w:val="BodyText"/>
    <w:rsid w:val="00F57BA4"/>
    <w:rPr>
      <w:sz w:val="24"/>
      <w:szCs w:val="24"/>
      <w:lang w:val="en-GB" w:eastAsia="en-US"/>
    </w:rPr>
  </w:style>
  <w:style w:type="character" w:customStyle="1" w:styleId="FooterChar">
    <w:name w:val="Footer Char"/>
    <w:basedOn w:val="DefaultParagraphFont"/>
    <w:link w:val="Footer"/>
    <w:uiPriority w:val="99"/>
    <w:rsid w:val="007C60B6"/>
    <w:rPr>
      <w:sz w:val="24"/>
      <w:szCs w:val="24"/>
      <w:lang w:val="en-GB" w:eastAsia="en-US"/>
    </w:rPr>
  </w:style>
  <w:style w:type="paragraph" w:styleId="ListBullet">
    <w:name w:val="List Bullet"/>
    <w:basedOn w:val="Normal"/>
    <w:uiPriority w:val="99"/>
    <w:qFormat/>
    <w:rsid w:val="007C60B6"/>
    <w:pPr>
      <w:numPr>
        <w:numId w:val="22"/>
      </w:numPr>
      <w:spacing w:before="120" w:after="180" w:line="240" w:lineRule="atLeast"/>
    </w:pPr>
    <w:rPr>
      <w:rFonts w:ascii="Cambria" w:eastAsia="Cambria" w:hAnsi="Cambria"/>
      <w:sz w:val="22"/>
      <w:szCs w:val="22"/>
      <w:lang w:val="en-AU"/>
    </w:rPr>
  </w:style>
  <w:style w:type="paragraph" w:styleId="ListBullet2">
    <w:name w:val="List Bullet 2"/>
    <w:basedOn w:val="Normal"/>
    <w:uiPriority w:val="99"/>
    <w:qFormat/>
    <w:rsid w:val="007C60B6"/>
    <w:pPr>
      <w:numPr>
        <w:ilvl w:val="1"/>
        <w:numId w:val="22"/>
      </w:numPr>
      <w:spacing w:before="120" w:after="180" w:line="240" w:lineRule="atLeast"/>
    </w:pPr>
    <w:rPr>
      <w:rFonts w:ascii="Cambria" w:eastAsia="Cambria" w:hAnsi="Cambria"/>
      <w:sz w:val="22"/>
      <w:szCs w:val="22"/>
      <w:lang w:val="en-AU"/>
    </w:rPr>
  </w:style>
  <w:style w:type="paragraph" w:styleId="ListBullet3">
    <w:name w:val="List Bullet 3"/>
    <w:basedOn w:val="Normal"/>
    <w:uiPriority w:val="99"/>
    <w:qFormat/>
    <w:rsid w:val="007C60B6"/>
    <w:pPr>
      <w:numPr>
        <w:ilvl w:val="2"/>
        <w:numId w:val="22"/>
      </w:numPr>
      <w:spacing w:before="120" w:after="180" w:line="240" w:lineRule="atLeast"/>
    </w:pPr>
    <w:rPr>
      <w:rFonts w:ascii="Cambria" w:eastAsia="Cambria" w:hAnsi="Cambria"/>
      <w:sz w:val="22"/>
      <w:szCs w:val="22"/>
      <w:lang w:val="en-AU"/>
    </w:rPr>
  </w:style>
  <w:style w:type="numbering" w:customStyle="1" w:styleId="ListBullets">
    <w:name w:val="ListBullets"/>
    <w:uiPriority w:val="99"/>
    <w:locked/>
    <w:rsid w:val="007C60B6"/>
    <w:pPr>
      <w:numPr>
        <w:numId w:val="22"/>
      </w:numPr>
    </w:pPr>
  </w:style>
</w:styles>
</file>

<file path=word/webSettings.xml><?xml version="1.0" encoding="utf-8"?>
<w:webSettings xmlns:r="http://schemas.openxmlformats.org/officeDocument/2006/relationships" xmlns:w="http://schemas.openxmlformats.org/wordprocessingml/2006/main">
  <w:divs>
    <w:div w:id="427652609">
      <w:bodyDiv w:val="1"/>
      <w:marLeft w:val="0"/>
      <w:marRight w:val="0"/>
      <w:marTop w:val="0"/>
      <w:marBottom w:val="0"/>
      <w:divBdr>
        <w:top w:val="none" w:sz="0" w:space="0" w:color="auto"/>
        <w:left w:val="none" w:sz="0" w:space="0" w:color="auto"/>
        <w:bottom w:val="none" w:sz="0" w:space="0" w:color="auto"/>
        <w:right w:val="none" w:sz="0" w:space="0" w:color="auto"/>
      </w:divBdr>
      <w:divsChild>
        <w:div w:id="50078059">
          <w:marLeft w:val="0"/>
          <w:marRight w:val="0"/>
          <w:marTop w:val="0"/>
          <w:marBottom w:val="0"/>
          <w:divBdr>
            <w:top w:val="none" w:sz="0" w:space="0" w:color="auto"/>
            <w:left w:val="none" w:sz="0" w:space="0" w:color="auto"/>
            <w:bottom w:val="none" w:sz="0" w:space="0" w:color="auto"/>
            <w:right w:val="none" w:sz="0" w:space="0" w:color="auto"/>
          </w:divBdr>
        </w:div>
      </w:divsChild>
    </w:div>
    <w:div w:id="496729851">
      <w:bodyDiv w:val="1"/>
      <w:marLeft w:val="0"/>
      <w:marRight w:val="0"/>
      <w:marTop w:val="0"/>
      <w:marBottom w:val="0"/>
      <w:divBdr>
        <w:top w:val="none" w:sz="0" w:space="0" w:color="auto"/>
        <w:left w:val="none" w:sz="0" w:space="0" w:color="auto"/>
        <w:bottom w:val="none" w:sz="0" w:space="0" w:color="auto"/>
        <w:right w:val="none" w:sz="0" w:space="0" w:color="auto"/>
      </w:divBdr>
    </w:div>
    <w:div w:id="1265655071">
      <w:bodyDiv w:val="1"/>
      <w:marLeft w:val="0"/>
      <w:marRight w:val="0"/>
      <w:marTop w:val="0"/>
      <w:marBottom w:val="0"/>
      <w:divBdr>
        <w:top w:val="none" w:sz="0" w:space="0" w:color="auto"/>
        <w:left w:val="none" w:sz="0" w:space="0" w:color="auto"/>
        <w:bottom w:val="none" w:sz="0" w:space="0" w:color="auto"/>
        <w:right w:val="none" w:sz="0" w:space="0" w:color="auto"/>
      </w:divBdr>
    </w:div>
    <w:div w:id="1994793103">
      <w:bodyDiv w:val="1"/>
      <w:marLeft w:val="0"/>
      <w:marRight w:val="0"/>
      <w:marTop w:val="0"/>
      <w:marBottom w:val="0"/>
      <w:divBdr>
        <w:top w:val="none" w:sz="0" w:space="0" w:color="auto"/>
        <w:left w:val="none" w:sz="0" w:space="0" w:color="auto"/>
        <w:bottom w:val="none" w:sz="0" w:space="0" w:color="auto"/>
        <w:right w:val="none" w:sz="0" w:space="0" w:color="auto"/>
      </w:divBdr>
    </w:div>
    <w:div w:id="210364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BFCF0-8350-4206-9A91-7A9F306A8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4645</Words>
  <Characters>26153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Attachment 1. Product Information for romidepsin</vt:lpstr>
    </vt:vector>
  </TitlesOfParts>
  <Company>Celgene Australia Pty Ltd</Company>
  <LinksUpToDate>false</LinksUpToDate>
  <CharactersWithSpaces>30737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romidepsin</dc:title>
  <dc:subject>prescription medicine regulation</dc:subject>
  <dc:creator>Celgene Australia Pty Ltd</dc:creator>
  <cp:keywords>product, information, prescription, medicine, regulation, romidepsin, istodax, celgene, australia</cp:keywords>
  <cp:lastModifiedBy>dixonj</cp:lastModifiedBy>
  <cp:revision>13</cp:revision>
  <cp:lastPrinted>2013-07-17T04:29:00Z</cp:lastPrinted>
  <dcterms:created xsi:type="dcterms:W3CDTF">2013-07-23T06:35:00Z</dcterms:created>
  <dcterms:modified xsi:type="dcterms:W3CDTF">2013-12-05T23:16:00Z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