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20"/>
      </w:tblGrid>
      <w:tr w:rsidR="008E7846" w:rsidRPr="00487162" w:rsidTr="00AF086C">
        <w:trPr>
          <w:trHeight w:val="1863"/>
        </w:trPr>
        <w:tc>
          <w:tcPr>
            <w:tcW w:w="5920" w:type="dxa"/>
            <w:tcBorders>
              <w:top w:val="nil"/>
              <w:left w:val="nil"/>
              <w:bottom w:val="nil"/>
              <w:right w:val="nil"/>
            </w:tcBorders>
          </w:tcPr>
          <w:p w:rsidR="008E7846" w:rsidRPr="0017078F" w:rsidRDefault="00AF086C" w:rsidP="0017078F">
            <w:pPr>
              <w:rPr>
                <w:rFonts w:ascii="Arial" w:hAnsi="Arial" w:cs="Arial"/>
                <w:b/>
                <w:color w:val="002C47"/>
                <w:sz w:val="36"/>
                <w:szCs w:val="36"/>
              </w:rPr>
            </w:pPr>
            <w:r>
              <w:rPr>
                <w:rFonts w:ascii="Arial" w:hAnsi="Arial" w:cs="Arial"/>
                <w:b/>
                <w:color w:val="002C47"/>
                <w:sz w:val="36"/>
                <w:szCs w:val="36"/>
              </w:rPr>
              <w:t xml:space="preserve">Date </w:t>
            </w:r>
            <w:r w:rsidR="0017078F">
              <w:rPr>
                <w:rFonts w:ascii="Arial" w:hAnsi="Arial" w:cs="Arial"/>
                <w:b/>
                <w:color w:val="002C47"/>
                <w:sz w:val="36"/>
                <w:szCs w:val="36"/>
              </w:rPr>
              <w:t>of CER</w:t>
            </w:r>
            <w:r>
              <w:rPr>
                <w:rFonts w:ascii="Arial" w:hAnsi="Arial" w:cs="Arial"/>
                <w:b/>
                <w:color w:val="002C47"/>
                <w:sz w:val="36"/>
                <w:szCs w:val="36"/>
              </w:rPr>
              <w:t>: August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AF086C">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AF086C" w:rsidRPr="00AF086C">
              <w:rPr>
                <w:color w:val="FFFFFF" w:themeColor="background1"/>
              </w:rPr>
              <w:t>Romidepsin</w:t>
            </w:r>
          </w:p>
        </w:tc>
      </w:tr>
      <w:tr w:rsidR="00E07F15" w:rsidRPr="00B64760" w:rsidTr="00E07F15">
        <w:tc>
          <w:tcPr>
            <w:tcW w:w="9079" w:type="dxa"/>
          </w:tcPr>
          <w:p w:rsidR="00E07F15" w:rsidRPr="008E7846" w:rsidRDefault="00E07F15" w:rsidP="00AF086C">
            <w:pPr>
              <w:pStyle w:val="Subtitle"/>
              <w:rPr>
                <w:color w:val="FFFFFF" w:themeColor="background1"/>
              </w:rPr>
            </w:pPr>
            <w:r w:rsidRPr="008E7846">
              <w:rPr>
                <w:color w:val="FFFFFF" w:themeColor="background1"/>
              </w:rPr>
              <w:t xml:space="preserve">Proprietary Product Name: </w:t>
            </w:r>
            <w:proofErr w:type="spellStart"/>
            <w:r w:rsidR="00AF086C">
              <w:rPr>
                <w:color w:val="FFFFFF" w:themeColor="background1"/>
              </w:rPr>
              <w:t>Istodax</w:t>
            </w:r>
            <w:proofErr w:type="spellEnd"/>
          </w:p>
        </w:tc>
      </w:tr>
      <w:tr w:rsidR="00E07F15" w:rsidRPr="00B64760" w:rsidTr="00E07F15">
        <w:trPr>
          <w:trHeight w:val="486"/>
        </w:trPr>
        <w:tc>
          <w:tcPr>
            <w:tcW w:w="9079" w:type="dxa"/>
          </w:tcPr>
          <w:p w:rsidR="00E07F15" w:rsidRPr="008E7846" w:rsidRDefault="00E07F15" w:rsidP="00AF086C">
            <w:pPr>
              <w:pStyle w:val="Subtitle"/>
              <w:rPr>
                <w:color w:val="FFFFFF" w:themeColor="background1"/>
              </w:rPr>
            </w:pPr>
            <w:r w:rsidRPr="008E7846">
              <w:rPr>
                <w:color w:val="FFFFFF" w:themeColor="background1"/>
              </w:rPr>
              <w:t xml:space="preserve">Sponsor: </w:t>
            </w:r>
            <w:r w:rsidR="00AF086C" w:rsidRPr="00AF086C">
              <w:rPr>
                <w:color w:val="FFFFFF" w:themeColor="background1"/>
                <w:lang w:val="pt-BR"/>
              </w:rPr>
              <w:t>Celgene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r w:rsidR="00CC4A71">
        <w:t xml:space="preserve"> Corrections in accordance with the sponsor’s Notification document dated March 2013 have been made to this </w:t>
      </w:r>
      <w:r w:rsidR="00B57E1D">
        <w:t>Extract</w:t>
      </w:r>
      <w:r w:rsidR="00CC4A71">
        <w:t>.</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C833C6">
      <w:pPr>
        <w:pStyle w:val="LegalSubheading"/>
        <w:spacing w:before="40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5926BA" w:rsidRDefault="004A2A0F">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74006722" w:history="1">
            <w:r w:rsidR="005926BA" w:rsidRPr="00243873">
              <w:rPr>
                <w:rStyle w:val="Hyperlink"/>
                <w:noProof/>
              </w:rPr>
              <w:t>List of abbreviations</w:t>
            </w:r>
            <w:r w:rsidR="005926BA">
              <w:rPr>
                <w:noProof/>
                <w:webHidden/>
              </w:rPr>
              <w:tab/>
            </w:r>
            <w:r w:rsidR="005926BA">
              <w:rPr>
                <w:noProof/>
                <w:webHidden/>
              </w:rPr>
              <w:fldChar w:fldCharType="begin"/>
            </w:r>
            <w:r w:rsidR="005926BA">
              <w:rPr>
                <w:noProof/>
                <w:webHidden/>
              </w:rPr>
              <w:instrText xml:space="preserve"> PAGEREF _Toc374006722 \h </w:instrText>
            </w:r>
            <w:r w:rsidR="005926BA">
              <w:rPr>
                <w:noProof/>
                <w:webHidden/>
              </w:rPr>
            </w:r>
            <w:r w:rsidR="005926BA">
              <w:rPr>
                <w:noProof/>
                <w:webHidden/>
              </w:rPr>
              <w:fldChar w:fldCharType="separate"/>
            </w:r>
            <w:r w:rsidR="005926BA">
              <w:rPr>
                <w:noProof/>
                <w:webHidden/>
              </w:rPr>
              <w:t>4</w:t>
            </w:r>
            <w:r w:rsidR="005926BA">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23" w:history="1">
            <w:r w:rsidRPr="00243873">
              <w:rPr>
                <w:rStyle w:val="Hyperlink"/>
                <w:noProof/>
                <w:lang w:eastAsia="en-AU"/>
              </w:rPr>
              <w:t>1.</w:t>
            </w:r>
            <w:r>
              <w:rPr>
                <w:rFonts w:asciiTheme="minorHAnsi" w:eastAsiaTheme="minorEastAsia" w:hAnsiTheme="minorHAnsi" w:cstheme="minorBidi"/>
                <w:b w:val="0"/>
                <w:noProof/>
                <w:sz w:val="22"/>
                <w:lang w:eastAsia="en-AU"/>
              </w:rPr>
              <w:tab/>
            </w:r>
            <w:r w:rsidRPr="00243873">
              <w:rPr>
                <w:rStyle w:val="Hyperlink"/>
                <w:noProof/>
                <w:lang w:eastAsia="en-AU"/>
              </w:rPr>
              <w:t>Introduction</w:t>
            </w:r>
            <w:r>
              <w:rPr>
                <w:noProof/>
                <w:webHidden/>
              </w:rPr>
              <w:tab/>
            </w:r>
            <w:r>
              <w:rPr>
                <w:noProof/>
                <w:webHidden/>
              </w:rPr>
              <w:fldChar w:fldCharType="begin"/>
            </w:r>
            <w:r>
              <w:rPr>
                <w:noProof/>
                <w:webHidden/>
              </w:rPr>
              <w:instrText xml:space="preserve"> PAGEREF _Toc374006723 \h </w:instrText>
            </w:r>
            <w:r>
              <w:rPr>
                <w:noProof/>
                <w:webHidden/>
              </w:rPr>
            </w:r>
            <w:r>
              <w:rPr>
                <w:noProof/>
                <w:webHidden/>
              </w:rPr>
              <w:fldChar w:fldCharType="separate"/>
            </w:r>
            <w:r>
              <w:rPr>
                <w:noProof/>
                <w:webHidden/>
              </w:rPr>
              <w:t>7</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24" w:history="1">
            <w:r w:rsidRPr="00243873">
              <w:rPr>
                <w:rStyle w:val="Hyperlink"/>
                <w:noProof/>
              </w:rPr>
              <w:t>2.</w:t>
            </w:r>
            <w:r>
              <w:rPr>
                <w:rFonts w:asciiTheme="minorHAnsi" w:eastAsiaTheme="minorEastAsia" w:hAnsiTheme="minorHAnsi" w:cstheme="minorBidi"/>
                <w:b w:val="0"/>
                <w:noProof/>
                <w:sz w:val="22"/>
                <w:lang w:eastAsia="en-AU"/>
              </w:rPr>
              <w:tab/>
            </w:r>
            <w:r w:rsidRPr="00243873">
              <w:rPr>
                <w:rStyle w:val="Hyperlink"/>
                <w:noProof/>
              </w:rPr>
              <w:t>Clinical rationale</w:t>
            </w:r>
            <w:r>
              <w:rPr>
                <w:noProof/>
                <w:webHidden/>
              </w:rPr>
              <w:tab/>
            </w:r>
            <w:r>
              <w:rPr>
                <w:noProof/>
                <w:webHidden/>
              </w:rPr>
              <w:fldChar w:fldCharType="begin"/>
            </w:r>
            <w:r>
              <w:rPr>
                <w:noProof/>
                <w:webHidden/>
              </w:rPr>
              <w:instrText xml:space="preserve"> PAGEREF _Toc374006724 \h </w:instrText>
            </w:r>
            <w:r>
              <w:rPr>
                <w:noProof/>
                <w:webHidden/>
              </w:rPr>
            </w:r>
            <w:r>
              <w:rPr>
                <w:noProof/>
                <w:webHidden/>
              </w:rPr>
              <w:fldChar w:fldCharType="separate"/>
            </w:r>
            <w:r>
              <w:rPr>
                <w:noProof/>
                <w:webHidden/>
              </w:rPr>
              <w:t>7</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25" w:history="1">
            <w:r w:rsidRPr="00243873">
              <w:rPr>
                <w:rStyle w:val="Hyperlink"/>
                <w:noProof/>
                <w:lang w:eastAsia="en-AU"/>
              </w:rPr>
              <w:t>3.</w:t>
            </w:r>
            <w:r>
              <w:rPr>
                <w:rFonts w:asciiTheme="minorHAnsi" w:eastAsiaTheme="minorEastAsia" w:hAnsiTheme="minorHAnsi" w:cstheme="minorBidi"/>
                <w:b w:val="0"/>
                <w:noProof/>
                <w:sz w:val="22"/>
                <w:lang w:eastAsia="en-AU"/>
              </w:rPr>
              <w:tab/>
            </w:r>
            <w:r w:rsidRPr="00243873">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_Toc374006725 \h </w:instrText>
            </w:r>
            <w:r>
              <w:rPr>
                <w:noProof/>
                <w:webHidden/>
              </w:rPr>
            </w:r>
            <w:r>
              <w:rPr>
                <w:noProof/>
                <w:webHidden/>
              </w:rPr>
              <w:fldChar w:fldCharType="separate"/>
            </w:r>
            <w:r>
              <w:rPr>
                <w:noProof/>
                <w:webHidden/>
              </w:rPr>
              <w:t>8</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26" w:history="1">
            <w:r w:rsidRPr="00243873">
              <w:rPr>
                <w:rStyle w:val="Hyperlink"/>
                <w:noProof/>
              </w:rPr>
              <w:t>3.1.</w:t>
            </w:r>
            <w:r>
              <w:rPr>
                <w:rFonts w:asciiTheme="minorHAnsi" w:eastAsiaTheme="minorEastAsia" w:hAnsiTheme="minorHAnsi" w:cstheme="minorBidi"/>
                <w:noProof/>
                <w:lang w:eastAsia="en-AU"/>
              </w:rPr>
              <w:tab/>
            </w:r>
            <w:r w:rsidRPr="00243873">
              <w:rPr>
                <w:rStyle w:val="Hyperlink"/>
                <w:noProof/>
              </w:rPr>
              <w:t>Scope of the clinical dossier</w:t>
            </w:r>
            <w:r>
              <w:rPr>
                <w:noProof/>
                <w:webHidden/>
              </w:rPr>
              <w:tab/>
            </w:r>
            <w:r>
              <w:rPr>
                <w:noProof/>
                <w:webHidden/>
              </w:rPr>
              <w:fldChar w:fldCharType="begin"/>
            </w:r>
            <w:r>
              <w:rPr>
                <w:noProof/>
                <w:webHidden/>
              </w:rPr>
              <w:instrText xml:space="preserve"> PAGEREF _Toc374006726 \h </w:instrText>
            </w:r>
            <w:r>
              <w:rPr>
                <w:noProof/>
                <w:webHidden/>
              </w:rPr>
            </w:r>
            <w:r>
              <w:rPr>
                <w:noProof/>
                <w:webHidden/>
              </w:rPr>
              <w:fldChar w:fldCharType="separate"/>
            </w:r>
            <w:r>
              <w:rPr>
                <w:noProof/>
                <w:webHidden/>
              </w:rPr>
              <w:t>8</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27" w:history="1">
            <w:r w:rsidRPr="00243873">
              <w:rPr>
                <w:rStyle w:val="Hyperlink"/>
                <w:noProof/>
              </w:rPr>
              <w:t>3.2.</w:t>
            </w:r>
            <w:r>
              <w:rPr>
                <w:rFonts w:asciiTheme="minorHAnsi" w:eastAsiaTheme="minorEastAsia" w:hAnsiTheme="minorHAnsi" w:cstheme="minorBidi"/>
                <w:noProof/>
                <w:lang w:eastAsia="en-AU"/>
              </w:rPr>
              <w:tab/>
            </w:r>
            <w:r w:rsidRPr="00243873">
              <w:rPr>
                <w:rStyle w:val="Hyperlink"/>
                <w:noProof/>
              </w:rPr>
              <w:t>Paediatric data</w:t>
            </w:r>
            <w:r>
              <w:rPr>
                <w:noProof/>
                <w:webHidden/>
              </w:rPr>
              <w:tab/>
            </w:r>
            <w:r>
              <w:rPr>
                <w:noProof/>
                <w:webHidden/>
              </w:rPr>
              <w:fldChar w:fldCharType="begin"/>
            </w:r>
            <w:r>
              <w:rPr>
                <w:noProof/>
                <w:webHidden/>
              </w:rPr>
              <w:instrText xml:space="preserve"> PAGEREF _Toc374006727 \h </w:instrText>
            </w:r>
            <w:r>
              <w:rPr>
                <w:noProof/>
                <w:webHidden/>
              </w:rPr>
            </w:r>
            <w:r>
              <w:rPr>
                <w:noProof/>
                <w:webHidden/>
              </w:rPr>
              <w:fldChar w:fldCharType="separate"/>
            </w:r>
            <w:r>
              <w:rPr>
                <w:noProof/>
                <w:webHidden/>
              </w:rPr>
              <w:t>13</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28" w:history="1">
            <w:r w:rsidRPr="00243873">
              <w:rPr>
                <w:rStyle w:val="Hyperlink"/>
                <w:noProof/>
              </w:rPr>
              <w:t>3.3.</w:t>
            </w:r>
            <w:r>
              <w:rPr>
                <w:rFonts w:asciiTheme="minorHAnsi" w:eastAsiaTheme="minorEastAsia" w:hAnsiTheme="minorHAnsi" w:cstheme="minorBidi"/>
                <w:noProof/>
                <w:lang w:eastAsia="en-AU"/>
              </w:rPr>
              <w:tab/>
            </w:r>
            <w:r w:rsidRPr="00243873">
              <w:rPr>
                <w:rStyle w:val="Hyperlink"/>
                <w:noProof/>
              </w:rPr>
              <w:t>Good clinical practice</w:t>
            </w:r>
            <w:r>
              <w:rPr>
                <w:noProof/>
                <w:webHidden/>
              </w:rPr>
              <w:tab/>
            </w:r>
            <w:r>
              <w:rPr>
                <w:noProof/>
                <w:webHidden/>
              </w:rPr>
              <w:fldChar w:fldCharType="begin"/>
            </w:r>
            <w:r>
              <w:rPr>
                <w:noProof/>
                <w:webHidden/>
              </w:rPr>
              <w:instrText xml:space="preserve"> PAGEREF _Toc374006728 \h </w:instrText>
            </w:r>
            <w:r>
              <w:rPr>
                <w:noProof/>
                <w:webHidden/>
              </w:rPr>
            </w:r>
            <w:r>
              <w:rPr>
                <w:noProof/>
                <w:webHidden/>
              </w:rPr>
              <w:fldChar w:fldCharType="separate"/>
            </w:r>
            <w:r>
              <w:rPr>
                <w:noProof/>
                <w:webHidden/>
              </w:rPr>
              <w:t>13</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29" w:history="1">
            <w:r w:rsidRPr="00243873">
              <w:rPr>
                <w:rStyle w:val="Hyperlink"/>
                <w:noProof/>
              </w:rPr>
              <w:t>4.</w:t>
            </w:r>
            <w:r>
              <w:rPr>
                <w:rFonts w:asciiTheme="minorHAnsi" w:eastAsiaTheme="minorEastAsia" w:hAnsiTheme="minorHAnsi" w:cstheme="minorBidi"/>
                <w:b w:val="0"/>
                <w:noProof/>
                <w:sz w:val="22"/>
                <w:lang w:eastAsia="en-AU"/>
              </w:rPr>
              <w:tab/>
            </w:r>
            <w:r w:rsidRPr="00243873">
              <w:rPr>
                <w:rStyle w:val="Hyperlink"/>
                <w:noProof/>
              </w:rPr>
              <w:t>Pharmacokinetics and pharmacodynamics</w:t>
            </w:r>
            <w:r>
              <w:rPr>
                <w:noProof/>
                <w:webHidden/>
              </w:rPr>
              <w:tab/>
            </w:r>
            <w:r>
              <w:rPr>
                <w:noProof/>
                <w:webHidden/>
              </w:rPr>
              <w:fldChar w:fldCharType="begin"/>
            </w:r>
            <w:r>
              <w:rPr>
                <w:noProof/>
                <w:webHidden/>
              </w:rPr>
              <w:instrText xml:space="preserve"> PAGEREF _Toc374006729 \h </w:instrText>
            </w:r>
            <w:r>
              <w:rPr>
                <w:noProof/>
                <w:webHidden/>
              </w:rPr>
            </w:r>
            <w:r>
              <w:rPr>
                <w:noProof/>
                <w:webHidden/>
              </w:rPr>
              <w:fldChar w:fldCharType="separate"/>
            </w:r>
            <w:r>
              <w:rPr>
                <w:noProof/>
                <w:webHidden/>
              </w:rPr>
              <w:t>13</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0" w:history="1">
            <w:r w:rsidRPr="00243873">
              <w:rPr>
                <w:rStyle w:val="Hyperlink"/>
                <w:noProof/>
              </w:rPr>
              <w:t>4.1.</w:t>
            </w:r>
            <w:r>
              <w:rPr>
                <w:rFonts w:asciiTheme="minorHAnsi" w:eastAsiaTheme="minorEastAsia" w:hAnsiTheme="minorHAnsi" w:cstheme="minorBidi"/>
                <w:noProof/>
                <w:lang w:eastAsia="en-AU"/>
              </w:rPr>
              <w:tab/>
            </w:r>
            <w:r w:rsidRPr="00243873">
              <w:rPr>
                <w:rStyle w:val="Hyperlink"/>
                <w:noProof/>
              </w:rPr>
              <w:t>Studies providing pharmacokinetic and pharmacodynamic data</w:t>
            </w:r>
            <w:r>
              <w:rPr>
                <w:noProof/>
                <w:webHidden/>
              </w:rPr>
              <w:tab/>
            </w:r>
            <w:r>
              <w:rPr>
                <w:noProof/>
                <w:webHidden/>
              </w:rPr>
              <w:fldChar w:fldCharType="begin"/>
            </w:r>
            <w:r>
              <w:rPr>
                <w:noProof/>
                <w:webHidden/>
              </w:rPr>
              <w:instrText xml:space="preserve"> PAGEREF _Toc374006730 \h </w:instrText>
            </w:r>
            <w:r>
              <w:rPr>
                <w:noProof/>
                <w:webHidden/>
              </w:rPr>
            </w:r>
            <w:r>
              <w:rPr>
                <w:noProof/>
                <w:webHidden/>
              </w:rPr>
              <w:fldChar w:fldCharType="separate"/>
            </w:r>
            <w:r>
              <w:rPr>
                <w:noProof/>
                <w:webHidden/>
              </w:rPr>
              <w:t>13</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1" w:history="1">
            <w:r w:rsidRPr="00243873">
              <w:rPr>
                <w:rStyle w:val="Hyperlink"/>
                <w:noProof/>
              </w:rPr>
              <w:t>4.2.</w:t>
            </w:r>
            <w:r>
              <w:rPr>
                <w:rFonts w:asciiTheme="minorHAnsi" w:eastAsiaTheme="minorEastAsia" w:hAnsiTheme="minorHAnsi" w:cstheme="minorBidi"/>
                <w:noProof/>
                <w:lang w:eastAsia="en-AU"/>
              </w:rPr>
              <w:tab/>
            </w:r>
            <w:r w:rsidRPr="00243873">
              <w:rPr>
                <w:rStyle w:val="Hyperlink"/>
                <w:noProof/>
              </w:rPr>
              <w:t>Study T-95-0077</w:t>
            </w:r>
            <w:r>
              <w:rPr>
                <w:noProof/>
                <w:webHidden/>
              </w:rPr>
              <w:tab/>
            </w:r>
            <w:r>
              <w:rPr>
                <w:noProof/>
                <w:webHidden/>
              </w:rPr>
              <w:fldChar w:fldCharType="begin"/>
            </w:r>
            <w:r>
              <w:rPr>
                <w:noProof/>
                <w:webHidden/>
              </w:rPr>
              <w:instrText xml:space="preserve"> PAGEREF _Toc374006731 \h </w:instrText>
            </w:r>
            <w:r>
              <w:rPr>
                <w:noProof/>
                <w:webHidden/>
              </w:rPr>
            </w:r>
            <w:r>
              <w:rPr>
                <w:noProof/>
                <w:webHidden/>
              </w:rPr>
              <w:fldChar w:fldCharType="separate"/>
            </w:r>
            <w:r>
              <w:rPr>
                <w:noProof/>
                <w:webHidden/>
              </w:rPr>
              <w:t>13</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2" w:history="1">
            <w:r w:rsidRPr="00243873">
              <w:rPr>
                <w:rStyle w:val="Hyperlink"/>
                <w:noProof/>
              </w:rPr>
              <w:t>4.3.</w:t>
            </w:r>
            <w:r>
              <w:rPr>
                <w:rFonts w:asciiTheme="minorHAnsi" w:eastAsiaTheme="minorEastAsia" w:hAnsiTheme="minorHAnsi" w:cstheme="minorBidi"/>
                <w:noProof/>
                <w:lang w:eastAsia="en-AU"/>
              </w:rPr>
              <w:tab/>
            </w:r>
            <w:r w:rsidRPr="00243873">
              <w:rPr>
                <w:rStyle w:val="Hyperlink"/>
                <w:noProof/>
              </w:rPr>
              <w:t>Study T-95-0022</w:t>
            </w:r>
            <w:r>
              <w:rPr>
                <w:noProof/>
                <w:webHidden/>
              </w:rPr>
              <w:tab/>
            </w:r>
            <w:r>
              <w:rPr>
                <w:noProof/>
                <w:webHidden/>
              </w:rPr>
              <w:fldChar w:fldCharType="begin"/>
            </w:r>
            <w:r>
              <w:rPr>
                <w:noProof/>
                <w:webHidden/>
              </w:rPr>
              <w:instrText xml:space="preserve"> PAGEREF _Toc374006732 \h </w:instrText>
            </w:r>
            <w:r>
              <w:rPr>
                <w:noProof/>
                <w:webHidden/>
              </w:rPr>
            </w:r>
            <w:r>
              <w:rPr>
                <w:noProof/>
                <w:webHidden/>
              </w:rPr>
              <w:fldChar w:fldCharType="separate"/>
            </w:r>
            <w:r>
              <w:rPr>
                <w:noProof/>
                <w:webHidden/>
              </w:rPr>
              <w:t>16</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3" w:history="1">
            <w:r w:rsidRPr="00243873">
              <w:rPr>
                <w:rStyle w:val="Hyperlink"/>
                <w:noProof/>
              </w:rPr>
              <w:t>4.4.</w:t>
            </w:r>
            <w:r>
              <w:rPr>
                <w:rFonts w:asciiTheme="minorHAnsi" w:eastAsiaTheme="minorEastAsia" w:hAnsiTheme="minorHAnsi" w:cstheme="minorBidi"/>
                <w:noProof/>
                <w:lang w:eastAsia="en-AU"/>
              </w:rPr>
              <w:tab/>
            </w:r>
            <w:r w:rsidRPr="00243873">
              <w:rPr>
                <w:rStyle w:val="Hyperlink"/>
                <w:noProof/>
              </w:rPr>
              <w:t>Study NCI 1312</w:t>
            </w:r>
            <w:r>
              <w:rPr>
                <w:noProof/>
                <w:webHidden/>
              </w:rPr>
              <w:tab/>
            </w:r>
            <w:r>
              <w:rPr>
                <w:noProof/>
                <w:webHidden/>
              </w:rPr>
              <w:fldChar w:fldCharType="begin"/>
            </w:r>
            <w:r>
              <w:rPr>
                <w:noProof/>
                <w:webHidden/>
              </w:rPr>
              <w:instrText xml:space="preserve"> PAGEREF _Toc374006733 \h </w:instrText>
            </w:r>
            <w:r>
              <w:rPr>
                <w:noProof/>
                <w:webHidden/>
              </w:rPr>
            </w:r>
            <w:r>
              <w:rPr>
                <w:noProof/>
                <w:webHidden/>
              </w:rPr>
              <w:fldChar w:fldCharType="separate"/>
            </w:r>
            <w:r>
              <w:rPr>
                <w:noProof/>
                <w:webHidden/>
              </w:rPr>
              <w:t>17</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4" w:history="1">
            <w:r w:rsidRPr="00243873">
              <w:rPr>
                <w:rStyle w:val="Hyperlink"/>
                <w:noProof/>
              </w:rPr>
              <w:t>4.5.</w:t>
            </w:r>
            <w:r>
              <w:rPr>
                <w:rFonts w:asciiTheme="minorHAnsi" w:eastAsiaTheme="minorEastAsia" w:hAnsiTheme="minorHAnsi" w:cstheme="minorBidi"/>
                <w:noProof/>
                <w:lang w:eastAsia="en-AU"/>
              </w:rPr>
              <w:tab/>
            </w:r>
            <w:r w:rsidRPr="00243873">
              <w:rPr>
                <w:rStyle w:val="Hyperlink"/>
                <w:noProof/>
              </w:rPr>
              <w:t>Study GPI-06-0005-QT</w:t>
            </w:r>
            <w:r>
              <w:rPr>
                <w:noProof/>
                <w:webHidden/>
              </w:rPr>
              <w:tab/>
            </w:r>
            <w:r>
              <w:rPr>
                <w:noProof/>
                <w:webHidden/>
              </w:rPr>
              <w:fldChar w:fldCharType="begin"/>
            </w:r>
            <w:r>
              <w:rPr>
                <w:noProof/>
                <w:webHidden/>
              </w:rPr>
              <w:instrText xml:space="preserve"> PAGEREF _Toc374006734 \h </w:instrText>
            </w:r>
            <w:r>
              <w:rPr>
                <w:noProof/>
                <w:webHidden/>
              </w:rPr>
            </w:r>
            <w:r>
              <w:rPr>
                <w:noProof/>
                <w:webHidden/>
              </w:rPr>
              <w:fldChar w:fldCharType="separate"/>
            </w:r>
            <w:r>
              <w:rPr>
                <w:noProof/>
                <w:webHidden/>
              </w:rPr>
              <w:t>17</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5" w:history="1">
            <w:r w:rsidRPr="00243873">
              <w:rPr>
                <w:rStyle w:val="Hyperlink"/>
                <w:noProof/>
              </w:rPr>
              <w:t>4.6.</w:t>
            </w:r>
            <w:r>
              <w:rPr>
                <w:rFonts w:asciiTheme="minorHAnsi" w:eastAsiaTheme="minorEastAsia" w:hAnsiTheme="minorHAnsi" w:cstheme="minorBidi"/>
                <w:noProof/>
                <w:lang w:eastAsia="en-AU"/>
              </w:rPr>
              <w:tab/>
            </w:r>
            <w:r w:rsidRPr="00243873">
              <w:rPr>
                <w:rStyle w:val="Hyperlink"/>
                <w:noProof/>
              </w:rPr>
              <w:t>Study AN10022</w:t>
            </w:r>
            <w:r>
              <w:rPr>
                <w:noProof/>
                <w:webHidden/>
              </w:rPr>
              <w:tab/>
            </w:r>
            <w:r>
              <w:rPr>
                <w:noProof/>
                <w:webHidden/>
              </w:rPr>
              <w:fldChar w:fldCharType="begin"/>
            </w:r>
            <w:r>
              <w:rPr>
                <w:noProof/>
                <w:webHidden/>
              </w:rPr>
              <w:instrText xml:space="preserve"> PAGEREF _Toc374006735 \h </w:instrText>
            </w:r>
            <w:r>
              <w:rPr>
                <w:noProof/>
                <w:webHidden/>
              </w:rPr>
            </w:r>
            <w:r>
              <w:rPr>
                <w:noProof/>
                <w:webHidden/>
              </w:rPr>
              <w:fldChar w:fldCharType="separate"/>
            </w:r>
            <w:r>
              <w:rPr>
                <w:noProof/>
                <w:webHidden/>
              </w:rPr>
              <w:t>19</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6" w:history="1">
            <w:r w:rsidRPr="00243873">
              <w:rPr>
                <w:rStyle w:val="Hyperlink"/>
                <w:noProof/>
              </w:rPr>
              <w:t>4.7.</w:t>
            </w:r>
            <w:r>
              <w:rPr>
                <w:rFonts w:asciiTheme="minorHAnsi" w:eastAsiaTheme="minorEastAsia" w:hAnsiTheme="minorHAnsi" w:cstheme="minorBidi"/>
                <w:noProof/>
                <w:lang w:eastAsia="en-AU"/>
              </w:rPr>
              <w:tab/>
            </w:r>
            <w:r w:rsidRPr="00243873">
              <w:rPr>
                <w:rStyle w:val="Hyperlink"/>
                <w:noProof/>
              </w:rPr>
              <w:t>Study AN10019</w:t>
            </w:r>
            <w:r>
              <w:rPr>
                <w:noProof/>
                <w:webHidden/>
              </w:rPr>
              <w:tab/>
            </w:r>
            <w:r>
              <w:rPr>
                <w:noProof/>
                <w:webHidden/>
              </w:rPr>
              <w:fldChar w:fldCharType="begin"/>
            </w:r>
            <w:r>
              <w:rPr>
                <w:noProof/>
                <w:webHidden/>
              </w:rPr>
              <w:instrText xml:space="preserve"> PAGEREF _Toc374006736 \h </w:instrText>
            </w:r>
            <w:r>
              <w:rPr>
                <w:noProof/>
                <w:webHidden/>
              </w:rPr>
            </w:r>
            <w:r>
              <w:rPr>
                <w:noProof/>
                <w:webHidden/>
              </w:rPr>
              <w:fldChar w:fldCharType="separate"/>
            </w:r>
            <w:r>
              <w:rPr>
                <w:noProof/>
                <w:webHidden/>
              </w:rPr>
              <w:t>22</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37" w:history="1">
            <w:r w:rsidRPr="00243873">
              <w:rPr>
                <w:rStyle w:val="Hyperlink"/>
                <w:noProof/>
              </w:rPr>
              <w:t>4.8.</w:t>
            </w:r>
            <w:r>
              <w:rPr>
                <w:rFonts w:asciiTheme="minorHAnsi" w:eastAsiaTheme="minorEastAsia" w:hAnsiTheme="minorHAnsi" w:cstheme="minorBidi"/>
                <w:noProof/>
                <w:lang w:eastAsia="en-AU"/>
              </w:rPr>
              <w:tab/>
            </w:r>
            <w:r w:rsidRPr="00243873">
              <w:rPr>
                <w:rStyle w:val="Hyperlink"/>
                <w:noProof/>
              </w:rPr>
              <w:t>Evaluator’s conclusion on pharmacokinetics and pharmacodynamics</w:t>
            </w:r>
            <w:r>
              <w:rPr>
                <w:noProof/>
                <w:webHidden/>
              </w:rPr>
              <w:tab/>
            </w:r>
            <w:r>
              <w:rPr>
                <w:noProof/>
                <w:webHidden/>
              </w:rPr>
              <w:fldChar w:fldCharType="begin"/>
            </w:r>
            <w:r>
              <w:rPr>
                <w:noProof/>
                <w:webHidden/>
              </w:rPr>
              <w:instrText xml:space="preserve"> PAGEREF _Toc374006737 \h </w:instrText>
            </w:r>
            <w:r>
              <w:rPr>
                <w:noProof/>
                <w:webHidden/>
              </w:rPr>
            </w:r>
            <w:r>
              <w:rPr>
                <w:noProof/>
                <w:webHidden/>
              </w:rPr>
              <w:fldChar w:fldCharType="separate"/>
            </w:r>
            <w:r>
              <w:rPr>
                <w:noProof/>
                <w:webHidden/>
              </w:rPr>
              <w:t>23</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38" w:history="1">
            <w:r w:rsidRPr="00243873">
              <w:rPr>
                <w:rStyle w:val="Hyperlink"/>
                <w:noProof/>
              </w:rPr>
              <w:t>5.</w:t>
            </w:r>
            <w:r>
              <w:rPr>
                <w:rFonts w:asciiTheme="minorHAnsi" w:eastAsiaTheme="minorEastAsia" w:hAnsiTheme="minorHAnsi" w:cstheme="minorBidi"/>
                <w:b w:val="0"/>
                <w:noProof/>
                <w:sz w:val="22"/>
                <w:lang w:eastAsia="en-AU"/>
              </w:rPr>
              <w:tab/>
            </w:r>
            <w:r w:rsidRPr="00243873">
              <w:rPr>
                <w:rStyle w:val="Hyperlink"/>
                <w:noProof/>
              </w:rPr>
              <w:t>Dosage selection for the pivotal studies</w:t>
            </w:r>
            <w:r>
              <w:rPr>
                <w:noProof/>
                <w:webHidden/>
              </w:rPr>
              <w:tab/>
            </w:r>
            <w:r>
              <w:rPr>
                <w:noProof/>
                <w:webHidden/>
              </w:rPr>
              <w:fldChar w:fldCharType="begin"/>
            </w:r>
            <w:r>
              <w:rPr>
                <w:noProof/>
                <w:webHidden/>
              </w:rPr>
              <w:instrText xml:space="preserve"> PAGEREF _Toc374006738 \h </w:instrText>
            </w:r>
            <w:r>
              <w:rPr>
                <w:noProof/>
                <w:webHidden/>
              </w:rPr>
            </w:r>
            <w:r>
              <w:rPr>
                <w:noProof/>
                <w:webHidden/>
              </w:rPr>
              <w:fldChar w:fldCharType="separate"/>
            </w:r>
            <w:r>
              <w:rPr>
                <w:noProof/>
                <w:webHidden/>
              </w:rPr>
              <w:t>23</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39" w:history="1">
            <w:r w:rsidRPr="00243873">
              <w:rPr>
                <w:rStyle w:val="Hyperlink"/>
                <w:noProof/>
              </w:rPr>
              <w:t>6.</w:t>
            </w:r>
            <w:r>
              <w:rPr>
                <w:rFonts w:asciiTheme="minorHAnsi" w:eastAsiaTheme="minorEastAsia" w:hAnsiTheme="minorHAnsi" w:cstheme="minorBidi"/>
                <w:b w:val="0"/>
                <w:noProof/>
                <w:sz w:val="22"/>
                <w:lang w:eastAsia="en-AU"/>
              </w:rPr>
              <w:tab/>
            </w:r>
            <w:r w:rsidRPr="00243873">
              <w:rPr>
                <w:rStyle w:val="Hyperlink"/>
                <w:noProof/>
              </w:rPr>
              <w:t>Clinical efficacy</w:t>
            </w:r>
            <w:r>
              <w:rPr>
                <w:noProof/>
                <w:webHidden/>
              </w:rPr>
              <w:tab/>
            </w:r>
            <w:r>
              <w:rPr>
                <w:noProof/>
                <w:webHidden/>
              </w:rPr>
              <w:fldChar w:fldCharType="begin"/>
            </w:r>
            <w:r>
              <w:rPr>
                <w:noProof/>
                <w:webHidden/>
              </w:rPr>
              <w:instrText xml:space="preserve"> PAGEREF _Toc374006739 \h </w:instrText>
            </w:r>
            <w:r>
              <w:rPr>
                <w:noProof/>
                <w:webHidden/>
              </w:rPr>
            </w:r>
            <w:r>
              <w:rPr>
                <w:noProof/>
                <w:webHidden/>
              </w:rPr>
              <w:fldChar w:fldCharType="separate"/>
            </w:r>
            <w:r>
              <w:rPr>
                <w:noProof/>
                <w:webHidden/>
              </w:rPr>
              <w:t>24</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0" w:history="1">
            <w:r w:rsidRPr="00243873">
              <w:rPr>
                <w:rStyle w:val="Hyperlink"/>
                <w:noProof/>
              </w:rPr>
              <w:t>6.1.</w:t>
            </w:r>
            <w:r>
              <w:rPr>
                <w:rFonts w:asciiTheme="minorHAnsi" w:eastAsiaTheme="minorEastAsia" w:hAnsiTheme="minorHAnsi" w:cstheme="minorBidi"/>
                <w:noProof/>
                <w:lang w:eastAsia="en-AU"/>
              </w:rPr>
              <w:tab/>
            </w:r>
            <w:r w:rsidRPr="00243873">
              <w:rPr>
                <w:rStyle w:val="Hyperlink"/>
                <w:noProof/>
              </w:rPr>
              <w:t>Data providing efficacy data</w:t>
            </w:r>
            <w:r>
              <w:rPr>
                <w:noProof/>
                <w:webHidden/>
              </w:rPr>
              <w:tab/>
            </w:r>
            <w:r>
              <w:rPr>
                <w:noProof/>
                <w:webHidden/>
              </w:rPr>
              <w:fldChar w:fldCharType="begin"/>
            </w:r>
            <w:r>
              <w:rPr>
                <w:noProof/>
                <w:webHidden/>
              </w:rPr>
              <w:instrText xml:space="preserve"> PAGEREF _Toc374006740 \h </w:instrText>
            </w:r>
            <w:r>
              <w:rPr>
                <w:noProof/>
                <w:webHidden/>
              </w:rPr>
            </w:r>
            <w:r>
              <w:rPr>
                <w:noProof/>
                <w:webHidden/>
              </w:rPr>
              <w:fldChar w:fldCharType="separate"/>
            </w:r>
            <w:r>
              <w:rPr>
                <w:noProof/>
                <w:webHidden/>
              </w:rPr>
              <w:t>24</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1" w:history="1">
            <w:r w:rsidRPr="00243873">
              <w:rPr>
                <w:rStyle w:val="Hyperlink"/>
                <w:noProof/>
              </w:rPr>
              <w:t>6.2.</w:t>
            </w:r>
            <w:r>
              <w:rPr>
                <w:rFonts w:asciiTheme="minorHAnsi" w:eastAsiaTheme="minorEastAsia" w:hAnsiTheme="minorHAnsi" w:cstheme="minorBidi"/>
                <w:noProof/>
                <w:lang w:eastAsia="en-AU"/>
              </w:rPr>
              <w:tab/>
            </w:r>
            <w:r w:rsidRPr="00243873">
              <w:rPr>
                <w:rStyle w:val="Hyperlink"/>
                <w:noProof/>
              </w:rPr>
              <w:t>Study GPI-06-0002 (pivotal study)</w:t>
            </w:r>
            <w:r>
              <w:rPr>
                <w:noProof/>
                <w:webHidden/>
              </w:rPr>
              <w:tab/>
            </w:r>
            <w:r>
              <w:rPr>
                <w:noProof/>
                <w:webHidden/>
              </w:rPr>
              <w:fldChar w:fldCharType="begin"/>
            </w:r>
            <w:r>
              <w:rPr>
                <w:noProof/>
                <w:webHidden/>
              </w:rPr>
              <w:instrText xml:space="preserve"> PAGEREF _Toc374006741 \h </w:instrText>
            </w:r>
            <w:r>
              <w:rPr>
                <w:noProof/>
                <w:webHidden/>
              </w:rPr>
            </w:r>
            <w:r>
              <w:rPr>
                <w:noProof/>
                <w:webHidden/>
              </w:rPr>
              <w:fldChar w:fldCharType="separate"/>
            </w:r>
            <w:r>
              <w:rPr>
                <w:noProof/>
                <w:webHidden/>
              </w:rPr>
              <w:t>24</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2" w:history="1">
            <w:r w:rsidRPr="00243873">
              <w:rPr>
                <w:rStyle w:val="Hyperlink"/>
                <w:noProof/>
              </w:rPr>
              <w:t>6.3.</w:t>
            </w:r>
            <w:r>
              <w:rPr>
                <w:rFonts w:asciiTheme="minorHAnsi" w:eastAsiaTheme="minorEastAsia" w:hAnsiTheme="minorHAnsi" w:cstheme="minorBidi"/>
                <w:noProof/>
                <w:lang w:eastAsia="en-AU"/>
              </w:rPr>
              <w:tab/>
            </w:r>
            <w:r w:rsidRPr="00243873">
              <w:rPr>
                <w:rStyle w:val="Hyperlink"/>
                <w:noProof/>
              </w:rPr>
              <w:t>Study NCI 1312:</w:t>
            </w:r>
            <w:r>
              <w:rPr>
                <w:noProof/>
                <w:webHidden/>
              </w:rPr>
              <w:tab/>
            </w:r>
            <w:r>
              <w:rPr>
                <w:noProof/>
                <w:webHidden/>
              </w:rPr>
              <w:fldChar w:fldCharType="begin"/>
            </w:r>
            <w:r>
              <w:rPr>
                <w:noProof/>
                <w:webHidden/>
              </w:rPr>
              <w:instrText xml:space="preserve"> PAGEREF _Toc374006742 \h </w:instrText>
            </w:r>
            <w:r>
              <w:rPr>
                <w:noProof/>
                <w:webHidden/>
              </w:rPr>
            </w:r>
            <w:r>
              <w:rPr>
                <w:noProof/>
                <w:webHidden/>
              </w:rPr>
              <w:fldChar w:fldCharType="separate"/>
            </w:r>
            <w:r>
              <w:rPr>
                <w:noProof/>
                <w:webHidden/>
              </w:rPr>
              <w:t>40</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43" w:history="1">
            <w:r w:rsidRPr="00243873">
              <w:rPr>
                <w:rStyle w:val="Hyperlink"/>
                <w:noProof/>
              </w:rPr>
              <w:t>7.</w:t>
            </w:r>
            <w:r>
              <w:rPr>
                <w:rFonts w:asciiTheme="minorHAnsi" w:eastAsiaTheme="minorEastAsia" w:hAnsiTheme="minorHAnsi" w:cstheme="minorBidi"/>
                <w:b w:val="0"/>
                <w:noProof/>
                <w:sz w:val="22"/>
                <w:lang w:eastAsia="en-AU"/>
              </w:rPr>
              <w:tab/>
            </w:r>
            <w:r w:rsidRPr="00243873">
              <w:rPr>
                <w:rStyle w:val="Hyperlink"/>
                <w:noProof/>
              </w:rPr>
              <w:t>Clinical safety</w:t>
            </w:r>
            <w:r>
              <w:rPr>
                <w:noProof/>
                <w:webHidden/>
              </w:rPr>
              <w:tab/>
            </w:r>
            <w:r>
              <w:rPr>
                <w:noProof/>
                <w:webHidden/>
              </w:rPr>
              <w:fldChar w:fldCharType="begin"/>
            </w:r>
            <w:r>
              <w:rPr>
                <w:noProof/>
                <w:webHidden/>
              </w:rPr>
              <w:instrText xml:space="preserve"> PAGEREF _Toc374006743 \h </w:instrText>
            </w:r>
            <w:r>
              <w:rPr>
                <w:noProof/>
                <w:webHidden/>
              </w:rPr>
            </w:r>
            <w:r>
              <w:rPr>
                <w:noProof/>
                <w:webHidden/>
              </w:rPr>
              <w:fldChar w:fldCharType="separate"/>
            </w:r>
            <w:r>
              <w:rPr>
                <w:noProof/>
                <w:webHidden/>
              </w:rPr>
              <w:t>42</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4" w:history="1">
            <w:r w:rsidRPr="00243873">
              <w:rPr>
                <w:rStyle w:val="Hyperlink"/>
                <w:noProof/>
              </w:rPr>
              <w:t>7.1.</w:t>
            </w:r>
            <w:r>
              <w:rPr>
                <w:rFonts w:asciiTheme="minorHAnsi" w:eastAsiaTheme="minorEastAsia" w:hAnsiTheme="minorHAnsi" w:cstheme="minorBidi"/>
                <w:noProof/>
                <w:lang w:eastAsia="en-AU"/>
              </w:rPr>
              <w:tab/>
            </w:r>
            <w:r w:rsidRPr="00243873">
              <w:rPr>
                <w:rStyle w:val="Hyperlink"/>
                <w:noProof/>
              </w:rPr>
              <w:t>Studies providing evaluable safety data</w:t>
            </w:r>
            <w:r>
              <w:rPr>
                <w:noProof/>
                <w:webHidden/>
              </w:rPr>
              <w:tab/>
            </w:r>
            <w:r>
              <w:rPr>
                <w:noProof/>
                <w:webHidden/>
              </w:rPr>
              <w:fldChar w:fldCharType="begin"/>
            </w:r>
            <w:r>
              <w:rPr>
                <w:noProof/>
                <w:webHidden/>
              </w:rPr>
              <w:instrText xml:space="preserve"> PAGEREF _Toc374006744 \h </w:instrText>
            </w:r>
            <w:r>
              <w:rPr>
                <w:noProof/>
                <w:webHidden/>
              </w:rPr>
            </w:r>
            <w:r>
              <w:rPr>
                <w:noProof/>
                <w:webHidden/>
              </w:rPr>
              <w:fldChar w:fldCharType="separate"/>
            </w:r>
            <w:r>
              <w:rPr>
                <w:noProof/>
                <w:webHidden/>
              </w:rPr>
              <w:t>42</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5" w:history="1">
            <w:r w:rsidRPr="00243873">
              <w:rPr>
                <w:rStyle w:val="Hyperlink"/>
                <w:noProof/>
              </w:rPr>
              <w:t>7.2.</w:t>
            </w:r>
            <w:r>
              <w:rPr>
                <w:rFonts w:asciiTheme="minorHAnsi" w:eastAsiaTheme="minorEastAsia" w:hAnsiTheme="minorHAnsi" w:cstheme="minorBidi"/>
                <w:noProof/>
                <w:lang w:eastAsia="en-AU"/>
              </w:rPr>
              <w:tab/>
            </w:r>
            <w:r w:rsidRPr="00243873">
              <w:rPr>
                <w:rStyle w:val="Hyperlink"/>
                <w:noProof/>
              </w:rPr>
              <w:t>Exposure</w:t>
            </w:r>
            <w:r>
              <w:rPr>
                <w:noProof/>
                <w:webHidden/>
              </w:rPr>
              <w:tab/>
            </w:r>
            <w:r>
              <w:rPr>
                <w:noProof/>
                <w:webHidden/>
              </w:rPr>
              <w:fldChar w:fldCharType="begin"/>
            </w:r>
            <w:r>
              <w:rPr>
                <w:noProof/>
                <w:webHidden/>
              </w:rPr>
              <w:instrText xml:space="preserve"> PAGEREF _Toc374006745 \h </w:instrText>
            </w:r>
            <w:r>
              <w:rPr>
                <w:noProof/>
                <w:webHidden/>
              </w:rPr>
            </w:r>
            <w:r>
              <w:rPr>
                <w:noProof/>
                <w:webHidden/>
              </w:rPr>
              <w:fldChar w:fldCharType="separate"/>
            </w:r>
            <w:r>
              <w:rPr>
                <w:noProof/>
                <w:webHidden/>
              </w:rPr>
              <w:t>44</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6" w:history="1">
            <w:r w:rsidRPr="00243873">
              <w:rPr>
                <w:rStyle w:val="Hyperlink"/>
                <w:noProof/>
              </w:rPr>
              <w:t>7.3.</w:t>
            </w:r>
            <w:r>
              <w:rPr>
                <w:rFonts w:asciiTheme="minorHAnsi" w:eastAsiaTheme="minorEastAsia" w:hAnsiTheme="minorHAnsi" w:cstheme="minorBidi"/>
                <w:noProof/>
                <w:lang w:eastAsia="en-AU"/>
              </w:rPr>
              <w:tab/>
            </w:r>
            <w:r w:rsidRPr="00243873">
              <w:rPr>
                <w:rStyle w:val="Hyperlink"/>
                <w:noProof/>
              </w:rPr>
              <w:t>Adverse events</w:t>
            </w:r>
            <w:r>
              <w:rPr>
                <w:noProof/>
                <w:webHidden/>
              </w:rPr>
              <w:tab/>
            </w:r>
            <w:r>
              <w:rPr>
                <w:noProof/>
                <w:webHidden/>
              </w:rPr>
              <w:fldChar w:fldCharType="begin"/>
            </w:r>
            <w:r>
              <w:rPr>
                <w:noProof/>
                <w:webHidden/>
              </w:rPr>
              <w:instrText xml:space="preserve"> PAGEREF _Toc374006746 \h </w:instrText>
            </w:r>
            <w:r>
              <w:rPr>
                <w:noProof/>
                <w:webHidden/>
              </w:rPr>
            </w:r>
            <w:r>
              <w:rPr>
                <w:noProof/>
                <w:webHidden/>
              </w:rPr>
              <w:fldChar w:fldCharType="separate"/>
            </w:r>
            <w:r>
              <w:rPr>
                <w:noProof/>
                <w:webHidden/>
              </w:rPr>
              <w:t>46</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7" w:history="1">
            <w:r w:rsidRPr="00243873">
              <w:rPr>
                <w:rStyle w:val="Hyperlink"/>
                <w:noProof/>
              </w:rPr>
              <w:t>7.4.</w:t>
            </w:r>
            <w:r>
              <w:rPr>
                <w:rFonts w:asciiTheme="minorHAnsi" w:eastAsiaTheme="minorEastAsia" w:hAnsiTheme="minorHAnsi" w:cstheme="minorBidi"/>
                <w:noProof/>
                <w:lang w:eastAsia="en-AU"/>
              </w:rPr>
              <w:tab/>
            </w:r>
            <w:r w:rsidRPr="00243873">
              <w:rPr>
                <w:rStyle w:val="Hyperlink"/>
                <w:noProof/>
              </w:rPr>
              <w:t>Safety update</w:t>
            </w:r>
            <w:r>
              <w:rPr>
                <w:noProof/>
                <w:webHidden/>
              </w:rPr>
              <w:tab/>
            </w:r>
            <w:r>
              <w:rPr>
                <w:noProof/>
                <w:webHidden/>
              </w:rPr>
              <w:fldChar w:fldCharType="begin"/>
            </w:r>
            <w:r>
              <w:rPr>
                <w:noProof/>
                <w:webHidden/>
              </w:rPr>
              <w:instrText xml:space="preserve"> PAGEREF _Toc374006747 \h </w:instrText>
            </w:r>
            <w:r>
              <w:rPr>
                <w:noProof/>
                <w:webHidden/>
              </w:rPr>
            </w:r>
            <w:r>
              <w:rPr>
                <w:noProof/>
                <w:webHidden/>
              </w:rPr>
              <w:fldChar w:fldCharType="separate"/>
            </w:r>
            <w:r>
              <w:rPr>
                <w:noProof/>
                <w:webHidden/>
              </w:rPr>
              <w:t>52</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48" w:history="1">
            <w:r w:rsidRPr="00243873">
              <w:rPr>
                <w:rStyle w:val="Hyperlink"/>
                <w:noProof/>
              </w:rPr>
              <w:t>7.5.</w:t>
            </w:r>
            <w:r>
              <w:rPr>
                <w:rFonts w:asciiTheme="minorHAnsi" w:eastAsiaTheme="minorEastAsia" w:hAnsiTheme="minorHAnsi" w:cstheme="minorBidi"/>
                <w:noProof/>
                <w:lang w:eastAsia="en-AU"/>
              </w:rPr>
              <w:tab/>
            </w:r>
            <w:r w:rsidRPr="00243873">
              <w:rPr>
                <w:rStyle w:val="Hyperlink"/>
                <w:noProof/>
              </w:rPr>
              <w:t>Post-marketing data:</w:t>
            </w:r>
            <w:r>
              <w:rPr>
                <w:noProof/>
                <w:webHidden/>
              </w:rPr>
              <w:tab/>
            </w:r>
            <w:r>
              <w:rPr>
                <w:noProof/>
                <w:webHidden/>
              </w:rPr>
              <w:fldChar w:fldCharType="begin"/>
            </w:r>
            <w:r>
              <w:rPr>
                <w:noProof/>
                <w:webHidden/>
              </w:rPr>
              <w:instrText xml:space="preserve"> PAGEREF _Toc374006748 \h </w:instrText>
            </w:r>
            <w:r>
              <w:rPr>
                <w:noProof/>
                <w:webHidden/>
              </w:rPr>
            </w:r>
            <w:r>
              <w:rPr>
                <w:noProof/>
                <w:webHidden/>
              </w:rPr>
              <w:fldChar w:fldCharType="separate"/>
            </w:r>
            <w:r>
              <w:rPr>
                <w:noProof/>
                <w:webHidden/>
              </w:rPr>
              <w:t>52</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49" w:history="1">
            <w:r w:rsidRPr="00243873">
              <w:rPr>
                <w:rStyle w:val="Hyperlink"/>
                <w:noProof/>
              </w:rPr>
              <w:t>8.</w:t>
            </w:r>
            <w:r>
              <w:rPr>
                <w:rFonts w:asciiTheme="minorHAnsi" w:eastAsiaTheme="minorEastAsia" w:hAnsiTheme="minorHAnsi" w:cstheme="minorBidi"/>
                <w:b w:val="0"/>
                <w:noProof/>
                <w:sz w:val="22"/>
                <w:lang w:eastAsia="en-AU"/>
              </w:rPr>
              <w:tab/>
            </w:r>
            <w:r w:rsidRPr="00243873">
              <w:rPr>
                <w:rStyle w:val="Hyperlink"/>
                <w:noProof/>
              </w:rPr>
              <w:t>First round benefit-risk assessment</w:t>
            </w:r>
            <w:r>
              <w:rPr>
                <w:noProof/>
                <w:webHidden/>
              </w:rPr>
              <w:tab/>
            </w:r>
            <w:r>
              <w:rPr>
                <w:noProof/>
                <w:webHidden/>
              </w:rPr>
              <w:fldChar w:fldCharType="begin"/>
            </w:r>
            <w:r>
              <w:rPr>
                <w:noProof/>
                <w:webHidden/>
              </w:rPr>
              <w:instrText xml:space="preserve"> PAGEREF _Toc374006749 \h </w:instrText>
            </w:r>
            <w:r>
              <w:rPr>
                <w:noProof/>
                <w:webHidden/>
              </w:rPr>
            </w:r>
            <w:r>
              <w:rPr>
                <w:noProof/>
                <w:webHidden/>
              </w:rPr>
              <w:fldChar w:fldCharType="separate"/>
            </w:r>
            <w:r>
              <w:rPr>
                <w:noProof/>
                <w:webHidden/>
              </w:rPr>
              <w:t>53</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50" w:history="1">
            <w:r w:rsidRPr="00243873">
              <w:rPr>
                <w:rStyle w:val="Hyperlink"/>
                <w:noProof/>
              </w:rPr>
              <w:t>8.1.</w:t>
            </w:r>
            <w:r>
              <w:rPr>
                <w:rFonts w:asciiTheme="minorHAnsi" w:eastAsiaTheme="minorEastAsia" w:hAnsiTheme="minorHAnsi" w:cstheme="minorBidi"/>
                <w:noProof/>
                <w:lang w:eastAsia="en-AU"/>
              </w:rPr>
              <w:tab/>
            </w:r>
            <w:r w:rsidRPr="00243873">
              <w:rPr>
                <w:rStyle w:val="Hyperlink"/>
                <w:noProof/>
              </w:rPr>
              <w:t>First round assessment of benefits</w:t>
            </w:r>
            <w:r>
              <w:rPr>
                <w:noProof/>
                <w:webHidden/>
              </w:rPr>
              <w:tab/>
            </w:r>
            <w:r>
              <w:rPr>
                <w:noProof/>
                <w:webHidden/>
              </w:rPr>
              <w:fldChar w:fldCharType="begin"/>
            </w:r>
            <w:r>
              <w:rPr>
                <w:noProof/>
                <w:webHidden/>
              </w:rPr>
              <w:instrText xml:space="preserve"> PAGEREF _Toc374006750 \h </w:instrText>
            </w:r>
            <w:r>
              <w:rPr>
                <w:noProof/>
                <w:webHidden/>
              </w:rPr>
            </w:r>
            <w:r>
              <w:rPr>
                <w:noProof/>
                <w:webHidden/>
              </w:rPr>
              <w:fldChar w:fldCharType="separate"/>
            </w:r>
            <w:r>
              <w:rPr>
                <w:noProof/>
                <w:webHidden/>
              </w:rPr>
              <w:t>53</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51" w:history="1">
            <w:r w:rsidRPr="00243873">
              <w:rPr>
                <w:rStyle w:val="Hyperlink"/>
                <w:noProof/>
              </w:rPr>
              <w:t>8.2.</w:t>
            </w:r>
            <w:r>
              <w:rPr>
                <w:rFonts w:asciiTheme="minorHAnsi" w:eastAsiaTheme="minorEastAsia" w:hAnsiTheme="minorHAnsi" w:cstheme="minorBidi"/>
                <w:noProof/>
                <w:lang w:eastAsia="en-AU"/>
              </w:rPr>
              <w:tab/>
            </w:r>
            <w:r w:rsidRPr="00243873">
              <w:rPr>
                <w:rStyle w:val="Hyperlink"/>
                <w:noProof/>
              </w:rPr>
              <w:t>First round assessment of risks</w:t>
            </w:r>
            <w:r>
              <w:rPr>
                <w:noProof/>
                <w:webHidden/>
              </w:rPr>
              <w:tab/>
            </w:r>
            <w:r>
              <w:rPr>
                <w:noProof/>
                <w:webHidden/>
              </w:rPr>
              <w:fldChar w:fldCharType="begin"/>
            </w:r>
            <w:r>
              <w:rPr>
                <w:noProof/>
                <w:webHidden/>
              </w:rPr>
              <w:instrText xml:space="preserve"> PAGEREF _Toc374006751 \h </w:instrText>
            </w:r>
            <w:r>
              <w:rPr>
                <w:noProof/>
                <w:webHidden/>
              </w:rPr>
            </w:r>
            <w:r>
              <w:rPr>
                <w:noProof/>
                <w:webHidden/>
              </w:rPr>
              <w:fldChar w:fldCharType="separate"/>
            </w:r>
            <w:r>
              <w:rPr>
                <w:noProof/>
                <w:webHidden/>
              </w:rPr>
              <w:t>53</w:t>
            </w:r>
            <w:r>
              <w:rPr>
                <w:noProof/>
                <w:webHidden/>
              </w:rPr>
              <w:fldChar w:fldCharType="end"/>
            </w:r>
          </w:hyperlink>
        </w:p>
        <w:p w:rsidR="005926BA" w:rsidRDefault="005926BA">
          <w:pPr>
            <w:pStyle w:val="TOC3"/>
            <w:tabs>
              <w:tab w:val="left" w:pos="1760"/>
            </w:tabs>
            <w:rPr>
              <w:rFonts w:asciiTheme="minorHAnsi" w:eastAsiaTheme="minorEastAsia" w:hAnsiTheme="minorHAnsi" w:cstheme="minorBidi"/>
              <w:noProof/>
              <w:lang w:eastAsia="en-AU"/>
            </w:rPr>
          </w:pPr>
          <w:hyperlink w:anchor="_Toc374006752" w:history="1">
            <w:r w:rsidRPr="00243873">
              <w:rPr>
                <w:rStyle w:val="Hyperlink"/>
                <w:noProof/>
              </w:rPr>
              <w:t>8.3.</w:t>
            </w:r>
            <w:r>
              <w:rPr>
                <w:rFonts w:asciiTheme="minorHAnsi" w:eastAsiaTheme="minorEastAsia" w:hAnsiTheme="minorHAnsi" w:cstheme="minorBidi"/>
                <w:noProof/>
                <w:lang w:eastAsia="en-AU"/>
              </w:rPr>
              <w:tab/>
            </w:r>
            <w:r w:rsidRPr="00243873">
              <w:rPr>
                <w:rStyle w:val="Hyperlink"/>
                <w:noProof/>
              </w:rPr>
              <w:t>First round assessment of benefit/risk balance</w:t>
            </w:r>
            <w:r>
              <w:rPr>
                <w:noProof/>
                <w:webHidden/>
              </w:rPr>
              <w:tab/>
            </w:r>
            <w:r>
              <w:rPr>
                <w:noProof/>
                <w:webHidden/>
              </w:rPr>
              <w:fldChar w:fldCharType="begin"/>
            </w:r>
            <w:r>
              <w:rPr>
                <w:noProof/>
                <w:webHidden/>
              </w:rPr>
              <w:instrText xml:space="preserve"> PAGEREF _Toc374006752 \h </w:instrText>
            </w:r>
            <w:r>
              <w:rPr>
                <w:noProof/>
                <w:webHidden/>
              </w:rPr>
            </w:r>
            <w:r>
              <w:rPr>
                <w:noProof/>
                <w:webHidden/>
              </w:rPr>
              <w:fldChar w:fldCharType="separate"/>
            </w:r>
            <w:r>
              <w:rPr>
                <w:noProof/>
                <w:webHidden/>
              </w:rPr>
              <w:t>54</w:t>
            </w:r>
            <w:r>
              <w:rPr>
                <w:noProof/>
                <w:webHidden/>
              </w:rPr>
              <w:fldChar w:fldCharType="end"/>
            </w:r>
          </w:hyperlink>
        </w:p>
        <w:p w:rsidR="005926BA" w:rsidRDefault="005926BA">
          <w:pPr>
            <w:pStyle w:val="TOC2"/>
            <w:tabs>
              <w:tab w:val="left" w:pos="1100"/>
            </w:tabs>
            <w:rPr>
              <w:rFonts w:asciiTheme="minorHAnsi" w:eastAsiaTheme="minorEastAsia" w:hAnsiTheme="minorHAnsi" w:cstheme="minorBidi"/>
              <w:b w:val="0"/>
              <w:noProof/>
              <w:sz w:val="22"/>
              <w:lang w:eastAsia="en-AU"/>
            </w:rPr>
          </w:pPr>
          <w:hyperlink w:anchor="_Toc374006753" w:history="1">
            <w:r w:rsidRPr="00243873">
              <w:rPr>
                <w:rStyle w:val="Hyperlink"/>
                <w:noProof/>
              </w:rPr>
              <w:t>9.</w:t>
            </w:r>
            <w:r>
              <w:rPr>
                <w:rFonts w:asciiTheme="minorHAnsi" w:eastAsiaTheme="minorEastAsia" w:hAnsiTheme="minorHAnsi" w:cstheme="minorBidi"/>
                <w:b w:val="0"/>
                <w:noProof/>
                <w:sz w:val="22"/>
                <w:lang w:eastAsia="en-AU"/>
              </w:rPr>
              <w:tab/>
            </w:r>
            <w:r w:rsidRPr="00243873">
              <w:rPr>
                <w:rStyle w:val="Hyperlink"/>
                <w:noProof/>
              </w:rPr>
              <w:t>Clinical questions</w:t>
            </w:r>
            <w:r>
              <w:rPr>
                <w:noProof/>
                <w:webHidden/>
              </w:rPr>
              <w:tab/>
            </w:r>
            <w:r>
              <w:rPr>
                <w:noProof/>
                <w:webHidden/>
              </w:rPr>
              <w:fldChar w:fldCharType="begin"/>
            </w:r>
            <w:r>
              <w:rPr>
                <w:noProof/>
                <w:webHidden/>
              </w:rPr>
              <w:instrText xml:space="preserve"> PAGEREF _Toc374006753 \h </w:instrText>
            </w:r>
            <w:r>
              <w:rPr>
                <w:noProof/>
                <w:webHidden/>
              </w:rPr>
            </w:r>
            <w:r>
              <w:rPr>
                <w:noProof/>
                <w:webHidden/>
              </w:rPr>
              <w:fldChar w:fldCharType="separate"/>
            </w:r>
            <w:r>
              <w:rPr>
                <w:noProof/>
                <w:webHidden/>
              </w:rPr>
              <w:t>54</w:t>
            </w:r>
            <w:r>
              <w:rPr>
                <w:noProof/>
                <w:webHidden/>
              </w:rPr>
              <w:fldChar w:fldCharType="end"/>
            </w:r>
          </w:hyperlink>
        </w:p>
        <w:p w:rsidR="005926BA" w:rsidRDefault="005926BA">
          <w:pPr>
            <w:pStyle w:val="TOC2"/>
            <w:tabs>
              <w:tab w:val="left" w:pos="1320"/>
            </w:tabs>
            <w:rPr>
              <w:rFonts w:asciiTheme="minorHAnsi" w:eastAsiaTheme="minorEastAsia" w:hAnsiTheme="minorHAnsi" w:cstheme="minorBidi"/>
              <w:b w:val="0"/>
              <w:noProof/>
              <w:sz w:val="22"/>
              <w:lang w:eastAsia="en-AU"/>
            </w:rPr>
          </w:pPr>
          <w:hyperlink w:anchor="_Toc374006754" w:history="1">
            <w:r w:rsidRPr="00243873">
              <w:rPr>
                <w:rStyle w:val="Hyperlink"/>
                <w:noProof/>
              </w:rPr>
              <w:t>10.</w:t>
            </w:r>
            <w:r>
              <w:rPr>
                <w:rFonts w:asciiTheme="minorHAnsi" w:eastAsiaTheme="minorEastAsia" w:hAnsiTheme="minorHAnsi" w:cstheme="minorBidi"/>
                <w:b w:val="0"/>
                <w:noProof/>
                <w:sz w:val="22"/>
                <w:lang w:eastAsia="en-AU"/>
              </w:rPr>
              <w:tab/>
            </w:r>
            <w:r w:rsidRPr="00243873">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_Toc374006754 \h </w:instrText>
            </w:r>
            <w:r>
              <w:rPr>
                <w:noProof/>
                <w:webHidden/>
              </w:rPr>
            </w:r>
            <w:r>
              <w:rPr>
                <w:noProof/>
                <w:webHidden/>
              </w:rPr>
              <w:fldChar w:fldCharType="separate"/>
            </w:r>
            <w:r>
              <w:rPr>
                <w:noProof/>
                <w:webHidden/>
              </w:rPr>
              <w:t>54</w:t>
            </w:r>
            <w:r>
              <w:rPr>
                <w:noProof/>
                <w:webHidden/>
              </w:rPr>
              <w:fldChar w:fldCharType="end"/>
            </w:r>
          </w:hyperlink>
        </w:p>
        <w:p w:rsidR="005926BA" w:rsidRDefault="005926BA">
          <w:pPr>
            <w:pStyle w:val="TOC2"/>
            <w:tabs>
              <w:tab w:val="left" w:pos="1320"/>
            </w:tabs>
            <w:rPr>
              <w:rFonts w:asciiTheme="minorHAnsi" w:eastAsiaTheme="minorEastAsia" w:hAnsiTheme="minorHAnsi" w:cstheme="minorBidi"/>
              <w:b w:val="0"/>
              <w:noProof/>
              <w:sz w:val="22"/>
              <w:lang w:eastAsia="en-AU"/>
            </w:rPr>
          </w:pPr>
          <w:hyperlink w:anchor="_Toc374006755" w:history="1">
            <w:r w:rsidRPr="00243873">
              <w:rPr>
                <w:rStyle w:val="Hyperlink"/>
                <w:noProof/>
              </w:rPr>
              <w:t>11.</w:t>
            </w:r>
            <w:r>
              <w:rPr>
                <w:rFonts w:asciiTheme="minorHAnsi" w:eastAsiaTheme="minorEastAsia" w:hAnsiTheme="minorHAnsi" w:cstheme="minorBidi"/>
                <w:b w:val="0"/>
                <w:noProof/>
                <w:sz w:val="22"/>
                <w:lang w:eastAsia="en-AU"/>
              </w:rPr>
              <w:tab/>
            </w:r>
            <w:r w:rsidRPr="00243873">
              <w:rPr>
                <w:rStyle w:val="Hyperlink"/>
                <w:noProof/>
              </w:rPr>
              <w:t>Recommendation regarding authorisation</w:t>
            </w:r>
            <w:r>
              <w:rPr>
                <w:noProof/>
                <w:webHidden/>
              </w:rPr>
              <w:tab/>
            </w:r>
            <w:r>
              <w:rPr>
                <w:noProof/>
                <w:webHidden/>
              </w:rPr>
              <w:fldChar w:fldCharType="begin"/>
            </w:r>
            <w:r>
              <w:rPr>
                <w:noProof/>
                <w:webHidden/>
              </w:rPr>
              <w:instrText xml:space="preserve"> PAGEREF _Toc374006755 \h </w:instrText>
            </w:r>
            <w:r>
              <w:rPr>
                <w:noProof/>
                <w:webHidden/>
              </w:rPr>
            </w:r>
            <w:r>
              <w:rPr>
                <w:noProof/>
                <w:webHidden/>
              </w:rPr>
              <w:fldChar w:fldCharType="separate"/>
            </w:r>
            <w:r>
              <w:rPr>
                <w:noProof/>
                <w:webHidden/>
              </w:rPr>
              <w:t>54</w:t>
            </w:r>
            <w:r>
              <w:rPr>
                <w:noProof/>
                <w:webHidden/>
              </w:rPr>
              <w:fldChar w:fldCharType="end"/>
            </w:r>
          </w:hyperlink>
        </w:p>
        <w:p w:rsidR="003A7F6C" w:rsidRPr="00B811C6" w:rsidRDefault="004A2A0F" w:rsidP="00B811C6">
          <w:pPr>
            <w:pStyle w:val="TOC2"/>
          </w:pPr>
          <w:r>
            <w:fldChar w:fldCharType="end"/>
          </w:r>
        </w:p>
      </w:sdtContent>
    </w:sdt>
    <w:bookmarkStart w:id="2" w:name="_Toc314842482" w:displacedByCustomXml="prev"/>
    <w:p w:rsidR="00586F98" w:rsidRDefault="00586F98" w:rsidP="0027219C">
      <w:pPr>
        <w:pStyle w:val="Heading2"/>
        <w:numPr>
          <w:ilvl w:val="0"/>
          <w:numId w:val="0"/>
        </w:numPr>
        <w:ind w:left="567" w:hanging="567"/>
      </w:pPr>
      <w:bookmarkStart w:id="3" w:name="_Toc351716269"/>
      <w:bookmarkStart w:id="4" w:name="_Toc351718881"/>
      <w:bookmarkStart w:id="5" w:name="_Toc355338616"/>
      <w:bookmarkStart w:id="6" w:name="_Toc374006722"/>
      <w:r>
        <w:t>List of abbreviations</w:t>
      </w:r>
      <w:bookmarkEnd w:id="3"/>
      <w:bookmarkEnd w:id="4"/>
      <w:bookmarkEnd w:id="5"/>
      <w:bookmarkEnd w:id="6"/>
    </w:p>
    <w:tbl>
      <w:tblPr>
        <w:tblStyle w:val="TableTGAblue"/>
        <w:tblW w:w="8755" w:type="dxa"/>
        <w:tblLook w:val="04A0"/>
      </w:tblPr>
      <w:tblGrid>
        <w:gridCol w:w="2518"/>
        <w:gridCol w:w="6237"/>
      </w:tblGrid>
      <w:tr w:rsidR="00586F98" w:rsidTr="004E0124">
        <w:trPr>
          <w:cnfStyle w:val="100000000000"/>
          <w:tblHeader/>
        </w:trPr>
        <w:tc>
          <w:tcPr>
            <w:cnfStyle w:val="001000000000"/>
            <w:tcW w:w="2518" w:type="dxa"/>
          </w:tcPr>
          <w:p w:rsidR="00586F98" w:rsidRDefault="00586F98" w:rsidP="0027219C">
            <w:r>
              <w:t>Abbreviation</w:t>
            </w:r>
          </w:p>
        </w:tc>
        <w:tc>
          <w:tcPr>
            <w:tcW w:w="6237" w:type="dxa"/>
          </w:tcPr>
          <w:p w:rsidR="00586F98" w:rsidRDefault="00586F98" w:rsidP="0027219C">
            <w:pPr>
              <w:cnfStyle w:val="100000000000"/>
            </w:pPr>
            <w:r>
              <w:t>Meaning</w:t>
            </w:r>
          </w:p>
        </w:tc>
      </w:tr>
      <w:tr w:rsidR="006279AC" w:rsidRPr="00255179" w:rsidTr="004E0124">
        <w:tc>
          <w:tcPr>
            <w:cnfStyle w:val="001000000000"/>
            <w:tcW w:w="2518" w:type="dxa"/>
          </w:tcPr>
          <w:p w:rsidR="006279AC" w:rsidRPr="00255179" w:rsidRDefault="006279AC" w:rsidP="0027219C">
            <w:r w:rsidRPr="00255179">
              <w:t>AE</w:t>
            </w:r>
          </w:p>
        </w:tc>
        <w:tc>
          <w:tcPr>
            <w:tcW w:w="6237" w:type="dxa"/>
          </w:tcPr>
          <w:p w:rsidR="006279AC" w:rsidRPr="00255179" w:rsidRDefault="006279AC" w:rsidP="0027219C">
            <w:pPr>
              <w:cnfStyle w:val="000000000000"/>
            </w:pPr>
            <w:r w:rsidRPr="00255179">
              <w:t>Adverse event</w:t>
            </w:r>
          </w:p>
        </w:tc>
      </w:tr>
      <w:tr w:rsidR="006279AC" w:rsidRPr="00255179" w:rsidTr="004E0124">
        <w:tc>
          <w:tcPr>
            <w:cnfStyle w:val="001000000000"/>
            <w:tcW w:w="2518" w:type="dxa"/>
          </w:tcPr>
          <w:p w:rsidR="006279AC" w:rsidRPr="00255179" w:rsidRDefault="006279AC" w:rsidP="0027219C">
            <w:r w:rsidRPr="00255179">
              <w:t>AITL</w:t>
            </w:r>
          </w:p>
        </w:tc>
        <w:tc>
          <w:tcPr>
            <w:tcW w:w="6237" w:type="dxa"/>
          </w:tcPr>
          <w:p w:rsidR="006279AC" w:rsidRPr="00255179" w:rsidRDefault="006279AC" w:rsidP="0027219C">
            <w:pPr>
              <w:cnfStyle w:val="000000000000"/>
            </w:pPr>
            <w:proofErr w:type="spellStart"/>
            <w:r w:rsidRPr="00255179">
              <w:t>Angioimmunoblastic</w:t>
            </w:r>
            <w:proofErr w:type="spellEnd"/>
            <w:r w:rsidRPr="00255179">
              <w:t xml:space="preserve"> T-cell lymphoma</w:t>
            </w:r>
          </w:p>
        </w:tc>
      </w:tr>
      <w:tr w:rsidR="006279AC" w:rsidRPr="00255179" w:rsidTr="004E0124">
        <w:tc>
          <w:tcPr>
            <w:cnfStyle w:val="001000000000"/>
            <w:tcW w:w="2518" w:type="dxa"/>
          </w:tcPr>
          <w:p w:rsidR="006279AC" w:rsidRPr="00255179" w:rsidRDefault="006279AC" w:rsidP="0027219C">
            <w:r w:rsidRPr="00255179">
              <w:t>ALCL</w:t>
            </w:r>
          </w:p>
        </w:tc>
        <w:tc>
          <w:tcPr>
            <w:tcW w:w="6237" w:type="dxa"/>
          </w:tcPr>
          <w:p w:rsidR="006279AC" w:rsidRPr="00255179" w:rsidRDefault="006279AC" w:rsidP="0027219C">
            <w:pPr>
              <w:cnfStyle w:val="000000000000"/>
            </w:pPr>
            <w:proofErr w:type="spellStart"/>
            <w:r w:rsidRPr="00255179">
              <w:t>Anaplastic</w:t>
            </w:r>
            <w:proofErr w:type="spellEnd"/>
            <w:r w:rsidRPr="00255179">
              <w:t xml:space="preserve"> large cell lymphoma</w:t>
            </w:r>
          </w:p>
        </w:tc>
      </w:tr>
      <w:tr w:rsidR="006279AC" w:rsidRPr="00255179" w:rsidTr="004E0124">
        <w:tc>
          <w:tcPr>
            <w:cnfStyle w:val="001000000000"/>
            <w:tcW w:w="2518" w:type="dxa"/>
          </w:tcPr>
          <w:p w:rsidR="006279AC" w:rsidRPr="00255179" w:rsidRDefault="006279AC" w:rsidP="0027219C">
            <w:r w:rsidRPr="00255179">
              <w:t>ALT</w:t>
            </w:r>
          </w:p>
        </w:tc>
        <w:tc>
          <w:tcPr>
            <w:tcW w:w="6237" w:type="dxa"/>
          </w:tcPr>
          <w:p w:rsidR="006279AC" w:rsidRPr="00255179" w:rsidRDefault="006279AC" w:rsidP="0027219C">
            <w:pPr>
              <w:cnfStyle w:val="000000000000"/>
            </w:pPr>
            <w:proofErr w:type="spellStart"/>
            <w:r w:rsidRPr="00255179">
              <w:t>alanine</w:t>
            </w:r>
            <w:proofErr w:type="spellEnd"/>
            <w:r w:rsidRPr="00255179">
              <w:t xml:space="preserve"> </w:t>
            </w:r>
            <w:proofErr w:type="spellStart"/>
            <w:r w:rsidRPr="00255179">
              <w:t>transaminase</w:t>
            </w:r>
            <w:proofErr w:type="spellEnd"/>
          </w:p>
        </w:tc>
      </w:tr>
      <w:tr w:rsidR="006279AC" w:rsidRPr="00255179" w:rsidTr="004E0124">
        <w:tc>
          <w:tcPr>
            <w:cnfStyle w:val="001000000000"/>
            <w:tcW w:w="2518" w:type="dxa"/>
          </w:tcPr>
          <w:p w:rsidR="006279AC" w:rsidRPr="00255179" w:rsidRDefault="006279AC" w:rsidP="0027219C">
            <w:r w:rsidRPr="00255179">
              <w:t>ASCT</w:t>
            </w:r>
          </w:p>
        </w:tc>
        <w:tc>
          <w:tcPr>
            <w:tcW w:w="6237" w:type="dxa"/>
          </w:tcPr>
          <w:p w:rsidR="006279AC" w:rsidRPr="00255179" w:rsidRDefault="006279AC" w:rsidP="0027219C">
            <w:pPr>
              <w:cnfStyle w:val="000000000000"/>
            </w:pPr>
            <w:proofErr w:type="spellStart"/>
            <w:r w:rsidRPr="00255179">
              <w:t>Autologous</w:t>
            </w:r>
            <w:proofErr w:type="spellEnd"/>
            <w:r w:rsidRPr="00255179">
              <w:t xml:space="preserve"> stem cell transplant</w:t>
            </w:r>
          </w:p>
        </w:tc>
      </w:tr>
      <w:tr w:rsidR="006279AC" w:rsidRPr="00255179" w:rsidTr="004E0124">
        <w:tc>
          <w:tcPr>
            <w:cnfStyle w:val="001000000000"/>
            <w:tcW w:w="2518" w:type="dxa"/>
          </w:tcPr>
          <w:p w:rsidR="006279AC" w:rsidRPr="00255179" w:rsidRDefault="006279AC" w:rsidP="0027219C">
            <w:r w:rsidRPr="00255179">
              <w:t>ASHAP</w:t>
            </w:r>
          </w:p>
        </w:tc>
        <w:tc>
          <w:tcPr>
            <w:tcW w:w="6237" w:type="dxa"/>
          </w:tcPr>
          <w:p w:rsidR="006279AC" w:rsidRPr="00255179" w:rsidRDefault="006279AC" w:rsidP="0027219C">
            <w:pPr>
              <w:cnfStyle w:val="000000000000"/>
            </w:pPr>
            <w:proofErr w:type="spellStart"/>
            <w:r w:rsidRPr="00255179">
              <w:t>Adriamycin</w:t>
            </w:r>
            <w:proofErr w:type="spellEnd"/>
            <w:r w:rsidRPr="00255179">
              <w:t xml:space="preserve">, </w:t>
            </w:r>
            <w:proofErr w:type="spellStart"/>
            <w:r w:rsidRPr="00255179">
              <w:t>Solu-Medrol</w:t>
            </w:r>
            <w:proofErr w:type="spellEnd"/>
            <w:r w:rsidRPr="00255179">
              <w:t xml:space="preserve">, high-dose </w:t>
            </w:r>
            <w:proofErr w:type="spellStart"/>
            <w:r w:rsidRPr="00255179">
              <w:t>ara</w:t>
            </w:r>
            <w:proofErr w:type="spellEnd"/>
            <w:r w:rsidRPr="00255179">
              <w:t xml:space="preserve">-C, </w:t>
            </w:r>
            <w:proofErr w:type="spellStart"/>
            <w:r w:rsidRPr="00255179">
              <w:t>Platinol</w:t>
            </w:r>
            <w:proofErr w:type="spellEnd"/>
          </w:p>
        </w:tc>
      </w:tr>
      <w:tr w:rsidR="006279AC" w:rsidRPr="00255179" w:rsidTr="004E0124">
        <w:tc>
          <w:tcPr>
            <w:cnfStyle w:val="001000000000"/>
            <w:tcW w:w="2518" w:type="dxa"/>
          </w:tcPr>
          <w:p w:rsidR="006279AC" w:rsidRPr="00255179" w:rsidRDefault="006279AC" w:rsidP="0027219C">
            <w:r w:rsidRPr="00255179">
              <w:t>AST</w:t>
            </w:r>
          </w:p>
        </w:tc>
        <w:tc>
          <w:tcPr>
            <w:tcW w:w="6237" w:type="dxa"/>
          </w:tcPr>
          <w:p w:rsidR="006279AC" w:rsidRPr="00255179" w:rsidRDefault="006279AC" w:rsidP="0027219C">
            <w:pPr>
              <w:cnfStyle w:val="000000000000"/>
            </w:pPr>
            <w:proofErr w:type="spellStart"/>
            <w:r w:rsidRPr="00255179">
              <w:t>aspartate</w:t>
            </w:r>
            <w:proofErr w:type="spellEnd"/>
            <w:r w:rsidRPr="00255179">
              <w:t xml:space="preserve"> </w:t>
            </w:r>
            <w:proofErr w:type="spellStart"/>
            <w:r w:rsidRPr="00255179">
              <w:t>transaminase</w:t>
            </w:r>
            <w:proofErr w:type="spellEnd"/>
          </w:p>
        </w:tc>
      </w:tr>
      <w:tr w:rsidR="006279AC" w:rsidRPr="00255179" w:rsidTr="004E0124">
        <w:tc>
          <w:tcPr>
            <w:cnfStyle w:val="001000000000"/>
            <w:tcW w:w="2518" w:type="dxa"/>
          </w:tcPr>
          <w:p w:rsidR="006279AC" w:rsidRPr="00255179" w:rsidRDefault="006279AC" w:rsidP="0027219C">
            <w:r w:rsidRPr="00255179">
              <w:t>AUC</w:t>
            </w:r>
          </w:p>
        </w:tc>
        <w:tc>
          <w:tcPr>
            <w:tcW w:w="6237" w:type="dxa"/>
          </w:tcPr>
          <w:p w:rsidR="006279AC" w:rsidRPr="00255179" w:rsidRDefault="006279AC" w:rsidP="0027219C">
            <w:pPr>
              <w:cnfStyle w:val="000000000000"/>
            </w:pPr>
            <w:r w:rsidRPr="00255179">
              <w:t>Area under the curve</w:t>
            </w:r>
          </w:p>
        </w:tc>
      </w:tr>
      <w:tr w:rsidR="006279AC" w:rsidRPr="00255179" w:rsidTr="004E0124">
        <w:tc>
          <w:tcPr>
            <w:cnfStyle w:val="001000000000"/>
            <w:tcW w:w="2518" w:type="dxa"/>
          </w:tcPr>
          <w:p w:rsidR="006279AC" w:rsidRPr="00255179" w:rsidRDefault="006279AC" w:rsidP="0027219C">
            <w:r w:rsidRPr="00255179">
              <w:t>BMT</w:t>
            </w:r>
          </w:p>
        </w:tc>
        <w:tc>
          <w:tcPr>
            <w:tcW w:w="6237" w:type="dxa"/>
          </w:tcPr>
          <w:p w:rsidR="006279AC" w:rsidRPr="00255179" w:rsidRDefault="006279AC" w:rsidP="0027219C">
            <w:pPr>
              <w:cnfStyle w:val="000000000000"/>
            </w:pPr>
            <w:r w:rsidRPr="00255179">
              <w:t>Bone marrow transplant</w:t>
            </w:r>
          </w:p>
        </w:tc>
      </w:tr>
      <w:tr w:rsidR="006279AC" w:rsidRPr="00255179" w:rsidTr="004E0124">
        <w:tc>
          <w:tcPr>
            <w:cnfStyle w:val="001000000000"/>
            <w:tcW w:w="2518" w:type="dxa"/>
          </w:tcPr>
          <w:p w:rsidR="006279AC" w:rsidRPr="00255179" w:rsidRDefault="006279AC" w:rsidP="0027219C">
            <w:r w:rsidRPr="00255179">
              <w:t>CHMP</w:t>
            </w:r>
          </w:p>
        </w:tc>
        <w:tc>
          <w:tcPr>
            <w:tcW w:w="6237" w:type="dxa"/>
          </w:tcPr>
          <w:p w:rsidR="006279AC" w:rsidRPr="00255179" w:rsidRDefault="006279AC" w:rsidP="0027219C">
            <w:pPr>
              <w:cnfStyle w:val="000000000000"/>
            </w:pPr>
            <w:r w:rsidRPr="00255179">
              <w:t>Committee for Medicinal Products for Human Use</w:t>
            </w:r>
          </w:p>
        </w:tc>
      </w:tr>
      <w:tr w:rsidR="006279AC" w:rsidRPr="00255179" w:rsidTr="004E0124">
        <w:tc>
          <w:tcPr>
            <w:cnfStyle w:val="001000000000"/>
            <w:tcW w:w="2518" w:type="dxa"/>
          </w:tcPr>
          <w:p w:rsidR="006279AC" w:rsidRPr="00255179" w:rsidRDefault="006279AC" w:rsidP="0027219C">
            <w:r w:rsidRPr="00255179">
              <w:t>CHOP</w:t>
            </w:r>
          </w:p>
        </w:tc>
        <w:tc>
          <w:tcPr>
            <w:tcW w:w="6237" w:type="dxa"/>
          </w:tcPr>
          <w:p w:rsidR="006279AC" w:rsidRPr="00255179" w:rsidRDefault="004E0124" w:rsidP="0027219C">
            <w:pPr>
              <w:cnfStyle w:val="000000000000"/>
            </w:pPr>
            <w:proofErr w:type="spellStart"/>
            <w:r>
              <w:t>Cyclophosphamide</w:t>
            </w:r>
            <w:proofErr w:type="spellEnd"/>
            <w:r>
              <w:t>/</w:t>
            </w:r>
            <w:proofErr w:type="spellStart"/>
            <w:r w:rsidR="006279AC" w:rsidRPr="00255179">
              <w:t>hydroxydaunomycin</w:t>
            </w:r>
            <w:proofErr w:type="spellEnd"/>
            <w:r w:rsidR="006279AC" w:rsidRPr="00255179">
              <w:t xml:space="preserve"> (doxorubicin)/</w:t>
            </w:r>
            <w:proofErr w:type="spellStart"/>
            <w:r w:rsidR="006279AC" w:rsidRPr="00255179">
              <w:t>Oncovin</w:t>
            </w:r>
            <w:proofErr w:type="spellEnd"/>
            <w:r w:rsidR="006279AC" w:rsidRPr="00255179">
              <w:t xml:space="preserve"> </w:t>
            </w:r>
            <w:proofErr w:type="spellStart"/>
            <w:r w:rsidR="006279AC" w:rsidRPr="00255179">
              <w:t>vincristine</w:t>
            </w:r>
            <w:proofErr w:type="spellEnd"/>
            <w:r w:rsidR="006279AC" w:rsidRPr="00255179">
              <w:t>)/prednisone</w:t>
            </w:r>
          </w:p>
        </w:tc>
      </w:tr>
      <w:tr w:rsidR="006279AC" w:rsidRPr="00255179" w:rsidTr="004E0124">
        <w:tc>
          <w:tcPr>
            <w:cnfStyle w:val="001000000000"/>
            <w:tcW w:w="2518" w:type="dxa"/>
          </w:tcPr>
          <w:p w:rsidR="006279AC" w:rsidRPr="00255179" w:rsidRDefault="006279AC" w:rsidP="0027219C">
            <w:r w:rsidRPr="00255179">
              <w:t>CHEOP</w:t>
            </w:r>
          </w:p>
        </w:tc>
        <w:tc>
          <w:tcPr>
            <w:tcW w:w="6237" w:type="dxa"/>
          </w:tcPr>
          <w:p w:rsidR="006279AC" w:rsidRPr="00255179" w:rsidRDefault="004E0124" w:rsidP="0027219C">
            <w:pPr>
              <w:cnfStyle w:val="000000000000"/>
            </w:pPr>
            <w:proofErr w:type="spellStart"/>
            <w:r>
              <w:t>Cyclophosphamide</w:t>
            </w:r>
            <w:proofErr w:type="spellEnd"/>
            <w:r>
              <w:t>/</w:t>
            </w:r>
            <w:proofErr w:type="spellStart"/>
            <w:r w:rsidR="006279AC" w:rsidRPr="00255179">
              <w:t>hydroxydaunomycin</w:t>
            </w:r>
            <w:proofErr w:type="spellEnd"/>
            <w:r w:rsidR="006279AC" w:rsidRPr="00255179">
              <w:t xml:space="preserve"> (doxorubicin)/</w:t>
            </w:r>
            <w:r>
              <w:t xml:space="preserve"> </w:t>
            </w:r>
            <w:proofErr w:type="spellStart"/>
            <w:r w:rsidR="006279AC" w:rsidRPr="00255179">
              <w:t>etoposide</w:t>
            </w:r>
            <w:proofErr w:type="spellEnd"/>
            <w:r w:rsidR="006279AC" w:rsidRPr="00255179">
              <w:t>/</w:t>
            </w:r>
            <w:proofErr w:type="spellStart"/>
            <w:r w:rsidR="006279AC" w:rsidRPr="00255179">
              <w:t>Oncovin</w:t>
            </w:r>
            <w:proofErr w:type="spellEnd"/>
            <w:r w:rsidR="006279AC" w:rsidRPr="00255179">
              <w:t xml:space="preserve"> </w:t>
            </w:r>
            <w:proofErr w:type="spellStart"/>
            <w:r w:rsidR="006279AC" w:rsidRPr="00255179">
              <w:t>vincristine</w:t>
            </w:r>
            <w:proofErr w:type="spellEnd"/>
            <w:r w:rsidR="006279AC" w:rsidRPr="00255179">
              <w:t>)/prednisone</w:t>
            </w:r>
          </w:p>
        </w:tc>
      </w:tr>
      <w:tr w:rsidR="006279AC" w:rsidRPr="00255179" w:rsidTr="004E0124">
        <w:tc>
          <w:tcPr>
            <w:cnfStyle w:val="001000000000"/>
            <w:tcW w:w="2518" w:type="dxa"/>
          </w:tcPr>
          <w:p w:rsidR="006279AC" w:rsidRPr="00255179" w:rsidRDefault="006279AC" w:rsidP="0027219C">
            <w:r w:rsidRPr="00255179">
              <w:t>CI</w:t>
            </w:r>
          </w:p>
        </w:tc>
        <w:tc>
          <w:tcPr>
            <w:tcW w:w="6237" w:type="dxa"/>
          </w:tcPr>
          <w:p w:rsidR="006279AC" w:rsidRPr="00255179" w:rsidRDefault="006279AC" w:rsidP="0027219C">
            <w:pPr>
              <w:cnfStyle w:val="000000000000"/>
            </w:pPr>
            <w:r w:rsidRPr="00255179">
              <w:t>Confidence interval</w:t>
            </w:r>
          </w:p>
        </w:tc>
      </w:tr>
      <w:tr w:rsidR="006279AC" w:rsidRPr="00255179" w:rsidTr="004E0124">
        <w:tc>
          <w:tcPr>
            <w:cnfStyle w:val="001000000000"/>
            <w:tcW w:w="2518" w:type="dxa"/>
          </w:tcPr>
          <w:p w:rsidR="006279AC" w:rsidRPr="00255179" w:rsidRDefault="006279AC" w:rsidP="0027219C">
            <w:r w:rsidRPr="00255179">
              <w:t>CNOP</w:t>
            </w:r>
          </w:p>
        </w:tc>
        <w:tc>
          <w:tcPr>
            <w:tcW w:w="6237" w:type="dxa"/>
          </w:tcPr>
          <w:p w:rsidR="006279AC" w:rsidRPr="00255179" w:rsidRDefault="006279AC" w:rsidP="0027219C">
            <w:pPr>
              <w:cnfStyle w:val="000000000000"/>
            </w:pPr>
            <w:proofErr w:type="spellStart"/>
            <w:r w:rsidRPr="00255179">
              <w:t>Cyclophosphamide</w:t>
            </w:r>
            <w:proofErr w:type="spellEnd"/>
            <w:r w:rsidRPr="00255179">
              <w:t xml:space="preserve">, </w:t>
            </w:r>
            <w:proofErr w:type="spellStart"/>
            <w:r w:rsidRPr="00255179">
              <w:t>mitoxantrone</w:t>
            </w:r>
            <w:proofErr w:type="spellEnd"/>
            <w:r w:rsidRPr="00255179">
              <w:t xml:space="preserve">, </w:t>
            </w:r>
            <w:proofErr w:type="spellStart"/>
            <w:r w:rsidRPr="00255179">
              <w:t>vincristine</w:t>
            </w:r>
            <w:proofErr w:type="spellEnd"/>
            <w:r w:rsidRPr="00255179">
              <w:t>, and prednisone</w:t>
            </w:r>
          </w:p>
        </w:tc>
      </w:tr>
      <w:tr w:rsidR="006279AC" w:rsidRPr="00255179" w:rsidTr="004E0124">
        <w:tc>
          <w:tcPr>
            <w:cnfStyle w:val="001000000000"/>
            <w:tcW w:w="2518" w:type="dxa"/>
          </w:tcPr>
          <w:p w:rsidR="006279AC" w:rsidRPr="00255179" w:rsidRDefault="006279AC" w:rsidP="0027219C">
            <w:r w:rsidRPr="00255179">
              <w:t>CR</w:t>
            </w:r>
          </w:p>
        </w:tc>
        <w:tc>
          <w:tcPr>
            <w:tcW w:w="6237" w:type="dxa"/>
          </w:tcPr>
          <w:p w:rsidR="006279AC" w:rsidRPr="00255179" w:rsidRDefault="006279AC" w:rsidP="0027219C">
            <w:pPr>
              <w:cnfStyle w:val="000000000000"/>
            </w:pPr>
            <w:r w:rsidRPr="00255179">
              <w:t>Complete response</w:t>
            </w:r>
          </w:p>
        </w:tc>
      </w:tr>
      <w:tr w:rsidR="006279AC" w:rsidRPr="00255179" w:rsidTr="004E0124">
        <w:tc>
          <w:tcPr>
            <w:cnfStyle w:val="001000000000"/>
            <w:tcW w:w="2518" w:type="dxa"/>
          </w:tcPr>
          <w:p w:rsidR="006279AC" w:rsidRPr="00255179" w:rsidRDefault="006279AC" w:rsidP="0027219C">
            <w:r w:rsidRPr="00255179">
              <w:t>CRF</w:t>
            </w:r>
          </w:p>
        </w:tc>
        <w:tc>
          <w:tcPr>
            <w:tcW w:w="6237" w:type="dxa"/>
          </w:tcPr>
          <w:p w:rsidR="006279AC" w:rsidRPr="00255179" w:rsidRDefault="006279AC" w:rsidP="0027219C">
            <w:pPr>
              <w:cnfStyle w:val="000000000000"/>
            </w:pPr>
            <w:r w:rsidRPr="00255179">
              <w:t>Case report form</w:t>
            </w:r>
          </w:p>
        </w:tc>
      </w:tr>
      <w:tr w:rsidR="006279AC" w:rsidRPr="00255179" w:rsidTr="004E0124">
        <w:tc>
          <w:tcPr>
            <w:cnfStyle w:val="001000000000"/>
            <w:tcW w:w="2518" w:type="dxa"/>
          </w:tcPr>
          <w:p w:rsidR="006279AC" w:rsidRPr="00255179" w:rsidRDefault="006279AC" w:rsidP="0027219C">
            <w:proofErr w:type="spellStart"/>
            <w:r w:rsidRPr="00255179">
              <w:t>CRu</w:t>
            </w:r>
            <w:proofErr w:type="spellEnd"/>
          </w:p>
        </w:tc>
        <w:tc>
          <w:tcPr>
            <w:tcW w:w="6237" w:type="dxa"/>
          </w:tcPr>
          <w:p w:rsidR="006279AC" w:rsidRPr="00255179" w:rsidRDefault="006279AC" w:rsidP="0027219C">
            <w:pPr>
              <w:cnfStyle w:val="000000000000"/>
            </w:pPr>
            <w:r w:rsidRPr="00255179">
              <w:t>Complete response unconfirmed</w:t>
            </w:r>
          </w:p>
        </w:tc>
      </w:tr>
      <w:tr w:rsidR="006279AC" w:rsidRPr="00255179" w:rsidTr="004E0124">
        <w:tc>
          <w:tcPr>
            <w:cnfStyle w:val="001000000000"/>
            <w:tcW w:w="2518" w:type="dxa"/>
          </w:tcPr>
          <w:p w:rsidR="006279AC" w:rsidRPr="00255179" w:rsidRDefault="006279AC" w:rsidP="0027219C">
            <w:r w:rsidRPr="00255179">
              <w:t>CTCL</w:t>
            </w:r>
          </w:p>
        </w:tc>
        <w:tc>
          <w:tcPr>
            <w:tcW w:w="6237" w:type="dxa"/>
          </w:tcPr>
          <w:p w:rsidR="006279AC" w:rsidRPr="00255179" w:rsidRDefault="006279AC" w:rsidP="0027219C">
            <w:pPr>
              <w:cnfStyle w:val="000000000000"/>
            </w:pPr>
            <w:proofErr w:type="spellStart"/>
            <w:r w:rsidRPr="00255179">
              <w:t>Cutaneous</w:t>
            </w:r>
            <w:proofErr w:type="spellEnd"/>
            <w:r w:rsidRPr="00255179">
              <w:t xml:space="preserve"> T-cell lymphoma</w:t>
            </w:r>
          </w:p>
        </w:tc>
      </w:tr>
      <w:tr w:rsidR="006279AC" w:rsidRPr="00255179" w:rsidTr="004E0124">
        <w:tc>
          <w:tcPr>
            <w:cnfStyle w:val="001000000000"/>
            <w:tcW w:w="2518" w:type="dxa"/>
          </w:tcPr>
          <w:p w:rsidR="006279AC" w:rsidRPr="00255179" w:rsidRDefault="006279AC" w:rsidP="0027219C">
            <w:r w:rsidRPr="00255179">
              <w:t>CVAD</w:t>
            </w:r>
          </w:p>
        </w:tc>
        <w:tc>
          <w:tcPr>
            <w:tcW w:w="6237" w:type="dxa"/>
          </w:tcPr>
          <w:p w:rsidR="006279AC" w:rsidRPr="00255179" w:rsidRDefault="006279AC" w:rsidP="0027219C">
            <w:pPr>
              <w:cnfStyle w:val="000000000000"/>
            </w:pPr>
            <w:proofErr w:type="spellStart"/>
            <w:r w:rsidRPr="00255179">
              <w:t>Cyclophosphamide</w:t>
            </w:r>
            <w:proofErr w:type="spellEnd"/>
            <w:r w:rsidRPr="00255179">
              <w:t xml:space="preserve">, doxorubicin, </w:t>
            </w:r>
            <w:proofErr w:type="spellStart"/>
            <w:r w:rsidRPr="00255179">
              <w:t>vincristine</w:t>
            </w:r>
            <w:proofErr w:type="spellEnd"/>
            <w:r w:rsidRPr="00255179">
              <w:t xml:space="preserve"> and dexamethasone</w:t>
            </w:r>
          </w:p>
        </w:tc>
      </w:tr>
      <w:tr w:rsidR="006279AC" w:rsidRPr="00255179" w:rsidTr="004E0124">
        <w:tc>
          <w:tcPr>
            <w:cnfStyle w:val="001000000000"/>
            <w:tcW w:w="2518" w:type="dxa"/>
          </w:tcPr>
          <w:p w:rsidR="006279AC" w:rsidRPr="00255179" w:rsidRDefault="006279AC" w:rsidP="0027219C">
            <w:r w:rsidRPr="00255179">
              <w:t>DHAP</w:t>
            </w:r>
          </w:p>
        </w:tc>
        <w:tc>
          <w:tcPr>
            <w:tcW w:w="6237" w:type="dxa"/>
          </w:tcPr>
          <w:p w:rsidR="006279AC" w:rsidRPr="00255179" w:rsidRDefault="006279AC" w:rsidP="0027219C">
            <w:pPr>
              <w:cnfStyle w:val="000000000000"/>
            </w:pPr>
            <w:proofErr w:type="spellStart"/>
            <w:r w:rsidRPr="00255179">
              <w:t>Dexamethasone</w:t>
            </w:r>
            <w:proofErr w:type="spellEnd"/>
            <w:r w:rsidRPr="00255179">
              <w:t xml:space="preserve">, high-dose </w:t>
            </w:r>
            <w:proofErr w:type="spellStart"/>
            <w:r w:rsidRPr="00255179">
              <w:t>ara</w:t>
            </w:r>
            <w:proofErr w:type="spellEnd"/>
            <w:r w:rsidRPr="00255179">
              <w:t xml:space="preserve">-C, and </w:t>
            </w:r>
            <w:proofErr w:type="spellStart"/>
            <w:r w:rsidRPr="00255179">
              <w:t>cisplatin</w:t>
            </w:r>
            <w:proofErr w:type="spellEnd"/>
          </w:p>
        </w:tc>
      </w:tr>
      <w:tr w:rsidR="006279AC" w:rsidRPr="00255179" w:rsidTr="004E0124">
        <w:tc>
          <w:tcPr>
            <w:cnfStyle w:val="001000000000"/>
            <w:tcW w:w="2518" w:type="dxa"/>
          </w:tcPr>
          <w:p w:rsidR="006279AC" w:rsidRPr="00255179" w:rsidRDefault="006279AC" w:rsidP="0027219C">
            <w:r w:rsidRPr="00255179">
              <w:lastRenderedPageBreak/>
              <w:t>DICE</w:t>
            </w:r>
          </w:p>
        </w:tc>
        <w:tc>
          <w:tcPr>
            <w:tcW w:w="6237" w:type="dxa"/>
          </w:tcPr>
          <w:p w:rsidR="006279AC" w:rsidRPr="00255179" w:rsidRDefault="006279AC" w:rsidP="0027219C">
            <w:pPr>
              <w:cnfStyle w:val="000000000000"/>
            </w:pPr>
            <w:proofErr w:type="spellStart"/>
            <w:r w:rsidRPr="00255179">
              <w:t>Dexamethasone</w:t>
            </w:r>
            <w:proofErr w:type="spellEnd"/>
            <w:r w:rsidRPr="00255179">
              <w:t xml:space="preserve">, </w:t>
            </w:r>
            <w:proofErr w:type="spellStart"/>
            <w:r w:rsidRPr="00255179">
              <w:t>ifosfamide</w:t>
            </w:r>
            <w:proofErr w:type="spellEnd"/>
            <w:r w:rsidRPr="00255179">
              <w:t xml:space="preserve">, </w:t>
            </w:r>
            <w:proofErr w:type="spellStart"/>
            <w:r w:rsidRPr="00255179">
              <w:t>cisplatin</w:t>
            </w:r>
            <w:proofErr w:type="spellEnd"/>
            <w:r w:rsidRPr="00255179">
              <w:t xml:space="preserve"> </w:t>
            </w:r>
            <w:proofErr w:type="spellStart"/>
            <w:r w:rsidRPr="00255179">
              <w:t>etoposide</w:t>
            </w:r>
            <w:proofErr w:type="spellEnd"/>
          </w:p>
        </w:tc>
      </w:tr>
      <w:tr w:rsidR="006279AC" w:rsidRPr="00255179" w:rsidTr="004E0124">
        <w:tc>
          <w:tcPr>
            <w:cnfStyle w:val="001000000000"/>
            <w:tcW w:w="2518" w:type="dxa"/>
          </w:tcPr>
          <w:p w:rsidR="006279AC" w:rsidRPr="00255179" w:rsidRDefault="006279AC" w:rsidP="0027219C">
            <w:r w:rsidRPr="00255179">
              <w:t>DLBCL</w:t>
            </w:r>
          </w:p>
        </w:tc>
        <w:tc>
          <w:tcPr>
            <w:tcW w:w="6237" w:type="dxa"/>
          </w:tcPr>
          <w:p w:rsidR="006279AC" w:rsidRPr="00255179" w:rsidRDefault="006279AC" w:rsidP="0027219C">
            <w:pPr>
              <w:cnfStyle w:val="000000000000"/>
            </w:pPr>
            <w:r w:rsidRPr="00255179">
              <w:t>Diffuse large B-cell lymphoma</w:t>
            </w:r>
          </w:p>
        </w:tc>
      </w:tr>
      <w:tr w:rsidR="006279AC" w:rsidRPr="00255179" w:rsidTr="004E0124">
        <w:tc>
          <w:tcPr>
            <w:cnfStyle w:val="001000000000"/>
            <w:tcW w:w="2518" w:type="dxa"/>
          </w:tcPr>
          <w:p w:rsidR="006279AC" w:rsidRPr="00255179" w:rsidRDefault="006279AC" w:rsidP="0027219C">
            <w:r w:rsidRPr="00255179">
              <w:t>DOR</w:t>
            </w:r>
          </w:p>
        </w:tc>
        <w:tc>
          <w:tcPr>
            <w:tcW w:w="6237" w:type="dxa"/>
          </w:tcPr>
          <w:p w:rsidR="006279AC" w:rsidRPr="00255179" w:rsidRDefault="006279AC" w:rsidP="0027219C">
            <w:pPr>
              <w:cnfStyle w:val="000000000000"/>
            </w:pPr>
            <w:r w:rsidRPr="00255179">
              <w:t>Duration of response</w:t>
            </w:r>
          </w:p>
        </w:tc>
      </w:tr>
      <w:tr w:rsidR="006279AC" w:rsidRPr="00255179" w:rsidTr="004E0124">
        <w:tc>
          <w:tcPr>
            <w:cnfStyle w:val="001000000000"/>
            <w:tcW w:w="2518" w:type="dxa"/>
          </w:tcPr>
          <w:p w:rsidR="006279AC" w:rsidRPr="00255179" w:rsidRDefault="006279AC" w:rsidP="0027219C">
            <w:r w:rsidRPr="00255179">
              <w:t>EATL</w:t>
            </w:r>
          </w:p>
        </w:tc>
        <w:tc>
          <w:tcPr>
            <w:tcW w:w="6237" w:type="dxa"/>
          </w:tcPr>
          <w:p w:rsidR="006279AC" w:rsidRPr="00255179" w:rsidRDefault="006279AC" w:rsidP="0027219C">
            <w:pPr>
              <w:cnfStyle w:val="000000000000"/>
            </w:pPr>
            <w:proofErr w:type="spellStart"/>
            <w:r w:rsidRPr="00255179">
              <w:t>Enteropathy</w:t>
            </w:r>
            <w:proofErr w:type="spellEnd"/>
            <w:r w:rsidRPr="00255179">
              <w:t>-type intestinal T-cell lymphoma</w:t>
            </w:r>
          </w:p>
        </w:tc>
      </w:tr>
      <w:tr w:rsidR="006279AC" w:rsidRPr="00255179" w:rsidTr="004E0124">
        <w:tc>
          <w:tcPr>
            <w:cnfStyle w:val="001000000000"/>
            <w:tcW w:w="2518" w:type="dxa"/>
          </w:tcPr>
          <w:p w:rsidR="006279AC" w:rsidRPr="00255179" w:rsidRDefault="006279AC" w:rsidP="0027219C">
            <w:r w:rsidRPr="00255179">
              <w:t>ECOG</w:t>
            </w:r>
          </w:p>
        </w:tc>
        <w:tc>
          <w:tcPr>
            <w:tcW w:w="6237" w:type="dxa"/>
          </w:tcPr>
          <w:p w:rsidR="006279AC" w:rsidRPr="00255179" w:rsidRDefault="006279AC" w:rsidP="0027219C">
            <w:pPr>
              <w:cnfStyle w:val="000000000000"/>
            </w:pPr>
            <w:r w:rsidRPr="00255179">
              <w:t>Eastern Cooperative Oncology Group</w:t>
            </w:r>
          </w:p>
        </w:tc>
      </w:tr>
      <w:tr w:rsidR="006279AC" w:rsidRPr="00255179" w:rsidTr="004E0124">
        <w:tc>
          <w:tcPr>
            <w:cnfStyle w:val="001000000000"/>
            <w:tcW w:w="2518" w:type="dxa"/>
          </w:tcPr>
          <w:p w:rsidR="006279AC" w:rsidRPr="00255179" w:rsidRDefault="006279AC" w:rsidP="0027219C">
            <w:r w:rsidRPr="00255179">
              <w:t>EMA</w:t>
            </w:r>
          </w:p>
        </w:tc>
        <w:tc>
          <w:tcPr>
            <w:tcW w:w="6237" w:type="dxa"/>
          </w:tcPr>
          <w:p w:rsidR="006279AC" w:rsidRPr="00255179" w:rsidRDefault="006279AC" w:rsidP="0027219C">
            <w:pPr>
              <w:cnfStyle w:val="000000000000"/>
            </w:pPr>
            <w:r w:rsidRPr="00255179">
              <w:t>European Medicines Agency</w:t>
            </w:r>
          </w:p>
        </w:tc>
      </w:tr>
      <w:tr w:rsidR="006279AC" w:rsidRPr="00255179" w:rsidTr="004E0124">
        <w:tc>
          <w:tcPr>
            <w:cnfStyle w:val="001000000000"/>
            <w:tcW w:w="2518" w:type="dxa"/>
          </w:tcPr>
          <w:p w:rsidR="006279AC" w:rsidRPr="00255179" w:rsidRDefault="006279AC" w:rsidP="0027219C">
            <w:r w:rsidRPr="00255179">
              <w:t>ESHAP</w:t>
            </w:r>
          </w:p>
        </w:tc>
        <w:tc>
          <w:tcPr>
            <w:tcW w:w="6237" w:type="dxa"/>
          </w:tcPr>
          <w:p w:rsidR="006279AC" w:rsidRPr="00255179" w:rsidRDefault="006279AC" w:rsidP="0027219C">
            <w:pPr>
              <w:cnfStyle w:val="000000000000"/>
            </w:pPr>
            <w:proofErr w:type="spellStart"/>
            <w:r w:rsidRPr="00255179">
              <w:t>Etoposide</w:t>
            </w:r>
            <w:proofErr w:type="spellEnd"/>
            <w:r w:rsidRPr="00255179">
              <w:t xml:space="preserve">, </w:t>
            </w:r>
            <w:proofErr w:type="spellStart"/>
            <w:r w:rsidRPr="00255179">
              <w:t>methylprednisolone</w:t>
            </w:r>
            <w:proofErr w:type="spellEnd"/>
            <w:r w:rsidRPr="00255179">
              <w:t xml:space="preserve">, </w:t>
            </w:r>
            <w:proofErr w:type="spellStart"/>
            <w:r w:rsidRPr="00255179">
              <w:t>cytarabine</w:t>
            </w:r>
            <w:proofErr w:type="spellEnd"/>
            <w:r w:rsidRPr="00255179">
              <w:t xml:space="preserve">, and </w:t>
            </w:r>
            <w:proofErr w:type="spellStart"/>
            <w:r w:rsidRPr="00255179">
              <w:t>cisplatin</w:t>
            </w:r>
            <w:proofErr w:type="spellEnd"/>
          </w:p>
        </w:tc>
      </w:tr>
      <w:tr w:rsidR="006279AC" w:rsidRPr="00255179" w:rsidTr="004E0124">
        <w:tc>
          <w:tcPr>
            <w:cnfStyle w:val="001000000000"/>
            <w:tcW w:w="2518" w:type="dxa"/>
          </w:tcPr>
          <w:p w:rsidR="006279AC" w:rsidRPr="00255179" w:rsidRDefault="006279AC" w:rsidP="0027219C">
            <w:r w:rsidRPr="00255179">
              <w:t>EU</w:t>
            </w:r>
          </w:p>
        </w:tc>
        <w:tc>
          <w:tcPr>
            <w:tcW w:w="6237" w:type="dxa"/>
          </w:tcPr>
          <w:p w:rsidR="006279AC" w:rsidRPr="00255179" w:rsidRDefault="006279AC" w:rsidP="0027219C">
            <w:pPr>
              <w:cnfStyle w:val="000000000000"/>
            </w:pPr>
            <w:r w:rsidRPr="00255179">
              <w:t>European Union</w:t>
            </w:r>
          </w:p>
        </w:tc>
      </w:tr>
      <w:tr w:rsidR="006279AC" w:rsidRPr="00255179" w:rsidTr="004E0124">
        <w:tc>
          <w:tcPr>
            <w:cnfStyle w:val="001000000000"/>
            <w:tcW w:w="2518" w:type="dxa"/>
          </w:tcPr>
          <w:p w:rsidR="006279AC" w:rsidRPr="00255179" w:rsidRDefault="006279AC" w:rsidP="0027219C">
            <w:r w:rsidRPr="00255179">
              <w:t>FCD</w:t>
            </w:r>
          </w:p>
        </w:tc>
        <w:tc>
          <w:tcPr>
            <w:tcW w:w="6237" w:type="dxa"/>
          </w:tcPr>
          <w:p w:rsidR="006279AC" w:rsidRPr="00255179" w:rsidRDefault="006279AC" w:rsidP="0027219C">
            <w:pPr>
              <w:cnfStyle w:val="000000000000"/>
            </w:pPr>
            <w:proofErr w:type="spellStart"/>
            <w:r w:rsidRPr="00255179">
              <w:t>Fludarabine</w:t>
            </w:r>
            <w:proofErr w:type="spellEnd"/>
            <w:r w:rsidRPr="00255179">
              <w:t xml:space="preserve">, </w:t>
            </w:r>
            <w:proofErr w:type="spellStart"/>
            <w:r w:rsidRPr="00255179">
              <w:t>cyclophosphamide</w:t>
            </w:r>
            <w:proofErr w:type="spellEnd"/>
            <w:r w:rsidRPr="00255179">
              <w:t xml:space="preserve"> and doxorubicin</w:t>
            </w:r>
          </w:p>
        </w:tc>
      </w:tr>
      <w:tr w:rsidR="006279AC" w:rsidRPr="00255179" w:rsidTr="004E0124">
        <w:tc>
          <w:tcPr>
            <w:cnfStyle w:val="001000000000"/>
            <w:tcW w:w="2518" w:type="dxa"/>
          </w:tcPr>
          <w:p w:rsidR="006279AC" w:rsidRPr="00255179" w:rsidRDefault="006279AC" w:rsidP="0027219C">
            <w:r w:rsidRPr="00255179">
              <w:t>FN</w:t>
            </w:r>
          </w:p>
        </w:tc>
        <w:tc>
          <w:tcPr>
            <w:tcW w:w="6237" w:type="dxa"/>
          </w:tcPr>
          <w:p w:rsidR="006279AC" w:rsidRPr="00255179" w:rsidRDefault="006279AC" w:rsidP="0027219C">
            <w:pPr>
              <w:cnfStyle w:val="000000000000"/>
            </w:pPr>
            <w:r w:rsidRPr="00255179">
              <w:t>Febrile neutropenia</w:t>
            </w:r>
          </w:p>
        </w:tc>
      </w:tr>
      <w:tr w:rsidR="006279AC" w:rsidRPr="00255179" w:rsidTr="004E0124">
        <w:tc>
          <w:tcPr>
            <w:cnfStyle w:val="001000000000"/>
            <w:tcW w:w="2518" w:type="dxa"/>
          </w:tcPr>
          <w:p w:rsidR="006279AC" w:rsidRPr="00255179" w:rsidRDefault="006279AC" w:rsidP="0027219C">
            <w:r w:rsidRPr="00255179">
              <w:t>GCP</w:t>
            </w:r>
          </w:p>
        </w:tc>
        <w:tc>
          <w:tcPr>
            <w:tcW w:w="6237" w:type="dxa"/>
          </w:tcPr>
          <w:p w:rsidR="006279AC" w:rsidRPr="00255179" w:rsidRDefault="006279AC" w:rsidP="0027219C">
            <w:pPr>
              <w:cnfStyle w:val="000000000000"/>
            </w:pPr>
            <w:r w:rsidRPr="00255179">
              <w:t>Good Clinical Practice</w:t>
            </w:r>
          </w:p>
        </w:tc>
      </w:tr>
      <w:tr w:rsidR="006279AC" w:rsidRPr="00255179" w:rsidTr="004E0124">
        <w:tc>
          <w:tcPr>
            <w:cnfStyle w:val="001000000000"/>
            <w:tcW w:w="2518" w:type="dxa"/>
          </w:tcPr>
          <w:p w:rsidR="006279AC" w:rsidRPr="00255179" w:rsidRDefault="006279AC" w:rsidP="0027219C">
            <w:r w:rsidRPr="00255179">
              <w:t>G-CSF</w:t>
            </w:r>
          </w:p>
        </w:tc>
        <w:tc>
          <w:tcPr>
            <w:tcW w:w="6237" w:type="dxa"/>
          </w:tcPr>
          <w:p w:rsidR="006279AC" w:rsidRPr="00255179" w:rsidRDefault="006279AC" w:rsidP="0027219C">
            <w:pPr>
              <w:cnfStyle w:val="000000000000"/>
            </w:pPr>
            <w:r w:rsidRPr="00255179">
              <w:t>Granulocyte colony stimulating factor</w:t>
            </w:r>
          </w:p>
        </w:tc>
      </w:tr>
      <w:tr w:rsidR="006279AC" w:rsidRPr="00255179" w:rsidTr="004E0124">
        <w:tc>
          <w:tcPr>
            <w:cnfStyle w:val="001000000000"/>
            <w:tcW w:w="2518" w:type="dxa"/>
          </w:tcPr>
          <w:p w:rsidR="006279AC" w:rsidRPr="00255179" w:rsidRDefault="006279AC" w:rsidP="0027219C">
            <w:r w:rsidRPr="00255179">
              <w:t>GDP</w:t>
            </w:r>
          </w:p>
        </w:tc>
        <w:tc>
          <w:tcPr>
            <w:tcW w:w="6237" w:type="dxa"/>
          </w:tcPr>
          <w:p w:rsidR="006279AC" w:rsidRPr="00255179" w:rsidRDefault="006279AC" w:rsidP="0027219C">
            <w:pPr>
              <w:cnfStyle w:val="000000000000"/>
            </w:pPr>
            <w:proofErr w:type="spellStart"/>
            <w:r w:rsidRPr="00255179">
              <w:t>Gemcitabine</w:t>
            </w:r>
            <w:proofErr w:type="spellEnd"/>
            <w:r w:rsidRPr="00255179">
              <w:t xml:space="preserve">, </w:t>
            </w:r>
            <w:proofErr w:type="spellStart"/>
            <w:r w:rsidRPr="00255179">
              <w:t>dexamethasone</w:t>
            </w:r>
            <w:proofErr w:type="spellEnd"/>
            <w:r w:rsidRPr="00255179">
              <w:t xml:space="preserve">, </w:t>
            </w:r>
            <w:proofErr w:type="spellStart"/>
            <w:r w:rsidRPr="00255179">
              <w:t>cisplatin</w:t>
            </w:r>
            <w:proofErr w:type="spellEnd"/>
          </w:p>
        </w:tc>
      </w:tr>
      <w:tr w:rsidR="006279AC" w:rsidRPr="00255179" w:rsidTr="004E0124">
        <w:tc>
          <w:tcPr>
            <w:cnfStyle w:val="001000000000"/>
            <w:tcW w:w="2518" w:type="dxa"/>
          </w:tcPr>
          <w:p w:rsidR="006279AC" w:rsidRPr="00255179" w:rsidRDefault="006279AC" w:rsidP="0027219C">
            <w:r w:rsidRPr="00255179">
              <w:t xml:space="preserve">GEM-P </w:t>
            </w:r>
          </w:p>
        </w:tc>
        <w:tc>
          <w:tcPr>
            <w:tcW w:w="6237" w:type="dxa"/>
          </w:tcPr>
          <w:p w:rsidR="006279AC" w:rsidRPr="00255179" w:rsidRDefault="006279AC" w:rsidP="0027219C">
            <w:pPr>
              <w:cnfStyle w:val="000000000000"/>
            </w:pPr>
            <w:r w:rsidRPr="00255179">
              <w:t xml:space="preserve">Gemcitabine/prednisone </w:t>
            </w:r>
          </w:p>
        </w:tc>
      </w:tr>
      <w:tr w:rsidR="006279AC" w:rsidRPr="00255179" w:rsidTr="004E0124">
        <w:tc>
          <w:tcPr>
            <w:cnfStyle w:val="001000000000"/>
            <w:tcW w:w="2518" w:type="dxa"/>
          </w:tcPr>
          <w:p w:rsidR="006279AC" w:rsidRPr="00255179" w:rsidRDefault="00543D03" w:rsidP="0027219C">
            <w:r w:rsidRPr="00255179">
              <w:t>Gem/Ox</w:t>
            </w:r>
          </w:p>
        </w:tc>
        <w:tc>
          <w:tcPr>
            <w:tcW w:w="6237" w:type="dxa"/>
          </w:tcPr>
          <w:p w:rsidR="006279AC" w:rsidRPr="00255179" w:rsidRDefault="00543D03" w:rsidP="0027219C">
            <w:pPr>
              <w:cnfStyle w:val="000000000000"/>
            </w:pPr>
            <w:r w:rsidRPr="00543D03">
              <w:t>Gemcitabine, oxaliplatin</w:t>
            </w:r>
          </w:p>
        </w:tc>
      </w:tr>
      <w:tr w:rsidR="006279AC" w:rsidRPr="00255179" w:rsidTr="004E0124">
        <w:tc>
          <w:tcPr>
            <w:cnfStyle w:val="001000000000"/>
            <w:tcW w:w="2518" w:type="dxa"/>
          </w:tcPr>
          <w:p w:rsidR="006279AC" w:rsidRPr="00255179" w:rsidRDefault="006279AC" w:rsidP="0027219C">
            <w:r w:rsidRPr="00255179">
              <w:t>GI</w:t>
            </w:r>
          </w:p>
        </w:tc>
        <w:tc>
          <w:tcPr>
            <w:tcW w:w="6237" w:type="dxa"/>
          </w:tcPr>
          <w:p w:rsidR="006279AC" w:rsidRPr="00255179" w:rsidRDefault="00543D03" w:rsidP="0027219C">
            <w:pPr>
              <w:cnfStyle w:val="000000000000"/>
            </w:pPr>
            <w:r w:rsidRPr="00255179">
              <w:t>Gastrointestinal</w:t>
            </w:r>
          </w:p>
        </w:tc>
      </w:tr>
      <w:tr w:rsidR="006279AC" w:rsidRPr="00255179" w:rsidTr="004E0124">
        <w:tc>
          <w:tcPr>
            <w:cnfStyle w:val="001000000000"/>
            <w:tcW w:w="2518" w:type="dxa"/>
          </w:tcPr>
          <w:p w:rsidR="006279AC" w:rsidRPr="00255179" w:rsidRDefault="006279AC" w:rsidP="0027219C">
            <w:r w:rsidRPr="00255179">
              <w:t>GVD</w:t>
            </w:r>
          </w:p>
        </w:tc>
        <w:tc>
          <w:tcPr>
            <w:tcW w:w="6237" w:type="dxa"/>
          </w:tcPr>
          <w:p w:rsidR="006279AC" w:rsidRPr="00255179" w:rsidRDefault="00543D03" w:rsidP="0027219C">
            <w:pPr>
              <w:cnfStyle w:val="000000000000"/>
            </w:pPr>
            <w:r w:rsidRPr="00255179">
              <w:t>Gemcitabine/vinorelbine/doxorubicin</w:t>
            </w:r>
          </w:p>
        </w:tc>
      </w:tr>
      <w:tr w:rsidR="006279AC" w:rsidRPr="00255179" w:rsidTr="004E0124">
        <w:tc>
          <w:tcPr>
            <w:cnfStyle w:val="001000000000"/>
            <w:tcW w:w="2518" w:type="dxa"/>
          </w:tcPr>
          <w:p w:rsidR="006279AC" w:rsidRPr="00255179" w:rsidRDefault="006279AC" w:rsidP="0027219C">
            <w:r w:rsidRPr="00255179">
              <w:t>HDAC</w:t>
            </w:r>
          </w:p>
        </w:tc>
        <w:tc>
          <w:tcPr>
            <w:tcW w:w="6237" w:type="dxa"/>
          </w:tcPr>
          <w:p w:rsidR="006279AC" w:rsidRPr="00255179" w:rsidRDefault="00543D03" w:rsidP="0027219C">
            <w:pPr>
              <w:cnfStyle w:val="000000000000"/>
            </w:pPr>
            <w:proofErr w:type="spellStart"/>
            <w:r w:rsidRPr="00255179">
              <w:t>Histone</w:t>
            </w:r>
            <w:proofErr w:type="spellEnd"/>
            <w:r w:rsidRPr="00255179">
              <w:t xml:space="preserve"> </w:t>
            </w:r>
            <w:proofErr w:type="spellStart"/>
            <w:r w:rsidRPr="00255179">
              <w:t>deacetylase</w:t>
            </w:r>
            <w:proofErr w:type="spellEnd"/>
          </w:p>
        </w:tc>
      </w:tr>
      <w:tr w:rsidR="006279AC" w:rsidRPr="00255179" w:rsidTr="004E0124">
        <w:tc>
          <w:tcPr>
            <w:cnfStyle w:val="001000000000"/>
            <w:tcW w:w="2518" w:type="dxa"/>
          </w:tcPr>
          <w:p w:rsidR="006279AC" w:rsidRPr="00255179" w:rsidRDefault="006279AC" w:rsidP="0027219C">
            <w:r w:rsidRPr="00255179">
              <w:t>HDT</w:t>
            </w:r>
          </w:p>
        </w:tc>
        <w:tc>
          <w:tcPr>
            <w:tcW w:w="6237" w:type="dxa"/>
          </w:tcPr>
          <w:p w:rsidR="006279AC" w:rsidRPr="00255179" w:rsidRDefault="00543D03" w:rsidP="0027219C">
            <w:pPr>
              <w:cnfStyle w:val="000000000000"/>
            </w:pPr>
            <w:r w:rsidRPr="00255179">
              <w:t>High dose therapy</w:t>
            </w:r>
          </w:p>
        </w:tc>
      </w:tr>
      <w:tr w:rsidR="006279AC" w:rsidRPr="00255179" w:rsidTr="004E0124">
        <w:tc>
          <w:tcPr>
            <w:cnfStyle w:val="001000000000"/>
            <w:tcW w:w="2518" w:type="dxa"/>
          </w:tcPr>
          <w:p w:rsidR="006279AC" w:rsidRPr="00255179" w:rsidRDefault="006279AC" w:rsidP="0027219C">
            <w:r w:rsidRPr="00255179">
              <w:t>HSCT</w:t>
            </w:r>
          </w:p>
        </w:tc>
        <w:tc>
          <w:tcPr>
            <w:tcW w:w="6237" w:type="dxa"/>
          </w:tcPr>
          <w:p w:rsidR="006279AC" w:rsidRPr="00255179" w:rsidRDefault="00543D03" w:rsidP="0027219C">
            <w:pPr>
              <w:cnfStyle w:val="000000000000"/>
            </w:pPr>
            <w:r w:rsidRPr="00255179">
              <w:t>Hematopoietic stem cell transplantation</w:t>
            </w:r>
          </w:p>
        </w:tc>
      </w:tr>
      <w:tr w:rsidR="006279AC" w:rsidRPr="00255179" w:rsidTr="004E0124">
        <w:tc>
          <w:tcPr>
            <w:cnfStyle w:val="001000000000"/>
            <w:tcW w:w="2518" w:type="dxa"/>
          </w:tcPr>
          <w:p w:rsidR="006279AC" w:rsidRPr="00255179" w:rsidRDefault="006279AC" w:rsidP="0027219C">
            <w:r w:rsidRPr="00255179">
              <w:t>HTLV</w:t>
            </w:r>
          </w:p>
        </w:tc>
        <w:tc>
          <w:tcPr>
            <w:tcW w:w="6237" w:type="dxa"/>
          </w:tcPr>
          <w:p w:rsidR="006279AC" w:rsidRPr="00255179" w:rsidRDefault="00543D03" w:rsidP="0027219C">
            <w:pPr>
              <w:cnfStyle w:val="000000000000"/>
            </w:pPr>
            <w:r w:rsidRPr="00255179">
              <w:t>Human t-</w:t>
            </w:r>
            <w:proofErr w:type="spellStart"/>
            <w:r w:rsidRPr="00255179">
              <w:t>lymphotrophic</w:t>
            </w:r>
            <w:proofErr w:type="spellEnd"/>
            <w:r w:rsidRPr="00255179">
              <w:t xml:space="preserve"> virus</w:t>
            </w:r>
          </w:p>
        </w:tc>
      </w:tr>
      <w:tr w:rsidR="006279AC" w:rsidRPr="00255179" w:rsidTr="004E0124">
        <w:tc>
          <w:tcPr>
            <w:cnfStyle w:val="001000000000"/>
            <w:tcW w:w="2518" w:type="dxa"/>
          </w:tcPr>
          <w:p w:rsidR="006279AC" w:rsidRPr="00255179" w:rsidRDefault="006279AC" w:rsidP="0027219C">
            <w:r w:rsidRPr="00255179">
              <w:t>ICE</w:t>
            </w:r>
          </w:p>
        </w:tc>
        <w:tc>
          <w:tcPr>
            <w:tcW w:w="6237" w:type="dxa"/>
          </w:tcPr>
          <w:p w:rsidR="006279AC" w:rsidRPr="00255179" w:rsidRDefault="00543D03" w:rsidP="0027219C">
            <w:pPr>
              <w:cnfStyle w:val="000000000000"/>
            </w:pPr>
            <w:proofErr w:type="spellStart"/>
            <w:r w:rsidRPr="00255179">
              <w:t>Ifosfamide</w:t>
            </w:r>
            <w:proofErr w:type="spellEnd"/>
            <w:r w:rsidRPr="00255179">
              <w:t xml:space="preserve">, </w:t>
            </w:r>
            <w:proofErr w:type="spellStart"/>
            <w:r w:rsidRPr="00255179">
              <w:t>carboplatin</w:t>
            </w:r>
            <w:proofErr w:type="spellEnd"/>
            <w:r w:rsidRPr="00255179">
              <w:t xml:space="preserve">, and </w:t>
            </w:r>
            <w:proofErr w:type="spellStart"/>
            <w:r w:rsidRPr="00255179">
              <w:t>etoposide</w:t>
            </w:r>
            <w:proofErr w:type="spellEnd"/>
          </w:p>
        </w:tc>
      </w:tr>
      <w:tr w:rsidR="006279AC" w:rsidRPr="00255179" w:rsidTr="004E0124">
        <w:tc>
          <w:tcPr>
            <w:cnfStyle w:val="001000000000"/>
            <w:tcW w:w="2518" w:type="dxa"/>
          </w:tcPr>
          <w:p w:rsidR="006279AC" w:rsidRPr="00255179" w:rsidRDefault="006279AC" w:rsidP="0027219C">
            <w:r w:rsidRPr="00255179">
              <w:t>ICH</w:t>
            </w:r>
          </w:p>
        </w:tc>
        <w:tc>
          <w:tcPr>
            <w:tcW w:w="6237" w:type="dxa"/>
          </w:tcPr>
          <w:p w:rsidR="006279AC" w:rsidRPr="00255179" w:rsidRDefault="00D80087" w:rsidP="0027219C">
            <w:pPr>
              <w:cnfStyle w:val="000000000000"/>
            </w:pPr>
            <w:r w:rsidRPr="00255179">
              <w:t>International Conference on Harmonisation</w:t>
            </w:r>
          </w:p>
        </w:tc>
      </w:tr>
      <w:tr w:rsidR="006279AC" w:rsidRPr="00255179" w:rsidTr="004E0124">
        <w:tc>
          <w:tcPr>
            <w:cnfStyle w:val="001000000000"/>
            <w:tcW w:w="2518" w:type="dxa"/>
          </w:tcPr>
          <w:p w:rsidR="006279AC" w:rsidRPr="00255179" w:rsidRDefault="006279AC" w:rsidP="0027219C">
            <w:r w:rsidRPr="00255179">
              <w:t>IPI</w:t>
            </w:r>
          </w:p>
        </w:tc>
        <w:tc>
          <w:tcPr>
            <w:tcW w:w="6237" w:type="dxa"/>
          </w:tcPr>
          <w:p w:rsidR="006279AC" w:rsidRPr="00255179" w:rsidRDefault="00D80087" w:rsidP="0027219C">
            <w:pPr>
              <w:cnfStyle w:val="000000000000"/>
            </w:pPr>
            <w:r w:rsidRPr="00255179">
              <w:t>International prognostic index</w:t>
            </w:r>
          </w:p>
        </w:tc>
      </w:tr>
      <w:tr w:rsidR="006279AC" w:rsidRPr="00255179" w:rsidTr="004E0124">
        <w:tc>
          <w:tcPr>
            <w:cnfStyle w:val="001000000000"/>
            <w:tcW w:w="2518" w:type="dxa"/>
          </w:tcPr>
          <w:p w:rsidR="006279AC" w:rsidRPr="00255179" w:rsidRDefault="006279AC" w:rsidP="0027219C">
            <w:r w:rsidRPr="00255179">
              <w:t>IRC</w:t>
            </w:r>
          </w:p>
        </w:tc>
        <w:tc>
          <w:tcPr>
            <w:tcW w:w="6237" w:type="dxa"/>
          </w:tcPr>
          <w:p w:rsidR="006279AC" w:rsidRPr="00255179" w:rsidRDefault="00D80087" w:rsidP="0027219C">
            <w:pPr>
              <w:cnfStyle w:val="000000000000"/>
            </w:pPr>
            <w:r w:rsidRPr="00255179">
              <w:t>Independent Review Committee</w:t>
            </w:r>
          </w:p>
        </w:tc>
      </w:tr>
      <w:tr w:rsidR="006279AC" w:rsidRPr="00255179" w:rsidTr="004E0124">
        <w:tc>
          <w:tcPr>
            <w:cnfStyle w:val="001000000000"/>
            <w:tcW w:w="2518" w:type="dxa"/>
          </w:tcPr>
          <w:p w:rsidR="006279AC" w:rsidRPr="00255179" w:rsidRDefault="006279AC" w:rsidP="0027219C">
            <w:r w:rsidRPr="00255179">
              <w:lastRenderedPageBreak/>
              <w:t>IWC</w:t>
            </w:r>
          </w:p>
        </w:tc>
        <w:tc>
          <w:tcPr>
            <w:tcW w:w="6237" w:type="dxa"/>
          </w:tcPr>
          <w:p w:rsidR="006279AC" w:rsidRPr="00255179" w:rsidRDefault="00D80087" w:rsidP="0027219C">
            <w:pPr>
              <w:cnfStyle w:val="000000000000"/>
            </w:pPr>
            <w:r w:rsidRPr="00255179">
              <w:t>International Workshop Criteria</w:t>
            </w:r>
          </w:p>
        </w:tc>
      </w:tr>
      <w:tr w:rsidR="006279AC" w:rsidRPr="00255179" w:rsidTr="004E0124">
        <w:tc>
          <w:tcPr>
            <w:cnfStyle w:val="001000000000"/>
            <w:tcW w:w="2518" w:type="dxa"/>
          </w:tcPr>
          <w:p w:rsidR="006279AC" w:rsidRPr="00255179" w:rsidRDefault="006279AC" w:rsidP="0027219C">
            <w:r w:rsidRPr="00255179">
              <w:t>LDH</w:t>
            </w:r>
          </w:p>
        </w:tc>
        <w:tc>
          <w:tcPr>
            <w:tcW w:w="6237" w:type="dxa"/>
          </w:tcPr>
          <w:p w:rsidR="006279AC" w:rsidRPr="00255179" w:rsidRDefault="00D80087" w:rsidP="0027219C">
            <w:pPr>
              <w:cnfStyle w:val="000000000000"/>
            </w:pPr>
            <w:r w:rsidRPr="00255179">
              <w:t xml:space="preserve">Lactate </w:t>
            </w:r>
            <w:proofErr w:type="spellStart"/>
            <w:r w:rsidRPr="00255179">
              <w:t>dehydrogenase</w:t>
            </w:r>
            <w:proofErr w:type="spellEnd"/>
          </w:p>
        </w:tc>
      </w:tr>
      <w:tr w:rsidR="006279AC" w:rsidRPr="00255179" w:rsidTr="004E0124">
        <w:tc>
          <w:tcPr>
            <w:cnfStyle w:val="001000000000"/>
            <w:tcW w:w="2518" w:type="dxa"/>
          </w:tcPr>
          <w:p w:rsidR="006279AC" w:rsidRPr="00255179" w:rsidRDefault="006279AC" w:rsidP="0027219C">
            <w:r w:rsidRPr="00255179">
              <w:t>MAA</w:t>
            </w:r>
          </w:p>
        </w:tc>
        <w:tc>
          <w:tcPr>
            <w:tcW w:w="6237" w:type="dxa"/>
          </w:tcPr>
          <w:p w:rsidR="006279AC" w:rsidRPr="00255179" w:rsidRDefault="00D80087" w:rsidP="0027219C">
            <w:pPr>
              <w:cnfStyle w:val="000000000000"/>
            </w:pPr>
            <w:r w:rsidRPr="00255179">
              <w:t>Marketing Authorisation Application</w:t>
            </w:r>
          </w:p>
        </w:tc>
      </w:tr>
      <w:tr w:rsidR="006279AC" w:rsidRPr="00255179" w:rsidTr="004E0124">
        <w:tc>
          <w:tcPr>
            <w:cnfStyle w:val="001000000000"/>
            <w:tcW w:w="2518" w:type="dxa"/>
          </w:tcPr>
          <w:p w:rsidR="006279AC" w:rsidRPr="00255179" w:rsidRDefault="006279AC" w:rsidP="0027219C">
            <w:proofErr w:type="spellStart"/>
            <w:r w:rsidRPr="00255179">
              <w:t>MedDRA</w:t>
            </w:r>
            <w:proofErr w:type="spellEnd"/>
          </w:p>
        </w:tc>
        <w:tc>
          <w:tcPr>
            <w:tcW w:w="6237" w:type="dxa"/>
          </w:tcPr>
          <w:p w:rsidR="006279AC" w:rsidRPr="00255179" w:rsidRDefault="00D80087" w:rsidP="0027219C">
            <w:pPr>
              <w:cnfStyle w:val="000000000000"/>
            </w:pPr>
            <w:r w:rsidRPr="00255179">
              <w:t>Medical Dictionary for Regulatory Activities</w:t>
            </w:r>
          </w:p>
        </w:tc>
      </w:tr>
      <w:tr w:rsidR="006279AC" w:rsidRPr="00255179" w:rsidTr="004E0124">
        <w:tc>
          <w:tcPr>
            <w:cnfStyle w:val="001000000000"/>
            <w:tcW w:w="2518" w:type="dxa"/>
          </w:tcPr>
          <w:p w:rsidR="006279AC" w:rsidRPr="00255179" w:rsidRDefault="006279AC" w:rsidP="0027219C">
            <w:r w:rsidRPr="00255179">
              <w:t>MINE</w:t>
            </w:r>
          </w:p>
        </w:tc>
        <w:tc>
          <w:tcPr>
            <w:tcW w:w="6237" w:type="dxa"/>
          </w:tcPr>
          <w:p w:rsidR="006279AC" w:rsidRPr="00255179" w:rsidRDefault="00D80087" w:rsidP="0027219C">
            <w:pPr>
              <w:cnfStyle w:val="000000000000"/>
            </w:pPr>
            <w:proofErr w:type="spellStart"/>
            <w:r w:rsidRPr="00255179">
              <w:t>Mesna</w:t>
            </w:r>
            <w:proofErr w:type="spellEnd"/>
            <w:r w:rsidRPr="00255179">
              <w:t xml:space="preserve">, </w:t>
            </w:r>
            <w:proofErr w:type="spellStart"/>
            <w:r w:rsidRPr="00255179">
              <w:t>ifosfamide</w:t>
            </w:r>
            <w:proofErr w:type="spellEnd"/>
            <w:r w:rsidRPr="00255179">
              <w:t xml:space="preserve">, </w:t>
            </w:r>
            <w:proofErr w:type="spellStart"/>
            <w:r w:rsidRPr="00255179">
              <w:t>etoposide</w:t>
            </w:r>
            <w:proofErr w:type="spellEnd"/>
          </w:p>
        </w:tc>
      </w:tr>
      <w:tr w:rsidR="006279AC" w:rsidRPr="00255179" w:rsidTr="004E0124">
        <w:tc>
          <w:tcPr>
            <w:cnfStyle w:val="001000000000"/>
            <w:tcW w:w="2518" w:type="dxa"/>
          </w:tcPr>
          <w:p w:rsidR="006279AC" w:rsidRPr="00255179" w:rsidRDefault="006279AC" w:rsidP="0027219C">
            <w:r w:rsidRPr="00255179">
              <w:t>MSKCC</w:t>
            </w:r>
          </w:p>
        </w:tc>
        <w:tc>
          <w:tcPr>
            <w:tcW w:w="6237" w:type="dxa"/>
          </w:tcPr>
          <w:p w:rsidR="006279AC" w:rsidRPr="00255179" w:rsidRDefault="00D80087" w:rsidP="0027219C">
            <w:pPr>
              <w:cnfStyle w:val="000000000000"/>
            </w:pPr>
            <w:r w:rsidRPr="00255179">
              <w:t>Memorial Sloan Kettering Cancer</w:t>
            </w:r>
          </w:p>
        </w:tc>
      </w:tr>
      <w:tr w:rsidR="006279AC" w:rsidRPr="00255179" w:rsidTr="004E0124">
        <w:tc>
          <w:tcPr>
            <w:cnfStyle w:val="001000000000"/>
            <w:tcW w:w="2518" w:type="dxa"/>
          </w:tcPr>
          <w:p w:rsidR="006279AC" w:rsidRPr="00255179" w:rsidRDefault="006279AC" w:rsidP="0027219C">
            <w:r w:rsidRPr="00255179">
              <w:t>NCCN</w:t>
            </w:r>
          </w:p>
        </w:tc>
        <w:tc>
          <w:tcPr>
            <w:tcW w:w="6237" w:type="dxa"/>
          </w:tcPr>
          <w:p w:rsidR="006279AC" w:rsidRPr="00255179" w:rsidRDefault="00D80087" w:rsidP="0027219C">
            <w:pPr>
              <w:cnfStyle w:val="000000000000"/>
            </w:pPr>
            <w:r w:rsidRPr="00255179">
              <w:t>National Comprehensive Cancer Network</w:t>
            </w:r>
          </w:p>
        </w:tc>
      </w:tr>
      <w:tr w:rsidR="006279AC" w:rsidRPr="00255179" w:rsidTr="004E0124">
        <w:tc>
          <w:tcPr>
            <w:cnfStyle w:val="001000000000"/>
            <w:tcW w:w="2518" w:type="dxa"/>
          </w:tcPr>
          <w:p w:rsidR="006279AC" w:rsidRPr="00255179" w:rsidRDefault="006279AC" w:rsidP="0027219C">
            <w:r w:rsidRPr="00255179">
              <w:t>NCI</w:t>
            </w:r>
          </w:p>
        </w:tc>
        <w:tc>
          <w:tcPr>
            <w:tcW w:w="6237" w:type="dxa"/>
          </w:tcPr>
          <w:p w:rsidR="006279AC" w:rsidRPr="00255179" w:rsidRDefault="00D80087" w:rsidP="0027219C">
            <w:pPr>
              <w:cnfStyle w:val="000000000000"/>
            </w:pPr>
            <w:r w:rsidRPr="00255179">
              <w:t>National Cancer Institute</w:t>
            </w:r>
          </w:p>
        </w:tc>
      </w:tr>
      <w:tr w:rsidR="006279AC" w:rsidRPr="00255179" w:rsidTr="004E0124">
        <w:tc>
          <w:tcPr>
            <w:cnfStyle w:val="001000000000"/>
            <w:tcW w:w="2518" w:type="dxa"/>
          </w:tcPr>
          <w:p w:rsidR="006279AC" w:rsidRPr="00255179" w:rsidRDefault="006279AC" w:rsidP="0027219C">
            <w:r w:rsidRPr="00255179">
              <w:t>NE</w:t>
            </w:r>
          </w:p>
        </w:tc>
        <w:tc>
          <w:tcPr>
            <w:tcW w:w="6237" w:type="dxa"/>
          </w:tcPr>
          <w:p w:rsidR="006279AC" w:rsidRPr="00255179" w:rsidRDefault="00D80087" w:rsidP="0027219C">
            <w:pPr>
              <w:cnfStyle w:val="000000000000"/>
            </w:pPr>
            <w:r w:rsidRPr="00255179">
              <w:t>Not evaluable</w:t>
            </w:r>
          </w:p>
        </w:tc>
      </w:tr>
      <w:tr w:rsidR="006279AC" w:rsidRPr="00255179" w:rsidTr="004E0124">
        <w:tc>
          <w:tcPr>
            <w:cnfStyle w:val="001000000000"/>
            <w:tcW w:w="2518" w:type="dxa"/>
          </w:tcPr>
          <w:p w:rsidR="006279AC" w:rsidRPr="00255179" w:rsidRDefault="006279AC" w:rsidP="0027219C">
            <w:r w:rsidRPr="00255179">
              <w:t>NHL</w:t>
            </w:r>
          </w:p>
        </w:tc>
        <w:tc>
          <w:tcPr>
            <w:tcW w:w="6237" w:type="dxa"/>
          </w:tcPr>
          <w:p w:rsidR="006279AC" w:rsidRPr="00255179" w:rsidRDefault="00D80087" w:rsidP="0027219C">
            <w:pPr>
              <w:cnfStyle w:val="000000000000"/>
            </w:pPr>
            <w:r w:rsidRPr="00255179">
              <w:t>Non-Hodgkin’s lymphoma</w:t>
            </w:r>
          </w:p>
        </w:tc>
      </w:tr>
      <w:tr w:rsidR="006279AC" w:rsidRPr="00255179" w:rsidTr="004E0124">
        <w:tc>
          <w:tcPr>
            <w:cnfStyle w:val="001000000000"/>
            <w:tcW w:w="2518" w:type="dxa"/>
          </w:tcPr>
          <w:p w:rsidR="006279AC" w:rsidRPr="00255179" w:rsidRDefault="006279AC" w:rsidP="0027219C">
            <w:r w:rsidRPr="00255179">
              <w:t>NOS</w:t>
            </w:r>
          </w:p>
        </w:tc>
        <w:tc>
          <w:tcPr>
            <w:tcW w:w="6237" w:type="dxa"/>
          </w:tcPr>
          <w:p w:rsidR="006279AC" w:rsidRPr="00255179" w:rsidRDefault="00D80087" w:rsidP="0027219C">
            <w:pPr>
              <w:cnfStyle w:val="000000000000"/>
            </w:pPr>
            <w:r w:rsidRPr="00255179">
              <w:t>Not otherwise specified</w:t>
            </w:r>
          </w:p>
        </w:tc>
      </w:tr>
      <w:tr w:rsidR="006279AC" w:rsidRPr="00255179" w:rsidTr="004E0124">
        <w:tc>
          <w:tcPr>
            <w:cnfStyle w:val="001000000000"/>
            <w:tcW w:w="2518" w:type="dxa"/>
          </w:tcPr>
          <w:p w:rsidR="006279AC" w:rsidRPr="00255179" w:rsidRDefault="006279AC" w:rsidP="0027219C">
            <w:r w:rsidRPr="00255179">
              <w:t>NR</w:t>
            </w:r>
          </w:p>
        </w:tc>
        <w:tc>
          <w:tcPr>
            <w:tcW w:w="6237" w:type="dxa"/>
          </w:tcPr>
          <w:p w:rsidR="006279AC" w:rsidRPr="00255179" w:rsidRDefault="00D80087" w:rsidP="0027219C">
            <w:pPr>
              <w:cnfStyle w:val="000000000000"/>
            </w:pPr>
            <w:r w:rsidRPr="00255179">
              <w:t>Not reported</w:t>
            </w:r>
          </w:p>
        </w:tc>
      </w:tr>
      <w:tr w:rsidR="006279AC" w:rsidRPr="00255179" w:rsidTr="004E0124">
        <w:tc>
          <w:tcPr>
            <w:cnfStyle w:val="001000000000"/>
            <w:tcW w:w="2518" w:type="dxa"/>
          </w:tcPr>
          <w:p w:rsidR="006279AC" w:rsidRPr="00255179" w:rsidRDefault="006279AC" w:rsidP="0027219C">
            <w:r w:rsidRPr="00255179">
              <w:t>ORR</w:t>
            </w:r>
          </w:p>
        </w:tc>
        <w:tc>
          <w:tcPr>
            <w:tcW w:w="6237" w:type="dxa"/>
          </w:tcPr>
          <w:p w:rsidR="006279AC" w:rsidRPr="00255179" w:rsidRDefault="00D80087" w:rsidP="0027219C">
            <w:pPr>
              <w:cnfStyle w:val="000000000000"/>
            </w:pPr>
            <w:r w:rsidRPr="00255179">
              <w:t>Overall response rate</w:t>
            </w:r>
          </w:p>
        </w:tc>
      </w:tr>
      <w:tr w:rsidR="006279AC" w:rsidRPr="00255179" w:rsidTr="004E0124">
        <w:tc>
          <w:tcPr>
            <w:cnfStyle w:val="001000000000"/>
            <w:tcW w:w="2518" w:type="dxa"/>
          </w:tcPr>
          <w:p w:rsidR="006279AC" w:rsidRPr="00255179" w:rsidRDefault="006279AC" w:rsidP="0027219C">
            <w:r w:rsidRPr="00255179">
              <w:t>OS</w:t>
            </w:r>
          </w:p>
        </w:tc>
        <w:tc>
          <w:tcPr>
            <w:tcW w:w="6237" w:type="dxa"/>
          </w:tcPr>
          <w:p w:rsidR="006279AC" w:rsidRPr="00255179" w:rsidRDefault="00D80087" w:rsidP="0027219C">
            <w:pPr>
              <w:cnfStyle w:val="000000000000"/>
            </w:pPr>
            <w:r w:rsidRPr="00255179">
              <w:t>Overall survival</w:t>
            </w:r>
          </w:p>
        </w:tc>
      </w:tr>
      <w:tr w:rsidR="006279AC" w:rsidRPr="00255179" w:rsidTr="004E0124">
        <w:tc>
          <w:tcPr>
            <w:cnfStyle w:val="001000000000"/>
            <w:tcW w:w="2518" w:type="dxa"/>
          </w:tcPr>
          <w:p w:rsidR="006279AC" w:rsidRPr="00255179" w:rsidRDefault="006279AC" w:rsidP="0027219C">
            <w:r w:rsidRPr="00255179">
              <w:t>PD</w:t>
            </w:r>
          </w:p>
        </w:tc>
        <w:tc>
          <w:tcPr>
            <w:tcW w:w="6237" w:type="dxa"/>
          </w:tcPr>
          <w:p w:rsidR="006279AC" w:rsidRPr="00255179" w:rsidRDefault="00D80087" w:rsidP="0027219C">
            <w:pPr>
              <w:cnfStyle w:val="000000000000"/>
            </w:pPr>
            <w:r w:rsidRPr="00255179">
              <w:t>Progressive disease</w:t>
            </w:r>
          </w:p>
        </w:tc>
      </w:tr>
      <w:tr w:rsidR="006279AC" w:rsidRPr="00255179" w:rsidTr="004E0124">
        <w:tc>
          <w:tcPr>
            <w:cnfStyle w:val="001000000000"/>
            <w:tcW w:w="2518" w:type="dxa"/>
          </w:tcPr>
          <w:p w:rsidR="006279AC" w:rsidRPr="00255179" w:rsidRDefault="006279AC" w:rsidP="0027219C">
            <w:r w:rsidRPr="00255179">
              <w:t>PFS</w:t>
            </w:r>
          </w:p>
        </w:tc>
        <w:tc>
          <w:tcPr>
            <w:tcW w:w="6237" w:type="dxa"/>
          </w:tcPr>
          <w:p w:rsidR="006279AC" w:rsidRPr="00255179" w:rsidRDefault="00D80087" w:rsidP="0027219C">
            <w:pPr>
              <w:cnfStyle w:val="000000000000"/>
            </w:pPr>
            <w:r w:rsidRPr="00255179">
              <w:t>Progression-free survival</w:t>
            </w:r>
          </w:p>
        </w:tc>
      </w:tr>
      <w:tr w:rsidR="006279AC" w:rsidRPr="00255179" w:rsidTr="004E0124">
        <w:tc>
          <w:tcPr>
            <w:cnfStyle w:val="001000000000"/>
            <w:tcW w:w="2518" w:type="dxa"/>
          </w:tcPr>
          <w:p w:rsidR="006279AC" w:rsidRPr="00255179" w:rsidRDefault="006279AC" w:rsidP="0027219C">
            <w:proofErr w:type="spellStart"/>
            <w:r w:rsidRPr="00255179">
              <w:t>PMitCEBO</w:t>
            </w:r>
            <w:proofErr w:type="spellEnd"/>
          </w:p>
        </w:tc>
        <w:tc>
          <w:tcPr>
            <w:tcW w:w="6237" w:type="dxa"/>
          </w:tcPr>
          <w:p w:rsidR="006279AC" w:rsidRPr="00255179" w:rsidRDefault="00D80087" w:rsidP="0027219C">
            <w:pPr>
              <w:cnfStyle w:val="000000000000"/>
            </w:pPr>
            <w:r w:rsidRPr="00255179">
              <w:t xml:space="preserve">Prednisone, </w:t>
            </w:r>
            <w:proofErr w:type="spellStart"/>
            <w:r w:rsidRPr="00255179">
              <w:t>mitoxantrone</w:t>
            </w:r>
            <w:proofErr w:type="spellEnd"/>
            <w:r w:rsidRPr="00255179">
              <w:t xml:space="preserve">, </w:t>
            </w:r>
            <w:proofErr w:type="spellStart"/>
            <w:r w:rsidRPr="00255179">
              <w:t>cyclophosphamide</w:t>
            </w:r>
            <w:proofErr w:type="spellEnd"/>
            <w:r w:rsidRPr="00255179">
              <w:t xml:space="preserve">, </w:t>
            </w:r>
            <w:proofErr w:type="spellStart"/>
            <w:r w:rsidRPr="00255179">
              <w:t>etoposide</w:t>
            </w:r>
            <w:proofErr w:type="spellEnd"/>
            <w:r w:rsidRPr="00255179">
              <w:t xml:space="preserve">, </w:t>
            </w:r>
            <w:proofErr w:type="spellStart"/>
            <w:r w:rsidRPr="00255179">
              <w:t>bleomycin</w:t>
            </w:r>
            <w:proofErr w:type="spellEnd"/>
            <w:r w:rsidRPr="00255179">
              <w:t xml:space="preserve">, </w:t>
            </w:r>
            <w:proofErr w:type="spellStart"/>
            <w:r w:rsidRPr="00255179">
              <w:t>Oncovin</w:t>
            </w:r>
            <w:proofErr w:type="spellEnd"/>
            <w:r>
              <w:t xml:space="preserve"> </w:t>
            </w:r>
            <w:r w:rsidRPr="00255179">
              <w:t>(</w:t>
            </w:r>
            <w:proofErr w:type="spellStart"/>
            <w:r w:rsidRPr="00255179">
              <w:t>vincristine</w:t>
            </w:r>
            <w:proofErr w:type="spellEnd"/>
            <w:r w:rsidRPr="00255179">
              <w:t>)</w:t>
            </w:r>
          </w:p>
        </w:tc>
      </w:tr>
      <w:tr w:rsidR="006279AC" w:rsidRPr="00255179" w:rsidTr="004E0124">
        <w:tc>
          <w:tcPr>
            <w:cnfStyle w:val="001000000000"/>
            <w:tcW w:w="2518" w:type="dxa"/>
          </w:tcPr>
          <w:p w:rsidR="006279AC" w:rsidRPr="00255179" w:rsidRDefault="006279AC" w:rsidP="0027219C">
            <w:r w:rsidRPr="00255179">
              <w:t>PR</w:t>
            </w:r>
          </w:p>
        </w:tc>
        <w:tc>
          <w:tcPr>
            <w:tcW w:w="6237" w:type="dxa"/>
          </w:tcPr>
          <w:p w:rsidR="006279AC" w:rsidRPr="00255179" w:rsidRDefault="00D80087" w:rsidP="0027219C">
            <w:pPr>
              <w:cnfStyle w:val="000000000000"/>
            </w:pPr>
            <w:r w:rsidRPr="00255179">
              <w:t>Partial response</w:t>
            </w:r>
          </w:p>
        </w:tc>
      </w:tr>
      <w:tr w:rsidR="006279AC" w:rsidRPr="00255179" w:rsidTr="004E0124">
        <w:tc>
          <w:tcPr>
            <w:cnfStyle w:val="001000000000"/>
            <w:tcW w:w="2518" w:type="dxa"/>
          </w:tcPr>
          <w:p w:rsidR="006279AC" w:rsidRPr="00255179" w:rsidRDefault="006279AC" w:rsidP="0027219C">
            <w:r w:rsidRPr="00255179">
              <w:t>PS</w:t>
            </w:r>
          </w:p>
        </w:tc>
        <w:tc>
          <w:tcPr>
            <w:tcW w:w="6237" w:type="dxa"/>
          </w:tcPr>
          <w:p w:rsidR="006279AC" w:rsidRPr="00255179" w:rsidRDefault="00D80087" w:rsidP="0027219C">
            <w:pPr>
              <w:cnfStyle w:val="000000000000"/>
            </w:pPr>
            <w:r w:rsidRPr="00255179">
              <w:t>Performance status</w:t>
            </w:r>
          </w:p>
        </w:tc>
      </w:tr>
      <w:tr w:rsidR="006279AC" w:rsidRPr="00255179" w:rsidTr="004E0124">
        <w:tc>
          <w:tcPr>
            <w:cnfStyle w:val="001000000000"/>
            <w:tcW w:w="2518" w:type="dxa"/>
          </w:tcPr>
          <w:p w:rsidR="006279AC" w:rsidRPr="00255179" w:rsidRDefault="006279AC" w:rsidP="0027219C">
            <w:r w:rsidRPr="00255179">
              <w:t>PTCL</w:t>
            </w:r>
          </w:p>
        </w:tc>
        <w:tc>
          <w:tcPr>
            <w:tcW w:w="6237" w:type="dxa"/>
          </w:tcPr>
          <w:p w:rsidR="006279AC" w:rsidRPr="00255179" w:rsidRDefault="00D80087" w:rsidP="0027219C">
            <w:pPr>
              <w:cnfStyle w:val="000000000000"/>
            </w:pPr>
            <w:r w:rsidRPr="00255179">
              <w:t>Peripheral T-cell lymphoma</w:t>
            </w:r>
          </w:p>
        </w:tc>
      </w:tr>
      <w:tr w:rsidR="006279AC" w:rsidRPr="00255179" w:rsidTr="004E0124">
        <w:tc>
          <w:tcPr>
            <w:cnfStyle w:val="001000000000"/>
            <w:tcW w:w="2518" w:type="dxa"/>
          </w:tcPr>
          <w:p w:rsidR="006279AC" w:rsidRPr="00255179" w:rsidRDefault="006279AC" w:rsidP="0027219C">
            <w:r w:rsidRPr="00255179">
              <w:t>R-DHAP</w:t>
            </w:r>
          </w:p>
        </w:tc>
        <w:tc>
          <w:tcPr>
            <w:tcW w:w="6237" w:type="dxa"/>
          </w:tcPr>
          <w:p w:rsidR="006279AC" w:rsidRPr="00255179" w:rsidRDefault="00D80087" w:rsidP="0027219C">
            <w:pPr>
              <w:cnfStyle w:val="000000000000"/>
            </w:pPr>
            <w:proofErr w:type="spellStart"/>
            <w:r w:rsidRPr="00255179">
              <w:t>Rituximab</w:t>
            </w:r>
            <w:proofErr w:type="spellEnd"/>
            <w:r w:rsidRPr="00255179">
              <w:t xml:space="preserve">, </w:t>
            </w:r>
            <w:proofErr w:type="spellStart"/>
            <w:r w:rsidRPr="00255179">
              <w:t>dexamethasone</w:t>
            </w:r>
            <w:proofErr w:type="spellEnd"/>
            <w:r w:rsidRPr="00255179">
              <w:t xml:space="preserve">, high-dose </w:t>
            </w:r>
            <w:proofErr w:type="spellStart"/>
            <w:r w:rsidRPr="00255179">
              <w:t>ara</w:t>
            </w:r>
            <w:proofErr w:type="spellEnd"/>
            <w:r w:rsidRPr="00255179">
              <w:t xml:space="preserve">-C, and </w:t>
            </w:r>
            <w:proofErr w:type="spellStart"/>
            <w:r w:rsidRPr="00255179">
              <w:t>cisplatin</w:t>
            </w:r>
            <w:proofErr w:type="spellEnd"/>
          </w:p>
        </w:tc>
      </w:tr>
      <w:tr w:rsidR="006279AC" w:rsidRPr="00255179" w:rsidTr="004E0124">
        <w:tc>
          <w:tcPr>
            <w:cnfStyle w:val="001000000000"/>
            <w:tcW w:w="2518" w:type="dxa"/>
          </w:tcPr>
          <w:p w:rsidR="006279AC" w:rsidRPr="00255179" w:rsidRDefault="006279AC" w:rsidP="0027219C">
            <w:r w:rsidRPr="00255179">
              <w:t>RICE</w:t>
            </w:r>
          </w:p>
        </w:tc>
        <w:tc>
          <w:tcPr>
            <w:tcW w:w="6237" w:type="dxa"/>
          </w:tcPr>
          <w:p w:rsidR="006279AC" w:rsidRPr="00255179" w:rsidRDefault="00D80087" w:rsidP="0027219C">
            <w:pPr>
              <w:cnfStyle w:val="000000000000"/>
            </w:pPr>
            <w:proofErr w:type="spellStart"/>
            <w:r w:rsidRPr="00255179">
              <w:t>Rituximab-ifosfamide</w:t>
            </w:r>
            <w:proofErr w:type="spellEnd"/>
            <w:r w:rsidRPr="00255179">
              <w:t xml:space="preserve">, </w:t>
            </w:r>
            <w:proofErr w:type="spellStart"/>
            <w:r w:rsidRPr="00255179">
              <w:t>carboplatin</w:t>
            </w:r>
            <w:proofErr w:type="spellEnd"/>
            <w:r w:rsidRPr="00255179">
              <w:t xml:space="preserve">, </w:t>
            </w:r>
            <w:proofErr w:type="spellStart"/>
            <w:r w:rsidRPr="00255179">
              <w:t>etoposide</w:t>
            </w:r>
            <w:proofErr w:type="spellEnd"/>
          </w:p>
        </w:tc>
      </w:tr>
      <w:tr w:rsidR="006279AC" w:rsidRPr="00255179" w:rsidTr="004E0124">
        <w:tc>
          <w:tcPr>
            <w:cnfStyle w:val="001000000000"/>
            <w:tcW w:w="2518" w:type="dxa"/>
          </w:tcPr>
          <w:p w:rsidR="006279AC" w:rsidRPr="00255179" w:rsidRDefault="006279AC" w:rsidP="0027219C">
            <w:r w:rsidRPr="00255179">
              <w:t>SD</w:t>
            </w:r>
          </w:p>
        </w:tc>
        <w:tc>
          <w:tcPr>
            <w:tcW w:w="6237" w:type="dxa"/>
          </w:tcPr>
          <w:p w:rsidR="006279AC" w:rsidRPr="00255179" w:rsidRDefault="00D80087" w:rsidP="0027219C">
            <w:pPr>
              <w:cnfStyle w:val="000000000000"/>
            </w:pPr>
            <w:r w:rsidRPr="00255179">
              <w:t>Stable disease</w:t>
            </w:r>
          </w:p>
        </w:tc>
      </w:tr>
      <w:tr w:rsidR="006279AC" w:rsidRPr="00255179" w:rsidTr="004E0124">
        <w:tc>
          <w:tcPr>
            <w:cnfStyle w:val="001000000000"/>
            <w:tcW w:w="2518" w:type="dxa"/>
          </w:tcPr>
          <w:p w:rsidR="006279AC" w:rsidRPr="00255179" w:rsidRDefault="006279AC" w:rsidP="0027219C">
            <w:r w:rsidRPr="00255179">
              <w:t>SD90</w:t>
            </w:r>
          </w:p>
        </w:tc>
        <w:tc>
          <w:tcPr>
            <w:tcW w:w="6237" w:type="dxa"/>
          </w:tcPr>
          <w:p w:rsidR="006279AC" w:rsidRPr="00255179" w:rsidRDefault="00D80087" w:rsidP="0027219C">
            <w:pPr>
              <w:cnfStyle w:val="000000000000"/>
            </w:pPr>
            <w:r w:rsidRPr="00255179">
              <w:t>Stable disease for 90 days or longer</w:t>
            </w:r>
          </w:p>
        </w:tc>
      </w:tr>
      <w:tr w:rsidR="006279AC" w:rsidRPr="00255179" w:rsidTr="004E0124">
        <w:tc>
          <w:tcPr>
            <w:cnfStyle w:val="001000000000"/>
            <w:tcW w:w="2518" w:type="dxa"/>
          </w:tcPr>
          <w:p w:rsidR="006279AC" w:rsidRPr="00255179" w:rsidRDefault="006279AC" w:rsidP="0027219C">
            <w:r w:rsidRPr="00255179">
              <w:t>SOC SPD</w:t>
            </w:r>
          </w:p>
        </w:tc>
        <w:tc>
          <w:tcPr>
            <w:tcW w:w="6237" w:type="dxa"/>
          </w:tcPr>
          <w:p w:rsidR="006279AC" w:rsidRPr="00255179" w:rsidRDefault="00D80087" w:rsidP="0027219C">
            <w:pPr>
              <w:cnfStyle w:val="000000000000"/>
            </w:pPr>
            <w:r w:rsidRPr="00255179">
              <w:t>System organ class Sum of product diameter</w:t>
            </w:r>
          </w:p>
        </w:tc>
      </w:tr>
      <w:tr w:rsidR="006279AC" w:rsidRPr="00255179" w:rsidTr="004E0124">
        <w:tc>
          <w:tcPr>
            <w:cnfStyle w:val="001000000000"/>
            <w:tcW w:w="2518" w:type="dxa"/>
          </w:tcPr>
          <w:p w:rsidR="006279AC" w:rsidRPr="00255179" w:rsidRDefault="006279AC" w:rsidP="0027219C">
            <w:r w:rsidRPr="00255179">
              <w:lastRenderedPageBreak/>
              <w:t>TTP</w:t>
            </w:r>
          </w:p>
        </w:tc>
        <w:tc>
          <w:tcPr>
            <w:tcW w:w="6237" w:type="dxa"/>
          </w:tcPr>
          <w:p w:rsidR="006279AC" w:rsidRPr="00255179" w:rsidRDefault="00D80087" w:rsidP="0027219C">
            <w:pPr>
              <w:cnfStyle w:val="000000000000"/>
            </w:pPr>
            <w:r w:rsidRPr="00255179">
              <w:t>Time to progression</w:t>
            </w:r>
          </w:p>
        </w:tc>
      </w:tr>
      <w:tr w:rsidR="006279AC" w:rsidRPr="00255179" w:rsidTr="004E0124">
        <w:tc>
          <w:tcPr>
            <w:cnfStyle w:val="001000000000"/>
            <w:tcW w:w="2518" w:type="dxa"/>
          </w:tcPr>
          <w:p w:rsidR="006279AC" w:rsidRPr="00255179" w:rsidRDefault="006279AC" w:rsidP="0027219C">
            <w:r w:rsidRPr="00255179">
              <w:t>TRM</w:t>
            </w:r>
          </w:p>
        </w:tc>
        <w:tc>
          <w:tcPr>
            <w:tcW w:w="6237" w:type="dxa"/>
          </w:tcPr>
          <w:p w:rsidR="006279AC" w:rsidRPr="00255179" w:rsidRDefault="00D80087" w:rsidP="0027219C">
            <w:pPr>
              <w:cnfStyle w:val="000000000000"/>
            </w:pPr>
            <w:r w:rsidRPr="00255179">
              <w:t>Treatment-related mortality</w:t>
            </w:r>
          </w:p>
        </w:tc>
      </w:tr>
      <w:tr w:rsidR="006279AC" w:rsidRPr="00255179" w:rsidTr="004E0124">
        <w:tc>
          <w:tcPr>
            <w:cnfStyle w:val="001000000000"/>
            <w:tcW w:w="2518" w:type="dxa"/>
          </w:tcPr>
          <w:p w:rsidR="006279AC" w:rsidRPr="00255179" w:rsidRDefault="006279AC" w:rsidP="0027219C">
            <w:r w:rsidRPr="00255179">
              <w:t>UNMC</w:t>
            </w:r>
          </w:p>
        </w:tc>
        <w:tc>
          <w:tcPr>
            <w:tcW w:w="6237" w:type="dxa"/>
          </w:tcPr>
          <w:p w:rsidR="006279AC" w:rsidRPr="00255179" w:rsidRDefault="00D80087" w:rsidP="0027219C">
            <w:pPr>
              <w:cnfStyle w:val="000000000000"/>
            </w:pPr>
            <w:r w:rsidRPr="00255179">
              <w:t xml:space="preserve">University of Nebraska Medical </w:t>
            </w:r>
            <w:proofErr w:type="spellStart"/>
            <w:r w:rsidRPr="00255179">
              <w:t>Center</w:t>
            </w:r>
            <w:proofErr w:type="spellEnd"/>
          </w:p>
        </w:tc>
      </w:tr>
      <w:tr w:rsidR="006279AC" w:rsidRPr="00255179" w:rsidTr="004E0124">
        <w:tc>
          <w:tcPr>
            <w:cnfStyle w:val="001000000000"/>
            <w:tcW w:w="2518" w:type="dxa"/>
          </w:tcPr>
          <w:p w:rsidR="006279AC" w:rsidRPr="00255179" w:rsidRDefault="006279AC" w:rsidP="0027219C">
            <w:r w:rsidRPr="00255179">
              <w:t>US</w:t>
            </w:r>
          </w:p>
        </w:tc>
        <w:tc>
          <w:tcPr>
            <w:tcW w:w="6237" w:type="dxa"/>
          </w:tcPr>
          <w:p w:rsidR="006279AC" w:rsidRPr="00255179" w:rsidRDefault="00D80087" w:rsidP="0027219C">
            <w:pPr>
              <w:cnfStyle w:val="000000000000"/>
            </w:pPr>
            <w:r w:rsidRPr="00255179">
              <w:t>United States</w:t>
            </w:r>
          </w:p>
        </w:tc>
      </w:tr>
      <w:tr w:rsidR="006279AC" w:rsidRPr="00255179" w:rsidTr="004E0124">
        <w:tc>
          <w:tcPr>
            <w:cnfStyle w:val="001000000000"/>
            <w:tcW w:w="2518" w:type="dxa"/>
          </w:tcPr>
          <w:p w:rsidR="006279AC" w:rsidRPr="00255179" w:rsidRDefault="006279AC" w:rsidP="0027219C">
            <w:r w:rsidRPr="00255179">
              <w:t>V-ACVBP</w:t>
            </w:r>
          </w:p>
        </w:tc>
        <w:tc>
          <w:tcPr>
            <w:tcW w:w="6237" w:type="dxa"/>
          </w:tcPr>
          <w:p w:rsidR="006279AC" w:rsidRPr="00255179" w:rsidRDefault="00D80087" w:rsidP="0027219C">
            <w:pPr>
              <w:cnfStyle w:val="000000000000"/>
            </w:pPr>
            <w:proofErr w:type="spellStart"/>
            <w:r w:rsidRPr="00255179">
              <w:t>Velcade</w:t>
            </w:r>
            <w:proofErr w:type="spellEnd"/>
            <w:r w:rsidRPr="00255179">
              <w:t xml:space="preserve"> (</w:t>
            </w:r>
            <w:proofErr w:type="spellStart"/>
            <w:r w:rsidRPr="00255179">
              <w:t>bortezomib</w:t>
            </w:r>
            <w:proofErr w:type="spellEnd"/>
            <w:r w:rsidRPr="00255179">
              <w:t xml:space="preserve">)-doxorubicin, </w:t>
            </w:r>
            <w:proofErr w:type="spellStart"/>
            <w:r w:rsidRPr="00255179">
              <w:t>cyclophosphamide</w:t>
            </w:r>
            <w:proofErr w:type="spellEnd"/>
            <w:r w:rsidRPr="00255179">
              <w:t xml:space="preserve">, </w:t>
            </w:r>
            <w:proofErr w:type="spellStart"/>
            <w:r w:rsidRPr="00255179">
              <w:t>vindesine</w:t>
            </w:r>
            <w:proofErr w:type="spellEnd"/>
            <w:r w:rsidRPr="00255179">
              <w:t xml:space="preserve">, </w:t>
            </w:r>
            <w:proofErr w:type="spellStart"/>
            <w:r w:rsidRPr="00255179">
              <w:t>bleomycin</w:t>
            </w:r>
            <w:proofErr w:type="spellEnd"/>
            <w:r w:rsidRPr="00255179">
              <w:t>, and prednisone</w:t>
            </w:r>
          </w:p>
        </w:tc>
      </w:tr>
      <w:tr w:rsidR="006279AC" w:rsidRPr="00255179" w:rsidTr="004E0124">
        <w:tc>
          <w:tcPr>
            <w:cnfStyle w:val="001000000000"/>
            <w:tcW w:w="2518" w:type="dxa"/>
          </w:tcPr>
          <w:p w:rsidR="006279AC" w:rsidRPr="00255179" w:rsidRDefault="006279AC" w:rsidP="0027219C">
            <w:r w:rsidRPr="00255179">
              <w:t>VGF</w:t>
            </w:r>
          </w:p>
        </w:tc>
        <w:tc>
          <w:tcPr>
            <w:tcW w:w="6237" w:type="dxa"/>
          </w:tcPr>
          <w:p w:rsidR="006279AC" w:rsidRPr="00416EAC" w:rsidRDefault="00D80087" w:rsidP="0027219C">
            <w:pPr>
              <w:cnfStyle w:val="000000000000"/>
            </w:pPr>
            <w:r w:rsidRPr="00255179">
              <w:t>Vinorelbine, gemcitabine, filgrastim</w:t>
            </w:r>
          </w:p>
        </w:tc>
      </w:tr>
      <w:tr w:rsidR="006279AC" w:rsidRPr="00416EAC" w:rsidTr="004E0124">
        <w:tc>
          <w:tcPr>
            <w:cnfStyle w:val="001000000000"/>
            <w:tcW w:w="2518" w:type="dxa"/>
          </w:tcPr>
          <w:p w:rsidR="006279AC" w:rsidRPr="00416EAC" w:rsidRDefault="006279AC" w:rsidP="0027219C">
            <w:r w:rsidRPr="00255179">
              <w:t>VIP-</w:t>
            </w:r>
            <w:proofErr w:type="spellStart"/>
            <w:r w:rsidRPr="00255179">
              <w:t>rABVD</w:t>
            </w:r>
            <w:proofErr w:type="spellEnd"/>
          </w:p>
        </w:tc>
        <w:tc>
          <w:tcPr>
            <w:tcW w:w="6237" w:type="dxa"/>
          </w:tcPr>
          <w:p w:rsidR="006279AC" w:rsidRPr="00255179" w:rsidRDefault="00D80087" w:rsidP="0027219C">
            <w:pPr>
              <w:cnfStyle w:val="000000000000"/>
            </w:pPr>
            <w:proofErr w:type="spellStart"/>
            <w:r w:rsidRPr="00255179">
              <w:t>Etoposide</w:t>
            </w:r>
            <w:proofErr w:type="spellEnd"/>
            <w:r w:rsidRPr="00255179">
              <w:t xml:space="preserve">, </w:t>
            </w:r>
            <w:proofErr w:type="spellStart"/>
            <w:r w:rsidRPr="00255179">
              <w:t>ifosfamide</w:t>
            </w:r>
            <w:proofErr w:type="spellEnd"/>
            <w:r w:rsidRPr="00255179">
              <w:t xml:space="preserve">, </w:t>
            </w:r>
            <w:proofErr w:type="spellStart"/>
            <w:r w:rsidRPr="00255179">
              <w:t>cisplatin</w:t>
            </w:r>
            <w:proofErr w:type="spellEnd"/>
            <w:r w:rsidRPr="00255179">
              <w:t xml:space="preserve">, doxorubicin, </w:t>
            </w:r>
            <w:proofErr w:type="spellStart"/>
            <w:r w:rsidRPr="00255179">
              <w:t>bleomycin</w:t>
            </w:r>
            <w:proofErr w:type="spellEnd"/>
            <w:r w:rsidRPr="00255179">
              <w:t xml:space="preserve">, </w:t>
            </w:r>
            <w:proofErr w:type="spellStart"/>
            <w:r w:rsidRPr="00255179">
              <w:t>vinblastine</w:t>
            </w:r>
            <w:proofErr w:type="spellEnd"/>
            <w:r w:rsidRPr="00255179">
              <w:t xml:space="preserve">, </w:t>
            </w:r>
            <w:proofErr w:type="spellStart"/>
            <w:r w:rsidRPr="00255179">
              <w:t>dacarbazine</w:t>
            </w:r>
            <w:proofErr w:type="spellEnd"/>
          </w:p>
        </w:tc>
      </w:tr>
    </w:tbl>
    <w:p w:rsidR="00586F98" w:rsidRDefault="00EE1785" w:rsidP="0027219C">
      <w:pPr>
        <w:pStyle w:val="Heading2"/>
        <w:rPr>
          <w:lang w:eastAsia="en-AU"/>
        </w:rPr>
      </w:pPr>
      <w:bookmarkStart w:id="7" w:name="_Toc351718900"/>
      <w:bookmarkStart w:id="8" w:name="_Toc355338635"/>
      <w:bookmarkStart w:id="9" w:name="_Toc374006723"/>
      <w:r>
        <w:rPr>
          <w:lang w:eastAsia="en-AU"/>
        </w:rPr>
        <w:t>Introduction</w:t>
      </w:r>
      <w:bookmarkEnd w:id="9"/>
      <w:r>
        <w:rPr>
          <w:lang w:eastAsia="en-AU"/>
        </w:rPr>
        <w:t xml:space="preserve"> </w:t>
      </w:r>
    </w:p>
    <w:p w:rsidR="00EE1785" w:rsidRPr="004E0124" w:rsidRDefault="00EE1785" w:rsidP="0027219C">
      <w:r w:rsidRPr="004E0124">
        <w:t xml:space="preserve">Romidepsin is an anti-neoplastic agent that belongs to the class of drugs known as </w:t>
      </w:r>
      <w:proofErr w:type="spellStart"/>
      <w:r w:rsidRPr="004E0124">
        <w:t>histone-deacetylase</w:t>
      </w:r>
      <w:proofErr w:type="spellEnd"/>
      <w:r w:rsidRPr="004E0124">
        <w:t xml:space="preserve"> (HDAC) inhibitors. </w:t>
      </w:r>
      <w:proofErr w:type="spellStart"/>
      <w:r w:rsidRPr="004E0124">
        <w:t>Nano</w:t>
      </w:r>
      <w:proofErr w:type="spellEnd"/>
      <w:r w:rsidRPr="004E0124">
        <w:t xml:space="preserve"> molar concentrations of romidepsin exhibited anti-cancer activity against both haematological and solid tumour lines. In both </w:t>
      </w:r>
      <w:r w:rsidRPr="004E0124">
        <w:rPr>
          <w:i/>
          <w:iCs/>
        </w:rPr>
        <w:t>in vitro</w:t>
      </w:r>
      <w:r w:rsidRPr="004E0124">
        <w:t xml:space="preserve"> and </w:t>
      </w:r>
      <w:r w:rsidRPr="004E0124">
        <w:rPr>
          <w:i/>
          <w:iCs/>
        </w:rPr>
        <w:t>in vivo</w:t>
      </w:r>
      <w:r w:rsidRPr="004E0124">
        <w:t xml:space="preserve"> systems romidepsin has been shown to have </w:t>
      </w:r>
      <w:proofErr w:type="spellStart"/>
      <w:r w:rsidRPr="004E0124">
        <w:t>pleiotropic</w:t>
      </w:r>
      <w:proofErr w:type="spellEnd"/>
      <w:r w:rsidRPr="004E0124">
        <w:t xml:space="preserve"> activity including HDAC inhibition, induction or repression of gene expression, cell cyc</w:t>
      </w:r>
      <w:r w:rsidR="00C833C6">
        <w:t>le arrest, cell differentiation and</w:t>
      </w:r>
      <w:r w:rsidRPr="004E0124">
        <w:t xml:space="preserve"> cell growth inhibition, induction of apoptosis, morphological reversion of transformed cells</w:t>
      </w:r>
      <w:r w:rsidR="002D743F">
        <w:t>,</w:t>
      </w:r>
      <w:r w:rsidRPr="004E0124">
        <w:t xml:space="preserve"> and inhibition of angiogenesis. Romidepsin exposure has been shown to cause both the induction and repression of a number of key regulatory genes </w:t>
      </w:r>
      <w:r w:rsidRPr="004E0124">
        <w:rPr>
          <w:i/>
          <w:iCs/>
        </w:rPr>
        <w:t>in</w:t>
      </w:r>
      <w:r w:rsidR="00D94D5D">
        <w:rPr>
          <w:i/>
          <w:iCs/>
        </w:rPr>
        <w:t xml:space="preserve"> </w:t>
      </w:r>
      <w:r w:rsidRPr="004E0124">
        <w:rPr>
          <w:i/>
          <w:iCs/>
        </w:rPr>
        <w:t>vitro</w:t>
      </w:r>
      <w:r w:rsidRPr="004E0124">
        <w:t xml:space="preserve"> and </w:t>
      </w:r>
      <w:r w:rsidRPr="004E0124">
        <w:rPr>
          <w:i/>
          <w:iCs/>
        </w:rPr>
        <w:t>in</w:t>
      </w:r>
      <w:r w:rsidR="004E0124">
        <w:rPr>
          <w:i/>
          <w:iCs/>
        </w:rPr>
        <w:t xml:space="preserve"> </w:t>
      </w:r>
      <w:r w:rsidRPr="004E0124">
        <w:rPr>
          <w:i/>
          <w:iCs/>
        </w:rPr>
        <w:t>vivo</w:t>
      </w:r>
      <w:r w:rsidR="00D94D5D">
        <w:t xml:space="preserve">. </w:t>
      </w:r>
    </w:p>
    <w:p w:rsidR="00EE1785" w:rsidRPr="004E0124" w:rsidRDefault="00EE1785" w:rsidP="0027219C">
      <w:r w:rsidRPr="004E0124">
        <w:t xml:space="preserve">The proposed indication </w:t>
      </w:r>
      <w:r w:rsidR="002D743F">
        <w:t xml:space="preserve">for romidepsin </w:t>
      </w:r>
      <w:r w:rsidRPr="004E0124">
        <w:t>is the treatment of adult patients with peripheral T-cell lymphoma (PTCL) who relapsed after or become refractory to at least one prior therapy.</w:t>
      </w:r>
    </w:p>
    <w:p w:rsidR="00586F98" w:rsidRDefault="00EE1785" w:rsidP="0027219C">
      <w:pPr>
        <w:pStyle w:val="Heading2"/>
      </w:pPr>
      <w:bookmarkStart w:id="10" w:name="_Toc374006724"/>
      <w:r>
        <w:t>Clinical rationale</w:t>
      </w:r>
      <w:bookmarkEnd w:id="10"/>
    </w:p>
    <w:p w:rsidR="00EE1785" w:rsidRPr="00EE1785" w:rsidRDefault="00EE1785" w:rsidP="0027219C">
      <w:r w:rsidRPr="00EE1785">
        <w:t>PTCL is a rare form of non-Hodgkin’s lymphoma with many sub-types that share an aggressive clinical behaviour and a poor prognosis with high relapse rates following treatment. The overall incidence in Australia is appro</w:t>
      </w:r>
      <w:r w:rsidR="004E0124">
        <w:t xml:space="preserve">ximately 10% of all lymphomas. </w:t>
      </w:r>
      <w:r w:rsidRPr="00EE1785">
        <w:t xml:space="preserve">Long term survival in patients with this disease is extremely poor with a five year overall survival rate of approximately 7-32% depending on the sub-type of PTCL. </w:t>
      </w:r>
    </w:p>
    <w:p w:rsidR="00EE1785" w:rsidRPr="004E0124" w:rsidRDefault="00EE1785" w:rsidP="0027219C">
      <w:r w:rsidRPr="004E0124">
        <w:t xml:space="preserve">First line therapy presently rests with the utilisation of CHOP type regimens either with or without consideration for subsequent high dose therapy and </w:t>
      </w:r>
      <w:proofErr w:type="spellStart"/>
      <w:r w:rsidRPr="004E0124">
        <w:t>a</w:t>
      </w:r>
      <w:r w:rsidR="004E0124">
        <w:t>uto</w:t>
      </w:r>
      <w:r w:rsidR="00C833C6">
        <w:t>lo</w:t>
      </w:r>
      <w:r w:rsidR="004E0124">
        <w:t>gous</w:t>
      </w:r>
      <w:proofErr w:type="spellEnd"/>
      <w:r w:rsidR="004E0124">
        <w:t xml:space="preserve"> stem cell infusions. </w:t>
      </w:r>
      <w:r w:rsidRPr="004E0124">
        <w:t xml:space="preserve">For patients who relapsed or are refractory there is no consensus on standard therapy.  </w:t>
      </w:r>
    </w:p>
    <w:p w:rsidR="00EE1785" w:rsidRPr="00EE1785" w:rsidRDefault="00EE1785" w:rsidP="0027219C">
      <w:r w:rsidRPr="00EE1785">
        <w:t xml:space="preserve">The class of HDAC inhibitors are a novel class of anti-neoplastic drugs that exert their effects and modulation of gene </w:t>
      </w:r>
      <w:r w:rsidR="002D743F" w:rsidRPr="00EE1785">
        <w:t>expression</w:t>
      </w:r>
      <w:r w:rsidR="002D743F">
        <w:t>;</w:t>
      </w:r>
      <w:r w:rsidRPr="00EE1785">
        <w:t xml:space="preserve"> however </w:t>
      </w:r>
      <w:proofErr w:type="spellStart"/>
      <w:r w:rsidRPr="00EE1785">
        <w:t>acetylation</w:t>
      </w:r>
      <w:proofErr w:type="spellEnd"/>
      <w:r w:rsidRPr="00EE1785">
        <w:t xml:space="preserve"> of non-</w:t>
      </w:r>
      <w:proofErr w:type="spellStart"/>
      <w:r w:rsidRPr="00EE1785">
        <w:t>histone</w:t>
      </w:r>
      <w:proofErr w:type="spellEnd"/>
      <w:r w:rsidRPr="00EE1785">
        <w:t>-proteins is lik</w:t>
      </w:r>
      <w:r w:rsidR="002D743F">
        <w:t xml:space="preserve">ely also critically important. </w:t>
      </w:r>
      <w:r w:rsidRPr="00EE1785">
        <w:t xml:space="preserve">HDAC inhibitors have wide ranging effects on malignant cells.  HDAC inhibitors have activity in various haematological malignancies including Hodgkin’s lymphoma and </w:t>
      </w:r>
      <w:proofErr w:type="spellStart"/>
      <w:r w:rsidRPr="00EE1785">
        <w:t>cutaneous</w:t>
      </w:r>
      <w:proofErr w:type="spellEnd"/>
      <w:r w:rsidRPr="00EE1785">
        <w:t xml:space="preserve"> T-cell lymphomas.  </w:t>
      </w:r>
    </w:p>
    <w:p w:rsidR="00EE1785" w:rsidRPr="00EE1785" w:rsidRDefault="00EE1785" w:rsidP="0027219C">
      <w:r w:rsidRPr="00EE1785">
        <w:t>Early phase I/phase II studies to be discusse</w:t>
      </w:r>
      <w:r w:rsidR="002D743F">
        <w:t>d below indicated activity for r</w:t>
      </w:r>
      <w:r w:rsidRPr="00EE1785">
        <w:t>omidepsin in heavily pre-treated patients with relapsed/refractory PTCL</w:t>
      </w:r>
      <w:r w:rsidR="002D743F">
        <w:t>,</w:t>
      </w:r>
      <w:r w:rsidRPr="00EE1785">
        <w:t xml:space="preserve"> prompting initiation of further evaluation.  </w:t>
      </w:r>
    </w:p>
    <w:p w:rsidR="00586F98" w:rsidRDefault="00586F98" w:rsidP="0027219C">
      <w:pPr>
        <w:pStyle w:val="Heading2"/>
        <w:rPr>
          <w:lang w:eastAsia="en-AU"/>
        </w:rPr>
      </w:pPr>
      <w:bookmarkStart w:id="11" w:name="_Toc374006725"/>
      <w:r>
        <w:rPr>
          <w:lang w:eastAsia="en-AU"/>
        </w:rPr>
        <w:lastRenderedPageBreak/>
        <w:t>Contents of the clinical dossier</w:t>
      </w:r>
      <w:bookmarkEnd w:id="7"/>
      <w:bookmarkEnd w:id="8"/>
      <w:bookmarkEnd w:id="11"/>
    </w:p>
    <w:p w:rsidR="00586F98" w:rsidRDefault="00586F98" w:rsidP="0027219C">
      <w:pPr>
        <w:pStyle w:val="Heading3"/>
      </w:pPr>
      <w:bookmarkStart w:id="12" w:name="_Toc374006726"/>
      <w:r>
        <w:t>Scope of the clinical dossier</w:t>
      </w:r>
      <w:bookmarkEnd w:id="12"/>
    </w:p>
    <w:p w:rsidR="00CE2B5B" w:rsidRPr="00CE2B5B" w:rsidRDefault="00CE2B5B" w:rsidP="0027219C">
      <w:pPr>
        <w:rPr>
          <w:lang w:eastAsia="ja-JP"/>
        </w:rPr>
      </w:pPr>
      <w:r w:rsidRPr="00CE2B5B">
        <w:rPr>
          <w:lang w:eastAsia="ja-JP"/>
        </w:rPr>
        <w:t xml:space="preserve">Module 5 contains the full study reports for the various PK and PD studies as indicated in </w:t>
      </w:r>
      <w:r w:rsidR="0046463E">
        <w:rPr>
          <w:lang w:eastAsia="ja-JP"/>
        </w:rPr>
        <w:t>Table 1</w:t>
      </w:r>
      <w:r w:rsidRPr="00CE2B5B">
        <w:rPr>
          <w:lang w:eastAsia="ja-JP"/>
        </w:rPr>
        <w:t xml:space="preserve">. It also contains the final report of the pivotal study GPI-06-002 and the supporting NCI 1312 PTCL study.  </w:t>
      </w:r>
    </w:p>
    <w:p w:rsidR="00CE2B5B" w:rsidRPr="00CE2B5B" w:rsidRDefault="00CE2B5B" w:rsidP="0027219C">
      <w:pPr>
        <w:rPr>
          <w:lang w:eastAsia="ja-JP"/>
        </w:rPr>
      </w:pPr>
      <w:r w:rsidRPr="00CE2B5B">
        <w:rPr>
          <w:lang w:eastAsia="ja-JP"/>
        </w:rPr>
        <w:t>Module 1 contains the relevant application letter, application form</w:t>
      </w:r>
      <w:r w:rsidR="002D743F">
        <w:rPr>
          <w:lang w:eastAsia="ja-JP"/>
        </w:rPr>
        <w:t>,</w:t>
      </w:r>
      <w:r w:rsidRPr="00CE2B5B">
        <w:rPr>
          <w:lang w:eastAsia="ja-JP"/>
        </w:rPr>
        <w:t xml:space="preserve"> draft Australian CMI, FDA approved Product Label and European and Canadian summary of product characteristics. </w:t>
      </w:r>
    </w:p>
    <w:p w:rsidR="003B6A50" w:rsidRDefault="00CE2B5B" w:rsidP="0027219C">
      <w:pPr>
        <w:rPr>
          <w:lang w:eastAsia="ja-JP"/>
        </w:rPr>
      </w:pPr>
      <w:r w:rsidRPr="00CE2B5B">
        <w:rPr>
          <w:lang w:eastAsia="ja-JP"/>
        </w:rPr>
        <w:t>Module 2 contains the relevant clinical overview as well as summaries of clinical pharmacology, clinical efficacy and clinical safety as well as relevant update r</w:t>
      </w:r>
      <w:r w:rsidR="002D743F">
        <w:rPr>
          <w:lang w:eastAsia="ja-JP"/>
        </w:rPr>
        <w:t>eports of efficacy and safety.</w:t>
      </w:r>
    </w:p>
    <w:p w:rsidR="0027219C" w:rsidRDefault="0027219C" w:rsidP="0027219C">
      <w:pPr>
        <w:rPr>
          <w:lang w:eastAsia="ja-JP"/>
        </w:rPr>
        <w:sectPr w:rsidR="0027219C" w:rsidSect="008D770F">
          <w:headerReference w:type="even" r:id="rId14"/>
          <w:headerReference w:type="default" r:id="rId15"/>
          <w:footerReference w:type="default" r:id="rId16"/>
          <w:headerReference w:type="first" r:id="rId17"/>
          <w:footerReference w:type="first" r:id="rId18"/>
          <w:pgSz w:w="11906" w:h="16838" w:code="9"/>
          <w:pgMar w:top="1440" w:right="1440" w:bottom="1440" w:left="1440" w:header="907" w:footer="216" w:gutter="0"/>
          <w:cols w:space="708"/>
          <w:docGrid w:linePitch="360"/>
        </w:sectPr>
      </w:pPr>
    </w:p>
    <w:p w:rsidR="003B6A50" w:rsidRDefault="003B6A50" w:rsidP="0027219C">
      <w:pPr>
        <w:pStyle w:val="TableTitle"/>
        <w:rPr>
          <w:lang w:eastAsia="ja-JP"/>
        </w:rPr>
      </w:pPr>
      <w:r>
        <w:rPr>
          <w:lang w:eastAsia="ja-JP"/>
        </w:rPr>
        <w:lastRenderedPageBreak/>
        <w:t>Table 1. Listing of clinical studies</w:t>
      </w:r>
    </w:p>
    <w:p w:rsidR="003B6A50" w:rsidRDefault="003B6A50" w:rsidP="00CE2B5B">
      <w:pPr>
        <w:rPr>
          <w:lang w:eastAsia="ja-JP"/>
        </w:rPr>
      </w:pPr>
      <w:r>
        <w:rPr>
          <w:noProof/>
          <w:lang w:eastAsia="en-AU"/>
        </w:rPr>
        <w:drawing>
          <wp:inline distT="0" distB="0" distL="0" distR="0">
            <wp:extent cx="8863330" cy="4626302"/>
            <wp:effectExtent l="19050" t="0" r="0" b="0"/>
            <wp:docPr id="2" name="Picture 2" descr="Table 1. Listing of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8863330" cy="4626302"/>
                    </a:xfrm>
                    <a:prstGeom prst="rect">
                      <a:avLst/>
                    </a:prstGeom>
                    <a:noFill/>
                    <a:ln w="9525">
                      <a:noFill/>
                      <a:miter lim="800000"/>
                      <a:headEnd/>
                      <a:tailEnd/>
                    </a:ln>
                  </pic:spPr>
                </pic:pic>
              </a:graphicData>
            </a:graphic>
          </wp:inline>
        </w:drawing>
      </w:r>
    </w:p>
    <w:p w:rsidR="003B6A50" w:rsidRPr="003B6A50" w:rsidRDefault="003B6A50" w:rsidP="0027219C">
      <w:pPr>
        <w:pStyle w:val="TableTitle"/>
        <w:rPr>
          <w:lang w:eastAsia="ja-JP"/>
        </w:rPr>
      </w:pPr>
      <w:r w:rsidRPr="003B6A50">
        <w:rPr>
          <w:lang w:eastAsia="ja-JP"/>
        </w:rPr>
        <w:lastRenderedPageBreak/>
        <w:t>Table 1</w:t>
      </w:r>
      <w:r>
        <w:rPr>
          <w:lang w:eastAsia="ja-JP"/>
        </w:rPr>
        <w:t xml:space="preserve"> continued</w:t>
      </w:r>
      <w:r w:rsidRPr="003B6A50">
        <w:rPr>
          <w:lang w:eastAsia="ja-JP"/>
        </w:rPr>
        <w:t>. Listing of clinical studies</w:t>
      </w:r>
      <w:r>
        <w:rPr>
          <w:lang w:eastAsia="ja-JP"/>
        </w:rPr>
        <w:t xml:space="preserve">. </w:t>
      </w:r>
    </w:p>
    <w:p w:rsidR="003B6A50" w:rsidRDefault="003B6A50" w:rsidP="0027219C">
      <w:pPr>
        <w:rPr>
          <w:lang w:eastAsia="ja-JP"/>
        </w:rPr>
      </w:pPr>
      <w:r>
        <w:rPr>
          <w:noProof/>
          <w:lang w:eastAsia="en-AU"/>
        </w:rPr>
        <w:drawing>
          <wp:inline distT="0" distB="0" distL="0" distR="0">
            <wp:extent cx="7582094" cy="5308600"/>
            <wp:effectExtent l="19050" t="0" r="0" b="0"/>
            <wp:docPr id="1" name="Picture 5" descr="Table 1 continued. Listing of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7584755" cy="5310463"/>
                    </a:xfrm>
                    <a:prstGeom prst="rect">
                      <a:avLst/>
                    </a:prstGeom>
                    <a:noFill/>
                    <a:ln w="9525">
                      <a:noFill/>
                      <a:miter lim="800000"/>
                      <a:headEnd/>
                      <a:tailEnd/>
                    </a:ln>
                  </pic:spPr>
                </pic:pic>
              </a:graphicData>
            </a:graphic>
          </wp:inline>
        </w:drawing>
      </w:r>
    </w:p>
    <w:p w:rsidR="003B6A50" w:rsidRDefault="003B6A50" w:rsidP="0027219C">
      <w:pPr>
        <w:pStyle w:val="TableTitle"/>
        <w:rPr>
          <w:lang w:eastAsia="ja-JP"/>
        </w:rPr>
      </w:pPr>
      <w:r w:rsidRPr="003B6A50">
        <w:rPr>
          <w:lang w:eastAsia="ja-JP"/>
        </w:rPr>
        <w:lastRenderedPageBreak/>
        <w:t>Table 1</w:t>
      </w:r>
      <w:r>
        <w:rPr>
          <w:lang w:eastAsia="ja-JP"/>
        </w:rPr>
        <w:t xml:space="preserve"> continued</w:t>
      </w:r>
      <w:r w:rsidRPr="003B6A50">
        <w:rPr>
          <w:lang w:eastAsia="ja-JP"/>
        </w:rPr>
        <w:t>. Listing of clinical studies</w:t>
      </w:r>
    </w:p>
    <w:p w:rsidR="003B6A50" w:rsidRDefault="003B6A50" w:rsidP="0027219C">
      <w:pPr>
        <w:rPr>
          <w:lang w:eastAsia="ja-JP"/>
        </w:rPr>
      </w:pPr>
      <w:r w:rsidRPr="003B6A50">
        <w:rPr>
          <w:noProof/>
          <w:lang w:eastAsia="en-AU"/>
        </w:rPr>
        <w:drawing>
          <wp:inline distT="0" distB="0" distL="0" distR="0">
            <wp:extent cx="9023469" cy="4690533"/>
            <wp:effectExtent l="19050" t="0" r="6231" b="0"/>
            <wp:docPr id="3" name="Picture 8" descr="Table 1 continued. Listing of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9026259" cy="4691983"/>
                    </a:xfrm>
                    <a:prstGeom prst="rect">
                      <a:avLst/>
                    </a:prstGeom>
                    <a:noFill/>
                    <a:ln w="9525">
                      <a:noFill/>
                      <a:miter lim="800000"/>
                      <a:headEnd/>
                      <a:tailEnd/>
                    </a:ln>
                  </pic:spPr>
                </pic:pic>
              </a:graphicData>
            </a:graphic>
          </wp:inline>
        </w:drawing>
      </w:r>
    </w:p>
    <w:p w:rsidR="003B6A50" w:rsidRDefault="003B6A50" w:rsidP="0027219C">
      <w:pPr>
        <w:pStyle w:val="TableTitle"/>
      </w:pPr>
      <w:r w:rsidRPr="003B6A50">
        <w:lastRenderedPageBreak/>
        <w:t>Table 1</w:t>
      </w:r>
      <w:r>
        <w:t xml:space="preserve"> continued</w:t>
      </w:r>
      <w:r w:rsidRPr="003B6A50">
        <w:t>. Listing of clinical studies</w:t>
      </w:r>
    </w:p>
    <w:p w:rsidR="003B6A50" w:rsidRDefault="003B6A50" w:rsidP="0027219C">
      <w:pPr>
        <w:rPr>
          <w:lang w:eastAsia="ja-JP"/>
        </w:rPr>
        <w:sectPr w:rsidR="003B6A50" w:rsidSect="003B6A50">
          <w:footerReference w:type="default" r:id="rId22"/>
          <w:pgSz w:w="16838" w:h="11906" w:orient="landscape" w:code="9"/>
          <w:pgMar w:top="1440" w:right="1440" w:bottom="1440" w:left="1440" w:header="907" w:footer="216" w:gutter="0"/>
          <w:cols w:space="708"/>
          <w:docGrid w:linePitch="360"/>
        </w:sectPr>
      </w:pPr>
      <w:r>
        <w:rPr>
          <w:noProof/>
          <w:lang w:eastAsia="en-AU"/>
        </w:rPr>
        <w:drawing>
          <wp:inline distT="0" distB="0" distL="0" distR="0">
            <wp:extent cx="7998883" cy="5405418"/>
            <wp:effectExtent l="19050" t="0" r="2117" b="0"/>
            <wp:docPr id="14" name="Picture 14" descr="Table 1 continued. Listing of clinical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8001815" cy="5407400"/>
                    </a:xfrm>
                    <a:prstGeom prst="rect">
                      <a:avLst/>
                    </a:prstGeom>
                    <a:noFill/>
                    <a:ln w="9525">
                      <a:noFill/>
                      <a:miter lim="800000"/>
                      <a:headEnd/>
                      <a:tailEnd/>
                    </a:ln>
                  </pic:spPr>
                </pic:pic>
              </a:graphicData>
            </a:graphic>
          </wp:inline>
        </w:drawing>
      </w:r>
    </w:p>
    <w:p w:rsidR="00586F98" w:rsidRDefault="00586F98" w:rsidP="0027219C">
      <w:pPr>
        <w:pStyle w:val="Heading3"/>
      </w:pPr>
      <w:bookmarkStart w:id="13" w:name="_Toc374006727"/>
      <w:r>
        <w:lastRenderedPageBreak/>
        <w:t>Paediatric data</w:t>
      </w:r>
      <w:bookmarkEnd w:id="13"/>
    </w:p>
    <w:p w:rsidR="00586F98" w:rsidRDefault="00CE2B5B" w:rsidP="0027219C">
      <w:pPr>
        <w:rPr>
          <w:lang w:eastAsia="ja-JP"/>
        </w:rPr>
      </w:pPr>
      <w:r w:rsidRPr="00CE2B5B">
        <w:rPr>
          <w:lang w:eastAsia="ja-JP"/>
        </w:rPr>
        <w:t>Not relevant to this application.</w:t>
      </w:r>
    </w:p>
    <w:p w:rsidR="00586F98" w:rsidRDefault="00586F98" w:rsidP="0027219C">
      <w:pPr>
        <w:pStyle w:val="Heading3"/>
      </w:pPr>
      <w:bookmarkStart w:id="14" w:name="_Toc374006728"/>
      <w:r>
        <w:t>Good clinical practice</w:t>
      </w:r>
      <w:bookmarkEnd w:id="14"/>
    </w:p>
    <w:p w:rsidR="00586F98" w:rsidRPr="00586F98" w:rsidRDefault="00CE2B5B" w:rsidP="0027219C">
      <w:pPr>
        <w:rPr>
          <w:lang w:eastAsia="ja-JP"/>
        </w:rPr>
      </w:pPr>
      <w:r w:rsidRPr="00CE2B5B">
        <w:rPr>
          <w:lang w:eastAsia="ja-JP"/>
        </w:rPr>
        <w:t>All aspects of good clinical practice were observed in the pivotal and supportive study.</w:t>
      </w:r>
      <w:r w:rsidR="00586F98">
        <w:rPr>
          <w:lang w:eastAsia="ja-JP"/>
        </w:rPr>
        <w:t xml:space="preserve"> </w:t>
      </w:r>
    </w:p>
    <w:p w:rsidR="00586F98" w:rsidRDefault="00586F98" w:rsidP="0027219C">
      <w:pPr>
        <w:pStyle w:val="Heading2"/>
      </w:pPr>
      <w:bookmarkStart w:id="15" w:name="_Toc355338639"/>
      <w:bookmarkStart w:id="16" w:name="_Toc374006729"/>
      <w:r>
        <w:t>Pharmacokinetics</w:t>
      </w:r>
      <w:bookmarkEnd w:id="15"/>
      <w:r>
        <w:t xml:space="preserve"> </w:t>
      </w:r>
      <w:r w:rsidR="00F174CE">
        <w:t>and</w:t>
      </w:r>
      <w:r w:rsidR="00F13FDA">
        <w:t xml:space="preserve"> </w:t>
      </w:r>
      <w:proofErr w:type="spellStart"/>
      <w:r w:rsidR="0027219C">
        <w:t>p</w:t>
      </w:r>
      <w:r w:rsidR="00F13FDA">
        <w:t>harmacodynamics</w:t>
      </w:r>
      <w:bookmarkEnd w:id="16"/>
      <w:proofErr w:type="spellEnd"/>
    </w:p>
    <w:p w:rsidR="00D004C9" w:rsidRDefault="00D004C9" w:rsidP="0027219C">
      <w:pPr>
        <w:pStyle w:val="Heading3"/>
      </w:pPr>
      <w:bookmarkStart w:id="17" w:name="_Toc374006730"/>
      <w:r>
        <w:t>Studies providing pharmacokinetic and pharmacodynamic data</w:t>
      </w:r>
      <w:bookmarkEnd w:id="17"/>
    </w:p>
    <w:p w:rsidR="00F13FDA" w:rsidRDefault="002D743F" w:rsidP="0027219C">
      <w:r>
        <w:t xml:space="preserve">The PK and </w:t>
      </w:r>
      <w:r w:rsidR="00F13FDA" w:rsidRPr="004865FE">
        <w:t xml:space="preserve">PD of </w:t>
      </w:r>
      <w:r>
        <w:t>romidepsin have</w:t>
      </w:r>
      <w:r w:rsidR="00F13FDA" w:rsidRPr="004865FE">
        <w:t xml:space="preserve"> been evaluated in several phase I and II studies involving subjects with various types of cancer including rela</w:t>
      </w:r>
      <w:r w:rsidR="004865FE" w:rsidRPr="004865FE">
        <w:t xml:space="preserve">psed or refractory cancers. </w:t>
      </w:r>
      <w:r w:rsidR="00F13FDA" w:rsidRPr="004865FE">
        <w:t>Doses in the various studies range from 1-24.9mg/m</w:t>
      </w:r>
      <w:r w:rsidR="00F13FDA" w:rsidRPr="004865FE">
        <w:rPr>
          <w:vertAlign w:val="superscript"/>
        </w:rPr>
        <w:t>2</w:t>
      </w:r>
      <w:r w:rsidR="00F13FDA" w:rsidRPr="004865FE">
        <w:t xml:space="preserve"> infused for four hours on days 1 and 5 every 21 days and 14mg/m</w:t>
      </w:r>
      <w:r w:rsidR="00F13FDA" w:rsidRPr="004865FE">
        <w:rPr>
          <w:vertAlign w:val="superscript"/>
        </w:rPr>
        <w:t>2</w:t>
      </w:r>
      <w:r w:rsidR="00F13FDA" w:rsidRPr="004865FE">
        <w:t xml:space="preserve"> infused for the same duration on days 1, 8 and 15 every 28</w:t>
      </w:r>
      <w:r w:rsidR="004865FE" w:rsidRPr="004865FE">
        <w:t xml:space="preserve"> days. </w:t>
      </w:r>
      <w:r w:rsidR="00D004C9">
        <w:t>A summary of the PK/PD studies is shown in Table 2; r</w:t>
      </w:r>
      <w:r w:rsidR="00F13FDA" w:rsidRPr="004865FE">
        <w:t>esults of the individual studies are given below.</w:t>
      </w:r>
    </w:p>
    <w:p w:rsidR="00D004C9" w:rsidRDefault="00D004C9" w:rsidP="0027219C">
      <w:pPr>
        <w:pStyle w:val="TableTitle"/>
      </w:pPr>
      <w:r>
        <w:t>Table 2. Summary of clinical studies and analysis</w:t>
      </w:r>
    </w:p>
    <w:p w:rsidR="00D004C9" w:rsidRPr="004865FE" w:rsidRDefault="00D004C9" w:rsidP="0027219C">
      <w:r>
        <w:rPr>
          <w:noProof/>
          <w:lang w:eastAsia="en-AU"/>
        </w:rPr>
        <w:drawing>
          <wp:inline distT="0" distB="0" distL="0" distR="0">
            <wp:extent cx="5085080" cy="3408680"/>
            <wp:effectExtent l="19050" t="0" r="1270" b="0"/>
            <wp:docPr id="35" name="Picture 35" descr="Table 2. Summary of clinical studies a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srcRect/>
                    <a:stretch>
                      <a:fillRect/>
                    </a:stretch>
                  </pic:blipFill>
                  <pic:spPr bwMode="auto">
                    <a:xfrm>
                      <a:off x="0" y="0"/>
                      <a:ext cx="5085080" cy="3408680"/>
                    </a:xfrm>
                    <a:prstGeom prst="rect">
                      <a:avLst/>
                    </a:prstGeom>
                    <a:noFill/>
                    <a:ln w="9525">
                      <a:noFill/>
                      <a:miter lim="800000"/>
                      <a:headEnd/>
                      <a:tailEnd/>
                    </a:ln>
                  </pic:spPr>
                </pic:pic>
              </a:graphicData>
            </a:graphic>
          </wp:inline>
        </w:drawing>
      </w:r>
    </w:p>
    <w:p w:rsidR="00F13FDA" w:rsidRPr="004865FE" w:rsidRDefault="00F13FDA" w:rsidP="0027219C">
      <w:pPr>
        <w:pStyle w:val="Heading3"/>
      </w:pPr>
      <w:bookmarkStart w:id="18" w:name="_Toc374006731"/>
      <w:r w:rsidRPr="004865FE">
        <w:t>Study T-95-0077</w:t>
      </w:r>
      <w:bookmarkEnd w:id="18"/>
    </w:p>
    <w:p w:rsidR="00F13FDA" w:rsidRPr="004865FE" w:rsidRDefault="00F13FDA" w:rsidP="0027219C">
      <w:r w:rsidRPr="004865FE">
        <w:t>This study was a phase I stud</w:t>
      </w:r>
      <w:r w:rsidR="00D004C9">
        <w:t>y with a four hour infusion of r</w:t>
      </w:r>
      <w:r w:rsidRPr="004865FE">
        <w:t xml:space="preserve">omidepsin administered on days 1 and 5 of each 21 day cycle in patients with refractory neoplasm.  This study was conducted in two institutions in the United States between August 1997 and November 1999.  The principal objective was to define the maximum tolerated dose (MTD) toxicities and PK of Romidepsin when administered as a four-hour infusion.  </w:t>
      </w:r>
    </w:p>
    <w:p w:rsidR="00F13FDA" w:rsidRPr="00F13FDA" w:rsidRDefault="00F13FDA" w:rsidP="0027219C">
      <w:r w:rsidRPr="00F13FDA">
        <w:t xml:space="preserve">This was an open-label multicentre single-group dose escalation study with the option to continue dosing over multiple cycles and to move patients to a higher dose level if medically indicated.  Patients underwent physical examination prior to treatment on days 1, 4 or 5 of the </w:t>
      </w:r>
      <w:r w:rsidRPr="00F13FDA">
        <w:lastRenderedPageBreak/>
        <w:t>first cycle and on the first day of subsequent cycles.  Performance status, blood collection for biochemistry and haematology and PK analyses together with tumour assessment, ECG, chest x-ray and MUGA scan were undertaken at scheduled times during each treatment cycle.  The maximum tolerated dose was defined as the highest dose level which resulted in dose limiting toxicity (DLT)</w:t>
      </w:r>
      <w:r w:rsidR="002D743F">
        <w:t xml:space="preserve"> </w:t>
      </w:r>
      <w:r w:rsidRPr="00F13FDA">
        <w:t xml:space="preserve">in fewer than 2/6 patients.  The DLTs were defined using the NCI Common Toxicity Criteria.  </w:t>
      </w:r>
    </w:p>
    <w:p w:rsidR="00F13FDA" w:rsidRPr="00F13FDA" w:rsidRDefault="00F13FDA" w:rsidP="0027219C">
      <w:r w:rsidRPr="00F13FDA">
        <w:t>The first three patients were enrolled at dose level 1 observed for at least three weeks and evaluated in clinic before new patients were treated at a higher dose level.  If no patient developed a DLT then the next three patients were to be started at dose level 2. If 1/3 patients experienced a DLT an additional three patients were to be started at that dose level.  If only 1/6 patients treated at any dose level experienced DLT the next patients were to be started at the next dose level.  As soon as two patients at a given dose level experience DLT no additional patients were to be started at that dose level.  Tolerance to the MDT level was to be confirmed with the addition of six more patients at that dose level.</w:t>
      </w:r>
    </w:p>
    <w:p w:rsidR="00F13FDA" w:rsidRPr="00F13FDA" w:rsidRDefault="00F13FDA" w:rsidP="0027219C">
      <w:r w:rsidRPr="00F13FDA">
        <w:t xml:space="preserve">Inclusion criteria included patients of at least 18 years of age with </w:t>
      </w:r>
      <w:proofErr w:type="spellStart"/>
      <w:r w:rsidRPr="00F13FDA">
        <w:t>histologically</w:t>
      </w:r>
      <w:proofErr w:type="spellEnd"/>
      <w:r w:rsidRPr="00F13FDA">
        <w:t xml:space="preserve"> confirmed incurable solid tumour malignancy for which there was no known standard therapy.  </w:t>
      </w:r>
    </w:p>
    <w:p w:rsidR="00F13FDA" w:rsidRPr="004865FE" w:rsidRDefault="00F13FDA" w:rsidP="0027219C">
      <w:r w:rsidRPr="004865FE">
        <w:t>A total of 38 patients were enrolled and received at least one daily dose of study drug.  Three patients were initially enrolled in 1mg dose/m</w:t>
      </w:r>
      <w:r w:rsidRPr="004865FE">
        <w:rPr>
          <w:vertAlign w:val="superscript"/>
        </w:rPr>
        <w:t>2</w:t>
      </w:r>
      <w:r w:rsidRPr="004865FE">
        <w:t xml:space="preserve"> dose level, three patients at 1.7mg/m</w:t>
      </w:r>
      <w:r w:rsidRPr="004865FE">
        <w:rPr>
          <w:vertAlign w:val="superscript"/>
        </w:rPr>
        <w:t>2</w:t>
      </w:r>
      <w:r w:rsidRPr="004865FE">
        <w:t>, three patients at 2.5mg/m</w:t>
      </w:r>
      <w:r w:rsidRPr="004865FE">
        <w:rPr>
          <w:vertAlign w:val="superscript"/>
        </w:rPr>
        <w:t>2</w:t>
      </w:r>
      <w:r w:rsidRPr="004865FE">
        <w:t>, one patient at 3.5mg/m</w:t>
      </w:r>
      <w:r w:rsidRPr="004865FE">
        <w:rPr>
          <w:vertAlign w:val="superscript"/>
        </w:rPr>
        <w:t>2</w:t>
      </w:r>
      <w:r w:rsidRPr="004865FE">
        <w:t>, three patients at 6.5mg/m</w:t>
      </w:r>
      <w:r w:rsidRPr="004865FE">
        <w:rPr>
          <w:vertAlign w:val="superscript"/>
        </w:rPr>
        <w:t>2</w:t>
      </w:r>
      <w:r w:rsidRPr="004865FE">
        <w:t>, four patients at 9.1mg/m</w:t>
      </w:r>
      <w:r w:rsidRPr="004865FE">
        <w:rPr>
          <w:vertAlign w:val="superscript"/>
        </w:rPr>
        <w:t>2</w:t>
      </w:r>
      <w:r w:rsidRPr="004865FE">
        <w:t>, three patients at 12.7mg/m</w:t>
      </w:r>
      <w:r w:rsidRPr="004865FE">
        <w:rPr>
          <w:vertAlign w:val="superscript"/>
        </w:rPr>
        <w:t>2</w:t>
      </w:r>
      <w:r w:rsidRPr="004865FE">
        <w:t>, 10 patients at 17.8mg/m</w:t>
      </w:r>
      <w:r w:rsidRPr="004865FE">
        <w:rPr>
          <w:vertAlign w:val="superscript"/>
        </w:rPr>
        <w:t>2</w:t>
      </w:r>
      <w:r w:rsidRPr="004865FE">
        <w:t xml:space="preserve"> and eight patients at 24.9mg/m</w:t>
      </w:r>
      <w:r w:rsidRPr="004865FE">
        <w:rPr>
          <w:vertAlign w:val="superscript"/>
        </w:rPr>
        <w:t>2</w:t>
      </w:r>
      <w:r w:rsidRPr="004865FE">
        <w:t xml:space="preserve">.  </w:t>
      </w:r>
    </w:p>
    <w:p w:rsidR="00F13FDA" w:rsidRPr="00F13FDA" w:rsidRDefault="00F13FDA" w:rsidP="0027219C">
      <w:r w:rsidRPr="004865FE">
        <w:t>Patients were to be treated until there was evidence of disease progression</w:t>
      </w:r>
      <w:r w:rsidR="00A54090">
        <w:t>,</w:t>
      </w:r>
      <w:r w:rsidRPr="004865FE">
        <w:t xml:space="preserve"> if dose limiting toxicity did not resolve within three weeks of terminating treatment</w:t>
      </w:r>
      <w:r w:rsidR="00A54090">
        <w:t xml:space="preserve">, </w:t>
      </w:r>
      <w:r w:rsidRPr="004865FE">
        <w:t xml:space="preserve">or </w:t>
      </w:r>
      <w:r w:rsidR="004865FE">
        <w:t xml:space="preserve">if the </w:t>
      </w:r>
      <w:r w:rsidRPr="004865FE">
        <w:t>patient or investigator decided it was</w:t>
      </w:r>
      <w:r w:rsidRPr="00F13FDA">
        <w:t xml:space="preserve"> </w:t>
      </w:r>
      <w:r w:rsidRPr="004865FE">
        <w:t>not in the patient’s best interest to continue treatment</w:t>
      </w:r>
      <w:r w:rsidRPr="00F13FDA">
        <w:t>.</w:t>
      </w:r>
    </w:p>
    <w:p w:rsidR="00F13FDA" w:rsidRPr="00F13FDA" w:rsidRDefault="004865FE" w:rsidP="0027219C">
      <w:r>
        <w:t>T</w:t>
      </w:r>
      <w:r w:rsidR="00F13FDA" w:rsidRPr="00F13FDA">
        <w:t xml:space="preserve">he majority of patients were Caucasian and most of the underlying malignancies were genitourinary, gastrointestinal or melanomas.  </w:t>
      </w:r>
    </w:p>
    <w:p w:rsidR="00F13FDA" w:rsidRPr="004865FE" w:rsidRDefault="00F13FDA" w:rsidP="0027219C">
      <w:r w:rsidRPr="004865FE">
        <w:t xml:space="preserve">Most patients received more than one dose of study drug and six patients were enrolled in more than one dose level.  </w:t>
      </w:r>
    </w:p>
    <w:p w:rsidR="00F13FDA" w:rsidRPr="004865FE" w:rsidRDefault="00F13FDA" w:rsidP="0027219C">
      <w:r w:rsidRPr="004865FE">
        <w:t>The most frequent dose limiting toxicities across all dose levels were asthenia in 17.8%, leukopenia in 17.8% and thrombocytopenia in 8.9%.  Three patients were de-escalated.  Two patients were de-escalated from 24.9mg/m</w:t>
      </w:r>
      <w:r w:rsidRPr="004865FE">
        <w:rPr>
          <w:vertAlign w:val="superscript"/>
        </w:rPr>
        <w:t>2</w:t>
      </w:r>
      <w:r w:rsidRPr="004865FE">
        <w:t xml:space="preserve"> to 17.8mg/m</w:t>
      </w:r>
      <w:r w:rsidRPr="004865FE">
        <w:rPr>
          <w:vertAlign w:val="superscript"/>
        </w:rPr>
        <w:t>2</w:t>
      </w:r>
      <w:r w:rsidRPr="004865FE">
        <w:t xml:space="preserve"> and one patient was de-escalated from 17.8mg/m</w:t>
      </w:r>
      <w:r w:rsidRPr="004865FE">
        <w:rPr>
          <w:vertAlign w:val="superscript"/>
        </w:rPr>
        <w:t>2</w:t>
      </w:r>
      <w:r w:rsidRPr="004865FE">
        <w:t xml:space="preserve"> to 12.7mg/m</w:t>
      </w:r>
      <w:r w:rsidRPr="004865FE">
        <w:rPr>
          <w:vertAlign w:val="superscript"/>
        </w:rPr>
        <w:t>2</w:t>
      </w:r>
      <w:r w:rsidRPr="004865FE">
        <w:t xml:space="preserve">.  </w:t>
      </w:r>
    </w:p>
    <w:p w:rsidR="004865FE" w:rsidRDefault="00F13FDA" w:rsidP="0027219C">
      <w:r w:rsidRPr="004865FE">
        <w:t xml:space="preserve">The incidence of dose limiting toxicities throughout the various dose levels </w:t>
      </w:r>
      <w:r w:rsidR="00004A6F">
        <w:t xml:space="preserve">is </w:t>
      </w:r>
      <w:r w:rsidRPr="004865FE">
        <w:t xml:space="preserve">given in </w:t>
      </w:r>
      <w:r w:rsidR="004865FE">
        <w:t xml:space="preserve">Table </w:t>
      </w:r>
      <w:r w:rsidR="00D004C9">
        <w:t>3</w:t>
      </w:r>
      <w:r w:rsidRPr="004865FE">
        <w:t xml:space="preserve">.  </w:t>
      </w:r>
    </w:p>
    <w:p w:rsidR="00004A6F" w:rsidRDefault="00004A6F" w:rsidP="0027219C">
      <w:pPr>
        <w:pStyle w:val="TableTitle"/>
      </w:pPr>
      <w:r>
        <w:lastRenderedPageBreak/>
        <w:t xml:space="preserve">Table </w:t>
      </w:r>
      <w:r w:rsidR="00D004C9">
        <w:t>3</w:t>
      </w:r>
      <w:r>
        <w:t>. Incidence of dose limiting toxicities overall</w:t>
      </w:r>
    </w:p>
    <w:p w:rsidR="004865FE" w:rsidRDefault="004865FE" w:rsidP="0027219C">
      <w:r>
        <w:rPr>
          <w:noProof/>
          <w:lang w:eastAsia="en-AU"/>
        </w:rPr>
        <w:drawing>
          <wp:inline distT="0" distB="0" distL="0" distR="0">
            <wp:extent cx="4376312" cy="3815080"/>
            <wp:effectExtent l="19050" t="0" r="5188" b="0"/>
            <wp:docPr id="15" name="Picture 15" descr="Table 3. Incidence of dose limiting toxicities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374352" cy="3813371"/>
                    </a:xfrm>
                    <a:prstGeom prst="rect">
                      <a:avLst/>
                    </a:prstGeom>
                    <a:noFill/>
                    <a:ln w="9525">
                      <a:noFill/>
                      <a:miter lim="800000"/>
                      <a:headEnd/>
                      <a:tailEnd/>
                    </a:ln>
                  </pic:spPr>
                </pic:pic>
              </a:graphicData>
            </a:graphic>
          </wp:inline>
        </w:drawing>
      </w:r>
    </w:p>
    <w:p w:rsidR="00004A6F" w:rsidRPr="00004A6F" w:rsidRDefault="00D004C9" w:rsidP="0027219C">
      <w:pPr>
        <w:pStyle w:val="TableTitle"/>
      </w:pPr>
      <w:r>
        <w:t>Table 3</w:t>
      </w:r>
      <w:r w:rsidR="00004A6F" w:rsidRPr="00004A6F">
        <w:t xml:space="preserve"> continued. Incidence of dose limiting toxicities overall</w:t>
      </w:r>
    </w:p>
    <w:p w:rsidR="00004A6F" w:rsidRDefault="00004A6F" w:rsidP="0027219C">
      <w:r>
        <w:rPr>
          <w:noProof/>
          <w:lang w:eastAsia="en-AU"/>
        </w:rPr>
        <w:drawing>
          <wp:inline distT="0" distB="0" distL="0" distR="0">
            <wp:extent cx="4381343" cy="3896360"/>
            <wp:effectExtent l="19050" t="0" r="157" b="0"/>
            <wp:docPr id="17" name="Picture 17" descr="Table 3 continued. Incidence of dose limiting toxicities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4382919" cy="3897761"/>
                    </a:xfrm>
                    <a:prstGeom prst="rect">
                      <a:avLst/>
                    </a:prstGeom>
                    <a:noFill/>
                    <a:ln w="9525">
                      <a:noFill/>
                      <a:miter lim="800000"/>
                      <a:headEnd/>
                      <a:tailEnd/>
                    </a:ln>
                  </pic:spPr>
                </pic:pic>
              </a:graphicData>
            </a:graphic>
          </wp:inline>
        </w:drawing>
      </w:r>
    </w:p>
    <w:p w:rsidR="00F13FDA" w:rsidRPr="004865FE" w:rsidRDefault="00F13FDA" w:rsidP="0027219C">
      <w:r w:rsidRPr="004865FE">
        <w:t>In accordance with the protocol the dose of 17.8mg/m</w:t>
      </w:r>
      <w:r w:rsidRPr="004865FE">
        <w:rPr>
          <w:vertAlign w:val="superscript"/>
        </w:rPr>
        <w:t>2</w:t>
      </w:r>
      <w:r w:rsidRPr="004865FE">
        <w:t xml:space="preserve"> was identified as MTD and an initial seven patients were enrolled in that study dose to further assess the toxicities. 4/7 patients </w:t>
      </w:r>
      <w:r w:rsidRPr="004865FE">
        <w:lastRenderedPageBreak/>
        <w:t>experienced at least one DLT during cycle 1 or 2 of the drug admini</w:t>
      </w:r>
      <w:r w:rsidR="00004A6F">
        <w:t>stration.  Accordingly the MTD r</w:t>
      </w:r>
      <w:r w:rsidRPr="004865FE">
        <w:t>omidepsin appeared to be 17.8mg/m</w:t>
      </w:r>
      <w:r w:rsidRPr="004865FE">
        <w:rPr>
          <w:vertAlign w:val="superscript"/>
        </w:rPr>
        <w:t>2</w:t>
      </w:r>
      <w:r w:rsidRPr="004865FE">
        <w:t xml:space="preserve">.  </w:t>
      </w:r>
    </w:p>
    <w:p w:rsidR="00F13FDA" w:rsidRPr="00F13FDA" w:rsidRDefault="00F13FDA" w:rsidP="0027219C">
      <w:r w:rsidRPr="00F13FDA">
        <w:t xml:space="preserve">In relation to PK evaluation in this study blood samples </w:t>
      </w:r>
      <w:r w:rsidR="00A54090">
        <w:t>for determination of plasma r</w:t>
      </w:r>
      <w:r w:rsidRPr="00F13FDA">
        <w:t xml:space="preserve">omidepsin concentrations were collected at 0, 1, 2, 3 and 4 hours and subsequently up to 48 hours after the initiation of infusion.  PK analysis was undertaken using non-compartmental methods.  </w:t>
      </w:r>
    </w:p>
    <w:p w:rsidR="00F13FDA" w:rsidRPr="00F13FDA" w:rsidRDefault="00A54090" w:rsidP="0027219C">
      <w:r>
        <w:t>The PK profiles of r</w:t>
      </w:r>
      <w:r w:rsidR="00F13FDA" w:rsidRPr="00F13FDA">
        <w:t xml:space="preserve">omidepsin were similar across doses as well as between treatment cycles.  The </w:t>
      </w:r>
      <w:proofErr w:type="spellStart"/>
      <w:r w:rsidR="00F13FDA" w:rsidRPr="00F13FDA">
        <w:t>T</w:t>
      </w:r>
      <w:r w:rsidR="00F13FDA" w:rsidRPr="00F13FDA">
        <w:rPr>
          <w:vertAlign w:val="subscript"/>
        </w:rPr>
        <w:t>max</w:t>
      </w:r>
      <w:proofErr w:type="spellEnd"/>
      <w:r w:rsidR="00F13FDA" w:rsidRPr="00F13FDA">
        <w:t xml:space="preserve"> values ranged from 2-4</w:t>
      </w:r>
      <w:r>
        <w:t xml:space="preserve"> </w:t>
      </w:r>
      <w:r w:rsidR="00F13FDA" w:rsidRPr="00F13FDA">
        <w:t xml:space="preserve">hours.  The noticeable variability in </w:t>
      </w:r>
      <w:proofErr w:type="spellStart"/>
      <w:r w:rsidR="00F13FDA" w:rsidRPr="00F13FDA">
        <w:t>T</w:t>
      </w:r>
      <w:r w:rsidR="00F13FDA" w:rsidRPr="00F13FDA">
        <w:rPr>
          <w:vertAlign w:val="subscript"/>
        </w:rPr>
        <w:t>max</w:t>
      </w:r>
      <w:proofErr w:type="spellEnd"/>
      <w:r w:rsidR="00F13FDA" w:rsidRPr="00F13FDA">
        <w:t xml:space="preserve"> values likely stemmed from technical variations in the collection of samples from central venous access lines as well as from the rapid</w:t>
      </w:r>
      <w:r>
        <w:t xml:space="preserve"> and extensive distribution of r</w:t>
      </w:r>
      <w:r w:rsidR="00F13FDA" w:rsidRPr="00F13FDA">
        <w:t xml:space="preserve">omidepsin in peripheral tissues post-infusion.  </w:t>
      </w:r>
    </w:p>
    <w:p w:rsidR="00F13FDA" w:rsidRPr="00A54090" w:rsidRDefault="00F13FDA" w:rsidP="0027219C">
      <w:r w:rsidRPr="00A54090">
        <w:t xml:space="preserve">Both mean </w:t>
      </w:r>
      <w:proofErr w:type="spellStart"/>
      <w:r w:rsidRPr="00A54090">
        <w:t>C</w:t>
      </w:r>
      <w:r w:rsidRPr="00A54090">
        <w:rPr>
          <w:vertAlign w:val="subscript"/>
        </w:rPr>
        <w:t>max</w:t>
      </w:r>
      <w:proofErr w:type="spellEnd"/>
      <w:r w:rsidRPr="00A54090">
        <w:t xml:space="preserve"> and mean AUC</w:t>
      </w:r>
      <w:r w:rsidRPr="00A54090">
        <w:rPr>
          <w:vertAlign w:val="subscript"/>
        </w:rPr>
        <w:t>0-infinity</w:t>
      </w:r>
      <w:r w:rsidRPr="00A54090">
        <w:t xml:space="preserve"> values were relatively proportional to dose.  The mean plasma CL values for </w:t>
      </w:r>
      <w:r w:rsidR="00A54090">
        <w:t>r</w:t>
      </w:r>
      <w:r w:rsidRPr="00A54090">
        <w:t>omidepsin range from 159-604</w:t>
      </w:r>
      <w:r w:rsidR="00A54090">
        <w:t xml:space="preserve"> </w:t>
      </w:r>
      <w:r w:rsidRPr="00A54090">
        <w:t>ml/m</w:t>
      </w:r>
      <w:r w:rsidRPr="00A54090">
        <w:rPr>
          <w:vertAlign w:val="superscript"/>
        </w:rPr>
        <w:t>2</w:t>
      </w:r>
      <w:r w:rsidRPr="00A54090">
        <w:t xml:space="preserve"> across the 1-24.9mg/m</w:t>
      </w:r>
      <w:r w:rsidRPr="00A54090">
        <w:rPr>
          <w:vertAlign w:val="superscript"/>
        </w:rPr>
        <w:t>2</w:t>
      </w:r>
      <w:r w:rsidRPr="00A54090">
        <w:t xml:space="preserve"> dose range investigated.  These values approached or exceeded the rate of blood flow to the liver indicating </w:t>
      </w:r>
      <w:r w:rsidR="00A54090">
        <w:t>r</w:t>
      </w:r>
      <w:r w:rsidRPr="00A54090">
        <w:t>omidepsin was rapidly cleared from the body.  The mean volume of distribution (</w:t>
      </w:r>
      <w:proofErr w:type="spellStart"/>
      <w:r w:rsidRPr="00A54090">
        <w:t>Dss</w:t>
      </w:r>
      <w:proofErr w:type="spellEnd"/>
      <w:r w:rsidRPr="00A54090">
        <w:t>) values range from 7.1 – 76L/m</w:t>
      </w:r>
      <w:r w:rsidRPr="00A54090">
        <w:rPr>
          <w:vertAlign w:val="superscript"/>
        </w:rPr>
        <w:t>2</w:t>
      </w:r>
      <w:r w:rsidRPr="00A54090">
        <w:t xml:space="preserve"> of the dose range investigated.   These values approach or exceed total body water estimates in humans.  </w:t>
      </w:r>
    </w:p>
    <w:p w:rsidR="00F13FDA" w:rsidRPr="0027219C" w:rsidRDefault="00F13FDA" w:rsidP="0027219C">
      <w:pPr>
        <w:rPr>
          <w:b/>
        </w:rPr>
      </w:pPr>
      <w:r w:rsidRPr="0027219C">
        <w:rPr>
          <w:b/>
        </w:rPr>
        <w:t>COMMENT:</w:t>
      </w:r>
    </w:p>
    <w:p w:rsidR="00F13FDA" w:rsidRPr="00F13FDA" w:rsidRDefault="00F13FDA" w:rsidP="0027219C">
      <w:r w:rsidRPr="00F13FDA">
        <w:t>Based on the DLT component of this study the MTD determined was 17.8mg/m</w:t>
      </w:r>
      <w:r w:rsidRPr="00F13FDA">
        <w:rPr>
          <w:vertAlign w:val="superscript"/>
        </w:rPr>
        <w:t>2</w:t>
      </w:r>
      <w:r w:rsidRPr="00F13FDA">
        <w:t xml:space="preserve"> based on a 21 day cycle with drug administered on days 1 and 5.  </w:t>
      </w:r>
    </w:p>
    <w:p w:rsidR="00F13FDA" w:rsidRPr="00F13FDA" w:rsidRDefault="00F13FDA" w:rsidP="0027219C">
      <w:r w:rsidRPr="00F13FDA">
        <w:t xml:space="preserve">The data indicated that the PK of </w:t>
      </w:r>
      <w:r w:rsidR="00004A6F">
        <w:t>r</w:t>
      </w:r>
      <w:r w:rsidRPr="00F13FDA">
        <w:t xml:space="preserve">omidepsin in cancer patients was linear over </w:t>
      </w:r>
      <w:r w:rsidR="00A54090">
        <w:t xml:space="preserve">the </w:t>
      </w:r>
      <w:r w:rsidRPr="00F13FDA">
        <w:t>dose range investigated of 1-24.9mg/m</w:t>
      </w:r>
      <w:r w:rsidRPr="00F13FDA">
        <w:rPr>
          <w:vertAlign w:val="superscript"/>
        </w:rPr>
        <w:t>2</w:t>
      </w:r>
      <w:r w:rsidRPr="00F13FDA">
        <w:t xml:space="preserve">.  Based on patients with more than one evaluable profile it was evident that the PK did not change appreciably with repeated administration.  </w:t>
      </w:r>
    </w:p>
    <w:p w:rsidR="00F13FDA" w:rsidRPr="00004A6F" w:rsidRDefault="00F13FDA" w:rsidP="0027219C">
      <w:pPr>
        <w:pStyle w:val="Heading3"/>
      </w:pPr>
      <w:bookmarkStart w:id="19" w:name="_Toc374006732"/>
      <w:r w:rsidRPr="00004A6F">
        <w:t>Study T-95-0022</w:t>
      </w:r>
      <w:bookmarkEnd w:id="19"/>
    </w:p>
    <w:p w:rsidR="00F13FDA" w:rsidRPr="00004A6F" w:rsidRDefault="00F13FDA" w:rsidP="0027219C">
      <w:r w:rsidRPr="00004A6F">
        <w:t>Study T-95-0022 was a phase I st</w:t>
      </w:r>
      <w:r w:rsidR="00A54090">
        <w:t>udy of a four-hour infusion of r</w:t>
      </w:r>
      <w:r w:rsidRPr="00004A6F">
        <w:t xml:space="preserve">omidepsin administered on days 1, 8 and 15 of each 28-day cycle </w:t>
      </w:r>
      <w:r w:rsidR="00A54090">
        <w:t xml:space="preserve">in </w:t>
      </w:r>
      <w:r w:rsidRPr="00004A6F">
        <w:t xml:space="preserve">patients with advanced cancers.  This study was undertaken in a single centre in the United States from February 1997 to June 1999.  </w:t>
      </w:r>
    </w:p>
    <w:p w:rsidR="00F13FDA" w:rsidRPr="00004A6F" w:rsidRDefault="00F13FDA" w:rsidP="0027219C">
      <w:r w:rsidRPr="00004A6F">
        <w:t xml:space="preserve">The principal objective of the study was </w:t>
      </w:r>
      <w:r w:rsidR="00A54090">
        <w:t xml:space="preserve">to study the </w:t>
      </w:r>
      <w:r w:rsidRPr="00004A6F">
        <w:t xml:space="preserve">DLT, MTD </w:t>
      </w:r>
      <w:r w:rsidR="00A54090">
        <w:t>and PK of r</w:t>
      </w:r>
      <w:r w:rsidRPr="00004A6F">
        <w:t>omidepsin when administered as a four-hour central IV infusion on days 1, 8 and 15 of a 28-day cycle to patients with advanced incurable malignancies.</w:t>
      </w:r>
    </w:p>
    <w:p w:rsidR="00F13FDA" w:rsidRPr="00004A6F" w:rsidRDefault="00F13FDA" w:rsidP="0027219C">
      <w:r w:rsidRPr="00004A6F">
        <w:t xml:space="preserve">Methodology </w:t>
      </w:r>
      <w:r w:rsidR="00A54090">
        <w:t xml:space="preserve">and inclusion criteria were </w:t>
      </w:r>
      <w:r w:rsidRPr="00004A6F">
        <w:t xml:space="preserve">similar to that for study T-95-0077.  </w:t>
      </w:r>
    </w:p>
    <w:p w:rsidR="00F13FDA" w:rsidRPr="00F13FDA" w:rsidRDefault="00F13FDA" w:rsidP="0027219C">
      <w:r w:rsidRPr="00F13FDA">
        <w:t>A total of 33 patients were enrolled and received at least one dose of study drug.  Three patients were initially enrolled in the 1mg/m</w:t>
      </w:r>
      <w:r w:rsidRPr="00F13FDA">
        <w:rPr>
          <w:vertAlign w:val="superscript"/>
        </w:rPr>
        <w:t>2</w:t>
      </w:r>
      <w:r w:rsidRPr="00F13FDA">
        <w:t xml:space="preserve"> dose level, four at the 2mg/m</w:t>
      </w:r>
      <w:r w:rsidRPr="00F13FDA">
        <w:rPr>
          <w:vertAlign w:val="superscript"/>
        </w:rPr>
        <w:t>2</w:t>
      </w:r>
      <w:r w:rsidRPr="00F13FDA">
        <w:t>, three at the 3.25mg/m</w:t>
      </w:r>
      <w:r w:rsidRPr="00F13FDA">
        <w:rPr>
          <w:vertAlign w:val="superscript"/>
        </w:rPr>
        <w:t>2</w:t>
      </w:r>
      <w:r w:rsidRPr="00F13FDA">
        <w:t>, three at 5mg/m</w:t>
      </w:r>
      <w:r w:rsidRPr="00F13FDA">
        <w:rPr>
          <w:vertAlign w:val="superscript"/>
        </w:rPr>
        <w:t>2</w:t>
      </w:r>
      <w:r w:rsidRPr="00F13FDA">
        <w:t>, three at 7.5mg/m</w:t>
      </w:r>
      <w:r w:rsidRPr="00F13FDA">
        <w:rPr>
          <w:vertAlign w:val="superscript"/>
        </w:rPr>
        <w:t>2</w:t>
      </w:r>
      <w:r w:rsidRPr="00F13FDA">
        <w:t>, seven at 10mg/m</w:t>
      </w:r>
      <w:r w:rsidRPr="00F13FDA">
        <w:rPr>
          <w:vertAlign w:val="superscript"/>
        </w:rPr>
        <w:t>2</w:t>
      </w:r>
      <w:r w:rsidRPr="00F13FDA">
        <w:t>, seven at 13.3mg/m</w:t>
      </w:r>
      <w:r w:rsidRPr="00F13FDA">
        <w:rPr>
          <w:vertAlign w:val="superscript"/>
        </w:rPr>
        <w:t>2</w:t>
      </w:r>
      <w:r w:rsidRPr="00F13FDA">
        <w:t xml:space="preserve"> and three at 17.7mg/m</w:t>
      </w:r>
      <w:r w:rsidRPr="00F13FDA">
        <w:rPr>
          <w:vertAlign w:val="superscript"/>
        </w:rPr>
        <w:t>2</w:t>
      </w:r>
      <w:r w:rsidRPr="00F13FDA">
        <w:t xml:space="preserve">.   </w:t>
      </w:r>
    </w:p>
    <w:p w:rsidR="00F13FDA" w:rsidRPr="00F13FDA" w:rsidRDefault="00004A6F" w:rsidP="0027219C">
      <w:r>
        <w:t>T</w:t>
      </w:r>
      <w:r w:rsidR="00F13FDA" w:rsidRPr="00F13FDA">
        <w:t xml:space="preserve">he majority of patients were Caucasian, the majority of patients were male.  The main underlying malignancies were gastrointestinal, head and neck, genitourinary and breast.  Most patients received more than one dose of study drug and seven received study drug at more than one dose level.  </w:t>
      </w:r>
    </w:p>
    <w:p w:rsidR="00F13FDA" w:rsidRPr="00F13FDA" w:rsidRDefault="00F13FDA" w:rsidP="0027219C">
      <w:r w:rsidRPr="00F13FDA">
        <w:t xml:space="preserve">The most frequent dose limiting toxicities observed across all dose levels were asthenia 23.8%, leukopenia 11.9% and weight loss 9.5%.  </w:t>
      </w:r>
    </w:p>
    <w:p w:rsidR="00F13FDA" w:rsidRPr="00F13FDA" w:rsidRDefault="00F13FDA" w:rsidP="0027219C">
      <w:r w:rsidRPr="00F13FDA">
        <w:t>One of the first three patients enrolled at 10mg/m</w:t>
      </w:r>
      <w:r w:rsidRPr="00F13FDA">
        <w:rPr>
          <w:vertAlign w:val="superscript"/>
        </w:rPr>
        <w:t>2</w:t>
      </w:r>
      <w:r w:rsidRPr="00F13FDA">
        <w:t xml:space="preserve"> dose level experienced a grade III toxicity.  The next three patients were enrolled at 13.3mg/m</w:t>
      </w:r>
      <w:r w:rsidRPr="00F13FDA">
        <w:rPr>
          <w:vertAlign w:val="superscript"/>
        </w:rPr>
        <w:t>2</w:t>
      </w:r>
      <w:r w:rsidRPr="00F13FDA">
        <w:t xml:space="preserve"> and two experienced DLTs and these patients were de-escalated to the 10mg/m</w:t>
      </w:r>
      <w:r w:rsidRPr="00F13FDA">
        <w:rPr>
          <w:vertAlign w:val="superscript"/>
        </w:rPr>
        <w:t>2</w:t>
      </w:r>
      <w:r w:rsidRPr="00F13FDA">
        <w:t xml:space="preserve"> dose levels.  Accordingly based on the original design of the trial the MTD is 10mg/m</w:t>
      </w:r>
      <w:r w:rsidRPr="00F13FDA">
        <w:rPr>
          <w:vertAlign w:val="superscript"/>
        </w:rPr>
        <w:t>2</w:t>
      </w:r>
      <w:r w:rsidRPr="00F13FDA">
        <w:t xml:space="preserve">.  A further four patients were enrolled at this dose level and all of these patients experienced DLTs.  </w:t>
      </w:r>
    </w:p>
    <w:p w:rsidR="00F13FDA" w:rsidRPr="00F13FDA" w:rsidRDefault="00F13FDA" w:rsidP="0027219C">
      <w:r w:rsidRPr="00F13FDA">
        <w:lastRenderedPageBreak/>
        <w:t>It is noted that a further study was undertaken utilising anti-emetic medication in which it was determined that it was possible to maintain dose escalation to the 17.7mg/m</w:t>
      </w:r>
      <w:r w:rsidRPr="00F13FDA">
        <w:rPr>
          <w:vertAlign w:val="superscript"/>
        </w:rPr>
        <w:t>2</w:t>
      </w:r>
      <w:r w:rsidRPr="00F13FDA">
        <w:t xml:space="preserve"> dose level.  Accordingly the investigator decided the MTD was 10mg/m</w:t>
      </w:r>
      <w:r w:rsidRPr="00F13FDA">
        <w:rPr>
          <w:vertAlign w:val="superscript"/>
        </w:rPr>
        <w:t>2</w:t>
      </w:r>
      <w:r w:rsidRPr="00F13FDA">
        <w:t xml:space="preserve"> without the use of anti-emetics or 13.3mg/m</w:t>
      </w:r>
      <w:r w:rsidRPr="00F13FDA">
        <w:rPr>
          <w:vertAlign w:val="superscript"/>
        </w:rPr>
        <w:t>2</w:t>
      </w:r>
      <w:r w:rsidRPr="00F13FDA">
        <w:t xml:space="preserve"> with the use of anti-emetic agents.  </w:t>
      </w:r>
    </w:p>
    <w:p w:rsidR="00F13FDA" w:rsidRPr="00F13FDA" w:rsidRDefault="00F13FDA" w:rsidP="0027219C">
      <w:r w:rsidRPr="00F13FDA">
        <w:t>The objective of the PK component of study was</w:t>
      </w:r>
      <w:r w:rsidR="00004A6F">
        <w:t xml:space="preserve"> to provide a PK evaluation of r</w:t>
      </w:r>
      <w:r w:rsidRPr="00F13FDA">
        <w:t>omidepsin when administered in the four-hour infusion schedule on days 1, 5 and 15 of a 28 day cycle.  Two assays were utilised in the study involving a non-specific less-sensitive HPLC-UVSA and specific liquid chromatography randomness spectrometry used to analyse PK samples from a select group of patients on 13.3-23.5mg/m</w:t>
      </w:r>
      <w:r w:rsidRPr="00F13FDA">
        <w:rPr>
          <w:vertAlign w:val="superscript"/>
        </w:rPr>
        <w:t>2</w:t>
      </w:r>
      <w:r w:rsidRPr="00F13FDA">
        <w:t>.</w:t>
      </w:r>
    </w:p>
    <w:p w:rsidR="00F13FDA" w:rsidRPr="00F13FDA" w:rsidRDefault="00F13FDA" w:rsidP="0027219C">
      <w:r w:rsidRPr="00F13FDA">
        <w:t xml:space="preserve">The non-specificity of the HPLC-UVSA made the data obtained with the assay unreliable and therefore not considered suitable for assessment.  </w:t>
      </w:r>
    </w:p>
    <w:p w:rsidR="00F13FDA" w:rsidRPr="0027219C" w:rsidRDefault="00F13FDA" w:rsidP="0027219C">
      <w:pPr>
        <w:rPr>
          <w:b/>
        </w:rPr>
      </w:pPr>
      <w:r w:rsidRPr="0027219C">
        <w:rPr>
          <w:b/>
        </w:rPr>
        <w:t>COMMENT:</w:t>
      </w:r>
    </w:p>
    <w:p w:rsidR="00F13FDA" w:rsidRPr="00F13FDA" w:rsidRDefault="00F13FDA" w:rsidP="0027219C">
      <w:r w:rsidRPr="00F13FDA">
        <w:t>Based on the dose limiting toxicities obse</w:t>
      </w:r>
      <w:r w:rsidR="00A54090">
        <w:t>rved during the first cycle of r</w:t>
      </w:r>
      <w:r w:rsidRPr="00F13FDA">
        <w:t>omidepsin administration</w:t>
      </w:r>
      <w:r w:rsidR="00A54090">
        <w:t>,</w:t>
      </w:r>
      <w:r w:rsidRPr="00F13FDA">
        <w:t xml:space="preserve"> the clinically defined MTD level is 10mg/m</w:t>
      </w:r>
      <w:r w:rsidRPr="00F13FDA">
        <w:rPr>
          <w:vertAlign w:val="superscript"/>
        </w:rPr>
        <w:t>2</w:t>
      </w:r>
      <w:r w:rsidRPr="00F13FDA">
        <w:t xml:space="preserve"> unless anti-emetic agents were administered both before and after treatment.  With the use of anti-emetic agents 13.3mg/m</w:t>
      </w:r>
      <w:r w:rsidRPr="00F13FDA">
        <w:rPr>
          <w:vertAlign w:val="superscript"/>
        </w:rPr>
        <w:t>2</w:t>
      </w:r>
      <w:r w:rsidRPr="00F13FDA">
        <w:t xml:space="preserve"> is the MTD for this schedule of administration.</w:t>
      </w:r>
    </w:p>
    <w:p w:rsidR="00F13FDA" w:rsidRPr="00004A6F" w:rsidRDefault="00F13FDA" w:rsidP="0027219C">
      <w:pPr>
        <w:pStyle w:val="Heading3"/>
      </w:pPr>
      <w:bookmarkStart w:id="20" w:name="_Toc374006733"/>
      <w:r w:rsidRPr="00004A6F">
        <w:t>Study NCI 1312</w:t>
      </w:r>
      <w:bookmarkEnd w:id="20"/>
      <w:r w:rsidRPr="00004A6F">
        <w:t xml:space="preserve"> </w:t>
      </w:r>
    </w:p>
    <w:p w:rsidR="00693452" w:rsidRDefault="00F13FDA" w:rsidP="0027219C">
      <w:r w:rsidRPr="00F13FDA">
        <w:t xml:space="preserve">The PK component of this phase II study was to characterise the initial </w:t>
      </w:r>
      <w:r w:rsidR="00F174CE">
        <w:t>dose PK of r</w:t>
      </w:r>
      <w:r w:rsidRPr="00F13FDA">
        <w:t>omidepsin in patients with CTCL or PTCL by non-compartmental (model independent) analysis.  Romidepsin was administered as a four-hour infusion on days 1, 8 and 15 of a 28-day cycle at a dose of 14mg/m</w:t>
      </w:r>
      <w:r w:rsidRPr="00F13FDA">
        <w:rPr>
          <w:vertAlign w:val="superscript"/>
        </w:rPr>
        <w:t>2</w:t>
      </w:r>
      <w:r w:rsidRPr="00F13FDA">
        <w:t xml:space="preserve"> or on days 1 and 5 of a 21-day cycle at a dose of 18mg/m</w:t>
      </w:r>
      <w:r w:rsidRPr="00F13FDA">
        <w:rPr>
          <w:vertAlign w:val="superscript"/>
        </w:rPr>
        <w:t>2</w:t>
      </w:r>
      <w:r w:rsidRPr="00F13FDA">
        <w:t xml:space="preserve">.  Samples were obtained before drug administration and at serial time points including at the end of infusion (4 hours) and at 6, 11, 13, 15, 18 and 24 hours after initiation of drug administration.  A total of 97 patients were evaluable for analysis including 34 patients with PTCL and 63 patients with CTCL.  PK data is summarised in </w:t>
      </w:r>
      <w:r w:rsidR="00D004C9">
        <w:t>Table 4</w:t>
      </w:r>
      <w:r w:rsidR="00693452">
        <w:t>.</w:t>
      </w:r>
    </w:p>
    <w:p w:rsidR="00004A6F" w:rsidRDefault="00693452" w:rsidP="0027219C">
      <w:pPr>
        <w:pStyle w:val="TableTitle"/>
      </w:pPr>
      <w:r>
        <w:t xml:space="preserve">Table </w:t>
      </w:r>
      <w:r w:rsidR="00D004C9">
        <w:t>4</w:t>
      </w:r>
      <w:r>
        <w:t>. A summary of some romidepsin PK parameters following 14 mg/m</w:t>
      </w:r>
      <w:r w:rsidRPr="00693452">
        <w:rPr>
          <w:vertAlign w:val="superscript"/>
        </w:rPr>
        <w:t>2</w:t>
      </w:r>
      <w:r>
        <w:t xml:space="preserve"> dose</w:t>
      </w:r>
      <w:r w:rsidR="00F13FDA" w:rsidRPr="00F13FDA">
        <w:t xml:space="preserve">  </w:t>
      </w:r>
    </w:p>
    <w:p w:rsidR="00004A6F" w:rsidRDefault="00004A6F" w:rsidP="0027219C">
      <w:r>
        <w:rPr>
          <w:noProof/>
          <w:lang w:eastAsia="en-AU"/>
        </w:rPr>
        <w:drawing>
          <wp:inline distT="0" distB="0" distL="0" distR="0">
            <wp:extent cx="5726430" cy="1195705"/>
            <wp:effectExtent l="19050" t="0" r="7620" b="0"/>
            <wp:docPr id="20" name="Picture 20" descr="Table 4. A summary of some romidepsin PK parameters following 14 mg/m2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t="22260"/>
                    <a:stretch>
                      <a:fillRect/>
                    </a:stretch>
                  </pic:blipFill>
                  <pic:spPr bwMode="auto">
                    <a:xfrm>
                      <a:off x="0" y="0"/>
                      <a:ext cx="5726430" cy="1195705"/>
                    </a:xfrm>
                    <a:prstGeom prst="rect">
                      <a:avLst/>
                    </a:prstGeom>
                    <a:noFill/>
                    <a:ln w="9525">
                      <a:noFill/>
                      <a:miter lim="800000"/>
                      <a:headEnd/>
                      <a:tailEnd/>
                    </a:ln>
                  </pic:spPr>
                </pic:pic>
              </a:graphicData>
            </a:graphic>
          </wp:inline>
        </w:drawing>
      </w:r>
    </w:p>
    <w:p w:rsidR="00F13FDA" w:rsidRPr="00693452" w:rsidRDefault="006137D3" w:rsidP="0027219C">
      <w:r>
        <w:t>The CL of r</w:t>
      </w:r>
      <w:r w:rsidR="00F13FDA" w:rsidRPr="00693452">
        <w:t>omidepsin range from 3.16 – 20.03L/hr/m</w:t>
      </w:r>
      <w:r w:rsidR="00F13FDA" w:rsidRPr="00693452">
        <w:rPr>
          <w:vertAlign w:val="superscript"/>
        </w:rPr>
        <w:t>2</w:t>
      </w:r>
      <w:r w:rsidR="00F13FDA" w:rsidRPr="00693452">
        <w:t xml:space="preserve">.  The PK of </w:t>
      </w:r>
      <w:r w:rsidR="00693452">
        <w:t>r</w:t>
      </w:r>
      <w:r w:rsidR="00F13FDA" w:rsidRPr="00693452">
        <w:t>omidepsin was similar across the two dose levels evaluated.  The geometric mean T</w:t>
      </w:r>
      <w:r w:rsidR="00693452">
        <w:t xml:space="preserve">½ </w:t>
      </w:r>
      <w:r w:rsidR="00F13FDA" w:rsidRPr="00693452">
        <w:t>for the patients with CTCL and PTCL was 2.95 and 2.87 hours respectively.  Ten patients had the time of the last measurable concentration (</w:t>
      </w:r>
      <w:proofErr w:type="spellStart"/>
      <w:r w:rsidR="00F13FDA" w:rsidRPr="00693452">
        <w:t>T</w:t>
      </w:r>
      <w:r w:rsidR="00F13FDA" w:rsidRPr="00693452">
        <w:rPr>
          <w:vertAlign w:val="subscript"/>
        </w:rPr>
        <w:t>last</w:t>
      </w:r>
      <w:proofErr w:type="spellEnd"/>
      <w:r w:rsidR="00F13FDA" w:rsidRPr="00693452">
        <w:t xml:space="preserve">) of &gt;20 hours.  The majority of patients had </w:t>
      </w:r>
      <w:proofErr w:type="spellStart"/>
      <w:r w:rsidR="00F13FDA" w:rsidRPr="00693452">
        <w:t>T</w:t>
      </w:r>
      <w:r w:rsidR="00F13FDA" w:rsidRPr="00693452">
        <w:rPr>
          <w:vertAlign w:val="subscript"/>
        </w:rPr>
        <w:t>last</w:t>
      </w:r>
      <w:proofErr w:type="spellEnd"/>
      <w:r w:rsidR="00F13FDA" w:rsidRPr="00693452">
        <w:t xml:space="preserve"> at &lt;18 hours.  Rapid drug distribution and/or CL resulted in plasma concentrations with below limit of assay detection for a number of patients and as a result an accurate estimation of T</w:t>
      </w:r>
      <w:r w:rsidR="00693452">
        <w:t xml:space="preserve">½ </w:t>
      </w:r>
      <w:r w:rsidR="00F13FDA" w:rsidRPr="00693452">
        <w:t xml:space="preserve">was not possible for all patients.  </w:t>
      </w:r>
    </w:p>
    <w:p w:rsidR="00F13FDA" w:rsidRPr="00693452" w:rsidRDefault="00F13FDA" w:rsidP="0027219C">
      <w:pPr>
        <w:pStyle w:val="Heading3"/>
      </w:pPr>
      <w:bookmarkStart w:id="21" w:name="_Toc374006734"/>
      <w:r w:rsidRPr="00693452">
        <w:t>Study GPI-06-0005-QT</w:t>
      </w:r>
      <w:bookmarkEnd w:id="21"/>
    </w:p>
    <w:p w:rsidR="00F13FDA" w:rsidRPr="00F13FDA" w:rsidRDefault="00F13FDA" w:rsidP="0027219C">
      <w:r w:rsidRPr="00F13FDA">
        <w:t>The primary objective of this analysis was to fur</w:t>
      </w:r>
      <w:r w:rsidR="006137D3">
        <w:t>ther evaluate the potential of r</w:t>
      </w:r>
      <w:r w:rsidRPr="00F13FDA">
        <w:t>omidepsin to prolong QT using a mixed effects model to charact</w:t>
      </w:r>
      <w:r w:rsidR="006137D3">
        <w:t>erise the relationship between r</w:t>
      </w:r>
      <w:r w:rsidRPr="00F13FDA">
        <w:t>omidepsin plasma concentration and heart rate-corrected QT interval duration (</w:t>
      </w:r>
      <w:proofErr w:type="spellStart"/>
      <w:r w:rsidRPr="00F13FDA">
        <w:t>QTc</w:t>
      </w:r>
      <w:proofErr w:type="spellEnd"/>
      <w:r w:rsidRPr="00F13FDA">
        <w:t>)</w:t>
      </w:r>
      <w:r w:rsidR="006137D3">
        <w:t>,</w:t>
      </w:r>
      <w:r w:rsidRPr="00F13FDA">
        <w:t xml:space="preserve"> if such a relationship exists.  </w:t>
      </w:r>
    </w:p>
    <w:p w:rsidR="00F13FDA" w:rsidRPr="00F13FDA" w:rsidRDefault="00F13FDA" w:rsidP="0027219C">
      <w:r w:rsidRPr="00F13FDA">
        <w:lastRenderedPageBreak/>
        <w:t>The study was an open-label</w:t>
      </w:r>
      <w:r w:rsidR="006137D3">
        <w:t>,</w:t>
      </w:r>
      <w:r w:rsidRPr="00F13FDA">
        <w:t xml:space="preserve"> two-stratum</w:t>
      </w:r>
      <w:r w:rsidR="006137D3">
        <w:t>,</w:t>
      </w:r>
      <w:r w:rsidRPr="00F13FDA">
        <w:t xml:space="preserve"> exploratory phase I study designed to determine the bioavailability of </w:t>
      </w:r>
      <w:r w:rsidR="006137D3">
        <w:t>r</w:t>
      </w:r>
      <w:r w:rsidRPr="00F13FDA">
        <w:t>omidepsin following a single oral administration</w:t>
      </w:r>
      <w:r w:rsidR="006137D3">
        <w:t>,</w:t>
      </w:r>
      <w:r w:rsidRPr="00F13FDA">
        <w:t xml:space="preserve"> and the PK, tolerability and safety of both oral and intravenous administration at 4-hour and 1-hour infusions.  The study was conducted at a single study centre in the US on patients with advanced malignancy.  Eligible patients were 18 years of age or older and had measurable or evaluable disease and an ECOG status of 0-2.  </w:t>
      </w:r>
    </w:p>
    <w:p w:rsidR="00F13FDA" w:rsidRPr="00F13FDA" w:rsidRDefault="00F13FDA" w:rsidP="0027219C">
      <w:r w:rsidRPr="00F13FDA">
        <w:t>Romidepsin was administered to patients at 4-hour IV infusion at 14mg/m</w:t>
      </w:r>
      <w:r w:rsidRPr="00F13FDA">
        <w:rPr>
          <w:vertAlign w:val="superscript"/>
        </w:rPr>
        <w:t>2</w:t>
      </w:r>
      <w:r w:rsidRPr="00F13FDA">
        <w:t xml:space="preserve"> on days 1, 8 and 15 of each 28-day cycle 1.  Beginning with cycle 2 patients received doses according to either stratum 1 or 2.  Patients continued to receive IV administration of Romidepsin for a total of six cycles or until disease progression occurred.  </w:t>
      </w:r>
    </w:p>
    <w:p w:rsidR="00F13FDA" w:rsidRPr="00F13FDA" w:rsidRDefault="00F13FDA" w:rsidP="0027219C">
      <w:r w:rsidRPr="00F13FDA">
        <w:t>In stratum 1 on C2D1</w:t>
      </w:r>
      <w:r w:rsidR="006137D3">
        <w:t>:</w:t>
      </w:r>
      <w:r w:rsidRPr="00F13FDA">
        <w:t xml:space="preserve"> the IV infusion was to be substituted with a</w:t>
      </w:r>
      <w:r w:rsidR="006137D3">
        <w:t xml:space="preserve"> single oral administration of r</w:t>
      </w:r>
      <w:r w:rsidRPr="00F13FDA">
        <w:t>omidepsin of the assigned cohort d</w:t>
      </w:r>
      <w:r w:rsidR="006137D3">
        <w:t>ose.  All subsequent cycles of r</w:t>
      </w:r>
      <w:r w:rsidRPr="00F13FDA">
        <w:t>omidepsin were to be administered IV as a 4-hour infusion at 14mg/m</w:t>
      </w:r>
      <w:r w:rsidRPr="00F13FDA">
        <w:rPr>
          <w:vertAlign w:val="superscript"/>
        </w:rPr>
        <w:t>2</w:t>
      </w:r>
      <w:r w:rsidRPr="00F13FDA">
        <w:t xml:space="preserve">.  </w:t>
      </w:r>
    </w:p>
    <w:p w:rsidR="00F13FDA" w:rsidRPr="00F13FDA" w:rsidRDefault="00F13FDA" w:rsidP="0027219C">
      <w:r w:rsidRPr="00F13FDA">
        <w:t>Stratum 2 on C2D1</w:t>
      </w:r>
      <w:r w:rsidR="006137D3">
        <w:t>:</w:t>
      </w:r>
      <w:r w:rsidRPr="00F13FDA">
        <w:t xml:space="preserve"> the IV dose was to be reduced per the assigned cohort and assigned infusion over one hour.  The dose was to be escalated from 8mg/m</w:t>
      </w:r>
      <w:r w:rsidRPr="00F13FDA">
        <w:rPr>
          <w:vertAlign w:val="superscript"/>
        </w:rPr>
        <w:t xml:space="preserve">2 </w:t>
      </w:r>
      <w:r w:rsidRPr="00F13FDA">
        <w:t>to 10mg/m</w:t>
      </w:r>
      <w:r w:rsidRPr="00F13FDA">
        <w:rPr>
          <w:vertAlign w:val="superscript"/>
        </w:rPr>
        <w:t xml:space="preserve">2 </w:t>
      </w:r>
      <w:r w:rsidRPr="00F13FDA">
        <w:t>and then 12gm/m</w:t>
      </w:r>
      <w:r w:rsidRPr="00F13FDA">
        <w:rPr>
          <w:vertAlign w:val="superscript"/>
        </w:rPr>
        <w:t>2</w:t>
      </w:r>
      <w:r w:rsidRPr="00F13FDA">
        <w:t xml:space="preserve"> over one hour in subsequent cohorts.  </w:t>
      </w:r>
    </w:p>
    <w:p w:rsidR="00F13FDA" w:rsidRPr="00F13FDA" w:rsidRDefault="00F13FDA" w:rsidP="0027219C">
      <w:r w:rsidRPr="00F13FDA">
        <w:t>Safety was to be evaluated on clinical examination of laboratory screens and 12-lead ECGs.  All data relevant to the exposure/</w:t>
      </w:r>
      <w:proofErr w:type="spellStart"/>
      <w:r w:rsidRPr="00F13FDA">
        <w:t>QTc</w:t>
      </w:r>
      <w:proofErr w:type="spellEnd"/>
      <w:r w:rsidRPr="00F13FDA">
        <w:t xml:space="preserve"> response analyses have been captured for all subjects.  Centrally read triplicate ECG data were available f</w:t>
      </w:r>
      <w:r w:rsidR="006137D3">
        <w:t>or 26/29 patients who received r</w:t>
      </w:r>
      <w:r w:rsidRPr="00F13FDA">
        <w:t>omidepsin at 14mg/m</w:t>
      </w:r>
      <w:r w:rsidRPr="00F13FDA">
        <w:rPr>
          <w:vertAlign w:val="superscript"/>
        </w:rPr>
        <w:t xml:space="preserve">2 </w:t>
      </w:r>
      <w:r w:rsidRPr="00F13FDA">
        <w:t>IV over four hours.  Fourteen of these patients also r</w:t>
      </w:r>
      <w:r w:rsidR="006137D3">
        <w:t>eceived a lower dose of r</w:t>
      </w:r>
      <w:r w:rsidRPr="00F13FDA">
        <w:t xml:space="preserve">omidepsin over a one-hour infusion interval.  All patients on the ECG evaluable population had at least one matched concentration </w:t>
      </w:r>
      <w:proofErr w:type="spellStart"/>
      <w:r w:rsidRPr="00F13FDA">
        <w:t>QTc</w:t>
      </w:r>
      <w:proofErr w:type="spellEnd"/>
      <w:r w:rsidRPr="00F13FDA">
        <w:t xml:space="preserve"> pair obtained at baseline and one matched concentration </w:t>
      </w:r>
      <w:proofErr w:type="spellStart"/>
      <w:r w:rsidRPr="00F13FDA">
        <w:t>QTc</w:t>
      </w:r>
      <w:proofErr w:type="spellEnd"/>
      <w:r w:rsidRPr="00F13FDA">
        <w:t xml:space="preserve"> pair obtained post-dose.  </w:t>
      </w:r>
    </w:p>
    <w:p w:rsidR="00F13FDA" w:rsidRDefault="00F13FDA" w:rsidP="0027219C">
      <w:r w:rsidRPr="00F13FDA">
        <w:t xml:space="preserve">Estimation of the model fixed and random effects parameters were performed in NON-MEM using the first order conditional estimation method (FOCE).  This method provided empirical estimates of subject-specific PD parameters using the population fixed and random effects priors in conjunction with the subjects observed ECG data.  The individual PD parameter estimates were used to generate subject and times specific predictions (IPRED) with the dependent variable being analysed.  IPRED values as well as population predicted values generated using the population exposure response model parameter estimates were an important component of model performance assessments.  </w:t>
      </w:r>
    </w:p>
    <w:p w:rsidR="006137D3" w:rsidRPr="00F13FDA" w:rsidRDefault="006137D3" w:rsidP="0027219C">
      <w:pPr>
        <w:pStyle w:val="ListBullet"/>
      </w:pPr>
      <w:r>
        <w:t>Results</w:t>
      </w:r>
    </w:p>
    <w:p w:rsidR="00F13FDA" w:rsidRPr="00F13FDA" w:rsidRDefault="00F13FDA" w:rsidP="0027219C">
      <w:r w:rsidRPr="00F13FDA">
        <w:t>The evaluati</w:t>
      </w:r>
      <w:r w:rsidR="00F174CE">
        <w:t xml:space="preserve">on </w:t>
      </w:r>
      <w:r w:rsidR="006137D3">
        <w:t xml:space="preserve">of </w:t>
      </w:r>
      <w:r w:rsidR="00F174CE">
        <w:t>the relationship between r</w:t>
      </w:r>
      <w:r w:rsidRPr="00F13FDA">
        <w:t xml:space="preserve">omidepsin plasma concentration </w:t>
      </w:r>
      <w:r w:rsidR="006137D3">
        <w:t xml:space="preserve">and </w:t>
      </w:r>
      <w:proofErr w:type="spellStart"/>
      <w:r w:rsidRPr="00F13FDA">
        <w:t>QTc</w:t>
      </w:r>
      <w:proofErr w:type="spellEnd"/>
      <w:r w:rsidRPr="00F13FDA">
        <w:t xml:space="preserve"> used all replicate ECGs</w:t>
      </w:r>
      <w:r w:rsidR="006137D3">
        <w:t>;</w:t>
      </w:r>
      <w:r w:rsidRPr="00F13FDA">
        <w:t xml:space="preserve"> therefore 1227 concentration/</w:t>
      </w:r>
      <w:proofErr w:type="spellStart"/>
      <w:r w:rsidRPr="00F13FDA">
        <w:t>QTc</w:t>
      </w:r>
      <w:proofErr w:type="spellEnd"/>
      <w:r w:rsidRPr="00F13FDA">
        <w:t xml:space="preserve"> pairs obtained from 26 subjects were available for analysis of </w:t>
      </w:r>
      <w:proofErr w:type="spellStart"/>
      <w:r w:rsidRPr="00F13FDA">
        <w:t>QTcF</w:t>
      </w:r>
      <w:proofErr w:type="spellEnd"/>
      <w:r w:rsidRPr="00F13FDA">
        <w:t xml:space="preserve"> and </w:t>
      </w:r>
      <w:r w:rsidR="00233CE1" w:rsidRPr="00233CE1">
        <w:t>individually-corrected QT interval</w:t>
      </w:r>
      <w:r w:rsidR="00233CE1">
        <w:t xml:space="preserve"> (</w:t>
      </w:r>
      <w:proofErr w:type="spellStart"/>
      <w:r w:rsidRPr="00F13FDA">
        <w:t>QTcI</w:t>
      </w:r>
      <w:proofErr w:type="spellEnd"/>
      <w:r w:rsidR="00233CE1">
        <w:t>)</w:t>
      </w:r>
      <w:r w:rsidRPr="00F13FDA">
        <w:t>.  The exposure</w:t>
      </w:r>
      <w:r w:rsidR="00F174CE">
        <w:t>/response relationship between r</w:t>
      </w:r>
      <w:r w:rsidRPr="00F13FDA">
        <w:t>omidepsin and the duration of the heart rate-corrected QT interval has been examined and modelled using a non-linear mixed effects modelling based exposure/response analysis.  Concentrations as high as 2668</w:t>
      </w:r>
      <w:r w:rsidR="00F174CE">
        <w:t xml:space="preserve"> </w:t>
      </w:r>
      <w:proofErr w:type="spellStart"/>
      <w:r w:rsidRPr="00F13FDA">
        <w:t>ng</w:t>
      </w:r>
      <w:proofErr w:type="spellEnd"/>
      <w:r w:rsidRPr="00F13FDA">
        <w:t>/ml occurred following the 12mg/m</w:t>
      </w:r>
      <w:r w:rsidRPr="00F13FDA">
        <w:rPr>
          <w:vertAlign w:val="superscript"/>
        </w:rPr>
        <w:t>2</w:t>
      </w:r>
      <w:r w:rsidRPr="00F13FDA">
        <w:t xml:space="preserve"> regimen which is two-fold higher than the highest </w:t>
      </w:r>
      <w:proofErr w:type="spellStart"/>
      <w:r w:rsidRPr="00F13FDA">
        <w:t>C</w:t>
      </w:r>
      <w:r w:rsidRPr="00F13FDA">
        <w:rPr>
          <w:vertAlign w:val="subscript"/>
        </w:rPr>
        <w:t>max</w:t>
      </w:r>
      <w:proofErr w:type="spellEnd"/>
      <w:r w:rsidRPr="00F13FDA">
        <w:t xml:space="preserve"> observed with the 14mg/m</w:t>
      </w:r>
      <w:r w:rsidRPr="00F13FDA">
        <w:rPr>
          <w:vertAlign w:val="superscript"/>
        </w:rPr>
        <w:t>2</w:t>
      </w:r>
      <w:r w:rsidR="00F174CE">
        <w:t xml:space="preserve"> regimen.  Thus the effect of </w:t>
      </w:r>
      <w:proofErr w:type="spellStart"/>
      <w:r w:rsidR="00F174CE">
        <w:t>r</w:t>
      </w:r>
      <w:r w:rsidRPr="00F13FDA">
        <w:t>omidepsin</w:t>
      </w:r>
      <w:proofErr w:type="spellEnd"/>
      <w:r w:rsidRPr="00F13FDA">
        <w:t xml:space="preserve"> on </w:t>
      </w:r>
      <w:proofErr w:type="spellStart"/>
      <w:r w:rsidRPr="00F13FDA">
        <w:t>QTc</w:t>
      </w:r>
      <w:proofErr w:type="spellEnd"/>
      <w:r w:rsidRPr="00F13FDA">
        <w:t xml:space="preserve"> interval was </w:t>
      </w:r>
      <w:r w:rsidR="00F76B36">
        <w:t xml:space="preserve">explored at exposures </w:t>
      </w:r>
      <w:r w:rsidRPr="00F13FDA">
        <w:t xml:space="preserve">higher than those expected in clinically used dosage regimens.  </w:t>
      </w:r>
    </w:p>
    <w:p w:rsidR="00F13FDA" w:rsidRPr="00F174CE" w:rsidRDefault="00F13FDA" w:rsidP="0027219C">
      <w:r w:rsidRPr="00F174CE">
        <w:t xml:space="preserve">The analyses of </w:t>
      </w:r>
      <w:proofErr w:type="spellStart"/>
      <w:r w:rsidRPr="00F174CE">
        <w:t>QTcF</w:t>
      </w:r>
      <w:proofErr w:type="spellEnd"/>
      <w:r w:rsidRPr="00F174CE">
        <w:t xml:space="preserve"> and the individually corrected </w:t>
      </w:r>
      <w:proofErr w:type="spellStart"/>
      <w:r w:rsidRPr="00F174CE">
        <w:t>QTc</w:t>
      </w:r>
      <w:proofErr w:type="spellEnd"/>
      <w:r w:rsidRPr="00F174CE">
        <w:t xml:space="preserve"> and the change from baseline in </w:t>
      </w:r>
      <w:proofErr w:type="spellStart"/>
      <w:r w:rsidRPr="00F174CE">
        <w:t>QTcF</w:t>
      </w:r>
      <w:proofErr w:type="spellEnd"/>
      <w:r w:rsidRPr="00F174CE">
        <w:t xml:space="preserve"> each provided nearly identical findings that demonstrated the lack of a direct PD effect of </w:t>
      </w:r>
      <w:r w:rsidR="00F174CE" w:rsidRPr="00F174CE">
        <w:t>r</w:t>
      </w:r>
      <w:r w:rsidRPr="00F174CE">
        <w:t xml:space="preserve">omidepsin.  Small magnitude changes in mean </w:t>
      </w:r>
      <w:proofErr w:type="spellStart"/>
      <w:r w:rsidRPr="00F174CE">
        <w:t>QTc</w:t>
      </w:r>
      <w:proofErr w:type="spellEnd"/>
      <w:r w:rsidRPr="00F174CE">
        <w:t xml:space="preserve"> was seen temporally</w:t>
      </w:r>
      <w:r w:rsidR="00C207DE">
        <w:t>,</w:t>
      </w:r>
      <w:r w:rsidRPr="00F174CE">
        <w:t xml:space="preserve"> disassociated from the plasma concentration</w:t>
      </w:r>
      <w:r w:rsidR="00F174CE" w:rsidRPr="00F174CE">
        <w:t>/time profile.  The population “</w:t>
      </w:r>
      <w:r w:rsidRPr="00F174CE">
        <w:t xml:space="preserve">mean” effect was still estimated at a value near zero, </w:t>
      </w:r>
      <w:proofErr w:type="spellStart"/>
      <w:r w:rsidRPr="00F174CE">
        <w:t>eg</w:t>
      </w:r>
      <w:proofErr w:type="spellEnd"/>
      <w:r w:rsidRPr="00F174CE">
        <w:t xml:space="preserve"> 0.000352</w:t>
      </w:r>
      <w:r w:rsidR="00F174CE" w:rsidRPr="00F174CE">
        <w:t xml:space="preserve"> </w:t>
      </w:r>
      <w:r w:rsidRPr="00F174CE">
        <w:t>ms/</w:t>
      </w:r>
      <w:proofErr w:type="spellStart"/>
      <w:r w:rsidRPr="00F174CE">
        <w:t>ng</w:t>
      </w:r>
      <w:proofErr w:type="spellEnd"/>
      <w:r w:rsidRPr="00F174CE">
        <w:t xml:space="preserve">/ml for </w:t>
      </w:r>
      <w:proofErr w:type="spellStart"/>
      <w:r w:rsidRPr="00F174CE">
        <w:t>QTcF</w:t>
      </w:r>
      <w:proofErr w:type="spellEnd"/>
      <w:r w:rsidR="00C207DE">
        <w:t xml:space="preserve"> and -0.000608ms/</w:t>
      </w:r>
      <w:proofErr w:type="spellStart"/>
      <w:r w:rsidR="00C207DE">
        <w:t>ng</w:t>
      </w:r>
      <w:proofErr w:type="spellEnd"/>
      <w:r w:rsidR="00C207DE">
        <w:t xml:space="preserve">/ml for </w:t>
      </w:r>
      <w:proofErr w:type="spellStart"/>
      <w:r w:rsidR="00C207DE">
        <w:t>QTcI</w:t>
      </w:r>
      <w:proofErr w:type="spellEnd"/>
      <w:r w:rsidR="00C207DE">
        <w:t>:</w:t>
      </w:r>
      <w:r w:rsidRPr="00F174CE">
        <w:t xml:space="preserve"> the conclusion remains that there was no systematic con</w:t>
      </w:r>
      <w:r w:rsidR="00C207DE">
        <w:t xml:space="preserve">centration/dependent effect of </w:t>
      </w:r>
      <w:proofErr w:type="spellStart"/>
      <w:r w:rsidR="00C207DE">
        <w:t>r</w:t>
      </w:r>
      <w:r w:rsidRPr="00F174CE">
        <w:t>omidepsin</w:t>
      </w:r>
      <w:proofErr w:type="spellEnd"/>
      <w:r w:rsidRPr="00F174CE">
        <w:t xml:space="preserve"> on the </w:t>
      </w:r>
      <w:proofErr w:type="spellStart"/>
      <w:r w:rsidRPr="00F174CE">
        <w:t>QTc</w:t>
      </w:r>
      <w:proofErr w:type="spellEnd"/>
      <w:r w:rsidRPr="00F174CE">
        <w:t xml:space="preserve"> interval.</w:t>
      </w:r>
    </w:p>
    <w:p w:rsidR="00F13FDA" w:rsidRPr="00F13FDA" w:rsidRDefault="00F13FDA" w:rsidP="0027219C">
      <w:r w:rsidRPr="00F13FDA">
        <w:lastRenderedPageBreak/>
        <w:t>Central tendency analyses also</w:t>
      </w:r>
      <w:r w:rsidR="00C207DE">
        <w:t xml:space="preserve"> showed no effect of dosing with r</w:t>
      </w:r>
      <w:r w:rsidRPr="00F13FDA">
        <w:t>omidepsin on the heart rate-corrected QT interval (</w:t>
      </w:r>
      <w:proofErr w:type="spellStart"/>
      <w:r w:rsidRPr="00F13FDA">
        <w:t>QTcF</w:t>
      </w:r>
      <w:proofErr w:type="spellEnd"/>
      <w:r w:rsidRPr="00F13FDA">
        <w:t xml:space="preserve">).  Further there was no indication of a dose effect for mean changes from </w:t>
      </w:r>
      <w:proofErr w:type="spellStart"/>
      <w:r w:rsidRPr="00F13FDA">
        <w:t>QTcF</w:t>
      </w:r>
      <w:proofErr w:type="spellEnd"/>
      <w:r w:rsidRPr="00F13FDA">
        <w:t xml:space="preserve"> across the 8, 10 and 12mg/m</w:t>
      </w:r>
      <w:r w:rsidRPr="00F13FDA">
        <w:rPr>
          <w:vertAlign w:val="superscript"/>
        </w:rPr>
        <w:t>2</w:t>
      </w:r>
      <w:r w:rsidRPr="00F13FDA">
        <w:t xml:space="preserve"> doses.  None of the subjects in the study developed a </w:t>
      </w:r>
      <w:proofErr w:type="spellStart"/>
      <w:r w:rsidRPr="00F13FDA">
        <w:t>QTcF</w:t>
      </w:r>
      <w:proofErr w:type="spellEnd"/>
      <w:r w:rsidRPr="00F13FDA">
        <w:t xml:space="preserve"> &gt;450msecs over a 24-hour</w:t>
      </w:r>
      <w:r w:rsidR="00C207DE">
        <w:t xml:space="preserve"> period following the start of r</w:t>
      </w:r>
      <w:r w:rsidRPr="00F13FDA">
        <w:t xml:space="preserve">omidepsin infusion </w:t>
      </w:r>
      <w:r w:rsidR="00C207DE">
        <w:t>(</w:t>
      </w:r>
      <w:r w:rsidRPr="00F13FDA">
        <w:t>following either the four-hour infusion 14mg/m</w:t>
      </w:r>
      <w:r w:rsidRPr="00F13FDA">
        <w:rPr>
          <w:vertAlign w:val="superscript"/>
        </w:rPr>
        <w:t>2</w:t>
      </w:r>
      <w:r w:rsidRPr="00F13FDA">
        <w:t xml:space="preserve"> or the one-hour infusion at 8, 10 or 12mg/m</w:t>
      </w:r>
      <w:r w:rsidRPr="00F13FDA">
        <w:rPr>
          <w:vertAlign w:val="superscript"/>
        </w:rPr>
        <w:t>2</w:t>
      </w:r>
      <w:r w:rsidR="00C207DE">
        <w:t>).</w:t>
      </w:r>
    </w:p>
    <w:p w:rsidR="00F13FDA" w:rsidRPr="0027219C" w:rsidRDefault="00F13FDA" w:rsidP="0027219C">
      <w:pPr>
        <w:rPr>
          <w:b/>
        </w:rPr>
      </w:pPr>
      <w:r w:rsidRPr="0027219C">
        <w:rPr>
          <w:b/>
        </w:rPr>
        <w:t>COMMEN</w:t>
      </w:r>
      <w:r w:rsidR="00F174CE" w:rsidRPr="0027219C">
        <w:rPr>
          <w:b/>
        </w:rPr>
        <w:t xml:space="preserve">T: </w:t>
      </w:r>
    </w:p>
    <w:p w:rsidR="00F13FDA" w:rsidRPr="00F13FDA" w:rsidRDefault="00F13FDA" w:rsidP="0027219C">
      <w:r w:rsidRPr="00F13FDA">
        <w:t>This data indicates that there is no con</w:t>
      </w:r>
      <w:r w:rsidR="00C207DE">
        <w:t>centration-</w:t>
      </w:r>
      <w:r w:rsidR="00F174CE">
        <w:t>dependent effect of r</w:t>
      </w:r>
      <w:r w:rsidRPr="00F13FDA">
        <w:t xml:space="preserve">omidepsin on the duration of </w:t>
      </w:r>
      <w:proofErr w:type="spellStart"/>
      <w:r w:rsidRPr="00F13FDA">
        <w:t>QTc</w:t>
      </w:r>
      <w:proofErr w:type="spellEnd"/>
      <w:r w:rsidRPr="00F13FDA">
        <w:t xml:space="preserve"> interval</w:t>
      </w:r>
      <w:r w:rsidR="00C207DE">
        <w:t>,</w:t>
      </w:r>
      <w:r w:rsidRPr="00F13FDA">
        <w:t xml:space="preserve"> including </w:t>
      </w:r>
      <w:r w:rsidR="00C207DE">
        <w:t xml:space="preserve">at </w:t>
      </w:r>
      <w:r w:rsidRPr="00F13FDA">
        <w:t xml:space="preserve">exposures of up to more than 2.5 times higher on average </w:t>
      </w:r>
      <w:r w:rsidR="00C207DE">
        <w:t xml:space="preserve">than </w:t>
      </w:r>
      <w:r w:rsidRPr="00F13FDA">
        <w:t xml:space="preserve">that observed with the currently approved </w:t>
      </w:r>
      <w:r w:rsidR="00C207DE">
        <w:t xml:space="preserve">[in the US] </w:t>
      </w:r>
      <w:r w:rsidRPr="00F13FDA">
        <w:t>and clinically used regimen of 14mg/m</w:t>
      </w:r>
      <w:r w:rsidRPr="00F13FDA">
        <w:rPr>
          <w:vertAlign w:val="superscript"/>
        </w:rPr>
        <w:t>2</w:t>
      </w:r>
      <w:r w:rsidRPr="00F13FDA">
        <w:t xml:space="preserve"> administered as a four-hour infusion.  Central tendency and categorical analyses also showed no effect of dosing with </w:t>
      </w:r>
      <w:r w:rsidR="00C207DE">
        <w:t>r</w:t>
      </w:r>
      <w:r w:rsidRPr="00F13FDA">
        <w:t xml:space="preserve">omidepsin on the heart rate-corrected </w:t>
      </w:r>
      <w:proofErr w:type="spellStart"/>
      <w:r w:rsidRPr="00F13FDA">
        <w:t>QTc</w:t>
      </w:r>
      <w:proofErr w:type="spellEnd"/>
      <w:r w:rsidRPr="00F13FDA">
        <w:t xml:space="preserve"> interval.</w:t>
      </w:r>
    </w:p>
    <w:p w:rsidR="00F13FDA" w:rsidRPr="00F174CE" w:rsidRDefault="00F13FDA" w:rsidP="0027219C">
      <w:pPr>
        <w:pStyle w:val="Heading3"/>
      </w:pPr>
      <w:bookmarkStart w:id="22" w:name="_Toc374006735"/>
      <w:r w:rsidRPr="00F174CE">
        <w:t>Study AN10022</w:t>
      </w:r>
      <w:bookmarkEnd w:id="22"/>
    </w:p>
    <w:p w:rsidR="00F13FDA" w:rsidRPr="00F13FDA" w:rsidRDefault="00F13FDA" w:rsidP="0027219C">
      <w:r w:rsidRPr="00F13FDA">
        <w:t>An integrated analysis of PK data was under</w:t>
      </w:r>
      <w:r w:rsidR="00F174CE">
        <w:t>taken to investigate the PK of r</w:t>
      </w:r>
      <w:r w:rsidRPr="00F13FDA">
        <w:t>omidepsin in subjects with advanced cancer</w:t>
      </w:r>
      <w:r w:rsidR="003C7704">
        <w:t>,</w:t>
      </w:r>
      <w:r w:rsidRPr="00F13FDA">
        <w:t xml:space="preserve"> including patients with CTCL.  The primary objective of the study was to deve</w:t>
      </w:r>
      <w:r w:rsidR="00F174CE">
        <w:t>lop and validate an integrated r</w:t>
      </w:r>
      <w:r w:rsidRPr="00F13FDA">
        <w:t>omidepsin PPK model using PK data that could be pooled f</w:t>
      </w:r>
      <w:r w:rsidR="00F174CE">
        <w:t>rom six studies of r</w:t>
      </w:r>
      <w:r w:rsidRPr="00F13FDA">
        <w:t>omidepsin. The secondary objectives were to determine the effect of renal fu</w:t>
      </w:r>
      <w:r w:rsidR="00F174CE">
        <w:t>nction and hepatic function on r</w:t>
      </w:r>
      <w:r w:rsidRPr="00F13FDA">
        <w:t>omidepsin PK and to develop separate predictive PPK models for PK data from the sub-set of studies to support exposure/</w:t>
      </w:r>
      <w:proofErr w:type="spellStart"/>
      <w:r w:rsidRPr="00F13FDA">
        <w:t>QTc</w:t>
      </w:r>
      <w:proofErr w:type="spellEnd"/>
      <w:r w:rsidRPr="00F13FDA">
        <w:t xml:space="preserve"> analysis.  </w:t>
      </w:r>
    </w:p>
    <w:p w:rsidR="00F13FDA" w:rsidRPr="00F13FDA" w:rsidRDefault="00F13FDA" w:rsidP="0027219C">
      <w:r w:rsidRPr="00F13FDA">
        <w:t>Data for PPK analysis were available from six studies indicated in Figure 1.  Post-study design patients were either inte</w:t>
      </w:r>
      <w:r w:rsidR="00F174CE">
        <w:t xml:space="preserve">nsely or sparsely sampled.  To </w:t>
      </w:r>
      <w:r w:rsidRPr="00F13FDA">
        <w:t xml:space="preserve">streamline the pooling of PK data from the studies for the development of the integrated PPK model a general approach and pre-established criteria for pooling were developed.  </w:t>
      </w:r>
    </w:p>
    <w:p w:rsidR="00F13FDA" w:rsidRDefault="00F174CE" w:rsidP="00F174CE">
      <w:pPr>
        <w:pStyle w:val="FigureTitle"/>
      </w:pPr>
      <w:r>
        <w:t>Figure 1. Analysis strategy executed for the development of an integrated population PK model for r</w:t>
      </w:r>
      <w:r w:rsidRPr="00F174CE">
        <w:t>omidepsin</w:t>
      </w:r>
    </w:p>
    <w:p w:rsidR="00F174CE" w:rsidRPr="00F13FDA" w:rsidRDefault="00F174CE" w:rsidP="0027219C">
      <w:r>
        <w:rPr>
          <w:noProof/>
          <w:lang w:eastAsia="en-AU"/>
        </w:rPr>
        <w:drawing>
          <wp:inline distT="0" distB="0" distL="0" distR="0">
            <wp:extent cx="5731510" cy="3311694"/>
            <wp:effectExtent l="19050" t="0" r="2540" b="0"/>
            <wp:docPr id="23" name="Picture 23" descr="Figure 1. Analysis strategy executed for the development of an integrated population PK model for romidep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566" t="12202"/>
                    <a:stretch>
                      <a:fillRect/>
                    </a:stretch>
                  </pic:blipFill>
                  <pic:spPr bwMode="auto">
                    <a:xfrm>
                      <a:off x="0" y="0"/>
                      <a:ext cx="5731510" cy="3311694"/>
                    </a:xfrm>
                    <a:prstGeom prst="rect">
                      <a:avLst/>
                    </a:prstGeom>
                    <a:noFill/>
                    <a:ln w="9525">
                      <a:noFill/>
                      <a:miter lim="800000"/>
                      <a:headEnd/>
                      <a:tailEnd/>
                    </a:ln>
                  </pic:spPr>
                </pic:pic>
              </a:graphicData>
            </a:graphic>
          </wp:inline>
        </w:drawing>
      </w:r>
    </w:p>
    <w:p w:rsidR="00F13FDA" w:rsidRPr="00F76B36" w:rsidRDefault="00F13FDA" w:rsidP="0027219C">
      <w:r w:rsidRPr="00F76B36">
        <w:t>The PK data of the studies in which an intensive sampl</w:t>
      </w:r>
      <w:r w:rsidR="00F76B36" w:rsidRPr="00F76B36">
        <w:t xml:space="preserve">ing search was implemented, </w:t>
      </w:r>
      <w:proofErr w:type="spellStart"/>
      <w:r w:rsidR="00F76B36" w:rsidRPr="00F76B36">
        <w:t>ie</w:t>
      </w:r>
      <w:proofErr w:type="spellEnd"/>
      <w:r w:rsidR="00F76B36" w:rsidRPr="00F76B36">
        <w:t xml:space="preserve"> </w:t>
      </w:r>
      <w:r w:rsidRPr="00F76B36">
        <w:t>NCI 1312, GPI-06-0005 and T-95-0077</w:t>
      </w:r>
      <w:r w:rsidR="003C7704">
        <w:t>,</w:t>
      </w:r>
      <w:r w:rsidRPr="00F76B36">
        <w:t xml:space="preserve"> were analysed separately for the identification of the structural model and characterisation of the residual error model that best describes the PK data.  A three-compartment linear </w:t>
      </w:r>
      <w:r w:rsidR="003C7704">
        <w:t>model was used to characterise r</w:t>
      </w:r>
      <w:r w:rsidRPr="00F76B36">
        <w:t xml:space="preserve">omidepsin PK data.  The data from these </w:t>
      </w:r>
      <w:r w:rsidRPr="00F76B36">
        <w:lastRenderedPageBreak/>
        <w:t>studies were pooled with data from the three sparsely sampled studies to form a pooled PK data set from all six studies for analysis.  Data from three studies were removed from the pooled data set since data from these studies did not satisfy one of the three pre-established criteria for pooling PK data across studies</w:t>
      </w:r>
      <w:r w:rsidR="008F530A">
        <w:t>.</w:t>
      </w:r>
      <w:r w:rsidRPr="00F76B36">
        <w:t xml:space="preserve"> </w:t>
      </w:r>
      <w:r w:rsidR="008F530A">
        <w:t>T</w:t>
      </w:r>
      <w:r w:rsidRPr="00F76B36">
        <w:t>hus</w:t>
      </w:r>
      <w:r w:rsidR="008F530A">
        <w:t>,</w:t>
      </w:r>
      <w:r w:rsidRPr="00F76B36">
        <w:t xml:space="preserve"> data from studies 1312, FJ-228-0001 and GPI-06-0005 </w:t>
      </w:r>
      <w:r w:rsidR="008F530A">
        <w:t xml:space="preserve">with </w:t>
      </w:r>
      <w:r w:rsidRPr="00F76B36">
        <w:t>sample size of 137 patients were pooled and analysed for the development of an integrated PPK model as they met the pre-established pooling criteria.</w:t>
      </w:r>
    </w:p>
    <w:p w:rsidR="00F13FDA" w:rsidRPr="00F13FDA" w:rsidRDefault="00F13FDA" w:rsidP="0027219C">
      <w:r w:rsidRPr="00F76B36">
        <w:t>PPK model</w:t>
      </w:r>
      <w:r w:rsidRPr="00F13FDA">
        <w:t xml:space="preserve"> development was performed through a combination of exploratory data analysis and non-linear mixed effects modelling.  The irreducible PPK model given the data contained all the co-variates that were found to be significant in ch</w:t>
      </w:r>
      <w:r w:rsidR="008F530A">
        <w:t>aracterising the PPK of r</w:t>
      </w:r>
      <w:r w:rsidRPr="00F13FDA">
        <w:t xml:space="preserve">omidepsin.  All predictive PPK models developed were validated by a predictive check.  </w:t>
      </w:r>
    </w:p>
    <w:p w:rsidR="00F13FDA" w:rsidRPr="00F13FDA" w:rsidRDefault="00F13FDA" w:rsidP="0027219C">
      <w:r w:rsidRPr="00F13FDA">
        <w:t>The analysis of the integrated PPK data confirmed that age, race, gender, mild to severe renal impairment and mild to moderate hepatic impairme</w:t>
      </w:r>
      <w:r w:rsidR="008F530A">
        <w:t>nt had no effect on r</w:t>
      </w:r>
      <w:r w:rsidRPr="00F13FDA">
        <w:t xml:space="preserve">omidepsin PK.  Study effect and weight were the two </w:t>
      </w:r>
      <w:r w:rsidR="008F530A">
        <w:t>most significant predictors of r</w:t>
      </w:r>
      <w:r w:rsidRPr="00F13FDA">
        <w:t xml:space="preserve">omidepsin CL in the integrated PPK model.  The study effect may reflect subject type and other latent variables not evaluable in the PPK data set.  Because weight is highly correlated with BSA it is likely that the dosing of </w:t>
      </w:r>
      <w:r w:rsidR="008F530A">
        <w:t>r</w:t>
      </w:r>
      <w:r w:rsidRPr="00F13FDA">
        <w:t xml:space="preserve">omidepsin based on BSA is not an issue.  </w:t>
      </w:r>
    </w:p>
    <w:p w:rsidR="00F76B36" w:rsidRDefault="00F13FDA" w:rsidP="0027219C">
      <w:r w:rsidRPr="00F13FDA">
        <w:t xml:space="preserve">To assess the impact of renal function patients were categorised into four groups as is indicated in </w:t>
      </w:r>
      <w:r w:rsidR="00F76B36">
        <w:t xml:space="preserve">Table </w:t>
      </w:r>
      <w:r w:rsidR="00D004C9">
        <w:t>5</w:t>
      </w:r>
      <w:r w:rsidR="00F76B36">
        <w:t>.</w:t>
      </w:r>
      <w:r w:rsidRPr="00F13FDA">
        <w:t xml:space="preserve">  </w:t>
      </w:r>
    </w:p>
    <w:p w:rsidR="00F76B36" w:rsidRDefault="00D004C9" w:rsidP="0027219C">
      <w:pPr>
        <w:pStyle w:val="TableTitle"/>
      </w:pPr>
      <w:r>
        <w:t>Table 5</w:t>
      </w:r>
      <w:r w:rsidR="00F76B36">
        <w:t>. Degree of renal impairment</w:t>
      </w:r>
    </w:p>
    <w:p w:rsidR="00F76B36" w:rsidRDefault="00F76B36" w:rsidP="0027219C">
      <w:r>
        <w:rPr>
          <w:noProof/>
          <w:lang w:eastAsia="en-AU"/>
        </w:rPr>
        <w:drawing>
          <wp:inline distT="0" distB="0" distL="0" distR="0">
            <wp:extent cx="5263515" cy="1113790"/>
            <wp:effectExtent l="19050" t="0" r="0" b="0"/>
            <wp:docPr id="26" name="Picture 26" descr="Table 5. Degree of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l="3893" t="14957" r="4181"/>
                    <a:stretch>
                      <a:fillRect/>
                    </a:stretch>
                  </pic:blipFill>
                  <pic:spPr bwMode="auto">
                    <a:xfrm>
                      <a:off x="0" y="0"/>
                      <a:ext cx="5263515" cy="1113790"/>
                    </a:xfrm>
                    <a:prstGeom prst="rect">
                      <a:avLst/>
                    </a:prstGeom>
                    <a:noFill/>
                    <a:ln w="9525">
                      <a:noFill/>
                      <a:miter lim="800000"/>
                      <a:headEnd/>
                      <a:tailEnd/>
                    </a:ln>
                  </pic:spPr>
                </pic:pic>
              </a:graphicData>
            </a:graphic>
          </wp:inline>
        </w:drawing>
      </w:r>
    </w:p>
    <w:p w:rsidR="00F13FDA" w:rsidRPr="00F13FDA" w:rsidRDefault="00F13FDA" w:rsidP="0027219C">
      <w:r w:rsidRPr="00F13FDA">
        <w:t>No relationship was demonstrated between the various</w:t>
      </w:r>
      <w:r w:rsidR="008F530A">
        <w:t xml:space="preserve"> degrees of renal function and r</w:t>
      </w:r>
      <w:r w:rsidRPr="00F13FDA">
        <w:t xml:space="preserve">omidepsin CL.  The bulk plots of </w:t>
      </w:r>
      <w:r w:rsidR="008F530A">
        <w:t>r</w:t>
      </w:r>
      <w:r w:rsidRPr="00F13FDA">
        <w:t xml:space="preserve">omidepsin CL values by renal impairment category support the lack of effect of renal function on </w:t>
      </w:r>
      <w:r w:rsidR="00F76B36">
        <w:t>r</w:t>
      </w:r>
      <w:r w:rsidRPr="00F13FDA">
        <w:t xml:space="preserve">omidepsin disposition.  </w:t>
      </w:r>
    </w:p>
    <w:p w:rsidR="00090ABE" w:rsidRDefault="00F13FDA" w:rsidP="0027219C">
      <w:r w:rsidRPr="00F13FDA">
        <w:t>Assessing the impact of hepatic impairment, non-cl</w:t>
      </w:r>
      <w:r w:rsidR="008F530A">
        <w:t>inical studies have shown that r</w:t>
      </w:r>
      <w:r w:rsidRPr="00F13FDA">
        <w:t xml:space="preserve">omidepsin is primarily cleared by the liver and that there are similarities in the pattern of metabolism between rats, dogs and humans.   The impact of hepatic impairment on the clearance of the drug was evaluated as indicated in Table </w:t>
      </w:r>
      <w:r w:rsidR="00090ABE">
        <w:t>6</w:t>
      </w:r>
      <w:r w:rsidRPr="00F13FDA">
        <w:t xml:space="preserve">.  </w:t>
      </w:r>
    </w:p>
    <w:p w:rsidR="00090ABE" w:rsidRDefault="00090ABE" w:rsidP="0027219C">
      <w:pPr>
        <w:pStyle w:val="TableTitle"/>
      </w:pPr>
      <w:r>
        <w:t xml:space="preserve">Table 6. National Cancer Institute Organ Dysfunction Working Group (NCI ODWG) Liver Function classification </w:t>
      </w:r>
    </w:p>
    <w:p w:rsidR="00090ABE" w:rsidRDefault="00090ABE" w:rsidP="0027219C">
      <w:r>
        <w:rPr>
          <w:noProof/>
          <w:lang w:eastAsia="en-AU"/>
        </w:rPr>
        <w:drawing>
          <wp:inline distT="0" distB="0" distL="0" distR="0">
            <wp:extent cx="5573395" cy="2084705"/>
            <wp:effectExtent l="19050" t="0" r="8255" b="0"/>
            <wp:docPr id="36" name="Picture 36" descr="Table 6. National Cancer Institute Organ Dysfunction Working Group (NCI ODWG) Liver Function classif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l="2661" t="16014"/>
                    <a:stretch>
                      <a:fillRect/>
                    </a:stretch>
                  </pic:blipFill>
                  <pic:spPr bwMode="auto">
                    <a:xfrm>
                      <a:off x="0" y="0"/>
                      <a:ext cx="5573395" cy="2084705"/>
                    </a:xfrm>
                    <a:prstGeom prst="rect">
                      <a:avLst/>
                    </a:prstGeom>
                    <a:noFill/>
                    <a:ln w="9525">
                      <a:noFill/>
                      <a:miter lim="800000"/>
                      <a:headEnd/>
                      <a:tailEnd/>
                    </a:ln>
                  </pic:spPr>
                </pic:pic>
              </a:graphicData>
            </a:graphic>
          </wp:inline>
        </w:drawing>
      </w:r>
    </w:p>
    <w:p w:rsidR="00F13FDA" w:rsidRDefault="00F13FDA" w:rsidP="0027219C">
      <w:r w:rsidRPr="00F13FDA">
        <w:lastRenderedPageBreak/>
        <w:t xml:space="preserve">The analysis was performed using data from three studies, </w:t>
      </w:r>
      <w:proofErr w:type="spellStart"/>
      <w:r w:rsidRPr="00F13FDA">
        <w:t>ie</w:t>
      </w:r>
      <w:proofErr w:type="spellEnd"/>
      <w:r w:rsidRPr="00F13FDA">
        <w:t xml:space="preserve"> NCI 1312</w:t>
      </w:r>
      <w:r w:rsidR="00090ABE">
        <w:t xml:space="preserve">, FJ-228-0001 and GPI-06-0005. </w:t>
      </w:r>
      <w:r w:rsidRPr="00F13FDA">
        <w:t xml:space="preserve">Two patients had moderate hepatic impairment, 15 had mild hepatic impairment and 120 </w:t>
      </w:r>
      <w:r w:rsidR="008F530A">
        <w:t xml:space="preserve">had </w:t>
      </w:r>
      <w:r w:rsidRPr="00F13FDA">
        <w:t>normal hepatic function.  Data from the three studies were pooled.  Randomisation test results indicated that no significant differences could be detected between the three hepatic function categories regardless of whether the comparison was between mild and moderate, mild and normal</w:t>
      </w:r>
      <w:r w:rsidR="008F530A">
        <w:t>,</w:t>
      </w:r>
      <w:r w:rsidRPr="00F13FDA">
        <w:t xml:space="preserve"> or a 30% difference between mild and moderate.  </w:t>
      </w:r>
      <w:r w:rsidR="00090ABE">
        <w:t xml:space="preserve">Information was included on the </w:t>
      </w:r>
      <w:r w:rsidRPr="00F13FDA">
        <w:t xml:space="preserve">distribution of co-variates in the data set created </w:t>
      </w:r>
      <w:r w:rsidR="00090ABE">
        <w:t xml:space="preserve">to </w:t>
      </w:r>
      <w:r w:rsidRPr="00F13FDA">
        <w:t xml:space="preserve">study </w:t>
      </w:r>
      <w:r w:rsidR="00090ABE">
        <w:t xml:space="preserve">the </w:t>
      </w:r>
      <w:r w:rsidRPr="00F13FDA">
        <w:t xml:space="preserve">effect of hepatic impairment by the PK/PD knowledge creation approach.  Using this approach hepatic impairment was not found to be a significant predictor of CL.  Figure </w:t>
      </w:r>
      <w:r w:rsidR="0027381E">
        <w:t>2</w:t>
      </w:r>
      <w:r w:rsidRPr="00F13FDA">
        <w:t xml:space="preserve"> shows the distribution of </w:t>
      </w:r>
      <w:r w:rsidR="00090ABE">
        <w:t>r</w:t>
      </w:r>
      <w:r w:rsidRPr="00F13FDA">
        <w:t xml:space="preserve">omidepsin CL by hepatic function grouping.  </w:t>
      </w:r>
    </w:p>
    <w:p w:rsidR="0027381E" w:rsidRPr="00F13FDA" w:rsidRDefault="0027381E" w:rsidP="0027219C">
      <w:pPr>
        <w:pStyle w:val="FigureTitle"/>
      </w:pPr>
      <w:r>
        <w:t xml:space="preserve">Figure 2. </w:t>
      </w:r>
      <w:proofErr w:type="spellStart"/>
      <w:r>
        <w:t>Boxplots</w:t>
      </w:r>
      <w:proofErr w:type="spellEnd"/>
      <w:r>
        <w:t xml:space="preserve"> showing the distribution of r</w:t>
      </w:r>
      <w:r w:rsidRPr="0027381E">
        <w:t>omidepsin</w:t>
      </w:r>
      <w:r>
        <w:t xml:space="preserve"> clearance by hepatic impairment.</w:t>
      </w:r>
    </w:p>
    <w:p w:rsidR="00F13FDA" w:rsidRPr="00F13FDA" w:rsidRDefault="0027381E" w:rsidP="0027219C">
      <w:r>
        <w:rPr>
          <w:noProof/>
          <w:lang w:eastAsia="en-AU"/>
        </w:rPr>
        <w:drawing>
          <wp:inline distT="0" distB="0" distL="0" distR="0">
            <wp:extent cx="5134610" cy="4431030"/>
            <wp:effectExtent l="19050" t="0" r="8890" b="0"/>
            <wp:docPr id="29" name="Picture 29" descr="Figure 2. Boxplots showing the distribution of romidepsin clearance by hepatic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l="1463" t="7327"/>
                    <a:stretch>
                      <a:fillRect/>
                    </a:stretch>
                  </pic:blipFill>
                  <pic:spPr bwMode="auto">
                    <a:xfrm>
                      <a:off x="0" y="0"/>
                      <a:ext cx="5134610" cy="4431030"/>
                    </a:xfrm>
                    <a:prstGeom prst="rect">
                      <a:avLst/>
                    </a:prstGeom>
                    <a:noFill/>
                    <a:ln w="9525">
                      <a:noFill/>
                      <a:miter lim="800000"/>
                      <a:headEnd/>
                      <a:tailEnd/>
                    </a:ln>
                  </pic:spPr>
                </pic:pic>
              </a:graphicData>
            </a:graphic>
          </wp:inline>
        </w:drawing>
      </w:r>
    </w:p>
    <w:p w:rsidR="00F13FDA" w:rsidRPr="00F13FDA" w:rsidRDefault="00F13FDA" w:rsidP="0027219C">
      <w:r w:rsidRPr="00F13FDA">
        <w:t xml:space="preserve">Predictive PPK models to support the development of exposure/response models for HR and </w:t>
      </w:r>
      <w:proofErr w:type="spellStart"/>
      <w:r w:rsidRPr="00F13FDA">
        <w:t>QTc</w:t>
      </w:r>
      <w:proofErr w:type="spellEnd"/>
      <w:r w:rsidRPr="00F13FDA">
        <w:t xml:space="preserve"> metrics were developed with data from two studies</w:t>
      </w:r>
      <w:r w:rsidR="00634525">
        <w:t>:</w:t>
      </w:r>
      <w:r w:rsidRPr="00F13FDA">
        <w:t xml:space="preserve"> NCI 1312 with 100 patients and GPI-06-00</w:t>
      </w:r>
      <w:r w:rsidR="00090ABE">
        <w:t>05 with 10 patients.  Observed r</w:t>
      </w:r>
      <w:r w:rsidRPr="00F13FDA">
        <w:t>omidepsin concentrations in study NCI 1312 ranged from 2-989.8ng/ml</w:t>
      </w:r>
      <w:r w:rsidR="00634525">
        <w:t xml:space="preserve"> and </w:t>
      </w:r>
      <w:r w:rsidRPr="00F13FDA">
        <w:t>those in study GPI-06-0005 ranged from 0.34-1240ng/ml over a 24 hour time frame</w:t>
      </w:r>
      <w:r w:rsidR="00634525">
        <w:t>,</w:t>
      </w:r>
      <w:r w:rsidRPr="00F13FDA">
        <w:t xml:space="preserve"> with peak concentrations occurring mostly at the end of infusion.  No co-variates were found to explain the variability in </w:t>
      </w:r>
      <w:r w:rsidR="0027381E">
        <w:t>r</w:t>
      </w:r>
      <w:r w:rsidRPr="00F13FDA">
        <w:t xml:space="preserve">omidepsin disposition in the population of patients studied </w:t>
      </w:r>
      <w:r w:rsidR="0027381E">
        <w:t xml:space="preserve">in each of these two studies.  </w:t>
      </w:r>
      <w:r w:rsidRPr="00F13FDA">
        <w:t>The PPK models were found to be predict</w:t>
      </w:r>
      <w:r w:rsidR="00B15927">
        <w:t xml:space="preserve">ive of </w:t>
      </w:r>
      <w:r w:rsidRPr="00F13FDA">
        <w:t xml:space="preserve">observed concentrations and therefore deemed appropriate for their intended uses.  </w:t>
      </w:r>
    </w:p>
    <w:p w:rsidR="00F13FDA" w:rsidRPr="00F13FDA" w:rsidRDefault="00F13FDA" w:rsidP="0027219C">
      <w:r w:rsidRPr="00F13FDA">
        <w:t>The T</w:t>
      </w:r>
      <w:r w:rsidRPr="00F13FDA">
        <w:rPr>
          <w:vertAlign w:val="subscript"/>
        </w:rPr>
        <w:t>1/2</w:t>
      </w:r>
      <w:r w:rsidR="00634525">
        <w:t xml:space="preserve"> of r</w:t>
      </w:r>
      <w:r w:rsidRPr="00F13FDA">
        <w:t>omidepsin from the central compartment was estimated us</w:t>
      </w:r>
      <w:r w:rsidR="00B15927">
        <w:t xml:space="preserve">ing linear regression on </w:t>
      </w:r>
      <w:r w:rsidRPr="00F13FDA">
        <w:t>the terminal phase of the elimination PK profiles of patients from study GPI-06-0005</w:t>
      </w:r>
      <w:r w:rsidR="00FA41B6">
        <w:t>,</w:t>
      </w:r>
      <w:r w:rsidRPr="00F13FDA">
        <w:t xml:space="preserve"> which was chosen because t</w:t>
      </w:r>
      <w:r w:rsidR="00657195">
        <w:t>he data set for all patients had</w:t>
      </w:r>
      <w:r w:rsidRPr="00F13FDA">
        <w:t xml:space="preserve"> full PK profiles for 24 hours.  The observed data and predictive concentrations for compartment one of the non-linear mixed effect model was </w:t>
      </w:r>
      <w:proofErr w:type="spellStart"/>
      <w:r w:rsidRPr="00F13FDA">
        <w:lastRenderedPageBreak/>
        <w:t>superimposable</w:t>
      </w:r>
      <w:proofErr w:type="spellEnd"/>
      <w:r w:rsidRPr="00F13FDA">
        <w:t>.  Thus the estimation of T</w:t>
      </w:r>
      <w:r w:rsidRPr="00F13FDA">
        <w:rPr>
          <w:vertAlign w:val="subscript"/>
        </w:rPr>
        <w:t>1/2</w:t>
      </w:r>
      <w:r w:rsidR="00657195">
        <w:t xml:space="preserve"> for r</w:t>
      </w:r>
      <w:r w:rsidRPr="00F13FDA">
        <w:t>omidepsin was essentially the estimation of the elimination half-life from the central compartment.  It should be noted that the mean T</w:t>
      </w:r>
      <w:r w:rsidRPr="00F13FDA">
        <w:rPr>
          <w:vertAlign w:val="subscript"/>
        </w:rPr>
        <w:t>1/2</w:t>
      </w:r>
      <w:r w:rsidRPr="00F13FDA">
        <w:t xml:space="preserve"> of 3.6 hours estimated for patients in study GPI-06-0005 is that of the elimination from the central compartment and not overall body elimination.  </w:t>
      </w:r>
    </w:p>
    <w:p w:rsidR="00F13FDA" w:rsidRPr="0027219C" w:rsidRDefault="00F13FDA" w:rsidP="0027219C">
      <w:pPr>
        <w:rPr>
          <w:b/>
        </w:rPr>
      </w:pPr>
      <w:r w:rsidRPr="0027219C">
        <w:rPr>
          <w:b/>
        </w:rPr>
        <w:t>COMMENT:</w:t>
      </w:r>
      <w:r w:rsidR="00E46E37" w:rsidRPr="0027219C">
        <w:rPr>
          <w:b/>
        </w:rPr>
        <w:t xml:space="preserve"> </w:t>
      </w:r>
    </w:p>
    <w:p w:rsidR="00F13FDA" w:rsidRPr="00F13FDA" w:rsidRDefault="00F13FDA" w:rsidP="0027219C">
      <w:r w:rsidRPr="00F13FDA">
        <w:t>Romidepsin has exhibited linear PK and its PK was moderately variable.  Age, gender and race were not foun</w:t>
      </w:r>
      <w:r w:rsidR="00090ABE">
        <w:t>d to influence r</w:t>
      </w:r>
      <w:r w:rsidRPr="00F13FDA">
        <w:t>omidepsin PK</w:t>
      </w:r>
      <w:r w:rsidR="00657195">
        <w:t>, and mild-</w:t>
      </w:r>
      <w:r w:rsidRPr="00F13FDA">
        <w:t>severe renal impairment was also found to have no effect as was mild and moderate hepatic impairment</w:t>
      </w:r>
      <w:r w:rsidR="0027381E">
        <w:t xml:space="preserve"> found to have no influence on r</w:t>
      </w:r>
      <w:r w:rsidRPr="00F13FDA">
        <w:t xml:space="preserve">omidepsin disposition.  </w:t>
      </w:r>
    </w:p>
    <w:p w:rsidR="00F13FDA" w:rsidRPr="0027381E" w:rsidRDefault="00F13FDA" w:rsidP="0027219C">
      <w:pPr>
        <w:pStyle w:val="Heading3"/>
      </w:pPr>
      <w:bookmarkStart w:id="23" w:name="_Toc374006736"/>
      <w:r w:rsidRPr="0027381E">
        <w:t>Study AN10019</w:t>
      </w:r>
      <w:bookmarkEnd w:id="23"/>
    </w:p>
    <w:p w:rsidR="00F13FDA" w:rsidRPr="0027381E" w:rsidRDefault="00F13FDA" w:rsidP="0027219C">
      <w:r w:rsidRPr="0027381E">
        <w:t>As a component of the overa</w:t>
      </w:r>
      <w:r w:rsidR="0027381E">
        <w:t>ll evaluation of the safety of r</w:t>
      </w:r>
      <w:r w:rsidRPr="0027381E">
        <w:t>omidepsin</w:t>
      </w:r>
      <w:r w:rsidR="00BE3C3B">
        <w:t>,</w:t>
      </w:r>
      <w:r w:rsidRPr="0027381E">
        <w:t xml:space="preserve"> a PK/PD analysis</w:t>
      </w:r>
      <w:r w:rsidR="0027381E">
        <w:t xml:space="preserve"> was undertaken to examine the </w:t>
      </w:r>
      <w:proofErr w:type="spellStart"/>
      <w:r w:rsidR="0027381E">
        <w:t>r</w:t>
      </w:r>
      <w:r w:rsidR="00BE3C3B">
        <w:t>omidepsin</w:t>
      </w:r>
      <w:proofErr w:type="spellEnd"/>
      <w:r w:rsidR="00BE3C3B">
        <w:t xml:space="preserve"> concentration-</w:t>
      </w:r>
      <w:proofErr w:type="spellStart"/>
      <w:r w:rsidRPr="0027381E">
        <w:t>QTc</w:t>
      </w:r>
      <w:proofErr w:type="spellEnd"/>
      <w:r w:rsidRPr="0027381E">
        <w:t xml:space="preserve"> relationship.  The objective of the PK/PD analysis was to develop a descriptive non-linear mixed effects model character</w:t>
      </w:r>
      <w:r w:rsidR="0027381E">
        <w:t>ising the relationship between r</w:t>
      </w:r>
      <w:r w:rsidRPr="0027381E">
        <w:t xml:space="preserve">omidepsin concentration and heart rate-corrected </w:t>
      </w:r>
      <w:proofErr w:type="spellStart"/>
      <w:r w:rsidRPr="0027381E">
        <w:t>QTc</w:t>
      </w:r>
      <w:proofErr w:type="spellEnd"/>
      <w:r w:rsidRPr="0027381E">
        <w:t xml:space="preserve"> interval duration change from baseline </w:t>
      </w:r>
      <w:r w:rsidR="00BE3C3B">
        <w:t>(</w:t>
      </w:r>
      <w:r w:rsidRPr="0027381E">
        <w:t>HR derived from the RR interval</w:t>
      </w:r>
      <w:r w:rsidR="00BE3C3B">
        <w:t>)</w:t>
      </w:r>
      <w:r w:rsidRPr="0027381E">
        <w:t xml:space="preserve">.  </w:t>
      </w:r>
    </w:p>
    <w:p w:rsidR="001A6D20" w:rsidRDefault="00F13FDA" w:rsidP="0027219C">
      <w:r w:rsidRPr="00F13FDA">
        <w:t>ECG and PK data were obtaine</w:t>
      </w:r>
      <w:r w:rsidR="0027381E">
        <w:t>d from two oncology studies of r</w:t>
      </w:r>
      <w:r w:rsidRPr="00F13FDA">
        <w:t xml:space="preserve">omidepsin study GPI-06-0005 and study NCI 1312 with </w:t>
      </w:r>
      <w:r w:rsidR="00BE3C3B">
        <w:t>Table 7</w:t>
      </w:r>
      <w:r w:rsidR="001A6D20">
        <w:t xml:space="preserve"> </w:t>
      </w:r>
      <w:r w:rsidRPr="00F13FDA">
        <w:t xml:space="preserve">summarising the features of this study data relevant to the PK/PD analysis.  </w:t>
      </w:r>
    </w:p>
    <w:p w:rsidR="001A6D20" w:rsidRDefault="00BE3C3B" w:rsidP="0027219C">
      <w:pPr>
        <w:pStyle w:val="TableTitle"/>
      </w:pPr>
      <w:r>
        <w:t>Table 7</w:t>
      </w:r>
      <w:r w:rsidR="001A6D20">
        <w:t>. Summary of study data relevant to the PK-PD analysis</w:t>
      </w:r>
    </w:p>
    <w:p w:rsidR="001A6D20" w:rsidRDefault="001A6D20" w:rsidP="0027219C">
      <w:r>
        <w:rPr>
          <w:noProof/>
          <w:lang w:eastAsia="en-AU"/>
        </w:rPr>
        <w:drawing>
          <wp:inline distT="0" distB="0" distL="0" distR="0">
            <wp:extent cx="5659120" cy="2067560"/>
            <wp:effectExtent l="19050" t="0" r="0" b="0"/>
            <wp:docPr id="32" name="Picture 32" descr="Table 7. Summary of study data relevant to the PK-P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l="1230" t="8636"/>
                    <a:stretch>
                      <a:fillRect/>
                    </a:stretch>
                  </pic:blipFill>
                  <pic:spPr bwMode="auto">
                    <a:xfrm>
                      <a:off x="0" y="0"/>
                      <a:ext cx="5659120" cy="2067560"/>
                    </a:xfrm>
                    <a:prstGeom prst="rect">
                      <a:avLst/>
                    </a:prstGeom>
                    <a:noFill/>
                    <a:ln w="9525">
                      <a:noFill/>
                      <a:miter lim="800000"/>
                      <a:headEnd/>
                      <a:tailEnd/>
                    </a:ln>
                  </pic:spPr>
                </pic:pic>
              </a:graphicData>
            </a:graphic>
          </wp:inline>
        </w:drawing>
      </w:r>
    </w:p>
    <w:p w:rsidR="00F13FDA" w:rsidRPr="00F13FDA" w:rsidRDefault="00F13FDA" w:rsidP="0027219C">
      <w:r w:rsidRPr="00F13FDA">
        <w:t xml:space="preserve">Only PK or ECG data obtained following the first administered dose were utilised in the analyses.  Two analysis data sets were used in the evaluation, the first comprising data from study GPI-06-0005 and the second </w:t>
      </w:r>
      <w:r w:rsidR="00BE3C3B">
        <w:t xml:space="preserve">combining data </w:t>
      </w:r>
      <w:r w:rsidRPr="00F13FDA">
        <w:t>f</w:t>
      </w:r>
      <w:r w:rsidR="00BE3C3B">
        <w:t>rom</w:t>
      </w:r>
      <w:r w:rsidRPr="00F13FDA">
        <w:t xml:space="preserve"> GPI-06-0005 with the NCI 1312 data for an integrated analysis.  </w:t>
      </w:r>
    </w:p>
    <w:p w:rsidR="00F13FDA" w:rsidRDefault="00F13FDA" w:rsidP="0027219C">
      <w:r w:rsidRPr="00F13FDA">
        <w:t>Graphical and non-linear mixed effects models were used to characterised the concentratio</w:t>
      </w:r>
      <w:r w:rsidR="00BE3C3B">
        <w:t>n/response relationships for HR,</w:t>
      </w:r>
      <w:r w:rsidRPr="00F13FDA">
        <w:t xml:space="preserve"> QT interval corrected for HR, change from baseline </w:t>
      </w:r>
      <w:proofErr w:type="spellStart"/>
      <w:r w:rsidRPr="00F13FDA">
        <w:t>QTcF</w:t>
      </w:r>
      <w:proofErr w:type="spellEnd"/>
      <w:r w:rsidRPr="00F13FDA">
        <w:t xml:space="preserve">.  </w:t>
      </w:r>
    </w:p>
    <w:p w:rsidR="00BE3C3B" w:rsidRPr="00F13FDA" w:rsidRDefault="00BE3C3B" w:rsidP="0027219C">
      <w:pPr>
        <w:pStyle w:val="ListBullet"/>
      </w:pPr>
      <w:r>
        <w:t>Results</w:t>
      </w:r>
    </w:p>
    <w:p w:rsidR="00F13FDA" w:rsidRPr="00F13FDA" w:rsidRDefault="00BE3C3B" w:rsidP="0027219C">
      <w:r>
        <w:t>T</w:t>
      </w:r>
      <w:r w:rsidR="00F13FDA" w:rsidRPr="00F13FDA">
        <w:t>he con</w:t>
      </w:r>
      <w:r>
        <w:t>centration/dependent effect of r</w:t>
      </w:r>
      <w:r w:rsidR="00F13FDA" w:rsidRPr="00F13FDA">
        <w:t>omidepsin on HR was temporally disassociated from the plasma concentration/time profile.  Therefore an indirect response PD mode</w:t>
      </w:r>
      <w:r>
        <w:t>l was used to characterise the r</w:t>
      </w:r>
      <w:r w:rsidR="00F13FDA" w:rsidRPr="00F13FDA">
        <w:t xml:space="preserve">omidepsin effect.  </w:t>
      </w:r>
      <w:r>
        <w:t>Data was provided on</w:t>
      </w:r>
      <w:r w:rsidR="001A6D20">
        <w:t xml:space="preserve"> </w:t>
      </w:r>
      <w:r w:rsidR="00F13FDA" w:rsidRPr="00F13FDA">
        <w:t>the fixed effects parameters of a non-linear mixed effects model along with derived variables</w:t>
      </w:r>
      <w:r>
        <w:t>;</w:t>
      </w:r>
      <w:r w:rsidR="001A6D20">
        <w:t xml:space="preserve"> </w:t>
      </w:r>
      <w:r w:rsidR="00F13FDA" w:rsidRPr="00F13FDA">
        <w:t xml:space="preserve">the </w:t>
      </w:r>
      <w:proofErr w:type="spellStart"/>
      <w:r w:rsidR="00F13FDA" w:rsidRPr="00F13FDA">
        <w:t>QTcI</w:t>
      </w:r>
      <w:proofErr w:type="spellEnd"/>
      <w:r w:rsidR="00F13FDA" w:rsidRPr="00F13FDA">
        <w:t xml:space="preserve"> interval </w:t>
      </w:r>
      <w:proofErr w:type="spellStart"/>
      <w:r w:rsidR="00F13FDA" w:rsidRPr="00F13FDA">
        <w:t>vs</w:t>
      </w:r>
      <w:proofErr w:type="spellEnd"/>
      <w:r w:rsidR="00F13FDA" w:rsidRPr="00F13FDA">
        <w:t xml:space="preserve"> the </w:t>
      </w:r>
      <w:r>
        <w:t>r</w:t>
      </w:r>
      <w:r w:rsidR="00F13FDA" w:rsidRPr="00F13FDA">
        <w:t>omidepsin plasma concentration in the central compartment for study GPI-06-0005</w:t>
      </w:r>
      <w:r w:rsidR="001A6D20">
        <w:t xml:space="preserve">; and </w:t>
      </w:r>
      <w:r w:rsidR="00F13FDA" w:rsidRPr="00F13FDA">
        <w:t xml:space="preserve">the </w:t>
      </w:r>
      <w:proofErr w:type="spellStart"/>
      <w:r w:rsidR="00F13FDA" w:rsidRPr="00F13FDA">
        <w:t>QTcF</w:t>
      </w:r>
      <w:proofErr w:type="spellEnd"/>
      <w:r w:rsidR="00F13FDA" w:rsidRPr="00F13FDA">
        <w:t xml:space="preserve"> interval </w:t>
      </w:r>
      <w:proofErr w:type="spellStart"/>
      <w:r w:rsidR="00F13FDA" w:rsidRPr="00F13FDA">
        <w:t>vs</w:t>
      </w:r>
      <w:proofErr w:type="spellEnd"/>
      <w:r w:rsidR="00F13FDA" w:rsidRPr="00F13FDA">
        <w:t xml:space="preserve"> the </w:t>
      </w:r>
      <w:r>
        <w:t>r</w:t>
      </w:r>
      <w:r w:rsidR="00F13FDA" w:rsidRPr="00F13FDA">
        <w:t xml:space="preserve">omidepsin plasma concentrations for the integrated data set.  The graphs suggest the absence of a concentration/effect relationship for </w:t>
      </w:r>
      <w:proofErr w:type="spellStart"/>
      <w:r w:rsidR="00F13FDA" w:rsidRPr="00F13FDA">
        <w:t>QTc</w:t>
      </w:r>
      <w:proofErr w:type="spellEnd"/>
      <w:r w:rsidR="00F13FDA" w:rsidRPr="00F13FDA">
        <w:t xml:space="preserve">. </w:t>
      </w:r>
    </w:p>
    <w:p w:rsidR="00F13FDA" w:rsidRPr="00F13FDA" w:rsidRDefault="00F13FDA" w:rsidP="0027219C">
      <w:r w:rsidRPr="00F13FDA">
        <w:lastRenderedPageBreak/>
        <w:t xml:space="preserve">A variety of PD models were used to analyse the </w:t>
      </w:r>
      <w:proofErr w:type="spellStart"/>
      <w:r w:rsidRPr="00F13FDA">
        <w:t>QTc</w:t>
      </w:r>
      <w:proofErr w:type="spellEnd"/>
      <w:r w:rsidRPr="00F13FDA">
        <w:t xml:space="preserve"> interval data.  These models generally suggest that a concentration effect due to a statistically significant decrease in the model objective function value were relative to a concentration/naive model.  However in all cases the 95% CI for the relevant drug effect parameters encompass</w:t>
      </w:r>
      <w:r w:rsidR="001A6D20">
        <w:t xml:space="preserve"> a value of zero indicating no r</w:t>
      </w:r>
      <w:r w:rsidRPr="00F13FDA">
        <w:t xml:space="preserve">omidepsin concentration/effect relationship.  Therefore since a variety of models evaluated for multiple </w:t>
      </w:r>
      <w:proofErr w:type="spellStart"/>
      <w:r w:rsidRPr="00F13FDA">
        <w:t>QTc</w:t>
      </w:r>
      <w:proofErr w:type="spellEnd"/>
      <w:r w:rsidRPr="00F13FDA">
        <w:t xml:space="preserve"> metrics in two data sets using either plasma or peripheral concentration demonstrated lack of an effect </w:t>
      </w:r>
      <w:r w:rsidR="00BE3C3B">
        <w:t>(</w:t>
      </w:r>
      <w:r w:rsidRPr="00F13FDA">
        <w:t>due to 95% CI that contain zero</w:t>
      </w:r>
      <w:r w:rsidR="00BE3C3B">
        <w:t>),</w:t>
      </w:r>
      <w:r w:rsidRPr="00F13FDA">
        <w:t xml:space="preserve"> no concentration/dependent effect of </w:t>
      </w:r>
      <w:proofErr w:type="spellStart"/>
      <w:r w:rsidR="00BE3C3B">
        <w:t>r</w:t>
      </w:r>
      <w:r w:rsidRPr="00F13FDA">
        <w:t>omidepsin</w:t>
      </w:r>
      <w:proofErr w:type="spellEnd"/>
      <w:r w:rsidRPr="00F13FDA">
        <w:t xml:space="preserve"> on the </w:t>
      </w:r>
      <w:proofErr w:type="spellStart"/>
      <w:r w:rsidRPr="00F13FDA">
        <w:t>QTc</w:t>
      </w:r>
      <w:proofErr w:type="spellEnd"/>
      <w:r w:rsidRPr="00F13FDA">
        <w:t xml:space="preserve"> interval is concluded from the present data.  </w:t>
      </w:r>
    </w:p>
    <w:p w:rsidR="00F13FDA" w:rsidRPr="0027219C" w:rsidRDefault="00F13FDA" w:rsidP="0027219C">
      <w:pPr>
        <w:rPr>
          <w:b/>
        </w:rPr>
      </w:pPr>
      <w:r w:rsidRPr="0027219C">
        <w:rPr>
          <w:b/>
        </w:rPr>
        <w:t xml:space="preserve">COMMENT: </w:t>
      </w:r>
    </w:p>
    <w:p w:rsidR="00F13FDA" w:rsidRPr="00F13FDA" w:rsidRDefault="00F13FDA" w:rsidP="0027219C">
      <w:r w:rsidRPr="00F13FDA">
        <w:t>The</w:t>
      </w:r>
      <w:r w:rsidR="00BE3C3B">
        <w:t>se evaluations have shown that r</w:t>
      </w:r>
      <w:r w:rsidRPr="00F13FDA">
        <w:t xml:space="preserve">omidepsin </w:t>
      </w:r>
      <w:r w:rsidR="00BE3C3B">
        <w:t xml:space="preserve">has </w:t>
      </w:r>
      <w:r w:rsidRPr="00F13FDA">
        <w:t xml:space="preserve">no PD effect on the </w:t>
      </w:r>
      <w:proofErr w:type="spellStart"/>
      <w:r w:rsidRPr="00F13FDA">
        <w:t>Fredericia</w:t>
      </w:r>
      <w:proofErr w:type="spellEnd"/>
      <w:r w:rsidR="00BE3C3B">
        <w:t xml:space="preserve"> </w:t>
      </w:r>
      <w:r w:rsidRPr="00F13FDA">
        <w:t xml:space="preserve">corrected QT interval or the change from baseline in </w:t>
      </w:r>
      <w:proofErr w:type="spellStart"/>
      <w:r w:rsidRPr="00F13FDA">
        <w:t>QTcF</w:t>
      </w:r>
      <w:proofErr w:type="spellEnd"/>
      <w:r w:rsidRPr="00F13FDA">
        <w:t xml:space="preserve"> interval as well as the </w:t>
      </w:r>
      <w:proofErr w:type="spellStart"/>
      <w:r w:rsidRPr="00F13FDA">
        <w:t>QTcI</w:t>
      </w:r>
      <w:proofErr w:type="spellEnd"/>
      <w:r w:rsidRPr="00F13FDA">
        <w:t xml:space="preserve"> interval.  Romidepsin was associated with a </w:t>
      </w:r>
      <w:proofErr w:type="spellStart"/>
      <w:r w:rsidRPr="00F13FDA">
        <w:t>pharmacodynamically</w:t>
      </w:r>
      <w:proofErr w:type="spellEnd"/>
      <w:r w:rsidRPr="00F13FDA">
        <w:t xml:space="preserve"> indirect concentration/dependent increase in HR in this modelling based analysis method.  </w:t>
      </w:r>
    </w:p>
    <w:p w:rsidR="00F13FDA" w:rsidRPr="000E4030" w:rsidRDefault="000E4030" w:rsidP="0027219C">
      <w:pPr>
        <w:pStyle w:val="Heading3"/>
      </w:pPr>
      <w:bookmarkStart w:id="24" w:name="_Toc374006737"/>
      <w:r w:rsidRPr="000E4030">
        <w:t xml:space="preserve">Evaluator’s conclusion on pharmacokinetics and </w:t>
      </w:r>
      <w:proofErr w:type="spellStart"/>
      <w:r w:rsidRPr="000E4030">
        <w:t>pharmacodynamics</w:t>
      </w:r>
      <w:bookmarkEnd w:id="24"/>
      <w:proofErr w:type="spellEnd"/>
      <w:r w:rsidR="00F13FDA" w:rsidRPr="000E4030">
        <w:t xml:space="preserve">   </w:t>
      </w:r>
    </w:p>
    <w:p w:rsidR="00F13FDA" w:rsidRPr="00F13FDA" w:rsidRDefault="00166E2B" w:rsidP="009A0EC0">
      <w:r>
        <w:t>In these PK/PD studies r</w:t>
      </w:r>
      <w:r w:rsidR="00125C3B">
        <w:t>omidepsin has exhibited dose-</w:t>
      </w:r>
      <w:r w:rsidR="00F13FDA" w:rsidRPr="00F13FDA">
        <w:t>proportional and linear PKs.  PK did not change appreciably with repeated administration.  Romidepsin PK was also characterised with a three-compartment linear PK model.  The mean area under the curve AUC, peak serum concentration (</w:t>
      </w:r>
      <w:proofErr w:type="spellStart"/>
      <w:r w:rsidR="00F13FDA" w:rsidRPr="00F13FDA">
        <w:t>C</w:t>
      </w:r>
      <w:r w:rsidR="00F13FDA" w:rsidRPr="00F13FDA">
        <w:rPr>
          <w:vertAlign w:val="subscript"/>
        </w:rPr>
        <w:t>max</w:t>
      </w:r>
      <w:proofErr w:type="spellEnd"/>
      <w:r w:rsidR="00F13FDA" w:rsidRPr="00F13FDA">
        <w:t>), half-life and time to maximum concentration (</w:t>
      </w:r>
      <w:proofErr w:type="spellStart"/>
      <w:r w:rsidR="00F13FDA" w:rsidRPr="00F13FDA">
        <w:t>T</w:t>
      </w:r>
      <w:r w:rsidR="00F13FDA" w:rsidRPr="00F13FDA">
        <w:rPr>
          <w:vertAlign w:val="subscript"/>
        </w:rPr>
        <w:t>max</w:t>
      </w:r>
      <w:proofErr w:type="spellEnd"/>
      <w:r w:rsidR="00F13FDA" w:rsidRPr="00F13FDA">
        <w:t xml:space="preserve">) were 1549ng/hr/ml, 377ng/ml, 2.92 hours and four hours respectively.  Romidepsin exhibited moderate variability in its PK with the inter-subject variability in clearance (CL) and volume of central compartments (V1) estimated to be 34% and 47% respectively. </w:t>
      </w:r>
    </w:p>
    <w:p w:rsidR="00F13FDA" w:rsidRPr="00F13FDA" w:rsidRDefault="00F13FDA" w:rsidP="009A0EC0">
      <w:r w:rsidRPr="00F13FDA">
        <w:t>In a PPK analysis age, ra</w:t>
      </w:r>
      <w:r w:rsidR="00125C3B">
        <w:t>ce, gender and mild to moderate or</w:t>
      </w:r>
      <w:r w:rsidRPr="00F13FDA">
        <w:t xml:space="preserve"> mild to severe renal impairment and mild hepat</w:t>
      </w:r>
      <w:r w:rsidR="00125C3B">
        <w:t>ic impairment had no effect on r</w:t>
      </w:r>
      <w:r w:rsidRPr="00F13FDA">
        <w:t xml:space="preserve">omidepsin PK.  Study effect and weight were the two </w:t>
      </w:r>
      <w:r w:rsidR="00125C3B">
        <w:t>most significant predictors of r</w:t>
      </w:r>
      <w:r w:rsidRPr="00F13FDA">
        <w:t xml:space="preserve">omidepsin CL in the integrated PPK model.  </w:t>
      </w:r>
      <w:r w:rsidR="00125C3B">
        <w:t xml:space="preserve">Weight </w:t>
      </w:r>
      <w:r w:rsidRPr="00F13FDA">
        <w:t>accounted for approxima</w:t>
      </w:r>
      <w:r w:rsidR="00125C3B">
        <w:t>tely 2% of the variability in r</w:t>
      </w:r>
      <w:r w:rsidRPr="00F13FDA">
        <w:t xml:space="preserve">omidepsin CL </w:t>
      </w:r>
      <w:r w:rsidR="00125C3B">
        <w:t xml:space="preserve">and </w:t>
      </w:r>
      <w:r w:rsidRPr="00F13FDA">
        <w:t xml:space="preserve">study effect explained 4% of the </w:t>
      </w:r>
      <w:r w:rsidR="00125C3B" w:rsidRPr="00F13FDA">
        <w:t>variability</w:t>
      </w:r>
      <w:r w:rsidRPr="00F13FDA">
        <w:t xml:space="preserve">.  </w:t>
      </w:r>
    </w:p>
    <w:p w:rsidR="00586F98" w:rsidRDefault="00125C3B" w:rsidP="009A0EC0">
      <w:r>
        <w:t>The potential of r</w:t>
      </w:r>
      <w:r w:rsidR="00F13FDA" w:rsidRPr="00F13FDA">
        <w:t xml:space="preserve">omidepsin to prolong the heart rate-corrected QT interval in patients with advanced malignancies revealed no concentration dependent effect of </w:t>
      </w:r>
      <w:r>
        <w:t>r</w:t>
      </w:r>
      <w:r w:rsidR="00F13FDA" w:rsidRPr="00F13FDA">
        <w:t xml:space="preserve">omidepsin on the duration of </w:t>
      </w:r>
      <w:proofErr w:type="spellStart"/>
      <w:r w:rsidR="00F13FDA" w:rsidRPr="00F13FDA">
        <w:t>QTc</w:t>
      </w:r>
      <w:proofErr w:type="spellEnd"/>
      <w:r w:rsidR="00F13FDA" w:rsidRPr="00F13FDA">
        <w:t xml:space="preserve"> interval</w:t>
      </w:r>
      <w:r>
        <w:t>,</w:t>
      </w:r>
      <w:r w:rsidR="00F13FDA" w:rsidRPr="00F13FDA">
        <w:t xml:space="preserve"> and both central tendency and categorical analyses</w:t>
      </w:r>
      <w:r>
        <w:t xml:space="preserve"> showed no effect of dosing of r</w:t>
      </w:r>
      <w:r w:rsidR="00F13FDA" w:rsidRPr="00F13FDA">
        <w:t xml:space="preserve">omidepsin on heart rate-corrected </w:t>
      </w:r>
      <w:proofErr w:type="spellStart"/>
      <w:r w:rsidR="00F13FDA" w:rsidRPr="00F13FDA">
        <w:t>QTc</w:t>
      </w:r>
      <w:proofErr w:type="spellEnd"/>
      <w:r w:rsidR="00F13FDA" w:rsidRPr="00F13FDA">
        <w:t xml:space="preserve"> interval.   </w:t>
      </w:r>
    </w:p>
    <w:p w:rsidR="00586F98" w:rsidRDefault="00C22678" w:rsidP="009A0EC0">
      <w:pPr>
        <w:pStyle w:val="Heading2"/>
      </w:pPr>
      <w:bookmarkStart w:id="25" w:name="_Toc374006738"/>
      <w:r>
        <w:t>Dosage selection for the pivotal studies</w:t>
      </w:r>
      <w:bookmarkEnd w:id="25"/>
    </w:p>
    <w:p w:rsidR="000103AA" w:rsidRPr="000103AA" w:rsidRDefault="000103AA" w:rsidP="009A0EC0">
      <w:pPr>
        <w:rPr>
          <w:lang w:eastAsia="ja-JP"/>
        </w:rPr>
      </w:pPr>
      <w:r w:rsidRPr="000103AA">
        <w:rPr>
          <w:lang w:eastAsia="ja-JP"/>
        </w:rPr>
        <w:t>The</w:t>
      </w:r>
      <w:r w:rsidR="00CC7CB9">
        <w:rPr>
          <w:lang w:eastAsia="ja-JP"/>
        </w:rPr>
        <w:t xml:space="preserve"> early clinical development of r</w:t>
      </w:r>
      <w:r w:rsidRPr="000103AA">
        <w:rPr>
          <w:lang w:eastAsia="ja-JP"/>
        </w:rPr>
        <w:t xml:space="preserve">omidepsin included two phase I dose escalation safety and tolerability studies, </w:t>
      </w:r>
      <w:proofErr w:type="spellStart"/>
      <w:r w:rsidRPr="000103AA">
        <w:rPr>
          <w:lang w:eastAsia="ja-JP"/>
        </w:rPr>
        <w:t>ie</w:t>
      </w:r>
      <w:proofErr w:type="spellEnd"/>
      <w:r w:rsidRPr="000103AA">
        <w:rPr>
          <w:lang w:eastAsia="ja-JP"/>
        </w:rPr>
        <w:t xml:space="preserve"> study T-95-0022 and study T-95-0077 previously discussed.  Based on the MTD observed in study T-95-0077 and observed clinical activity in patients with T-cell lymphomas, the initial dose selected for the first phase II study NCI 1312 was 17.8mg/m</w:t>
      </w:r>
      <w:r w:rsidRPr="000103AA">
        <w:rPr>
          <w:vertAlign w:val="superscript"/>
          <w:lang w:eastAsia="ja-JP"/>
        </w:rPr>
        <w:t>2</w:t>
      </w:r>
      <w:r w:rsidRPr="000103AA">
        <w:rPr>
          <w:lang w:eastAsia="ja-JP"/>
        </w:rPr>
        <w:t xml:space="preserve"> administered on days 1 and 5 in a 21-day cycle.  The dosing schedule was subsequently changed to 14mg/m</w:t>
      </w:r>
      <w:r w:rsidRPr="000103AA">
        <w:rPr>
          <w:vertAlign w:val="superscript"/>
          <w:lang w:eastAsia="ja-JP"/>
        </w:rPr>
        <w:t>2</w:t>
      </w:r>
      <w:r w:rsidRPr="000103AA">
        <w:rPr>
          <w:lang w:eastAsia="ja-JP"/>
        </w:rPr>
        <w:t xml:space="preserve"> administered on days 1, 8 and 15 in a 28-day cycle to improve tolerability.  This dose was used in the pivotal study for CTCL initiated in 2005.  </w:t>
      </w:r>
    </w:p>
    <w:p w:rsidR="00C22678" w:rsidRPr="00586F98" w:rsidRDefault="000103AA" w:rsidP="009A0EC0">
      <w:pPr>
        <w:rPr>
          <w:lang w:eastAsia="ja-JP"/>
        </w:rPr>
      </w:pPr>
      <w:r w:rsidRPr="000103AA">
        <w:rPr>
          <w:lang w:eastAsia="ja-JP"/>
        </w:rPr>
        <w:t>Based on encouraging results observed on NCI study 1312 in heavily pre-treated and refractory patients with PTCL and the interim data available from patients with CTCL</w:t>
      </w:r>
      <w:r w:rsidR="00CC7CB9">
        <w:rPr>
          <w:lang w:eastAsia="ja-JP"/>
        </w:rPr>
        <w:t>,</w:t>
      </w:r>
      <w:r w:rsidRPr="000103AA">
        <w:rPr>
          <w:lang w:eastAsia="ja-JP"/>
        </w:rPr>
        <w:t xml:space="preserve"> a pivotal phase II trial in patients with relapsed/refractory PTCL</w:t>
      </w:r>
      <w:r w:rsidR="00CC7CB9">
        <w:rPr>
          <w:lang w:eastAsia="ja-JP"/>
        </w:rPr>
        <w:t>,</w:t>
      </w:r>
      <w:r w:rsidRPr="000103AA">
        <w:rPr>
          <w:lang w:eastAsia="ja-JP"/>
        </w:rPr>
        <w:t xml:space="preserve"> study GPI-06-0002</w:t>
      </w:r>
      <w:r w:rsidR="00CC7CB9">
        <w:rPr>
          <w:lang w:eastAsia="ja-JP"/>
        </w:rPr>
        <w:t>,</w:t>
      </w:r>
      <w:r w:rsidRPr="000103AA">
        <w:rPr>
          <w:lang w:eastAsia="ja-JP"/>
        </w:rPr>
        <w:t xml:space="preserve"> was planned and initiated in 2007.  </w:t>
      </w:r>
    </w:p>
    <w:p w:rsidR="00C22678" w:rsidRDefault="00C22678" w:rsidP="009A0EC0">
      <w:pPr>
        <w:pStyle w:val="Heading2"/>
      </w:pPr>
      <w:bookmarkStart w:id="26" w:name="_Toc374006739"/>
      <w:r>
        <w:lastRenderedPageBreak/>
        <w:t>Clinical efficacy</w:t>
      </w:r>
      <w:bookmarkEnd w:id="26"/>
    </w:p>
    <w:p w:rsidR="009C0CA0" w:rsidRDefault="009C0CA0" w:rsidP="009A0EC0">
      <w:pPr>
        <w:pStyle w:val="Heading3"/>
      </w:pPr>
      <w:bookmarkStart w:id="27" w:name="_Toc374006740"/>
      <w:r>
        <w:t>Data providing efficacy data</w:t>
      </w:r>
      <w:bookmarkEnd w:id="27"/>
    </w:p>
    <w:p w:rsidR="000103AA" w:rsidRDefault="000103AA" w:rsidP="009A0EC0">
      <w:pPr>
        <w:rPr>
          <w:lang w:eastAsia="ja-JP"/>
        </w:rPr>
      </w:pPr>
      <w:r w:rsidRPr="000103AA">
        <w:rPr>
          <w:lang w:eastAsia="ja-JP"/>
        </w:rPr>
        <w:t xml:space="preserve">Data for efficacy in this submission involves two studies, namely the pivotal study GPI-06-0002 and the supportive study NCI 1312.  </w:t>
      </w:r>
    </w:p>
    <w:p w:rsidR="009C0CA0" w:rsidRDefault="009C0CA0" w:rsidP="009A0EC0">
      <w:pPr>
        <w:pStyle w:val="Heading3"/>
      </w:pPr>
      <w:bookmarkStart w:id="28" w:name="_Toc374006741"/>
      <w:r>
        <w:t>S</w:t>
      </w:r>
      <w:r w:rsidRPr="009C0CA0">
        <w:t xml:space="preserve">tudy GPI-06-0002 </w:t>
      </w:r>
      <w:r>
        <w:t>(pivotal study)</w:t>
      </w:r>
      <w:bookmarkEnd w:id="28"/>
    </w:p>
    <w:p w:rsidR="000103AA" w:rsidRPr="000103AA" w:rsidRDefault="000103AA" w:rsidP="009A0EC0">
      <w:pPr>
        <w:rPr>
          <w:lang w:eastAsia="ja-JP"/>
        </w:rPr>
      </w:pPr>
      <w:r w:rsidRPr="000103AA">
        <w:rPr>
          <w:lang w:eastAsia="ja-JP"/>
        </w:rPr>
        <w:t>The pivotal study GPI-06-0002 was a phase II multicentre open-label trial evaluating th</w:t>
      </w:r>
      <w:r w:rsidR="00136E13">
        <w:rPr>
          <w:lang w:eastAsia="ja-JP"/>
        </w:rPr>
        <w:t>e activity and tolerability of r</w:t>
      </w:r>
      <w:r w:rsidRPr="000103AA">
        <w:rPr>
          <w:lang w:eastAsia="ja-JP"/>
        </w:rPr>
        <w:t xml:space="preserve">omidepsin in progressive or relapsed peripheral T-cell lymphoma following prior systemic therapy.  </w:t>
      </w:r>
    </w:p>
    <w:p w:rsidR="000103AA" w:rsidRPr="000103AA" w:rsidRDefault="000103AA" w:rsidP="009A0EC0">
      <w:pPr>
        <w:rPr>
          <w:lang w:eastAsia="ja-JP"/>
        </w:rPr>
      </w:pPr>
      <w:r w:rsidRPr="000103AA">
        <w:rPr>
          <w:lang w:eastAsia="ja-JP"/>
        </w:rPr>
        <w:t>The sponsors indicate that the choice of a single-arm design</w:t>
      </w:r>
      <w:r w:rsidR="001D0750">
        <w:rPr>
          <w:lang w:eastAsia="ja-JP"/>
        </w:rPr>
        <w:t xml:space="preserve"> was based on several factors. </w:t>
      </w:r>
      <w:r w:rsidRPr="000103AA">
        <w:rPr>
          <w:lang w:eastAsia="ja-JP"/>
        </w:rPr>
        <w:t>It is noted that PTCL is a rare and heterogeneous disease with many histological sub-types which make it difficult to accrue a sufficient number of homogenous patients to balance two separate treatment arms in a population wit</w:t>
      </w:r>
      <w:r w:rsidR="001D0750">
        <w:rPr>
          <w:lang w:eastAsia="ja-JP"/>
        </w:rPr>
        <w:t xml:space="preserve">h relapsed or refractory PTCL. </w:t>
      </w:r>
      <w:r w:rsidRPr="000103AA">
        <w:rPr>
          <w:lang w:eastAsia="ja-JP"/>
        </w:rPr>
        <w:t>At the time the study was initiated there were no other agents considered standard for second-line treatment of patients with PT</w:t>
      </w:r>
      <w:r w:rsidR="001D0750">
        <w:rPr>
          <w:lang w:eastAsia="ja-JP"/>
        </w:rPr>
        <w:t xml:space="preserve">CL. </w:t>
      </w:r>
      <w:r w:rsidRPr="000103AA">
        <w:rPr>
          <w:lang w:eastAsia="ja-JP"/>
        </w:rPr>
        <w:t xml:space="preserve">It was considered the alternative of using a placebo or best supportive care control was unethical in a disease with significant morbidity and mortality and in a patient population who had progressed despite prior systemic therapy.  </w:t>
      </w:r>
    </w:p>
    <w:p w:rsidR="002966AC" w:rsidRDefault="002966AC" w:rsidP="009A0EC0">
      <w:pPr>
        <w:pStyle w:val="Heading4"/>
      </w:pPr>
      <w:r>
        <w:t>Design and objectives</w:t>
      </w:r>
    </w:p>
    <w:p w:rsidR="000103AA" w:rsidRPr="000103AA" w:rsidRDefault="000103AA" w:rsidP="009A0EC0">
      <w:pPr>
        <w:rPr>
          <w:lang w:eastAsia="ja-JP"/>
        </w:rPr>
      </w:pPr>
      <w:r w:rsidRPr="000103AA">
        <w:rPr>
          <w:lang w:eastAsia="ja-JP"/>
        </w:rPr>
        <w:t>Study GPI-06-0002 was a rigorously conducted trial that employed a prospective</w:t>
      </w:r>
      <w:r w:rsidR="001D0750">
        <w:rPr>
          <w:lang w:eastAsia="ja-JP"/>
        </w:rPr>
        <w:t>,</w:t>
      </w:r>
      <w:r w:rsidRPr="000103AA">
        <w:rPr>
          <w:lang w:eastAsia="ja-JP"/>
        </w:rPr>
        <w:t xml:space="preserve"> independent review of biopsy samples to confirm the histopathological diagnosis of PTCL and an independent review of both radiographic and clinical data to assess response to treatment by an indep</w:t>
      </w:r>
      <w:r w:rsidR="001D0750">
        <w:rPr>
          <w:lang w:eastAsia="ja-JP"/>
        </w:rPr>
        <w:t xml:space="preserve">endent review committee (IRC). </w:t>
      </w:r>
      <w:r w:rsidRPr="000103AA">
        <w:rPr>
          <w:lang w:eastAsia="ja-JP"/>
        </w:rPr>
        <w:t xml:space="preserve">Both the IRC and the site investigators assessed tumour burden and response to treatment based on internationally recognised response criteria in patients with lymphoma, </w:t>
      </w:r>
      <w:proofErr w:type="spellStart"/>
      <w:r w:rsidRPr="000103AA">
        <w:rPr>
          <w:lang w:eastAsia="ja-JP"/>
        </w:rPr>
        <w:t>ie</w:t>
      </w:r>
      <w:proofErr w:type="spellEnd"/>
      <w:r w:rsidRPr="000103AA">
        <w:rPr>
          <w:lang w:eastAsia="ja-JP"/>
        </w:rPr>
        <w:t xml:space="preserve"> the International Workshop Criteria (IWC).  </w:t>
      </w:r>
    </w:p>
    <w:p w:rsidR="000103AA" w:rsidRPr="000103AA" w:rsidRDefault="000103AA" w:rsidP="009A0EC0">
      <w:pPr>
        <w:rPr>
          <w:lang w:eastAsia="ja-JP"/>
        </w:rPr>
      </w:pPr>
      <w:r w:rsidRPr="000103AA">
        <w:rPr>
          <w:lang w:eastAsia="ja-JP"/>
        </w:rPr>
        <w:t xml:space="preserve">The primary endpoint for the study was the complete response rate which is defined as both complete response </w:t>
      </w:r>
      <w:r w:rsidR="001D0750">
        <w:rPr>
          <w:lang w:eastAsia="ja-JP"/>
        </w:rPr>
        <w:t xml:space="preserve">(CR) </w:t>
      </w:r>
      <w:r w:rsidRPr="000103AA">
        <w:rPr>
          <w:lang w:eastAsia="ja-JP"/>
        </w:rPr>
        <w:t xml:space="preserve">and unconfirmed complete response </w:t>
      </w:r>
      <w:r w:rsidR="00E46E37">
        <w:rPr>
          <w:lang w:eastAsia="ja-JP"/>
        </w:rPr>
        <w:t>(</w:t>
      </w:r>
      <w:proofErr w:type="spellStart"/>
      <w:r w:rsidR="001D0750">
        <w:rPr>
          <w:lang w:eastAsia="ja-JP"/>
        </w:rPr>
        <w:t>CR</w:t>
      </w:r>
      <w:r w:rsidR="000F3D5A">
        <w:rPr>
          <w:lang w:eastAsia="ja-JP"/>
        </w:rPr>
        <w:t>u</w:t>
      </w:r>
      <w:proofErr w:type="spellEnd"/>
      <w:r w:rsidR="001D0750">
        <w:rPr>
          <w:lang w:eastAsia="ja-JP"/>
        </w:rPr>
        <w:t xml:space="preserve">) per the IWC. </w:t>
      </w:r>
      <w:r w:rsidRPr="000103AA">
        <w:rPr>
          <w:lang w:eastAsia="ja-JP"/>
        </w:rPr>
        <w:t>The complete response was chosen for two primary reasons; (a) in a single arm study response is the only direct measure of activity</w:t>
      </w:r>
      <w:r w:rsidR="001D0750">
        <w:rPr>
          <w:lang w:eastAsia="ja-JP"/>
        </w:rPr>
        <w:t>,</w:t>
      </w:r>
      <w:r w:rsidRPr="000103AA">
        <w:rPr>
          <w:lang w:eastAsia="ja-JP"/>
        </w:rPr>
        <w:t xml:space="preserve"> and (b) </w:t>
      </w:r>
      <w:r w:rsidR="001D0750">
        <w:rPr>
          <w:lang w:eastAsia="ja-JP"/>
        </w:rPr>
        <w:t xml:space="preserve">it </w:t>
      </w:r>
      <w:r w:rsidRPr="000103AA">
        <w:rPr>
          <w:lang w:eastAsia="ja-JP"/>
        </w:rPr>
        <w:t xml:space="preserve">was considered to be a reasonably likely predictor of clinical benefit in patients with relapsed disease. </w:t>
      </w:r>
    </w:p>
    <w:p w:rsidR="000103AA" w:rsidRPr="00682074" w:rsidRDefault="001D0750" w:rsidP="009A0EC0">
      <w:r>
        <w:t>Patients received r</w:t>
      </w:r>
      <w:r w:rsidR="000103AA" w:rsidRPr="00682074">
        <w:t>omidepsin at a dose 14mg/m</w:t>
      </w:r>
      <w:r w:rsidR="000103AA" w:rsidRPr="00682074">
        <w:rPr>
          <w:vertAlign w:val="superscript"/>
        </w:rPr>
        <w:t>2</w:t>
      </w:r>
      <w:r w:rsidR="000103AA" w:rsidRPr="00682074">
        <w:t xml:space="preserve"> IV over four hours on days 1, 8 and 15 at each 28-day cycle.  Six cycles of treatment were planned and patients who developed progressive disease, significant toxicity or met other criteria for the study termination </w:t>
      </w:r>
      <w:r>
        <w:t xml:space="preserve">were to discontinue treatment. </w:t>
      </w:r>
      <w:r w:rsidR="000103AA" w:rsidRPr="00682074">
        <w:t xml:space="preserve">Responding patients had the option of continuing beyond six cycles if desired.  </w:t>
      </w:r>
    </w:p>
    <w:p w:rsidR="000103AA" w:rsidRPr="000103AA" w:rsidRDefault="000103AA" w:rsidP="009A0EC0">
      <w:pPr>
        <w:rPr>
          <w:lang w:eastAsia="ja-JP"/>
        </w:rPr>
      </w:pPr>
      <w:r w:rsidRPr="000103AA">
        <w:rPr>
          <w:lang w:eastAsia="ja-JP"/>
        </w:rPr>
        <w:t>Screening assessments conducted 2-4 weeks prior to initiation of therapy included medical history, physical exam, vital signs, ECOG status, safety and laboratory assessments</w:t>
      </w:r>
      <w:r w:rsidR="008B705E">
        <w:rPr>
          <w:lang w:eastAsia="ja-JP"/>
        </w:rPr>
        <w:t>,</w:t>
      </w:r>
      <w:r w:rsidRPr="000103AA">
        <w:rPr>
          <w:lang w:eastAsia="ja-JP"/>
        </w:rPr>
        <w:t xml:space="preserve"> and 12-lead ECG.  Assessments of tumour burden through radiographic evaluation, bone marrow assessment and evaluation of skin lesions w</w:t>
      </w:r>
      <w:r w:rsidR="00E97ACC">
        <w:rPr>
          <w:lang w:eastAsia="ja-JP"/>
        </w:rPr>
        <w:t>ere</w:t>
      </w:r>
      <w:r w:rsidRPr="000103AA">
        <w:rPr>
          <w:lang w:eastAsia="ja-JP"/>
        </w:rPr>
        <w:t xml:space="preserve"> undertaken.  </w:t>
      </w:r>
    </w:p>
    <w:p w:rsidR="000103AA" w:rsidRPr="000103AA" w:rsidRDefault="000103AA" w:rsidP="009A0EC0">
      <w:pPr>
        <w:rPr>
          <w:lang w:eastAsia="ja-JP"/>
        </w:rPr>
      </w:pPr>
      <w:r w:rsidRPr="000103AA">
        <w:rPr>
          <w:lang w:eastAsia="ja-JP"/>
        </w:rPr>
        <w:t xml:space="preserve">Re-assessment was undertaken every four weeks.  A repeat radiographic evaluation </w:t>
      </w:r>
      <w:r w:rsidR="00E97ACC">
        <w:rPr>
          <w:lang w:eastAsia="ja-JP"/>
        </w:rPr>
        <w:t xml:space="preserve">was performed </w:t>
      </w:r>
      <w:r w:rsidRPr="000103AA">
        <w:rPr>
          <w:lang w:eastAsia="ja-JP"/>
        </w:rPr>
        <w:t>after every two cycles.  Patients who completed treatment were followed every two months until disease progression, withdrawal from study or the start of alternate therapy.</w:t>
      </w:r>
    </w:p>
    <w:p w:rsidR="000103AA" w:rsidRPr="000103AA" w:rsidRDefault="000103AA" w:rsidP="009A0EC0">
      <w:pPr>
        <w:rPr>
          <w:lang w:eastAsia="ja-JP"/>
        </w:rPr>
      </w:pPr>
      <w:r w:rsidRPr="000103AA">
        <w:rPr>
          <w:lang w:eastAsia="ja-JP"/>
        </w:rPr>
        <w:t xml:space="preserve">Inclusion criteria included male and female patients at least 18 years of age with </w:t>
      </w:r>
      <w:proofErr w:type="spellStart"/>
      <w:r w:rsidRPr="000103AA">
        <w:rPr>
          <w:lang w:eastAsia="ja-JP"/>
        </w:rPr>
        <w:t>histopathologically</w:t>
      </w:r>
      <w:proofErr w:type="spellEnd"/>
      <w:r w:rsidRPr="000103AA">
        <w:rPr>
          <w:lang w:eastAsia="ja-JP"/>
        </w:rPr>
        <w:t xml:space="preserve"> confirmed PTCL who had progressive disease following</w:t>
      </w:r>
      <w:r w:rsidR="00E97ACC">
        <w:rPr>
          <w:lang w:eastAsia="ja-JP"/>
        </w:rPr>
        <w:t>,</w:t>
      </w:r>
      <w:r w:rsidRPr="000103AA">
        <w:rPr>
          <w:lang w:eastAsia="ja-JP"/>
        </w:rPr>
        <w:t xml:space="preserve"> or </w:t>
      </w:r>
      <w:r w:rsidR="00E97ACC">
        <w:rPr>
          <w:lang w:eastAsia="ja-JP"/>
        </w:rPr>
        <w:t xml:space="preserve">were </w:t>
      </w:r>
      <w:r w:rsidRPr="000103AA">
        <w:rPr>
          <w:lang w:eastAsia="ja-JP"/>
        </w:rPr>
        <w:t>refractory to</w:t>
      </w:r>
      <w:r w:rsidR="00E97ACC">
        <w:rPr>
          <w:lang w:eastAsia="ja-JP"/>
        </w:rPr>
        <w:t>,</w:t>
      </w:r>
      <w:r w:rsidRPr="000103AA">
        <w:rPr>
          <w:lang w:eastAsia="ja-JP"/>
        </w:rPr>
        <w:t xml:space="preserve"> at least one prior systemic therapy.  Histopathological diagnoses were confirmed by a central laboratory.</w:t>
      </w:r>
    </w:p>
    <w:p w:rsidR="000103AA" w:rsidRPr="000103AA" w:rsidRDefault="000103AA" w:rsidP="009A0EC0">
      <w:pPr>
        <w:rPr>
          <w:lang w:eastAsia="ja-JP"/>
        </w:rPr>
      </w:pPr>
      <w:r w:rsidRPr="000103AA">
        <w:rPr>
          <w:lang w:eastAsia="ja-JP"/>
        </w:rPr>
        <w:lastRenderedPageBreak/>
        <w:t>Eligible histology as defined by the WHO classification included all variants of PTCL but exclud</w:t>
      </w:r>
      <w:r w:rsidR="00E97ACC">
        <w:rPr>
          <w:lang w:eastAsia="ja-JP"/>
        </w:rPr>
        <w:t xml:space="preserve">ed </w:t>
      </w:r>
      <w:r w:rsidRPr="000103AA">
        <w:rPr>
          <w:lang w:eastAsia="ja-JP"/>
        </w:rPr>
        <w:t xml:space="preserve">mycosis </w:t>
      </w:r>
      <w:proofErr w:type="spellStart"/>
      <w:r w:rsidRPr="000103AA">
        <w:rPr>
          <w:lang w:eastAsia="ja-JP"/>
        </w:rPr>
        <w:t>fungoides</w:t>
      </w:r>
      <w:proofErr w:type="spellEnd"/>
      <w:r w:rsidRPr="000103AA">
        <w:rPr>
          <w:lang w:eastAsia="ja-JP"/>
        </w:rPr>
        <w:t xml:space="preserve"> or </w:t>
      </w:r>
      <w:proofErr w:type="spellStart"/>
      <w:r w:rsidRPr="000103AA">
        <w:rPr>
          <w:lang w:eastAsia="ja-JP"/>
        </w:rPr>
        <w:t>Sezary</w:t>
      </w:r>
      <w:proofErr w:type="spellEnd"/>
      <w:r w:rsidRPr="000103AA">
        <w:rPr>
          <w:lang w:eastAsia="ja-JP"/>
        </w:rPr>
        <w:t xml:space="preserve"> syndrome</w:t>
      </w:r>
      <w:r w:rsidR="00E97ACC">
        <w:rPr>
          <w:lang w:eastAsia="ja-JP"/>
        </w:rPr>
        <w:t>,</w:t>
      </w:r>
      <w:r w:rsidRPr="000103AA">
        <w:rPr>
          <w:lang w:eastAsia="ja-JP"/>
        </w:rPr>
        <w:t xml:space="preserve"> although transformed mycosis </w:t>
      </w:r>
      <w:proofErr w:type="spellStart"/>
      <w:r w:rsidRPr="000103AA">
        <w:rPr>
          <w:lang w:eastAsia="ja-JP"/>
        </w:rPr>
        <w:t>fungoides</w:t>
      </w:r>
      <w:proofErr w:type="spellEnd"/>
      <w:r w:rsidRPr="000103AA">
        <w:rPr>
          <w:lang w:eastAsia="ja-JP"/>
        </w:rPr>
        <w:t xml:space="preserve"> was included.  </w:t>
      </w:r>
    </w:p>
    <w:p w:rsidR="000103AA" w:rsidRPr="000103AA" w:rsidRDefault="000103AA" w:rsidP="009A0EC0">
      <w:pPr>
        <w:rPr>
          <w:lang w:eastAsia="ja-JP"/>
        </w:rPr>
      </w:pPr>
      <w:r w:rsidRPr="000103AA">
        <w:rPr>
          <w:lang w:eastAsia="ja-JP"/>
        </w:rPr>
        <w:t>Patients were required to have measurable disease according to the IWC criteria</w:t>
      </w:r>
      <w:r w:rsidR="00E97ACC">
        <w:rPr>
          <w:lang w:eastAsia="ja-JP"/>
        </w:rPr>
        <w:t xml:space="preserve">, </w:t>
      </w:r>
      <w:r w:rsidRPr="000103AA">
        <w:rPr>
          <w:lang w:eastAsia="ja-JP"/>
        </w:rPr>
        <w:t xml:space="preserve">ECOG status </w:t>
      </w:r>
      <w:r w:rsidR="00E97ACC">
        <w:rPr>
          <w:lang w:eastAsia="ja-JP"/>
        </w:rPr>
        <w:t xml:space="preserve">of </w:t>
      </w:r>
      <w:r w:rsidRPr="000103AA">
        <w:rPr>
          <w:lang w:eastAsia="ja-JP"/>
        </w:rPr>
        <w:t>0-</w:t>
      </w:r>
      <w:r w:rsidR="00E46E37">
        <w:rPr>
          <w:lang w:eastAsia="ja-JP"/>
        </w:rPr>
        <w:t>2, adequate bone marrow function</w:t>
      </w:r>
      <w:r w:rsidRPr="000103AA">
        <w:rPr>
          <w:lang w:eastAsia="ja-JP"/>
        </w:rPr>
        <w:t xml:space="preserve"> and no known significant cardiac abnormalities. </w:t>
      </w:r>
    </w:p>
    <w:p w:rsidR="000103AA" w:rsidRDefault="000103AA" w:rsidP="009A0EC0">
      <w:pPr>
        <w:rPr>
          <w:lang w:eastAsia="ja-JP"/>
        </w:rPr>
      </w:pPr>
      <w:r w:rsidRPr="000103AA">
        <w:rPr>
          <w:lang w:eastAsia="ja-JP"/>
        </w:rPr>
        <w:t xml:space="preserve">Outlined in Table </w:t>
      </w:r>
      <w:r w:rsidR="008B705E">
        <w:rPr>
          <w:lang w:eastAsia="ja-JP"/>
        </w:rPr>
        <w:t>8</w:t>
      </w:r>
      <w:r w:rsidRPr="000103AA">
        <w:rPr>
          <w:lang w:eastAsia="ja-JP"/>
        </w:rPr>
        <w:t xml:space="preserve"> are the efficacy assessments conducted during the study to assess response to treatment</w:t>
      </w:r>
      <w:r w:rsidR="006A4728">
        <w:rPr>
          <w:lang w:eastAsia="ja-JP"/>
        </w:rPr>
        <w:t>,</w:t>
      </w:r>
      <w:r w:rsidRPr="000103AA">
        <w:rPr>
          <w:lang w:eastAsia="ja-JP"/>
        </w:rPr>
        <w:t xml:space="preserve"> thoroughly evaluating disease burden in the patients enrolled in this study.  These assessments were conducted after every second cycle of treatment.  </w:t>
      </w:r>
    </w:p>
    <w:p w:rsidR="001E5256" w:rsidRDefault="008B705E" w:rsidP="009A0EC0">
      <w:pPr>
        <w:pStyle w:val="TableTitle"/>
        <w:rPr>
          <w:lang w:eastAsia="ja-JP"/>
        </w:rPr>
      </w:pPr>
      <w:r>
        <w:rPr>
          <w:lang w:eastAsia="ja-JP"/>
        </w:rPr>
        <w:t>Table 8</w:t>
      </w:r>
      <w:r w:rsidR="001E5256">
        <w:rPr>
          <w:lang w:eastAsia="ja-JP"/>
        </w:rPr>
        <w:t>. Efficacy Evaluations Conducted During Study GPI-06-0002 to Evaluate Response to Treatment</w:t>
      </w:r>
    </w:p>
    <w:p w:rsidR="009E1968" w:rsidRDefault="001E5256" w:rsidP="009A0EC0">
      <w:pPr>
        <w:rPr>
          <w:lang w:eastAsia="ja-JP"/>
        </w:rPr>
      </w:pPr>
      <w:r>
        <w:rPr>
          <w:noProof/>
          <w:lang w:eastAsia="en-AU"/>
        </w:rPr>
        <w:drawing>
          <wp:inline distT="0" distB="0" distL="0" distR="0">
            <wp:extent cx="4902774" cy="2727630"/>
            <wp:effectExtent l="19050" t="0" r="0" b="0"/>
            <wp:docPr id="42" name="Picture 42" descr="Table 8. Efficacy Evaluations Conducted During Study GPI-06-0002 to Evaluate Response to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srcRect t="9909"/>
                    <a:stretch>
                      <a:fillRect/>
                    </a:stretch>
                  </pic:blipFill>
                  <pic:spPr bwMode="auto">
                    <a:xfrm>
                      <a:off x="0" y="0"/>
                      <a:ext cx="4899041" cy="2725553"/>
                    </a:xfrm>
                    <a:prstGeom prst="rect">
                      <a:avLst/>
                    </a:prstGeom>
                    <a:noFill/>
                    <a:ln w="9525">
                      <a:noFill/>
                      <a:miter lim="800000"/>
                      <a:headEnd/>
                      <a:tailEnd/>
                    </a:ln>
                  </pic:spPr>
                </pic:pic>
              </a:graphicData>
            </a:graphic>
          </wp:inline>
        </w:drawing>
      </w:r>
    </w:p>
    <w:p w:rsidR="006A4728" w:rsidRPr="006A4728" w:rsidRDefault="006A4728" w:rsidP="009A0EC0">
      <w:r w:rsidRPr="006A4728">
        <w:t>As prospectively planned in the protocol, disease response was assessed independently by an IRC based on the IWC without knowledge of the investigator evaluation of response. Criteria for the assessment of radiology</w:t>
      </w:r>
      <w:r w:rsidR="008B705E">
        <w:t xml:space="preserve"> by the IRC are given in Table 9</w:t>
      </w:r>
      <w:r w:rsidRPr="006A4728">
        <w:t xml:space="preserve">. </w:t>
      </w:r>
    </w:p>
    <w:p w:rsidR="009E1968" w:rsidRDefault="008B705E" w:rsidP="009A0EC0">
      <w:pPr>
        <w:pStyle w:val="TableTitle"/>
        <w:rPr>
          <w:lang w:eastAsia="ja-JP"/>
        </w:rPr>
      </w:pPr>
      <w:r>
        <w:rPr>
          <w:lang w:eastAsia="ja-JP"/>
        </w:rPr>
        <w:t>Table 9</w:t>
      </w:r>
      <w:r w:rsidR="001E5256">
        <w:rPr>
          <w:lang w:eastAsia="ja-JP"/>
        </w:rPr>
        <w:t xml:space="preserve">. </w:t>
      </w:r>
      <w:r w:rsidR="001E5256" w:rsidRPr="001E5256">
        <w:rPr>
          <w:lang w:eastAsia="ja-JP"/>
        </w:rPr>
        <w:t>IRC Radiology Review Assessment Criteria Using CT/MRI Scans</w:t>
      </w:r>
    </w:p>
    <w:p w:rsidR="001E5256" w:rsidRPr="000103AA" w:rsidRDefault="001E5256" w:rsidP="009A0EC0">
      <w:pPr>
        <w:rPr>
          <w:lang w:eastAsia="ja-JP"/>
        </w:rPr>
      </w:pPr>
      <w:r>
        <w:rPr>
          <w:noProof/>
          <w:lang w:eastAsia="en-AU"/>
        </w:rPr>
        <w:drawing>
          <wp:inline distT="0" distB="0" distL="0" distR="0">
            <wp:extent cx="4940343" cy="2323156"/>
            <wp:effectExtent l="19050" t="0" r="0" b="0"/>
            <wp:docPr id="45" name="Picture 45" descr="Table 9. IRC Radiology Review Assessment Criteria Using CT/MRI S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srcRect/>
                    <a:stretch>
                      <a:fillRect/>
                    </a:stretch>
                  </pic:blipFill>
                  <pic:spPr bwMode="auto">
                    <a:xfrm>
                      <a:off x="0" y="0"/>
                      <a:ext cx="4937867" cy="2321992"/>
                    </a:xfrm>
                    <a:prstGeom prst="rect">
                      <a:avLst/>
                    </a:prstGeom>
                    <a:noFill/>
                    <a:ln w="9525">
                      <a:noFill/>
                      <a:miter lim="800000"/>
                      <a:headEnd/>
                      <a:tailEnd/>
                    </a:ln>
                  </pic:spPr>
                </pic:pic>
              </a:graphicData>
            </a:graphic>
          </wp:inline>
        </w:drawing>
      </w:r>
    </w:p>
    <w:p w:rsidR="000103AA" w:rsidRPr="000103AA" w:rsidRDefault="000103AA" w:rsidP="009A0EC0">
      <w:pPr>
        <w:rPr>
          <w:lang w:eastAsia="ja-JP"/>
        </w:rPr>
      </w:pPr>
      <w:r w:rsidRPr="000103AA">
        <w:rPr>
          <w:lang w:eastAsia="ja-JP"/>
        </w:rPr>
        <w:t>Definitions of response utilised by the IRC were in accordance with the IWC</w:t>
      </w:r>
      <w:r w:rsidR="006A4728">
        <w:rPr>
          <w:lang w:eastAsia="ja-JP"/>
        </w:rPr>
        <w:t>,</w:t>
      </w:r>
      <w:r w:rsidRPr="000103AA">
        <w:rPr>
          <w:lang w:eastAsia="ja-JP"/>
        </w:rPr>
        <w:t xml:space="preserve"> utilising CR and </w:t>
      </w:r>
      <w:proofErr w:type="spellStart"/>
      <w:r w:rsidRPr="000103AA">
        <w:rPr>
          <w:lang w:eastAsia="ja-JP"/>
        </w:rPr>
        <w:t>CR</w:t>
      </w:r>
      <w:r w:rsidR="000F3D5A">
        <w:rPr>
          <w:lang w:eastAsia="ja-JP"/>
        </w:rPr>
        <w:t>u</w:t>
      </w:r>
      <w:proofErr w:type="spellEnd"/>
      <w:r w:rsidRPr="000103AA">
        <w:rPr>
          <w:lang w:eastAsia="ja-JP"/>
        </w:rPr>
        <w:t xml:space="preserve"> </w:t>
      </w:r>
      <w:r w:rsidR="00EB135D">
        <w:rPr>
          <w:lang w:eastAsia="ja-JP"/>
        </w:rPr>
        <w:t>(</w:t>
      </w:r>
      <w:r w:rsidRPr="000103AA">
        <w:rPr>
          <w:lang w:eastAsia="ja-JP"/>
        </w:rPr>
        <w:t>complete response confirmed and unconfirmed</w:t>
      </w:r>
      <w:r w:rsidR="006A4728">
        <w:rPr>
          <w:lang w:eastAsia="ja-JP"/>
        </w:rPr>
        <w:t>, respectively</w:t>
      </w:r>
      <w:r w:rsidR="00EB135D">
        <w:rPr>
          <w:lang w:eastAsia="ja-JP"/>
        </w:rPr>
        <w:t>)</w:t>
      </w:r>
      <w:r w:rsidRPr="000103AA">
        <w:rPr>
          <w:lang w:eastAsia="ja-JP"/>
        </w:rPr>
        <w:t>.  This is based on total disappearance of all evidence of disease and normalisation of biochemical abno</w:t>
      </w:r>
      <w:r w:rsidR="006A4728">
        <w:rPr>
          <w:lang w:eastAsia="ja-JP"/>
        </w:rPr>
        <w:t xml:space="preserve">rmalities associated with NHL. </w:t>
      </w:r>
      <w:r w:rsidRPr="000103AA">
        <w:rPr>
          <w:lang w:eastAsia="ja-JP"/>
        </w:rPr>
        <w:t>Ot</w:t>
      </w:r>
      <w:r w:rsidR="006A4728">
        <w:rPr>
          <w:lang w:eastAsia="ja-JP"/>
        </w:rPr>
        <w:t>her levels of response included</w:t>
      </w:r>
      <w:r w:rsidRPr="000103AA">
        <w:rPr>
          <w:lang w:eastAsia="ja-JP"/>
        </w:rPr>
        <w:t xml:space="preserve"> partial response (PR)</w:t>
      </w:r>
      <w:r w:rsidR="00E46E37">
        <w:rPr>
          <w:lang w:eastAsia="ja-JP"/>
        </w:rPr>
        <w:t>,</w:t>
      </w:r>
      <w:r w:rsidRPr="000103AA">
        <w:rPr>
          <w:lang w:eastAsia="ja-JP"/>
        </w:rPr>
        <w:t xml:space="preserve"> stable disease (SD) and progressive disease (PD)</w:t>
      </w:r>
      <w:r w:rsidR="006A4728">
        <w:rPr>
          <w:lang w:eastAsia="ja-JP"/>
        </w:rPr>
        <w:t>,</w:t>
      </w:r>
      <w:r w:rsidRPr="000103AA">
        <w:rPr>
          <w:lang w:eastAsia="ja-JP"/>
        </w:rPr>
        <w:t xml:space="preserve"> as per standard criteria.  </w:t>
      </w:r>
    </w:p>
    <w:p w:rsidR="000103AA" w:rsidRPr="000103AA" w:rsidRDefault="000103AA" w:rsidP="009A0EC0">
      <w:pPr>
        <w:rPr>
          <w:lang w:eastAsia="ja-JP"/>
        </w:rPr>
      </w:pPr>
      <w:r w:rsidRPr="000103AA">
        <w:rPr>
          <w:lang w:eastAsia="ja-JP"/>
        </w:rPr>
        <w:lastRenderedPageBreak/>
        <w:t xml:space="preserve">The study was planned </w:t>
      </w:r>
      <w:r w:rsidR="006A4728">
        <w:rPr>
          <w:lang w:eastAsia="ja-JP"/>
        </w:rPr>
        <w:t xml:space="preserve">to obtain </w:t>
      </w:r>
      <w:r w:rsidRPr="000103AA">
        <w:rPr>
          <w:lang w:eastAsia="ja-JP"/>
        </w:rPr>
        <w:t>a total of 65 evaluable patients who met all major protocol requirements and received at least 2/3 planned doses in two consecutive cycles of therapy</w:t>
      </w:r>
      <w:r w:rsidR="006A4728">
        <w:rPr>
          <w:lang w:eastAsia="ja-JP"/>
        </w:rPr>
        <w:t xml:space="preserve">. It </w:t>
      </w:r>
      <w:r w:rsidRPr="000103AA">
        <w:rPr>
          <w:lang w:eastAsia="ja-JP"/>
        </w:rPr>
        <w:t xml:space="preserve">was estimated this would require at least 100 patients to be enrolled and treated under the study protocol.  </w:t>
      </w:r>
    </w:p>
    <w:p w:rsidR="000103AA" w:rsidRPr="002966AC" w:rsidRDefault="001B758E" w:rsidP="009A0EC0">
      <w:pPr>
        <w:pStyle w:val="Heading4"/>
      </w:pPr>
      <w:r w:rsidRPr="001B758E">
        <w:t xml:space="preserve">Patient </w:t>
      </w:r>
      <w:r w:rsidR="009A0EC0">
        <w:t>d</w:t>
      </w:r>
      <w:r w:rsidRPr="001B758E">
        <w:t xml:space="preserve">isposition, </w:t>
      </w:r>
      <w:r w:rsidR="009A0EC0">
        <w:t>a</w:t>
      </w:r>
      <w:r w:rsidRPr="001B758E">
        <w:t xml:space="preserve">nalysis </w:t>
      </w:r>
      <w:r w:rsidR="009A0EC0">
        <w:t>s</w:t>
      </w:r>
      <w:r w:rsidRPr="001B758E">
        <w:t xml:space="preserve">ets and </w:t>
      </w:r>
      <w:r w:rsidR="009A0EC0">
        <w:t>e</w:t>
      </w:r>
      <w:r w:rsidRPr="001B758E">
        <w:t xml:space="preserve">xposure to </w:t>
      </w:r>
      <w:r w:rsidR="009A0EC0">
        <w:t>t</w:t>
      </w:r>
      <w:r w:rsidRPr="001B758E">
        <w:t>reatment</w:t>
      </w:r>
      <w:r>
        <w:t xml:space="preserve"> </w:t>
      </w:r>
    </w:p>
    <w:p w:rsidR="00B13710" w:rsidRDefault="000103AA" w:rsidP="009A0EC0">
      <w:pPr>
        <w:rPr>
          <w:lang w:eastAsia="ja-JP"/>
        </w:rPr>
      </w:pPr>
      <w:r w:rsidRPr="000103AA">
        <w:rPr>
          <w:lang w:eastAsia="ja-JP"/>
        </w:rPr>
        <w:t xml:space="preserve">Table </w:t>
      </w:r>
      <w:r w:rsidR="00EB135D">
        <w:rPr>
          <w:lang w:eastAsia="ja-JP"/>
        </w:rPr>
        <w:t>10</w:t>
      </w:r>
      <w:r w:rsidR="00B13710">
        <w:rPr>
          <w:lang w:eastAsia="ja-JP"/>
        </w:rPr>
        <w:t xml:space="preserve"> </w:t>
      </w:r>
      <w:r w:rsidRPr="000103AA">
        <w:rPr>
          <w:lang w:eastAsia="ja-JP"/>
        </w:rPr>
        <w:t xml:space="preserve">presents an overview of patient disposition on the study.  </w:t>
      </w:r>
    </w:p>
    <w:p w:rsidR="00B13710" w:rsidRDefault="00EB135D" w:rsidP="009A0EC0">
      <w:pPr>
        <w:pStyle w:val="TableTitle"/>
        <w:rPr>
          <w:lang w:eastAsia="ja-JP"/>
        </w:rPr>
      </w:pPr>
      <w:r>
        <w:rPr>
          <w:lang w:eastAsia="ja-JP"/>
        </w:rPr>
        <w:t>Table 10</w:t>
      </w:r>
      <w:r w:rsidR="00B13710">
        <w:rPr>
          <w:lang w:eastAsia="ja-JP"/>
        </w:rPr>
        <w:t xml:space="preserve">. </w:t>
      </w:r>
      <w:r w:rsidR="00B13710" w:rsidRPr="00B13710">
        <w:rPr>
          <w:lang w:eastAsia="ja-JP"/>
        </w:rPr>
        <w:t>Patient Disposition and Analysis Sets (Study GPI-06-0002)</w:t>
      </w:r>
    </w:p>
    <w:p w:rsidR="00B13710" w:rsidRDefault="00B13710" w:rsidP="009A0EC0">
      <w:pPr>
        <w:rPr>
          <w:lang w:eastAsia="ja-JP"/>
        </w:rPr>
      </w:pPr>
      <w:r>
        <w:rPr>
          <w:noProof/>
          <w:lang w:eastAsia="en-AU"/>
        </w:rPr>
        <w:drawing>
          <wp:inline distT="0" distB="0" distL="0" distR="0">
            <wp:extent cx="4452033" cy="2721429"/>
            <wp:effectExtent l="19050" t="0" r="5667" b="0"/>
            <wp:docPr id="46" name="Picture 46" descr="Table 10. Patient Disposition and Analysis Sets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4453273" cy="2722187"/>
                    </a:xfrm>
                    <a:prstGeom prst="rect">
                      <a:avLst/>
                    </a:prstGeom>
                    <a:noFill/>
                    <a:ln w="9525">
                      <a:noFill/>
                      <a:miter lim="800000"/>
                      <a:headEnd/>
                      <a:tailEnd/>
                    </a:ln>
                  </pic:spPr>
                </pic:pic>
              </a:graphicData>
            </a:graphic>
          </wp:inline>
        </w:drawing>
      </w:r>
    </w:p>
    <w:p w:rsidR="000103AA" w:rsidRPr="00B13710" w:rsidRDefault="000103AA" w:rsidP="009A0EC0">
      <w:r w:rsidRPr="00B13710">
        <w:t>Overall a total of 131 patients</w:t>
      </w:r>
      <w:r w:rsidR="00D076A9">
        <w:t xml:space="preserve"> received at least one dose of r</w:t>
      </w:r>
      <w:r w:rsidRPr="00B13710">
        <w:t>omidepsin in this study and 113 or 86.3% of these patients were off treatment as of the data cut-off for the reporting of 31st</w:t>
      </w:r>
      <w:r w:rsidR="00D076A9">
        <w:t xml:space="preserve"> March 2010. </w:t>
      </w:r>
      <w:r w:rsidRPr="00B13710">
        <w:t>The most common reason for discontinuation of the study was progressive disea</w:t>
      </w:r>
      <w:r w:rsidR="00D076A9">
        <w:t xml:space="preserve">se followed by adverse events. </w:t>
      </w:r>
      <w:r w:rsidRPr="00B13710">
        <w:t xml:space="preserve">The multicentre study comprised patients enrolled from the US, France, Australia, Spain, Germany, Poland, Czech Republic, Sweden and the UK.  </w:t>
      </w:r>
    </w:p>
    <w:p w:rsidR="000103AA" w:rsidRDefault="000103AA" w:rsidP="009A0EC0">
      <w:r w:rsidRPr="00B13710">
        <w:t xml:space="preserve">Exposure to </w:t>
      </w:r>
      <w:r w:rsidR="00876927">
        <w:t>r</w:t>
      </w:r>
      <w:r w:rsidRPr="00B13710">
        <w:t xml:space="preserve">omidepsin is summarised in Figure </w:t>
      </w:r>
      <w:r w:rsidR="00EB135D">
        <w:t>3</w:t>
      </w:r>
      <w:r w:rsidRPr="00B13710">
        <w:t xml:space="preserve">.  As of the data cut-off, 38.2% of the patients had received at least four cycles and 26.7% at least six cycles while 16% received eight or more cycles.  </w:t>
      </w:r>
    </w:p>
    <w:p w:rsidR="00D076A9" w:rsidRDefault="00EB135D" w:rsidP="009A0EC0">
      <w:pPr>
        <w:pStyle w:val="FigureTitle"/>
      </w:pPr>
      <w:r>
        <w:t>Figure 3</w:t>
      </w:r>
      <w:r w:rsidR="00D076A9">
        <w:t>. Number of Patients Treated in Each Cycle (As Treated Population, Study GPI-06-0002, N=131)</w:t>
      </w:r>
    </w:p>
    <w:p w:rsidR="00D076A9" w:rsidRPr="00B13710" w:rsidRDefault="00D076A9" w:rsidP="009A0EC0">
      <w:r>
        <w:rPr>
          <w:noProof/>
          <w:lang w:eastAsia="en-AU"/>
        </w:rPr>
        <w:drawing>
          <wp:inline distT="0" distB="0" distL="0" distR="0">
            <wp:extent cx="3521580" cy="2536371"/>
            <wp:effectExtent l="19050" t="0" r="2670" b="0"/>
            <wp:docPr id="47" name="Picture 47" descr="Figure 3. Number of Patients Treated in Each Cycle (As Treated Population, Study GPI-06-0002, N=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b="741"/>
                    <a:stretch>
                      <a:fillRect/>
                    </a:stretch>
                  </pic:blipFill>
                  <pic:spPr bwMode="auto">
                    <a:xfrm>
                      <a:off x="0" y="0"/>
                      <a:ext cx="3521580" cy="2536371"/>
                    </a:xfrm>
                    <a:prstGeom prst="rect">
                      <a:avLst/>
                    </a:prstGeom>
                    <a:noFill/>
                    <a:ln w="9525">
                      <a:noFill/>
                      <a:miter lim="800000"/>
                      <a:headEnd/>
                      <a:tailEnd/>
                    </a:ln>
                  </pic:spPr>
                </pic:pic>
              </a:graphicData>
            </a:graphic>
          </wp:inline>
        </w:drawing>
      </w:r>
    </w:p>
    <w:p w:rsidR="000103AA" w:rsidRPr="00EB135D" w:rsidRDefault="000103AA" w:rsidP="009A0EC0">
      <w:r w:rsidRPr="00EB135D">
        <w:lastRenderedPageBreak/>
        <w:t>The majority of patients treated within each cycle received all three doses per cycle</w:t>
      </w:r>
      <w:r w:rsidR="00876927" w:rsidRPr="00EB135D">
        <w:t>,</w:t>
      </w:r>
      <w:r w:rsidRPr="00EB135D">
        <w:t xml:space="preserve"> with over 80% of patients receiving at</w:t>
      </w:r>
      <w:r w:rsidR="00876927" w:rsidRPr="00EB135D">
        <w:t xml:space="preserve"> least two doses of the cycle. </w:t>
      </w:r>
      <w:r w:rsidRPr="00EB135D">
        <w:t xml:space="preserve">Sixty patients or 45.8% required at least one dose to be held and 14 or 10.7% required dose reduction for the management of an adverse event.  </w:t>
      </w:r>
    </w:p>
    <w:p w:rsidR="001B758E" w:rsidRDefault="000103AA" w:rsidP="009A0EC0">
      <w:pPr>
        <w:rPr>
          <w:lang w:eastAsia="ja-JP"/>
        </w:rPr>
      </w:pPr>
      <w:r w:rsidRPr="000103AA">
        <w:rPr>
          <w:lang w:eastAsia="ja-JP"/>
        </w:rPr>
        <w:t>A total of 130 patients were included in the intent to treat population with one patient excluded as n</w:t>
      </w:r>
      <w:r w:rsidR="00876927">
        <w:rPr>
          <w:lang w:eastAsia="ja-JP"/>
        </w:rPr>
        <w:t xml:space="preserve">ot having a diagnosis of PTCL. </w:t>
      </w:r>
      <w:r w:rsidRPr="000103AA">
        <w:rPr>
          <w:lang w:eastAsia="ja-JP"/>
        </w:rPr>
        <w:t xml:space="preserve">The demographic characteristics of this patient population are indicated in Table </w:t>
      </w:r>
      <w:r w:rsidR="00EB135D">
        <w:rPr>
          <w:lang w:eastAsia="ja-JP"/>
        </w:rPr>
        <w:t>11</w:t>
      </w:r>
      <w:r w:rsidR="00876927">
        <w:rPr>
          <w:lang w:eastAsia="ja-JP"/>
        </w:rPr>
        <w:t xml:space="preserve">. </w:t>
      </w:r>
      <w:r w:rsidRPr="000103AA">
        <w:rPr>
          <w:lang w:eastAsia="ja-JP"/>
        </w:rPr>
        <w:t xml:space="preserve">These are consistent with the characteristics of patients with relapsed/refractory PTCL.  </w:t>
      </w:r>
    </w:p>
    <w:p w:rsidR="001B758E" w:rsidRPr="00EB135D" w:rsidRDefault="001B758E" w:rsidP="009A0EC0">
      <w:pPr>
        <w:pStyle w:val="TableTitle"/>
      </w:pPr>
      <w:r w:rsidRPr="00EB135D">
        <w:t>T</w:t>
      </w:r>
      <w:r w:rsidR="00EB135D" w:rsidRPr="00EB135D">
        <w:t>able 11</w:t>
      </w:r>
      <w:r w:rsidRPr="00EB135D">
        <w:t>. Demographic and Baseline Characteristics (</w:t>
      </w:r>
      <w:proofErr w:type="spellStart"/>
      <w:r w:rsidRPr="00EB135D">
        <w:t>Histopathologically</w:t>
      </w:r>
      <w:proofErr w:type="spellEnd"/>
      <w:r w:rsidRPr="00EB135D">
        <w:t>-Confirmed Population, Study GPI-06-0002, N=130)</w:t>
      </w:r>
    </w:p>
    <w:p w:rsidR="001B758E" w:rsidRDefault="001B758E" w:rsidP="009A0EC0">
      <w:pPr>
        <w:rPr>
          <w:lang w:eastAsia="ja-JP"/>
        </w:rPr>
      </w:pPr>
      <w:r>
        <w:rPr>
          <w:noProof/>
          <w:lang w:eastAsia="en-AU"/>
        </w:rPr>
        <w:drawing>
          <wp:inline distT="0" distB="0" distL="0" distR="0">
            <wp:extent cx="4825093" cy="3476965"/>
            <wp:effectExtent l="19050" t="0" r="0" b="0"/>
            <wp:docPr id="48" name="Picture 48" descr="Table 11. Demographic and Baseline Characteristics (Histopathologically-Confirmed Population, Study GPI-06-0002, N=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a:stretch>
                      <a:fillRect/>
                    </a:stretch>
                  </pic:blipFill>
                  <pic:spPr bwMode="auto">
                    <a:xfrm>
                      <a:off x="0" y="0"/>
                      <a:ext cx="4823995" cy="3476174"/>
                    </a:xfrm>
                    <a:prstGeom prst="rect">
                      <a:avLst/>
                    </a:prstGeom>
                    <a:noFill/>
                    <a:ln w="9525">
                      <a:noFill/>
                      <a:miter lim="800000"/>
                      <a:headEnd/>
                      <a:tailEnd/>
                    </a:ln>
                  </pic:spPr>
                </pic:pic>
              </a:graphicData>
            </a:graphic>
          </wp:inline>
        </w:drawing>
      </w:r>
    </w:p>
    <w:p w:rsidR="000103AA" w:rsidRDefault="000103AA" w:rsidP="009A0EC0">
      <w:pPr>
        <w:rPr>
          <w:lang w:eastAsia="ja-JP"/>
        </w:rPr>
      </w:pPr>
      <w:r w:rsidRPr="000103AA">
        <w:rPr>
          <w:lang w:eastAsia="ja-JP"/>
        </w:rPr>
        <w:t xml:space="preserve">Baseline disease characteristics are summarised </w:t>
      </w:r>
      <w:r w:rsidR="001B758E">
        <w:rPr>
          <w:lang w:eastAsia="ja-JP"/>
        </w:rPr>
        <w:t xml:space="preserve">in </w:t>
      </w:r>
      <w:r w:rsidRPr="000103AA">
        <w:rPr>
          <w:lang w:eastAsia="ja-JP"/>
        </w:rPr>
        <w:t xml:space="preserve">Table </w:t>
      </w:r>
      <w:r w:rsidR="00EB135D">
        <w:rPr>
          <w:lang w:eastAsia="ja-JP"/>
        </w:rPr>
        <w:t>12</w:t>
      </w:r>
      <w:r w:rsidRPr="000103AA">
        <w:rPr>
          <w:lang w:eastAsia="ja-JP"/>
        </w:rPr>
        <w:t xml:space="preserve"> and </w:t>
      </w:r>
      <w:r w:rsidR="001B758E">
        <w:rPr>
          <w:lang w:eastAsia="ja-JP"/>
        </w:rPr>
        <w:t xml:space="preserve">are </w:t>
      </w:r>
      <w:r w:rsidRPr="000103AA">
        <w:rPr>
          <w:lang w:eastAsia="ja-JP"/>
        </w:rPr>
        <w:t>consistent with the repor</w:t>
      </w:r>
      <w:r w:rsidR="00E46E37">
        <w:rPr>
          <w:lang w:eastAsia="ja-JP"/>
        </w:rPr>
        <w:t>ted incidence of PTCL sub-types.</w:t>
      </w:r>
      <w:r w:rsidRPr="000103AA">
        <w:rPr>
          <w:lang w:eastAsia="ja-JP"/>
        </w:rPr>
        <w:t xml:space="preserve"> </w:t>
      </w:r>
      <w:r w:rsidR="00E46E37">
        <w:rPr>
          <w:lang w:eastAsia="ja-JP"/>
        </w:rPr>
        <w:t>T</w:t>
      </w:r>
      <w:r w:rsidRPr="000103AA">
        <w:rPr>
          <w:lang w:eastAsia="ja-JP"/>
        </w:rPr>
        <w:t>he most common PTCL sub-type determined by central review was PTCL not otherwise specified (NOS)</w:t>
      </w:r>
      <w:r w:rsidR="00E46E37">
        <w:rPr>
          <w:lang w:eastAsia="ja-JP"/>
        </w:rPr>
        <w:t>, reported in 53.1</w:t>
      </w:r>
      <w:r w:rsidRPr="000103AA">
        <w:rPr>
          <w:lang w:eastAsia="ja-JP"/>
        </w:rPr>
        <w:t xml:space="preserve">% of patients.  A total 115 or 88.5% of patients had a bone marrow biopsy screening which was positive to disease in 36 patients and skin involvement was noted by the investigator in 34 or 26.2% of patients.  </w:t>
      </w:r>
    </w:p>
    <w:p w:rsidR="001B758E" w:rsidRPr="000103AA" w:rsidRDefault="00EB135D" w:rsidP="009A0EC0">
      <w:pPr>
        <w:pStyle w:val="TableTitle"/>
        <w:rPr>
          <w:lang w:eastAsia="ja-JP"/>
        </w:rPr>
      </w:pPr>
      <w:r>
        <w:rPr>
          <w:lang w:eastAsia="ja-JP"/>
        </w:rPr>
        <w:lastRenderedPageBreak/>
        <w:t>Table 12</w:t>
      </w:r>
      <w:r w:rsidR="001B758E">
        <w:rPr>
          <w:lang w:eastAsia="ja-JP"/>
        </w:rPr>
        <w:t>. Disease Characteristics (</w:t>
      </w:r>
      <w:proofErr w:type="spellStart"/>
      <w:r w:rsidR="001B758E">
        <w:rPr>
          <w:lang w:eastAsia="ja-JP"/>
        </w:rPr>
        <w:t>Histopathologically</w:t>
      </w:r>
      <w:proofErr w:type="spellEnd"/>
      <w:r w:rsidR="001B758E">
        <w:rPr>
          <w:lang w:eastAsia="ja-JP"/>
        </w:rPr>
        <w:t>-Confirmed Population, Study GPI-06-0002, N=130)</w:t>
      </w:r>
    </w:p>
    <w:p w:rsidR="000103AA" w:rsidRPr="000103AA" w:rsidRDefault="001B758E" w:rsidP="009A0EC0">
      <w:pPr>
        <w:rPr>
          <w:lang w:eastAsia="ja-JP"/>
        </w:rPr>
      </w:pPr>
      <w:r>
        <w:rPr>
          <w:noProof/>
          <w:lang w:eastAsia="en-AU"/>
        </w:rPr>
        <w:drawing>
          <wp:inline distT="0" distB="0" distL="0" distR="0">
            <wp:extent cx="4901293" cy="4921118"/>
            <wp:effectExtent l="19050" t="0" r="0" b="0"/>
            <wp:docPr id="49" name="Picture 49" descr="Table 12. Disease Characteristics (Histopathologically-Confirmed Population, Study GPI-06-0002, N=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srcRect/>
                    <a:stretch>
                      <a:fillRect/>
                    </a:stretch>
                  </pic:blipFill>
                  <pic:spPr bwMode="auto">
                    <a:xfrm>
                      <a:off x="0" y="0"/>
                      <a:ext cx="4904086" cy="4923922"/>
                    </a:xfrm>
                    <a:prstGeom prst="rect">
                      <a:avLst/>
                    </a:prstGeom>
                    <a:noFill/>
                    <a:ln w="9525">
                      <a:noFill/>
                      <a:miter lim="800000"/>
                      <a:headEnd/>
                      <a:tailEnd/>
                    </a:ln>
                  </pic:spPr>
                </pic:pic>
              </a:graphicData>
            </a:graphic>
          </wp:inline>
        </w:drawing>
      </w:r>
    </w:p>
    <w:p w:rsidR="000103AA" w:rsidRDefault="001B758E" w:rsidP="009A0EC0">
      <w:pPr>
        <w:rPr>
          <w:lang w:eastAsia="ja-JP"/>
        </w:rPr>
      </w:pPr>
      <w:r>
        <w:rPr>
          <w:lang w:eastAsia="ja-JP"/>
        </w:rPr>
        <w:t>All p</w:t>
      </w:r>
      <w:r w:rsidRPr="001B758E">
        <w:rPr>
          <w:lang w:eastAsia="ja-JP"/>
        </w:rPr>
        <w:t>atients had received multiple prior therapies for PTCL with the most commonly administered prior combination chemotherapy being CHOP</w:t>
      </w:r>
      <w:r w:rsidR="00401446">
        <w:rPr>
          <w:lang w:eastAsia="ja-JP"/>
        </w:rPr>
        <w:t xml:space="preserve"> (Table </w:t>
      </w:r>
      <w:r w:rsidR="00EB135D">
        <w:rPr>
          <w:lang w:eastAsia="ja-JP"/>
        </w:rPr>
        <w:t>13</w:t>
      </w:r>
      <w:r w:rsidR="00401446">
        <w:rPr>
          <w:lang w:eastAsia="ja-JP"/>
        </w:rPr>
        <w:t>)</w:t>
      </w:r>
      <w:r w:rsidRPr="001B758E">
        <w:rPr>
          <w:lang w:eastAsia="ja-JP"/>
        </w:rPr>
        <w:t>.</w:t>
      </w:r>
    </w:p>
    <w:p w:rsidR="00401446" w:rsidRDefault="00EB135D" w:rsidP="009A0EC0">
      <w:pPr>
        <w:pStyle w:val="TableTitle"/>
        <w:rPr>
          <w:lang w:eastAsia="ja-JP"/>
        </w:rPr>
      </w:pPr>
      <w:r>
        <w:rPr>
          <w:lang w:eastAsia="ja-JP"/>
        </w:rPr>
        <w:lastRenderedPageBreak/>
        <w:t>Table 13</w:t>
      </w:r>
      <w:r w:rsidR="00401446">
        <w:rPr>
          <w:lang w:eastAsia="ja-JP"/>
        </w:rPr>
        <w:t>. Prior therapies for PTLC (</w:t>
      </w:r>
      <w:proofErr w:type="spellStart"/>
      <w:r w:rsidR="00401446">
        <w:rPr>
          <w:lang w:eastAsia="ja-JP"/>
        </w:rPr>
        <w:t>Histologically</w:t>
      </w:r>
      <w:proofErr w:type="spellEnd"/>
      <w:r w:rsidR="00401446">
        <w:rPr>
          <w:lang w:eastAsia="ja-JP"/>
        </w:rPr>
        <w:t>-confirmed population, Study GPI-06-002)</w:t>
      </w:r>
    </w:p>
    <w:p w:rsidR="00401446" w:rsidRPr="000103AA" w:rsidRDefault="00401446" w:rsidP="009A0EC0">
      <w:pPr>
        <w:rPr>
          <w:lang w:eastAsia="ja-JP"/>
        </w:rPr>
      </w:pPr>
      <w:r>
        <w:rPr>
          <w:noProof/>
          <w:lang w:eastAsia="en-AU"/>
        </w:rPr>
        <w:drawing>
          <wp:inline distT="0" distB="0" distL="0" distR="0">
            <wp:extent cx="4920343" cy="4268675"/>
            <wp:effectExtent l="0" t="0" r="0" b="0"/>
            <wp:docPr id="75" name="Picture 75" descr="Table 13. Prior therapies for PTLC (Histologically-confirmed population, Study GPI-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9" cstate="print"/>
                    <a:srcRect l="-880" t="6070"/>
                    <a:stretch>
                      <a:fillRect/>
                    </a:stretch>
                  </pic:blipFill>
                  <pic:spPr bwMode="auto">
                    <a:xfrm>
                      <a:off x="0" y="0"/>
                      <a:ext cx="4918551" cy="4267120"/>
                    </a:xfrm>
                    <a:prstGeom prst="rect">
                      <a:avLst/>
                    </a:prstGeom>
                    <a:noFill/>
                    <a:ln w="9525">
                      <a:noFill/>
                      <a:miter lim="800000"/>
                      <a:headEnd/>
                      <a:tailEnd/>
                    </a:ln>
                  </pic:spPr>
                </pic:pic>
              </a:graphicData>
            </a:graphic>
          </wp:inline>
        </w:drawing>
      </w:r>
    </w:p>
    <w:p w:rsidR="000103AA" w:rsidRPr="001B758E" w:rsidRDefault="000103AA" w:rsidP="0068064F">
      <w:pPr>
        <w:pStyle w:val="Heading4"/>
      </w:pPr>
      <w:r w:rsidRPr="001B758E">
        <w:t xml:space="preserve">Efficacy results </w:t>
      </w:r>
    </w:p>
    <w:p w:rsidR="00832BF0" w:rsidRDefault="000103AA" w:rsidP="0068064F">
      <w:pPr>
        <w:rPr>
          <w:lang w:eastAsia="ja-JP"/>
        </w:rPr>
      </w:pPr>
      <w:r w:rsidRPr="000103AA">
        <w:rPr>
          <w:lang w:eastAsia="ja-JP"/>
        </w:rPr>
        <w:t>The primary efficacy endpoint of the study was the complete response rat</w:t>
      </w:r>
      <w:r w:rsidR="00401446">
        <w:rPr>
          <w:lang w:eastAsia="ja-JP"/>
        </w:rPr>
        <w:t xml:space="preserve">e </w:t>
      </w:r>
      <w:r w:rsidR="00004AFB">
        <w:rPr>
          <w:lang w:eastAsia="ja-JP"/>
        </w:rPr>
        <w:t xml:space="preserve">[CR + </w:t>
      </w:r>
      <w:proofErr w:type="spellStart"/>
      <w:r w:rsidR="00004AFB">
        <w:rPr>
          <w:lang w:eastAsia="ja-JP"/>
        </w:rPr>
        <w:t>CR</w:t>
      </w:r>
      <w:r w:rsidR="000F3D5A">
        <w:rPr>
          <w:lang w:eastAsia="ja-JP"/>
        </w:rPr>
        <w:t>u</w:t>
      </w:r>
      <w:proofErr w:type="spellEnd"/>
      <w:r w:rsidR="00004AFB">
        <w:rPr>
          <w:lang w:eastAsia="ja-JP"/>
        </w:rPr>
        <w:t xml:space="preserve">] </w:t>
      </w:r>
      <w:r w:rsidR="00401446">
        <w:rPr>
          <w:lang w:eastAsia="ja-JP"/>
        </w:rPr>
        <w:t xml:space="preserve">based on overall IRC review. </w:t>
      </w:r>
      <w:r w:rsidRPr="000103AA">
        <w:rPr>
          <w:lang w:eastAsia="ja-JP"/>
        </w:rPr>
        <w:t xml:space="preserve">Objective disease response rates were based on the IRC review and response rates based on investigator assessments were considered secondary and supportive endpoints.  The data for the 130 patients included in the </w:t>
      </w:r>
      <w:proofErr w:type="spellStart"/>
      <w:r w:rsidRPr="000103AA">
        <w:rPr>
          <w:lang w:eastAsia="ja-JP"/>
        </w:rPr>
        <w:t>histologically</w:t>
      </w:r>
      <w:proofErr w:type="spellEnd"/>
      <w:r w:rsidRPr="000103AA">
        <w:rPr>
          <w:lang w:eastAsia="ja-JP"/>
        </w:rPr>
        <w:t xml:space="preserve"> confirmed population are indicated in </w:t>
      </w:r>
      <w:r w:rsidR="00EB135D">
        <w:rPr>
          <w:lang w:eastAsia="ja-JP"/>
        </w:rPr>
        <w:t>Table 14</w:t>
      </w:r>
      <w:r w:rsidR="00832BF0">
        <w:rPr>
          <w:lang w:eastAsia="ja-JP"/>
        </w:rPr>
        <w:t xml:space="preserve">. </w:t>
      </w:r>
    </w:p>
    <w:p w:rsidR="00FE5E96" w:rsidRPr="00FE5E96" w:rsidRDefault="00EB135D" w:rsidP="0068064F">
      <w:pPr>
        <w:pStyle w:val="TableTitle"/>
        <w:rPr>
          <w:lang w:eastAsia="ja-JP"/>
        </w:rPr>
      </w:pPr>
      <w:r>
        <w:rPr>
          <w:lang w:eastAsia="ja-JP"/>
        </w:rPr>
        <w:t>Table 14</w:t>
      </w:r>
      <w:r w:rsidR="00FE5E96" w:rsidRPr="00FE5E96">
        <w:rPr>
          <w:lang w:eastAsia="ja-JP"/>
        </w:rPr>
        <w:t>. Response Rates Based on Overall IRC and Investigators’ Assessments (</w:t>
      </w:r>
      <w:proofErr w:type="spellStart"/>
      <w:r w:rsidR="00FE5E96" w:rsidRPr="00FE5E96">
        <w:rPr>
          <w:lang w:eastAsia="ja-JP"/>
        </w:rPr>
        <w:t>Histopathologically</w:t>
      </w:r>
      <w:proofErr w:type="spellEnd"/>
      <w:r w:rsidR="00FE5E96" w:rsidRPr="00FE5E96">
        <w:rPr>
          <w:lang w:eastAsia="ja-JP"/>
        </w:rPr>
        <w:t>-Confirmed Population, Study GPI-06-0002)</w:t>
      </w:r>
    </w:p>
    <w:p w:rsidR="00FE5E96" w:rsidRDefault="00FE5E96" w:rsidP="0068064F">
      <w:pPr>
        <w:rPr>
          <w:lang w:eastAsia="ja-JP"/>
        </w:rPr>
      </w:pPr>
      <w:r w:rsidRPr="00FE5E96">
        <w:rPr>
          <w:noProof/>
          <w:lang w:eastAsia="en-AU"/>
        </w:rPr>
        <w:drawing>
          <wp:inline distT="0" distB="0" distL="0" distR="0">
            <wp:extent cx="5364922" cy="2268416"/>
            <wp:effectExtent l="19050" t="0" r="7178" b="0"/>
            <wp:docPr id="6" name="Picture 50" descr="Table 14. Response Rates Based on Overall IRC and Investigators’ Assessments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srcRect/>
                    <a:stretch>
                      <a:fillRect/>
                    </a:stretch>
                  </pic:blipFill>
                  <pic:spPr bwMode="auto">
                    <a:xfrm>
                      <a:off x="0" y="0"/>
                      <a:ext cx="5370688" cy="2270854"/>
                    </a:xfrm>
                    <a:prstGeom prst="rect">
                      <a:avLst/>
                    </a:prstGeom>
                    <a:noFill/>
                    <a:ln w="9525">
                      <a:noFill/>
                      <a:miter lim="800000"/>
                      <a:headEnd/>
                      <a:tailEnd/>
                    </a:ln>
                  </pic:spPr>
                </pic:pic>
              </a:graphicData>
            </a:graphic>
          </wp:inline>
        </w:drawing>
      </w:r>
    </w:p>
    <w:p w:rsidR="000103AA" w:rsidRPr="00832BF0" w:rsidRDefault="000103AA" w:rsidP="0068064F">
      <w:r w:rsidRPr="000103AA">
        <w:rPr>
          <w:lang w:eastAsia="ja-JP"/>
        </w:rPr>
        <w:t xml:space="preserve">The complete response rate of 13.1% was at the high end of the protocol defined target point estimate of 8-15%.  The objective disease response rate for the IRC review was 26.2%.  These </w:t>
      </w:r>
      <w:r w:rsidRPr="00832BF0">
        <w:lastRenderedPageBreak/>
        <w:t>responses were comparable to the investigators’ evaluations with a complete response rate of 16.2% and an objective disease response rate of 29.2%.  It is worth noting that in the overall IRC review patients who were withdrawn from therapy before having a determination of response were</w:t>
      </w:r>
      <w:r w:rsidR="00004AFB">
        <w:t xml:space="preserve"> classified as non-responders. </w:t>
      </w:r>
      <w:r w:rsidRPr="00832BF0">
        <w:t>For those patients who fulfilled all criteria of the protocol and went on to receive adequate therapy with complete response and ob</w:t>
      </w:r>
      <w:r w:rsidR="00EB135D">
        <w:t xml:space="preserve">jective disease response rates </w:t>
      </w:r>
      <w:r w:rsidRPr="00832BF0">
        <w:t>based on overall IRC review</w:t>
      </w:r>
      <w:r w:rsidR="008373E3">
        <w:t>, the numbers were</w:t>
      </w:r>
      <w:r w:rsidRPr="00832BF0">
        <w:t xml:space="preserve"> 19.2% or 15/78 patients and 39.7% or 31/78 patents</w:t>
      </w:r>
      <w:r w:rsidR="008373E3">
        <w:t>,</w:t>
      </w:r>
      <w:r w:rsidRPr="00832BF0">
        <w:t xml:space="preserve"> respectively.  The investigators’ assessments were 25.6% or 20/78 patients and 44.9% or 35/78 patients respectively.  </w:t>
      </w:r>
    </w:p>
    <w:p w:rsidR="00801004" w:rsidRDefault="000103AA" w:rsidP="0068064F">
      <w:r w:rsidRPr="00832BF0">
        <w:t xml:space="preserve">There was reasonable agreement between the overall IRC assessment of response and the investigators assessment as indicated in a cross-tabulation of responses in Table </w:t>
      </w:r>
      <w:r w:rsidR="00EB135D">
        <w:t>15</w:t>
      </w:r>
      <w:r w:rsidRPr="00832BF0">
        <w:t xml:space="preserve">. </w:t>
      </w:r>
    </w:p>
    <w:p w:rsidR="00801004" w:rsidRPr="00801004" w:rsidRDefault="00EB135D" w:rsidP="0068064F">
      <w:pPr>
        <w:pStyle w:val="TableTitle"/>
      </w:pPr>
      <w:r>
        <w:t>Table 15</w:t>
      </w:r>
      <w:r w:rsidR="00801004">
        <w:t xml:space="preserve">. </w:t>
      </w:r>
      <w:r w:rsidR="00801004" w:rsidRPr="00801004">
        <w:t>Cross-tabulation of Best Response to Treatment Based on Overall IRC and</w:t>
      </w:r>
      <w:r w:rsidR="00801004">
        <w:t xml:space="preserve"> </w:t>
      </w:r>
      <w:r w:rsidR="00801004" w:rsidRPr="00801004">
        <w:t>Investigators’ Assessments (</w:t>
      </w:r>
      <w:proofErr w:type="spellStart"/>
      <w:r w:rsidR="00801004" w:rsidRPr="00801004">
        <w:t>Histopathologically</w:t>
      </w:r>
      <w:proofErr w:type="spellEnd"/>
      <w:r w:rsidR="00801004" w:rsidRPr="00801004">
        <w:t>-Confirmed Population,</w:t>
      </w:r>
      <w:r w:rsidR="00801004">
        <w:t xml:space="preserve"> </w:t>
      </w:r>
      <w:r w:rsidR="00801004" w:rsidRPr="00801004">
        <w:t>Study GPI-06-0002, N=130)</w:t>
      </w:r>
    </w:p>
    <w:p w:rsidR="00EB135D" w:rsidRDefault="00801004" w:rsidP="0068064F">
      <w:r>
        <w:rPr>
          <w:noProof/>
          <w:lang w:eastAsia="en-AU"/>
        </w:rPr>
        <w:drawing>
          <wp:inline distT="0" distB="0" distL="0" distR="0">
            <wp:extent cx="5731510" cy="1617307"/>
            <wp:effectExtent l="19050" t="0" r="2540" b="0"/>
            <wp:docPr id="53" name="Picture 53" descr="Table 15. Cross-tabulation of Best Response to Treatment Based on Overall IRC and Investigators’ Assessments (Histopathologically-Confirmed Population, Study GPI-06-0002, N=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1" cstate="print"/>
                    <a:srcRect/>
                    <a:stretch>
                      <a:fillRect/>
                    </a:stretch>
                  </pic:blipFill>
                  <pic:spPr bwMode="auto">
                    <a:xfrm>
                      <a:off x="0" y="0"/>
                      <a:ext cx="5731510" cy="1617307"/>
                    </a:xfrm>
                    <a:prstGeom prst="rect">
                      <a:avLst/>
                    </a:prstGeom>
                    <a:noFill/>
                    <a:ln w="9525">
                      <a:noFill/>
                      <a:miter lim="800000"/>
                      <a:headEnd/>
                      <a:tailEnd/>
                    </a:ln>
                  </pic:spPr>
                </pic:pic>
              </a:graphicData>
            </a:graphic>
          </wp:inline>
        </w:drawing>
      </w:r>
    </w:p>
    <w:p w:rsidR="00983BCD" w:rsidRDefault="000103AA" w:rsidP="0068064F">
      <w:r w:rsidRPr="00832BF0">
        <w:t>Overall the assessments agreed in 92 or 70.8% of the 130 patients treated in the study and in 38 cases the assessments differed</w:t>
      </w:r>
      <w:r w:rsidR="002350F6">
        <w:t xml:space="preserve"> as follows</w:t>
      </w:r>
      <w:r w:rsidR="00983BCD">
        <w:t>:</w:t>
      </w:r>
    </w:p>
    <w:p w:rsidR="00983BCD" w:rsidRPr="00983BCD" w:rsidRDefault="00983BCD" w:rsidP="0068064F">
      <w:pPr>
        <w:pStyle w:val="ListBullet"/>
      </w:pPr>
      <w:r w:rsidRPr="00983BCD">
        <w:t xml:space="preserve">Differences between responder categories (N=10): In 5 cases the IRC best response was CR or </w:t>
      </w:r>
      <w:proofErr w:type="spellStart"/>
      <w:r w:rsidRPr="00983BCD">
        <w:t>CR</w:t>
      </w:r>
      <w:r w:rsidR="000F3D5A">
        <w:t>u</w:t>
      </w:r>
      <w:proofErr w:type="spellEnd"/>
      <w:r w:rsidRPr="00983BCD">
        <w:t xml:space="preserve"> and the Investigators</w:t>
      </w:r>
      <w:r>
        <w:t xml:space="preserve">’ </w:t>
      </w:r>
      <w:r w:rsidRPr="00983BCD">
        <w:t xml:space="preserve">best response was PR; similarly, in 5 cases the IRC reported PR and the Investigators reported CR or </w:t>
      </w:r>
      <w:proofErr w:type="spellStart"/>
      <w:r w:rsidRPr="00983BCD">
        <w:t>CR</w:t>
      </w:r>
      <w:r w:rsidR="000F3D5A">
        <w:t>u</w:t>
      </w:r>
      <w:proofErr w:type="spellEnd"/>
      <w:r w:rsidRPr="00983BCD">
        <w:t>.</w:t>
      </w:r>
    </w:p>
    <w:p w:rsidR="00983BCD" w:rsidRPr="00983BCD" w:rsidRDefault="00983BCD" w:rsidP="0068064F">
      <w:pPr>
        <w:pStyle w:val="ListBullet"/>
      </w:pPr>
      <w:r w:rsidRPr="00983BCD">
        <w:t>Differences between responder and non-responder categories (N=16): In 6 patients the IRC best response was reported as PR and the Investigators’ best response was SD or PD and conversely in 10 patients, the Investigators reported CR or PR and the IRC reported SD or NE.</w:t>
      </w:r>
    </w:p>
    <w:p w:rsidR="00983BCD" w:rsidRPr="00983BCD" w:rsidRDefault="00983BCD" w:rsidP="0068064F">
      <w:pPr>
        <w:pStyle w:val="ListBullet"/>
      </w:pPr>
      <w:r w:rsidRPr="00983BCD">
        <w:t>Differences between non-responder categories (N=12): In 8 patients the IRC best response was SD and the Investigators</w:t>
      </w:r>
      <w:r>
        <w:t xml:space="preserve">’ </w:t>
      </w:r>
      <w:r w:rsidRPr="00983BCD">
        <w:t>was PD and conversely in 4 patients, the Investigators’ response was SD and the IRC was PD or NE.</w:t>
      </w:r>
    </w:p>
    <w:p w:rsidR="000103AA" w:rsidRDefault="000103AA" w:rsidP="0068064F">
      <w:pPr>
        <w:rPr>
          <w:lang w:eastAsia="ja-JP"/>
        </w:rPr>
      </w:pPr>
      <w:r w:rsidRPr="000103AA">
        <w:rPr>
          <w:lang w:eastAsia="ja-JP"/>
        </w:rPr>
        <w:t xml:space="preserve">The IRC radiology reviewers also determined best response for each patient based on review of CT and MRI scans without clinical information and the results are summarised in Table </w:t>
      </w:r>
      <w:r w:rsidR="002350F6">
        <w:rPr>
          <w:lang w:eastAsia="ja-JP"/>
        </w:rPr>
        <w:t>16</w:t>
      </w:r>
      <w:r w:rsidRPr="000103AA">
        <w:rPr>
          <w:lang w:eastAsia="ja-JP"/>
        </w:rPr>
        <w:t>.  Consistent with the overall IRC response assessment</w:t>
      </w:r>
      <w:r w:rsidR="002350F6">
        <w:rPr>
          <w:lang w:eastAsia="ja-JP"/>
        </w:rPr>
        <w:t>,</w:t>
      </w:r>
      <w:r w:rsidRPr="000103AA">
        <w:rPr>
          <w:lang w:eastAsia="ja-JP"/>
        </w:rPr>
        <w:t xml:space="preserve"> the complete response rate reported by the IRC reviewers was 14.6% with an objective disease response rate of 26.2%.  </w:t>
      </w:r>
    </w:p>
    <w:p w:rsidR="00FE5E96" w:rsidRPr="00FE5E96" w:rsidRDefault="002350F6" w:rsidP="0068064F">
      <w:pPr>
        <w:pStyle w:val="TableTitle"/>
      </w:pPr>
      <w:r>
        <w:lastRenderedPageBreak/>
        <w:t>Table 16</w:t>
      </w:r>
      <w:r w:rsidR="00FE5E96" w:rsidRPr="00FE5E96">
        <w:t>. Response Rates Based on IRC Radiological review using CT/MRI scans (</w:t>
      </w:r>
      <w:proofErr w:type="spellStart"/>
      <w:r w:rsidR="00FE5E96" w:rsidRPr="00FE5E96">
        <w:t>Histopathologically</w:t>
      </w:r>
      <w:proofErr w:type="spellEnd"/>
      <w:r w:rsidR="00FE5E96" w:rsidRPr="00FE5E96">
        <w:t>-Confirmed Population, Study GPI-06-0002)</w:t>
      </w:r>
    </w:p>
    <w:p w:rsidR="00FE5E96" w:rsidRPr="000103AA" w:rsidRDefault="00FE5E96" w:rsidP="0068064F">
      <w:pPr>
        <w:rPr>
          <w:lang w:eastAsia="ja-JP"/>
        </w:rPr>
      </w:pPr>
      <w:r>
        <w:rPr>
          <w:noProof/>
          <w:lang w:eastAsia="en-AU"/>
        </w:rPr>
        <w:drawing>
          <wp:inline distT="0" distB="0" distL="0" distR="0">
            <wp:extent cx="5027758" cy="2123525"/>
            <wp:effectExtent l="19050" t="0" r="1442" b="0"/>
            <wp:docPr id="60" name="Picture 60" descr="Table 16. Response Rates Based on IRC Radiological review using CT/MRI scans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srcRect t="12653"/>
                    <a:stretch>
                      <a:fillRect/>
                    </a:stretch>
                  </pic:blipFill>
                  <pic:spPr bwMode="auto">
                    <a:xfrm>
                      <a:off x="0" y="0"/>
                      <a:ext cx="5030779" cy="2124801"/>
                    </a:xfrm>
                    <a:prstGeom prst="rect">
                      <a:avLst/>
                    </a:prstGeom>
                    <a:noFill/>
                    <a:ln w="9525">
                      <a:noFill/>
                      <a:miter lim="800000"/>
                      <a:headEnd/>
                      <a:tailEnd/>
                    </a:ln>
                  </pic:spPr>
                </pic:pic>
              </a:graphicData>
            </a:graphic>
          </wp:inline>
        </w:drawing>
      </w:r>
    </w:p>
    <w:p w:rsidR="006B0403" w:rsidRDefault="00983BCD" w:rsidP="0068064F">
      <w:pPr>
        <w:rPr>
          <w:lang w:eastAsia="ja-JP"/>
        </w:rPr>
      </w:pPr>
      <w:r>
        <w:rPr>
          <w:lang w:eastAsia="ja-JP"/>
        </w:rPr>
        <w:t>Treatment with r</w:t>
      </w:r>
      <w:r w:rsidR="000103AA" w:rsidRPr="000103AA">
        <w:rPr>
          <w:lang w:eastAsia="ja-JP"/>
        </w:rPr>
        <w:t>omidepsin led to durable responses</w:t>
      </w:r>
      <w:r w:rsidR="002350F6">
        <w:rPr>
          <w:lang w:eastAsia="ja-JP"/>
        </w:rPr>
        <w:t xml:space="preserve"> and is indicated in Table 17</w:t>
      </w:r>
      <w:r w:rsidR="006B0403">
        <w:rPr>
          <w:lang w:eastAsia="ja-JP"/>
        </w:rPr>
        <w:t>:</w:t>
      </w:r>
      <w:r w:rsidR="000103AA" w:rsidRPr="000103AA">
        <w:rPr>
          <w:lang w:eastAsia="ja-JP"/>
        </w:rPr>
        <w:t xml:space="preserve"> Kaplan-Meier results for the duration of response for 17 patients who achieved CR or </w:t>
      </w:r>
      <w:proofErr w:type="spellStart"/>
      <w:r w:rsidR="000103AA" w:rsidRPr="000103AA">
        <w:rPr>
          <w:lang w:eastAsia="ja-JP"/>
        </w:rPr>
        <w:t>CR</w:t>
      </w:r>
      <w:r w:rsidR="000F3D5A">
        <w:rPr>
          <w:lang w:eastAsia="ja-JP"/>
        </w:rPr>
        <w:t>u</w:t>
      </w:r>
      <w:proofErr w:type="spellEnd"/>
      <w:r w:rsidR="000103AA" w:rsidRPr="000103AA">
        <w:rPr>
          <w:lang w:eastAsia="ja-JP"/>
        </w:rPr>
        <w:t xml:space="preserve"> and for all 34 patients who achieved an objective disease response based on overall IRC review</w:t>
      </w:r>
      <w:r w:rsidR="006B0403">
        <w:rPr>
          <w:lang w:eastAsia="ja-JP"/>
        </w:rPr>
        <w:t>;</w:t>
      </w:r>
      <w:r w:rsidR="000103AA" w:rsidRPr="000103AA">
        <w:rPr>
          <w:lang w:eastAsia="ja-JP"/>
        </w:rPr>
        <w:t xml:space="preserve"> and also the corresponding data from the investigator assessments is presented. </w:t>
      </w:r>
      <w:r w:rsidR="006B0403">
        <w:rPr>
          <w:lang w:eastAsia="ja-JP"/>
        </w:rPr>
        <w:t xml:space="preserve">Figures </w:t>
      </w:r>
      <w:r w:rsidR="002350F6">
        <w:rPr>
          <w:lang w:eastAsia="ja-JP"/>
        </w:rPr>
        <w:t>4</w:t>
      </w:r>
      <w:r w:rsidR="006B0403">
        <w:rPr>
          <w:lang w:eastAsia="ja-JP"/>
        </w:rPr>
        <w:t xml:space="preserve"> and </w:t>
      </w:r>
      <w:r w:rsidR="002350F6">
        <w:rPr>
          <w:lang w:eastAsia="ja-JP"/>
        </w:rPr>
        <w:t>5</w:t>
      </w:r>
      <w:r w:rsidR="000103AA" w:rsidRPr="000103AA">
        <w:rPr>
          <w:lang w:eastAsia="ja-JP"/>
        </w:rPr>
        <w:t xml:space="preserve"> </w:t>
      </w:r>
      <w:r w:rsidR="006B0403">
        <w:rPr>
          <w:lang w:eastAsia="ja-JP"/>
        </w:rPr>
        <w:t>present the Kaplan-Meier curves for duration of response for complete responders</w:t>
      </w:r>
      <w:r w:rsidR="00F03B1F">
        <w:rPr>
          <w:lang w:eastAsia="ja-JP"/>
        </w:rPr>
        <w:t xml:space="preserve"> </w:t>
      </w:r>
      <w:r w:rsidR="006B0403">
        <w:rPr>
          <w:lang w:eastAsia="ja-JP"/>
        </w:rPr>
        <w:t>and patients with an objective disease response based on Overall IRC review, respectively.</w:t>
      </w:r>
    </w:p>
    <w:p w:rsidR="000103AA" w:rsidRDefault="006B0403" w:rsidP="0068064F">
      <w:pPr>
        <w:rPr>
          <w:lang w:eastAsia="ja-JP"/>
        </w:rPr>
      </w:pPr>
      <w:r>
        <w:rPr>
          <w:lang w:eastAsia="ja-JP"/>
        </w:rPr>
        <w:t xml:space="preserve">With a </w:t>
      </w:r>
      <w:r w:rsidR="000103AA" w:rsidRPr="000103AA">
        <w:rPr>
          <w:lang w:eastAsia="ja-JP"/>
        </w:rPr>
        <w:t xml:space="preserve">median duration of follow up for patients with complete response </w:t>
      </w:r>
      <w:r>
        <w:rPr>
          <w:lang w:eastAsia="ja-JP"/>
        </w:rPr>
        <w:t xml:space="preserve">of </w:t>
      </w:r>
      <w:r w:rsidR="000103AA" w:rsidRPr="000103AA">
        <w:rPr>
          <w:lang w:eastAsia="ja-JP"/>
        </w:rPr>
        <w:t>250 days (8.2 months)</w:t>
      </w:r>
      <w:r>
        <w:rPr>
          <w:lang w:eastAsia="ja-JP"/>
        </w:rPr>
        <w:t>,</w:t>
      </w:r>
      <w:r w:rsidR="000103AA" w:rsidRPr="000103AA">
        <w:rPr>
          <w:lang w:eastAsia="ja-JP"/>
        </w:rPr>
        <w:t xml:space="preserve"> the median duration of response had not been reached for the 17 patients with complete response </w:t>
      </w:r>
      <w:r>
        <w:rPr>
          <w:lang w:eastAsia="ja-JP"/>
        </w:rPr>
        <w:t xml:space="preserve">based on </w:t>
      </w:r>
      <w:r w:rsidR="000103AA" w:rsidRPr="000103AA">
        <w:rPr>
          <w:lang w:eastAsia="ja-JP"/>
        </w:rPr>
        <w:t xml:space="preserve">overall IRC assessment.  Maximum duration </w:t>
      </w:r>
      <w:r>
        <w:rPr>
          <w:lang w:eastAsia="ja-JP"/>
        </w:rPr>
        <w:t xml:space="preserve">of </w:t>
      </w:r>
      <w:r w:rsidR="000103AA" w:rsidRPr="000103AA">
        <w:rPr>
          <w:lang w:eastAsia="ja-JP"/>
        </w:rPr>
        <w:t>response for these patients was 801+ days (26+ months).  As of the initial data cut-off</w:t>
      </w:r>
      <w:r>
        <w:rPr>
          <w:lang w:eastAsia="ja-JP"/>
        </w:rPr>
        <w:t>,</w:t>
      </w:r>
      <w:r w:rsidR="000103AA" w:rsidRPr="000103AA">
        <w:rPr>
          <w:lang w:eastAsia="ja-JP"/>
        </w:rPr>
        <w:t xml:space="preserve"> 16 or 94.1% of these 17 patients who achieved complete response had not relapsed.  Median duration of objective disease response for 34 responders in the overall IRC review as of the 31</w:t>
      </w:r>
      <w:r w:rsidR="000103AA" w:rsidRPr="000103AA">
        <w:rPr>
          <w:vertAlign w:val="superscript"/>
          <w:lang w:eastAsia="ja-JP"/>
        </w:rPr>
        <w:t>st</w:t>
      </w:r>
      <w:r w:rsidR="000103AA" w:rsidRPr="000103AA">
        <w:rPr>
          <w:lang w:eastAsia="ja-JP"/>
        </w:rPr>
        <w:t xml:space="preserve"> March 2010 was estimated at 353 days or 12 months.  </w:t>
      </w:r>
    </w:p>
    <w:p w:rsidR="00FE5E96" w:rsidRPr="00FE5E96" w:rsidRDefault="002350F6" w:rsidP="0068064F">
      <w:pPr>
        <w:pStyle w:val="TableTitle"/>
        <w:rPr>
          <w:lang w:eastAsia="ja-JP"/>
        </w:rPr>
      </w:pPr>
      <w:r>
        <w:rPr>
          <w:lang w:eastAsia="ja-JP"/>
        </w:rPr>
        <w:t>Table 17</w:t>
      </w:r>
      <w:r w:rsidR="00FE5E96">
        <w:rPr>
          <w:lang w:eastAsia="ja-JP"/>
        </w:rPr>
        <w:t>. Summary of Kaplan-Meier estimates of duration of response (Days) base</w:t>
      </w:r>
      <w:r w:rsidR="006B0403">
        <w:rPr>
          <w:lang w:eastAsia="ja-JP"/>
        </w:rPr>
        <w:t>d</w:t>
      </w:r>
      <w:r w:rsidR="00FE5E96">
        <w:rPr>
          <w:lang w:eastAsia="ja-JP"/>
        </w:rPr>
        <w:t xml:space="preserve"> on </w:t>
      </w:r>
      <w:r w:rsidR="00FE5E96" w:rsidRPr="00FE5E96">
        <w:rPr>
          <w:lang w:eastAsia="ja-JP"/>
        </w:rPr>
        <w:t>Overall IRC and Investigators’ Assessments (</w:t>
      </w:r>
      <w:proofErr w:type="spellStart"/>
      <w:r w:rsidR="00FE5E96" w:rsidRPr="00FE5E96">
        <w:rPr>
          <w:lang w:eastAsia="ja-JP"/>
        </w:rPr>
        <w:t>Histopathologically</w:t>
      </w:r>
      <w:proofErr w:type="spellEnd"/>
      <w:r w:rsidR="00FE5E96" w:rsidRPr="00FE5E96">
        <w:rPr>
          <w:lang w:eastAsia="ja-JP"/>
        </w:rPr>
        <w:t>-Confirmed Population, Study GPI-06-0002)</w:t>
      </w:r>
    </w:p>
    <w:p w:rsidR="00801004" w:rsidRDefault="00801004" w:rsidP="0068064F">
      <w:pPr>
        <w:rPr>
          <w:lang w:eastAsia="ja-JP"/>
        </w:rPr>
      </w:pPr>
      <w:r>
        <w:rPr>
          <w:noProof/>
          <w:lang w:eastAsia="en-AU"/>
        </w:rPr>
        <w:drawing>
          <wp:inline distT="0" distB="0" distL="0" distR="0">
            <wp:extent cx="4908371" cy="3266440"/>
            <wp:effectExtent l="19050" t="0" r="6529" b="0"/>
            <wp:docPr id="56" name="Picture 56" descr="Table 17. Summary of Kaplan-Meier estimates of duration of response (Days) based on Overall IRC and Investigators’ Assessments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print"/>
                    <a:srcRect/>
                    <a:stretch>
                      <a:fillRect/>
                    </a:stretch>
                  </pic:blipFill>
                  <pic:spPr bwMode="auto">
                    <a:xfrm>
                      <a:off x="0" y="0"/>
                      <a:ext cx="4908371" cy="3266440"/>
                    </a:xfrm>
                    <a:prstGeom prst="rect">
                      <a:avLst/>
                    </a:prstGeom>
                    <a:noFill/>
                    <a:ln w="9525">
                      <a:noFill/>
                      <a:miter lim="800000"/>
                      <a:headEnd/>
                      <a:tailEnd/>
                    </a:ln>
                  </pic:spPr>
                </pic:pic>
              </a:graphicData>
            </a:graphic>
          </wp:inline>
        </w:drawing>
      </w:r>
    </w:p>
    <w:p w:rsidR="00F03B1F" w:rsidRPr="00F03B1F" w:rsidRDefault="002350F6" w:rsidP="0068064F">
      <w:pPr>
        <w:pStyle w:val="FigureTitle"/>
      </w:pPr>
      <w:r>
        <w:lastRenderedPageBreak/>
        <w:t>Figure 4</w:t>
      </w:r>
      <w:r w:rsidR="00F03B1F" w:rsidRPr="00F03B1F">
        <w:t>. Kaplan-Meier Curve of Duration of Overall Response for Patients with CR/</w:t>
      </w:r>
      <w:proofErr w:type="spellStart"/>
      <w:r w:rsidR="00F03B1F" w:rsidRPr="00F03B1F">
        <w:t>CRu</w:t>
      </w:r>
      <w:proofErr w:type="spellEnd"/>
      <w:r w:rsidR="00F03B1F" w:rsidRPr="00F03B1F">
        <w:t xml:space="preserve"> Based on Overall IRC Review (</w:t>
      </w:r>
      <w:proofErr w:type="spellStart"/>
      <w:r w:rsidR="00F03B1F" w:rsidRPr="00F03B1F">
        <w:t>Histopathologically</w:t>
      </w:r>
      <w:proofErr w:type="spellEnd"/>
      <w:r w:rsidR="00F03B1F" w:rsidRPr="00F03B1F">
        <w:t>-Confirmed Population, Study GPI-06-0002)</w:t>
      </w:r>
    </w:p>
    <w:p w:rsidR="00F03B1F" w:rsidRPr="00F03B1F" w:rsidRDefault="00F03B1F" w:rsidP="0068064F">
      <w:r>
        <w:rPr>
          <w:noProof/>
          <w:lang w:eastAsia="en-AU"/>
        </w:rPr>
        <w:drawing>
          <wp:inline distT="0" distB="0" distL="0" distR="0">
            <wp:extent cx="5731510" cy="2962039"/>
            <wp:effectExtent l="19050" t="0" r="2540" b="0"/>
            <wp:docPr id="4" name="Picture 2" descr="Figure 4. Kaplan-Meier Curve of Duration of Overall Response for Patients with CR/CRu Based on Overall IRC Review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31510" cy="2962039"/>
                    </a:xfrm>
                    <a:prstGeom prst="rect">
                      <a:avLst/>
                    </a:prstGeom>
                    <a:noFill/>
                    <a:ln w="9525">
                      <a:noFill/>
                      <a:miter lim="800000"/>
                      <a:headEnd/>
                      <a:tailEnd/>
                    </a:ln>
                  </pic:spPr>
                </pic:pic>
              </a:graphicData>
            </a:graphic>
          </wp:inline>
        </w:drawing>
      </w:r>
    </w:p>
    <w:p w:rsidR="00F03B1F" w:rsidRPr="00F03B1F" w:rsidRDefault="002350F6" w:rsidP="0068064F">
      <w:pPr>
        <w:pStyle w:val="FigureTitle"/>
      </w:pPr>
      <w:r>
        <w:t>Figure 5</w:t>
      </w:r>
      <w:r w:rsidR="00F03B1F" w:rsidRPr="00F03B1F">
        <w:t xml:space="preserve">. Kaplan-Meier Curve of Duration of Overall Response for Patients with CR, </w:t>
      </w:r>
      <w:proofErr w:type="spellStart"/>
      <w:r w:rsidR="00F03B1F" w:rsidRPr="00F03B1F">
        <w:t>CRu</w:t>
      </w:r>
      <w:proofErr w:type="spellEnd"/>
      <w:r w:rsidR="00F03B1F" w:rsidRPr="00F03B1F">
        <w:t xml:space="preserve"> and PR Based on Overall IRC Review (</w:t>
      </w:r>
      <w:proofErr w:type="spellStart"/>
      <w:r w:rsidR="00F03B1F" w:rsidRPr="00F03B1F">
        <w:t>Histopathologically</w:t>
      </w:r>
      <w:proofErr w:type="spellEnd"/>
      <w:r w:rsidR="00F03B1F" w:rsidRPr="00F03B1F">
        <w:t>-Confirmed Population, Study GPI-06-0002)</w:t>
      </w:r>
    </w:p>
    <w:p w:rsidR="00F03B1F" w:rsidRPr="000103AA" w:rsidRDefault="00F03B1F" w:rsidP="0068064F">
      <w:pPr>
        <w:rPr>
          <w:lang w:eastAsia="ja-JP"/>
        </w:rPr>
      </w:pPr>
      <w:r>
        <w:rPr>
          <w:noProof/>
          <w:lang w:eastAsia="en-AU"/>
        </w:rPr>
        <w:drawing>
          <wp:inline distT="0" distB="0" distL="0" distR="0">
            <wp:extent cx="5731510" cy="2847679"/>
            <wp:effectExtent l="19050" t="0" r="2540" b="0"/>
            <wp:docPr id="8" name="Picture 4" descr="Figure 5. Kaplan-Meier Curve of Duration of Overall Response for Patients with CR, CRu and PR Based on Overall IRC Review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31510" cy="2847679"/>
                    </a:xfrm>
                    <a:prstGeom prst="rect">
                      <a:avLst/>
                    </a:prstGeom>
                    <a:noFill/>
                    <a:ln w="9525">
                      <a:noFill/>
                      <a:miter lim="800000"/>
                      <a:headEnd/>
                      <a:tailEnd/>
                    </a:ln>
                  </pic:spPr>
                </pic:pic>
              </a:graphicData>
            </a:graphic>
          </wp:inline>
        </w:drawing>
      </w:r>
    </w:p>
    <w:p w:rsidR="000103AA" w:rsidRPr="000103AA" w:rsidRDefault="000103AA" w:rsidP="0068064F">
      <w:pPr>
        <w:rPr>
          <w:lang w:eastAsia="ja-JP"/>
        </w:rPr>
      </w:pPr>
      <w:r w:rsidRPr="000103AA">
        <w:rPr>
          <w:lang w:eastAsia="ja-JP"/>
        </w:rPr>
        <w:t>Based on investigator assessments the median duration of response for complete responders was 429 days or 14 months.  Median duration of objective disease response across all 38 responders based on the investigators assessment was estimated 353 days or 12 months.</w:t>
      </w:r>
    </w:p>
    <w:p w:rsidR="000103AA" w:rsidRPr="000103AA" w:rsidRDefault="000103AA" w:rsidP="0068064F">
      <w:pPr>
        <w:rPr>
          <w:lang w:eastAsia="ja-JP"/>
        </w:rPr>
      </w:pPr>
      <w:r w:rsidRPr="000103AA">
        <w:rPr>
          <w:lang w:eastAsia="ja-JP"/>
        </w:rPr>
        <w:t>In relation to stable disease, among the 32 patients with stable disease by overall IRC review 22 had durations of SD &gt;90 days and six had durations &gt;180 days</w:t>
      </w:r>
      <w:r w:rsidR="00836B36">
        <w:rPr>
          <w:lang w:eastAsia="ja-JP"/>
        </w:rPr>
        <w:t>,</w:t>
      </w:r>
      <w:r w:rsidRPr="000103AA">
        <w:rPr>
          <w:lang w:eastAsia="ja-JP"/>
        </w:rPr>
        <w:t xml:space="preserve"> with a maximum duration of SD being 749+ days or 24+ months.</w:t>
      </w:r>
    </w:p>
    <w:p w:rsidR="000103AA" w:rsidRPr="000103AA" w:rsidRDefault="000103AA" w:rsidP="0068064F">
      <w:pPr>
        <w:rPr>
          <w:lang w:eastAsia="ja-JP"/>
        </w:rPr>
      </w:pPr>
      <w:r w:rsidRPr="000103AA">
        <w:rPr>
          <w:lang w:eastAsia="ja-JP"/>
        </w:rPr>
        <w:t xml:space="preserve">Durations of response in the per protocol population was similar to that in the </w:t>
      </w:r>
      <w:proofErr w:type="spellStart"/>
      <w:r w:rsidRPr="000103AA">
        <w:rPr>
          <w:lang w:eastAsia="ja-JP"/>
        </w:rPr>
        <w:t>histologically</w:t>
      </w:r>
      <w:proofErr w:type="spellEnd"/>
      <w:r w:rsidRPr="000103AA">
        <w:rPr>
          <w:lang w:eastAsia="ja-JP"/>
        </w:rPr>
        <w:t xml:space="preserve"> confirmed population with a median duration of objective disease response estimated at 353 days for patients who achieved CR or PR</w:t>
      </w:r>
      <w:r w:rsidR="00836B36">
        <w:rPr>
          <w:lang w:eastAsia="ja-JP"/>
        </w:rPr>
        <w:t>,</w:t>
      </w:r>
      <w:r w:rsidRPr="000103AA">
        <w:rPr>
          <w:lang w:eastAsia="ja-JP"/>
        </w:rPr>
        <w:t xml:space="preserve"> and for results based on the investigator assessments </w:t>
      </w:r>
      <w:r w:rsidRPr="000103AA">
        <w:rPr>
          <w:lang w:eastAsia="ja-JP"/>
        </w:rPr>
        <w:lastRenderedPageBreak/>
        <w:t xml:space="preserve">median duration of response in the per protocol population was estimated at 429 days or 14 months for patients with objective disease response as well as for patients with complete response.  </w:t>
      </w:r>
    </w:p>
    <w:p w:rsidR="000103AA" w:rsidRPr="000103AA" w:rsidRDefault="000103AA" w:rsidP="0068064F">
      <w:pPr>
        <w:rPr>
          <w:lang w:eastAsia="ja-JP"/>
        </w:rPr>
      </w:pPr>
      <w:r w:rsidRPr="000103AA">
        <w:rPr>
          <w:lang w:eastAsia="ja-JP"/>
        </w:rPr>
        <w:t>In relation to t</w:t>
      </w:r>
      <w:r w:rsidR="0027596C">
        <w:rPr>
          <w:lang w:eastAsia="ja-JP"/>
        </w:rPr>
        <w:t>ime to response, responses for r</w:t>
      </w:r>
      <w:r w:rsidRPr="000103AA">
        <w:rPr>
          <w:lang w:eastAsia="ja-JP"/>
        </w:rPr>
        <w:t>omidepsin were observed during the first course of treatment with a median time to objective disease response being 56 da</w:t>
      </w:r>
      <w:r w:rsidR="0027596C">
        <w:rPr>
          <w:lang w:eastAsia="ja-JP"/>
        </w:rPr>
        <w:t>ys or two cycles (range 43 days</w:t>
      </w:r>
      <w:r w:rsidRPr="000103AA">
        <w:rPr>
          <w:lang w:eastAsia="ja-JP"/>
        </w:rPr>
        <w:t>–169 days).  The median time to complete response was 105 days or f</w:t>
      </w:r>
      <w:r w:rsidR="0027596C">
        <w:rPr>
          <w:lang w:eastAsia="ja-JP"/>
        </w:rPr>
        <w:t>our cycles with a range 49 days</w:t>
      </w:r>
      <w:r w:rsidRPr="000103AA">
        <w:rPr>
          <w:lang w:eastAsia="ja-JP"/>
        </w:rPr>
        <w:t xml:space="preserve">–281 days.  This data was similar for the investigators determinations.  </w:t>
      </w:r>
    </w:p>
    <w:p w:rsidR="000103AA" w:rsidRPr="000103AA" w:rsidRDefault="000103AA" w:rsidP="0068064F">
      <w:pPr>
        <w:rPr>
          <w:lang w:eastAsia="ja-JP"/>
        </w:rPr>
      </w:pPr>
      <w:r w:rsidRPr="000103AA">
        <w:rPr>
          <w:lang w:eastAsia="ja-JP"/>
        </w:rPr>
        <w:t xml:space="preserve">In relation to time to disease progression median time to progression was 177 days or six months for the IRC reviewed patients and 85 days based on the investigators assessments.  This difference is determined in part by the fact that the IRC review does not involve routine reporting of date of disease progression.  </w:t>
      </w:r>
    </w:p>
    <w:p w:rsidR="000103AA" w:rsidRPr="000103AA" w:rsidRDefault="000103AA" w:rsidP="0068064F">
      <w:pPr>
        <w:rPr>
          <w:lang w:eastAsia="ja-JP"/>
        </w:rPr>
      </w:pPr>
      <w:r w:rsidRPr="000103AA">
        <w:rPr>
          <w:lang w:eastAsia="ja-JP"/>
        </w:rPr>
        <w:t>Evaluation of time to disease progression for the IRC assessment evaluated by response category is indicated in Table</w:t>
      </w:r>
      <w:r w:rsidR="00836B36">
        <w:rPr>
          <w:lang w:eastAsia="ja-JP"/>
        </w:rPr>
        <w:t xml:space="preserve"> 18</w:t>
      </w:r>
      <w:r w:rsidR="0027596C">
        <w:rPr>
          <w:lang w:eastAsia="ja-JP"/>
        </w:rPr>
        <w:t xml:space="preserve"> and Figure </w:t>
      </w:r>
      <w:r w:rsidR="00836B36">
        <w:rPr>
          <w:lang w:eastAsia="ja-JP"/>
        </w:rPr>
        <w:t>6</w:t>
      </w:r>
      <w:r w:rsidR="00ED7EE6">
        <w:rPr>
          <w:lang w:eastAsia="ja-JP"/>
        </w:rPr>
        <w:t>.</w:t>
      </w:r>
      <w:r w:rsidRPr="000103AA">
        <w:rPr>
          <w:lang w:eastAsia="ja-JP"/>
        </w:rPr>
        <w:t xml:space="preserve">  As indicated this was considerably longer for patients who achieved complete remission.  </w:t>
      </w:r>
    </w:p>
    <w:p w:rsidR="00FE5E96" w:rsidRPr="00ED7EE6" w:rsidRDefault="00836B36" w:rsidP="0068064F">
      <w:pPr>
        <w:pStyle w:val="TableTitle"/>
        <w:rPr>
          <w:lang w:eastAsia="ja-JP"/>
        </w:rPr>
      </w:pPr>
      <w:r>
        <w:rPr>
          <w:lang w:eastAsia="ja-JP"/>
        </w:rPr>
        <w:t>Table 18</w:t>
      </w:r>
      <w:r w:rsidR="00ED7EE6">
        <w:rPr>
          <w:lang w:eastAsia="ja-JP"/>
        </w:rPr>
        <w:t xml:space="preserve">. </w:t>
      </w:r>
      <w:r w:rsidR="00FE5E96" w:rsidRPr="00ED7EE6">
        <w:rPr>
          <w:lang w:eastAsia="ja-JP"/>
        </w:rPr>
        <w:t xml:space="preserve">Summary of Kaplan-Meier estimates of </w:t>
      </w:r>
      <w:r w:rsidR="00ED7EE6">
        <w:rPr>
          <w:lang w:eastAsia="ja-JP"/>
        </w:rPr>
        <w:t xml:space="preserve">Time to Progression </w:t>
      </w:r>
      <w:r w:rsidR="00FE5E96" w:rsidRPr="00ED7EE6">
        <w:rPr>
          <w:lang w:eastAsia="ja-JP"/>
        </w:rPr>
        <w:t>(Days) base</w:t>
      </w:r>
      <w:r w:rsidR="00ED7EE6">
        <w:rPr>
          <w:lang w:eastAsia="ja-JP"/>
        </w:rPr>
        <w:t>d</w:t>
      </w:r>
      <w:r w:rsidR="00FE5E96" w:rsidRPr="00ED7EE6">
        <w:rPr>
          <w:lang w:eastAsia="ja-JP"/>
        </w:rPr>
        <w:t xml:space="preserve"> on Overall IRC </w:t>
      </w:r>
      <w:r w:rsidR="00ED7EE6">
        <w:rPr>
          <w:lang w:eastAsia="ja-JP"/>
        </w:rPr>
        <w:t>Assessment by Response to Treatment</w:t>
      </w:r>
      <w:r w:rsidR="00FE5E96" w:rsidRPr="00ED7EE6">
        <w:rPr>
          <w:lang w:eastAsia="ja-JP"/>
        </w:rPr>
        <w:t xml:space="preserve"> (</w:t>
      </w:r>
      <w:proofErr w:type="spellStart"/>
      <w:r w:rsidR="00FE5E96" w:rsidRPr="00ED7EE6">
        <w:rPr>
          <w:lang w:eastAsia="ja-JP"/>
        </w:rPr>
        <w:t>Histopathologically</w:t>
      </w:r>
      <w:proofErr w:type="spellEnd"/>
      <w:r w:rsidR="00FE5E96" w:rsidRPr="00ED7EE6">
        <w:rPr>
          <w:lang w:eastAsia="ja-JP"/>
        </w:rPr>
        <w:t>-Confirmed Population, Study GPI-06-0002)</w:t>
      </w:r>
    </w:p>
    <w:p w:rsidR="00ED7EE6" w:rsidRPr="000103AA" w:rsidRDefault="00ED7EE6" w:rsidP="0068064F">
      <w:pPr>
        <w:rPr>
          <w:lang w:eastAsia="ja-JP"/>
        </w:rPr>
      </w:pPr>
      <w:r>
        <w:rPr>
          <w:noProof/>
          <w:lang w:eastAsia="en-AU"/>
        </w:rPr>
        <w:drawing>
          <wp:inline distT="0" distB="0" distL="0" distR="0">
            <wp:extent cx="5730240" cy="2219960"/>
            <wp:effectExtent l="19050" t="0" r="3810" b="0"/>
            <wp:docPr id="63" name="Picture 63" descr="Table 18. Summary of Kaplan-Meier estimates of Time to Progression (Days) based on Overall IRC Assessment by Response to Treatment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srcRect t="18631"/>
                    <a:stretch>
                      <a:fillRect/>
                    </a:stretch>
                  </pic:blipFill>
                  <pic:spPr bwMode="auto">
                    <a:xfrm>
                      <a:off x="0" y="0"/>
                      <a:ext cx="5730240" cy="2219960"/>
                    </a:xfrm>
                    <a:prstGeom prst="rect">
                      <a:avLst/>
                    </a:prstGeom>
                    <a:noFill/>
                    <a:ln w="9525">
                      <a:noFill/>
                      <a:miter lim="800000"/>
                      <a:headEnd/>
                      <a:tailEnd/>
                    </a:ln>
                  </pic:spPr>
                </pic:pic>
              </a:graphicData>
            </a:graphic>
          </wp:inline>
        </w:drawing>
      </w:r>
    </w:p>
    <w:p w:rsidR="00ED48DB" w:rsidRPr="00ED48DB" w:rsidRDefault="00ED48DB" w:rsidP="0068064F">
      <w:pPr>
        <w:pStyle w:val="FigureTitle"/>
      </w:pPr>
      <w:r w:rsidRPr="00ED48DB">
        <w:lastRenderedPageBreak/>
        <w:t xml:space="preserve">Figure </w:t>
      </w:r>
      <w:r w:rsidR="00836B36">
        <w:t>6</w:t>
      </w:r>
      <w:r w:rsidRPr="00ED48DB">
        <w:t>. Kaplan-Meier Curve of Time to Progression Based on Overall IRC Review</w:t>
      </w:r>
      <w:r>
        <w:t xml:space="preserve"> </w:t>
      </w:r>
      <w:r w:rsidRPr="00ED48DB">
        <w:t>by Response Category (</w:t>
      </w:r>
      <w:proofErr w:type="spellStart"/>
      <w:r w:rsidRPr="00ED48DB">
        <w:t>Histopathologically</w:t>
      </w:r>
      <w:proofErr w:type="spellEnd"/>
      <w:r w:rsidRPr="00ED48DB">
        <w:t>-Confirmed Population, Study</w:t>
      </w:r>
      <w:r>
        <w:t xml:space="preserve"> </w:t>
      </w:r>
      <w:r w:rsidRPr="00ED48DB">
        <w:t>GPI-06-0002)</w:t>
      </w:r>
    </w:p>
    <w:p w:rsidR="00ED48DB" w:rsidRDefault="00ED48DB" w:rsidP="0068064F">
      <w:pPr>
        <w:rPr>
          <w:lang w:eastAsia="ja-JP"/>
        </w:rPr>
      </w:pPr>
      <w:r>
        <w:rPr>
          <w:noProof/>
          <w:lang w:eastAsia="en-AU"/>
        </w:rPr>
        <w:drawing>
          <wp:inline distT="0" distB="0" distL="0" distR="0">
            <wp:extent cx="5731510" cy="3631496"/>
            <wp:effectExtent l="19050" t="0" r="2540" b="0"/>
            <wp:docPr id="9" name="Picture 7" descr="Figure 6. Kaplan-Meier Curve of Time to Progression Based on Overall IRC Review by Response Category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5731510" cy="3631496"/>
                    </a:xfrm>
                    <a:prstGeom prst="rect">
                      <a:avLst/>
                    </a:prstGeom>
                    <a:noFill/>
                    <a:ln w="9525">
                      <a:noFill/>
                      <a:miter lim="800000"/>
                      <a:headEnd/>
                      <a:tailEnd/>
                    </a:ln>
                  </pic:spPr>
                </pic:pic>
              </a:graphicData>
            </a:graphic>
          </wp:inline>
        </w:drawing>
      </w:r>
    </w:p>
    <w:p w:rsidR="00ED48DB" w:rsidRPr="00ED48DB" w:rsidRDefault="00ED48DB" w:rsidP="0068064F">
      <w:pPr>
        <w:rPr>
          <w:lang w:eastAsia="ja-JP"/>
        </w:rPr>
      </w:pPr>
      <w:r w:rsidRPr="00ED48DB">
        <w:rPr>
          <w:lang w:eastAsia="ja-JP"/>
        </w:rPr>
        <w:t xml:space="preserve">Data for time to disease progression based on investigator assessment were similar in that compete response patients had significantly longer time to disease progression of 16 months or 500 days for complete responders while time to tumour progression were 188, 120 and 49 days respectively for patients with PR, SD and PD categories.  </w:t>
      </w:r>
    </w:p>
    <w:p w:rsidR="000103AA" w:rsidRPr="000103AA" w:rsidRDefault="000103AA" w:rsidP="0068064F">
      <w:pPr>
        <w:rPr>
          <w:lang w:eastAsia="ja-JP"/>
        </w:rPr>
      </w:pPr>
      <w:r w:rsidRPr="000103AA">
        <w:rPr>
          <w:lang w:eastAsia="ja-JP"/>
        </w:rPr>
        <w:t xml:space="preserve">Data for progression free survival is summarised in Table </w:t>
      </w:r>
      <w:r w:rsidR="00543517">
        <w:rPr>
          <w:lang w:eastAsia="ja-JP"/>
        </w:rPr>
        <w:t>19</w:t>
      </w:r>
      <w:r w:rsidRPr="000103AA">
        <w:rPr>
          <w:lang w:eastAsia="ja-JP"/>
        </w:rPr>
        <w:t xml:space="preserve">.  The median progression free survival for IRC patients was 107 days or four months and 77 days or three months based on the investigators assessments.  Evaluation of progression free survival across the response category is indicated in Table </w:t>
      </w:r>
      <w:r w:rsidR="00543517">
        <w:rPr>
          <w:lang w:eastAsia="ja-JP"/>
        </w:rPr>
        <w:t>20</w:t>
      </w:r>
      <w:r w:rsidRPr="000103AA">
        <w:rPr>
          <w:lang w:eastAsia="ja-JP"/>
        </w:rPr>
        <w:t xml:space="preserve">.  Again patients with complete response had significantly longer PFS compared to the other response categories.  </w:t>
      </w:r>
    </w:p>
    <w:p w:rsidR="00E81A5D" w:rsidRPr="00E81A5D" w:rsidRDefault="00836B36" w:rsidP="0068064F">
      <w:pPr>
        <w:pStyle w:val="TableTitle"/>
        <w:rPr>
          <w:lang w:eastAsia="ja-JP"/>
        </w:rPr>
      </w:pPr>
      <w:r>
        <w:rPr>
          <w:lang w:eastAsia="ja-JP"/>
        </w:rPr>
        <w:t>Table 1</w:t>
      </w:r>
      <w:r w:rsidR="00543517">
        <w:rPr>
          <w:lang w:eastAsia="ja-JP"/>
        </w:rPr>
        <w:t>9</w:t>
      </w:r>
      <w:r w:rsidR="00E81A5D">
        <w:rPr>
          <w:lang w:eastAsia="ja-JP"/>
        </w:rPr>
        <w:t xml:space="preserve">. </w:t>
      </w:r>
      <w:r w:rsidR="00E81A5D" w:rsidRPr="00E81A5D">
        <w:rPr>
          <w:lang w:eastAsia="ja-JP"/>
        </w:rPr>
        <w:t xml:space="preserve">Summary of Kaplan-Meier estimates of </w:t>
      </w:r>
      <w:r w:rsidR="00E81A5D">
        <w:rPr>
          <w:lang w:eastAsia="ja-JP"/>
        </w:rPr>
        <w:t xml:space="preserve">Progression-Free Survival </w:t>
      </w:r>
      <w:r w:rsidR="00E81A5D" w:rsidRPr="00E81A5D">
        <w:rPr>
          <w:lang w:eastAsia="ja-JP"/>
        </w:rPr>
        <w:t xml:space="preserve">(Days) based on Overall IRC </w:t>
      </w:r>
      <w:r w:rsidR="00E81A5D">
        <w:rPr>
          <w:lang w:eastAsia="ja-JP"/>
        </w:rPr>
        <w:t xml:space="preserve">and Investigator’s </w:t>
      </w:r>
      <w:r w:rsidR="00E81A5D" w:rsidRPr="00E81A5D">
        <w:rPr>
          <w:lang w:eastAsia="ja-JP"/>
        </w:rPr>
        <w:t>Assessment</w:t>
      </w:r>
      <w:r w:rsidR="00E81A5D">
        <w:rPr>
          <w:lang w:eastAsia="ja-JP"/>
        </w:rPr>
        <w:t>s</w:t>
      </w:r>
      <w:r w:rsidR="00E81A5D" w:rsidRPr="00E81A5D">
        <w:rPr>
          <w:lang w:eastAsia="ja-JP"/>
        </w:rPr>
        <w:t xml:space="preserve"> (</w:t>
      </w:r>
      <w:proofErr w:type="spellStart"/>
      <w:r w:rsidR="00E81A5D" w:rsidRPr="00E81A5D">
        <w:rPr>
          <w:lang w:eastAsia="ja-JP"/>
        </w:rPr>
        <w:t>Histopathologically</w:t>
      </w:r>
      <w:proofErr w:type="spellEnd"/>
      <w:r w:rsidR="00E81A5D" w:rsidRPr="00E81A5D">
        <w:rPr>
          <w:lang w:eastAsia="ja-JP"/>
        </w:rPr>
        <w:t>-Confirmed Population, Study GPI-06-0002)</w:t>
      </w:r>
    </w:p>
    <w:p w:rsidR="00E81A5D" w:rsidRDefault="00E81A5D" w:rsidP="000103AA">
      <w:pPr>
        <w:rPr>
          <w:lang w:eastAsia="ja-JP"/>
        </w:rPr>
      </w:pPr>
      <w:r>
        <w:rPr>
          <w:noProof/>
          <w:lang w:eastAsia="en-AU"/>
        </w:rPr>
        <w:drawing>
          <wp:inline distT="0" distB="0" distL="0" distR="0">
            <wp:extent cx="5731510" cy="2151210"/>
            <wp:effectExtent l="19050" t="0" r="2540" b="0"/>
            <wp:docPr id="66" name="Picture 66" descr="Table 19. Summary of Kaplan-Meier estimates of Progression-Free Survival (Days) based on Overall IRC and Investigator’s Assessments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l="-565" t="18936"/>
                    <a:stretch>
                      <a:fillRect/>
                    </a:stretch>
                  </pic:blipFill>
                  <pic:spPr bwMode="auto">
                    <a:xfrm>
                      <a:off x="0" y="0"/>
                      <a:ext cx="5731510" cy="2151210"/>
                    </a:xfrm>
                    <a:prstGeom prst="rect">
                      <a:avLst/>
                    </a:prstGeom>
                    <a:noFill/>
                    <a:ln w="9525">
                      <a:noFill/>
                      <a:miter lim="800000"/>
                      <a:headEnd/>
                      <a:tailEnd/>
                    </a:ln>
                  </pic:spPr>
                </pic:pic>
              </a:graphicData>
            </a:graphic>
          </wp:inline>
        </w:drawing>
      </w:r>
    </w:p>
    <w:p w:rsidR="00E81A5D" w:rsidRPr="00E81A5D" w:rsidRDefault="00543517" w:rsidP="0068064F">
      <w:pPr>
        <w:pStyle w:val="TableTitle"/>
        <w:rPr>
          <w:lang w:eastAsia="ja-JP"/>
        </w:rPr>
      </w:pPr>
      <w:r>
        <w:rPr>
          <w:lang w:eastAsia="ja-JP"/>
        </w:rPr>
        <w:lastRenderedPageBreak/>
        <w:t>Table 20</w:t>
      </w:r>
      <w:r w:rsidR="00836B36">
        <w:rPr>
          <w:lang w:eastAsia="ja-JP"/>
        </w:rPr>
        <w:t xml:space="preserve">. </w:t>
      </w:r>
      <w:r w:rsidR="00E81A5D">
        <w:rPr>
          <w:lang w:eastAsia="ja-JP"/>
        </w:rPr>
        <w:t xml:space="preserve"> </w:t>
      </w:r>
      <w:r w:rsidR="00E81A5D" w:rsidRPr="00E81A5D">
        <w:rPr>
          <w:lang w:eastAsia="ja-JP"/>
        </w:rPr>
        <w:t>Summary of Kaplan-Meier estimates of Progression-Free Survival (Days) based on Overall IRC Assessment</w:t>
      </w:r>
      <w:r w:rsidR="00E81A5D">
        <w:rPr>
          <w:lang w:eastAsia="ja-JP"/>
        </w:rPr>
        <w:t xml:space="preserve"> by Response to Treatment</w:t>
      </w:r>
      <w:r w:rsidR="00E81A5D" w:rsidRPr="00E81A5D">
        <w:rPr>
          <w:lang w:eastAsia="ja-JP"/>
        </w:rPr>
        <w:t xml:space="preserve"> (</w:t>
      </w:r>
      <w:proofErr w:type="spellStart"/>
      <w:r w:rsidR="00E81A5D" w:rsidRPr="00E81A5D">
        <w:rPr>
          <w:lang w:eastAsia="ja-JP"/>
        </w:rPr>
        <w:t>Histopathologically</w:t>
      </w:r>
      <w:proofErr w:type="spellEnd"/>
      <w:r w:rsidR="00E81A5D" w:rsidRPr="00E81A5D">
        <w:rPr>
          <w:lang w:eastAsia="ja-JP"/>
        </w:rPr>
        <w:t>-Confirmed Population, Study GPI-06-0002)</w:t>
      </w:r>
    </w:p>
    <w:p w:rsidR="00E81A5D" w:rsidRPr="000103AA" w:rsidRDefault="00E81A5D" w:rsidP="0068064F">
      <w:pPr>
        <w:rPr>
          <w:lang w:eastAsia="ja-JP"/>
        </w:rPr>
      </w:pPr>
      <w:r>
        <w:rPr>
          <w:noProof/>
          <w:lang w:eastAsia="en-AU"/>
        </w:rPr>
        <w:drawing>
          <wp:inline distT="0" distB="0" distL="0" distR="0">
            <wp:extent cx="5731510" cy="2177164"/>
            <wp:effectExtent l="19050" t="0" r="2540" b="0"/>
            <wp:docPr id="69" name="Picture 69" descr="Table 20.  Summary of Kaplan-Meier estimates of Progression-Free Survival (Days) based on Overall IRC Assessment by Response to Treatment (Histopathologically-Confirmed Population, Study GPI-06-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9" cstate="print"/>
                    <a:srcRect l="-478" t="19716"/>
                    <a:stretch>
                      <a:fillRect/>
                    </a:stretch>
                  </pic:blipFill>
                  <pic:spPr bwMode="auto">
                    <a:xfrm>
                      <a:off x="0" y="0"/>
                      <a:ext cx="5731510" cy="2177164"/>
                    </a:xfrm>
                    <a:prstGeom prst="rect">
                      <a:avLst/>
                    </a:prstGeom>
                    <a:noFill/>
                    <a:ln w="9525">
                      <a:noFill/>
                      <a:miter lim="800000"/>
                      <a:headEnd/>
                      <a:tailEnd/>
                    </a:ln>
                  </pic:spPr>
                </pic:pic>
              </a:graphicData>
            </a:graphic>
          </wp:inline>
        </w:drawing>
      </w:r>
    </w:p>
    <w:p w:rsidR="000103AA" w:rsidRPr="000103AA" w:rsidRDefault="00836B36" w:rsidP="0068064F">
      <w:pPr>
        <w:rPr>
          <w:lang w:eastAsia="ja-JP"/>
        </w:rPr>
      </w:pPr>
      <w:r>
        <w:rPr>
          <w:lang w:eastAsia="ja-JP"/>
        </w:rPr>
        <w:t>Review of the demographic</w:t>
      </w:r>
      <w:r w:rsidR="000103AA" w:rsidRPr="000103AA">
        <w:rPr>
          <w:lang w:eastAsia="ja-JP"/>
        </w:rPr>
        <w:t xml:space="preserve"> baseline disease characteristics and prior therapy for patients who achieved CR or </w:t>
      </w:r>
      <w:proofErr w:type="spellStart"/>
      <w:r w:rsidR="000103AA" w:rsidRPr="000103AA">
        <w:rPr>
          <w:lang w:eastAsia="ja-JP"/>
        </w:rPr>
        <w:t>CRu</w:t>
      </w:r>
      <w:proofErr w:type="spellEnd"/>
      <w:r w:rsidR="000103AA" w:rsidRPr="000103AA">
        <w:rPr>
          <w:lang w:eastAsia="ja-JP"/>
        </w:rPr>
        <w:t xml:space="preserve"> compared to those who did not achieve complete response is indicated in Table </w:t>
      </w:r>
      <w:r>
        <w:rPr>
          <w:lang w:eastAsia="ja-JP"/>
        </w:rPr>
        <w:t>2</w:t>
      </w:r>
      <w:r w:rsidR="00543517">
        <w:rPr>
          <w:lang w:eastAsia="ja-JP"/>
        </w:rPr>
        <w:t>1</w:t>
      </w:r>
      <w:r w:rsidR="000103AA" w:rsidRPr="000103AA">
        <w:rPr>
          <w:lang w:eastAsia="ja-JP"/>
        </w:rPr>
        <w:t xml:space="preserve"> and confirms that these patients were representative of the patient population as a whole and were not a sub-group of patients with a better prognosis.  </w:t>
      </w:r>
    </w:p>
    <w:p w:rsidR="000103AA" w:rsidRDefault="00543517" w:rsidP="0068064F">
      <w:pPr>
        <w:pStyle w:val="TableTitle"/>
        <w:rPr>
          <w:lang w:eastAsia="ja-JP"/>
        </w:rPr>
      </w:pPr>
      <w:r>
        <w:rPr>
          <w:lang w:eastAsia="ja-JP"/>
        </w:rPr>
        <w:t>Table 21</w:t>
      </w:r>
      <w:r w:rsidR="00E81A5D">
        <w:rPr>
          <w:lang w:eastAsia="ja-JP"/>
        </w:rPr>
        <w:t>. Comparison of baseline disease characteristics for patients with CR compared to other response categories (</w:t>
      </w:r>
      <w:proofErr w:type="spellStart"/>
      <w:r w:rsidR="00E81A5D">
        <w:rPr>
          <w:lang w:eastAsia="ja-JP"/>
        </w:rPr>
        <w:t>Histopathologically</w:t>
      </w:r>
      <w:proofErr w:type="spellEnd"/>
      <w:r w:rsidR="00E81A5D">
        <w:rPr>
          <w:lang w:eastAsia="ja-JP"/>
        </w:rPr>
        <w:t>-confirmed population)</w:t>
      </w:r>
    </w:p>
    <w:p w:rsidR="009117BC" w:rsidRDefault="009117BC" w:rsidP="0068064F">
      <w:pPr>
        <w:rPr>
          <w:lang w:eastAsia="ja-JP"/>
        </w:rPr>
      </w:pPr>
      <w:r>
        <w:rPr>
          <w:noProof/>
          <w:lang w:eastAsia="en-AU"/>
        </w:rPr>
        <w:drawing>
          <wp:inline distT="0" distB="0" distL="0" distR="0">
            <wp:extent cx="5386705" cy="4490085"/>
            <wp:effectExtent l="19050" t="0" r="4445" b="0"/>
            <wp:docPr id="10" name="Picture 8" descr="Table 21. Comparison of baseline disease characteristics for patients with CR compared to other response categories (Histopathologically-confirm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5386705" cy="4490085"/>
                    </a:xfrm>
                    <a:prstGeom prst="rect">
                      <a:avLst/>
                    </a:prstGeom>
                    <a:noFill/>
                    <a:ln w="9525">
                      <a:noFill/>
                      <a:miter lim="800000"/>
                      <a:headEnd/>
                      <a:tailEnd/>
                    </a:ln>
                  </pic:spPr>
                </pic:pic>
              </a:graphicData>
            </a:graphic>
          </wp:inline>
        </w:drawing>
      </w:r>
    </w:p>
    <w:p w:rsidR="000103AA" w:rsidRPr="000103AA" w:rsidRDefault="000103AA" w:rsidP="0068064F">
      <w:pPr>
        <w:rPr>
          <w:lang w:eastAsia="ja-JP"/>
        </w:rPr>
      </w:pPr>
      <w:r w:rsidRPr="000103AA">
        <w:rPr>
          <w:lang w:eastAsia="ja-JP"/>
        </w:rPr>
        <w:t xml:space="preserve">In relation to improvements in ECOG performance status </w:t>
      </w:r>
      <w:r w:rsidR="009117BC">
        <w:rPr>
          <w:lang w:eastAsia="ja-JP"/>
        </w:rPr>
        <w:t>(</w:t>
      </w:r>
      <w:r w:rsidRPr="000103AA">
        <w:rPr>
          <w:lang w:eastAsia="ja-JP"/>
        </w:rPr>
        <w:t>which was assessed on a regular basis throughout treatment and is an assessment of clinical benefit of response to treatment</w:t>
      </w:r>
      <w:r w:rsidR="009117BC">
        <w:rPr>
          <w:lang w:eastAsia="ja-JP"/>
        </w:rPr>
        <w:t xml:space="preserve">), </w:t>
      </w:r>
      <w:r w:rsidR="009117BC">
        <w:rPr>
          <w:lang w:eastAsia="ja-JP"/>
        </w:rPr>
        <w:lastRenderedPageBreak/>
        <w:t>this</w:t>
      </w:r>
      <w:r w:rsidRPr="000103AA">
        <w:rPr>
          <w:lang w:eastAsia="ja-JP"/>
        </w:rPr>
        <w:t xml:space="preserve"> was determined by comparison of change from baseline ECOG PS to that throughout the course of the study.  Eighty-two percent of patients with complete response had improvement in ECOG PS compared to 58% for PR and 55% for patients with SD.  A further evaluation of the changes in ECOG performance status were undertaken to assess potential improvement or overall worsening of the entire treatment course for each response category and this is i</w:t>
      </w:r>
      <w:r w:rsidR="00836B36">
        <w:rPr>
          <w:lang w:eastAsia="ja-JP"/>
        </w:rPr>
        <w:t>ndicated graphically in Figure 7</w:t>
      </w:r>
      <w:r w:rsidRPr="000103AA">
        <w:rPr>
          <w:lang w:eastAsia="ja-JP"/>
        </w:rPr>
        <w:t xml:space="preserve">.  </w:t>
      </w:r>
    </w:p>
    <w:p w:rsidR="009117BC" w:rsidRDefault="009117BC" w:rsidP="0068064F">
      <w:pPr>
        <w:pStyle w:val="FigureTitle"/>
        <w:rPr>
          <w:lang w:eastAsia="ja-JP"/>
        </w:rPr>
      </w:pPr>
      <w:r>
        <w:rPr>
          <w:lang w:eastAsia="ja-JP"/>
        </w:rPr>
        <w:t>Figure 7</w:t>
      </w:r>
      <w:r w:rsidR="00836B36">
        <w:rPr>
          <w:lang w:eastAsia="ja-JP"/>
        </w:rPr>
        <w:t>.</w:t>
      </w:r>
      <w:r>
        <w:rPr>
          <w:lang w:eastAsia="ja-JP"/>
        </w:rPr>
        <w:t xml:space="preserve"> Area Under the Curve Analysis of ECOG Performance Status Over Time on Study by Response to </w:t>
      </w:r>
      <w:proofErr w:type="spellStart"/>
      <w:r>
        <w:rPr>
          <w:lang w:eastAsia="ja-JP"/>
        </w:rPr>
        <w:t>Romidepsin</w:t>
      </w:r>
      <w:proofErr w:type="spellEnd"/>
      <w:r>
        <w:rPr>
          <w:lang w:eastAsia="ja-JP"/>
        </w:rPr>
        <w:t xml:space="preserve"> (</w:t>
      </w:r>
      <w:proofErr w:type="spellStart"/>
      <w:r>
        <w:rPr>
          <w:lang w:eastAsia="ja-JP"/>
        </w:rPr>
        <w:t>Histopathologically</w:t>
      </w:r>
      <w:proofErr w:type="spellEnd"/>
      <w:r>
        <w:rPr>
          <w:lang w:eastAsia="ja-JP"/>
        </w:rPr>
        <w:t>-Confirmed Population)</w:t>
      </w:r>
    </w:p>
    <w:p w:rsidR="009117BC" w:rsidRDefault="009117BC" w:rsidP="0068064F">
      <w:pPr>
        <w:rPr>
          <w:lang w:eastAsia="ja-JP"/>
        </w:rPr>
      </w:pPr>
      <w:r>
        <w:rPr>
          <w:noProof/>
          <w:lang w:eastAsia="en-AU"/>
        </w:rPr>
        <w:drawing>
          <wp:inline distT="0" distB="0" distL="0" distR="0">
            <wp:extent cx="4252937" cy="3125306"/>
            <wp:effectExtent l="19050" t="0" r="0" b="0"/>
            <wp:docPr id="11" name="Picture 9" descr="Figure 7. Area Under the Curve Analysis of ECOG Performance Status Over Time on Study by Response to Romidepsin (Histopathologically-Confirm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4250763" cy="3123709"/>
                    </a:xfrm>
                    <a:prstGeom prst="rect">
                      <a:avLst/>
                    </a:prstGeom>
                    <a:noFill/>
                    <a:ln w="9525">
                      <a:noFill/>
                      <a:miter lim="800000"/>
                      <a:headEnd/>
                      <a:tailEnd/>
                    </a:ln>
                  </pic:spPr>
                </pic:pic>
              </a:graphicData>
            </a:graphic>
          </wp:inline>
        </w:drawing>
      </w:r>
    </w:p>
    <w:p w:rsidR="000103AA" w:rsidRPr="000103AA" w:rsidRDefault="000103AA" w:rsidP="0068064F">
      <w:pPr>
        <w:rPr>
          <w:lang w:eastAsia="ja-JP"/>
        </w:rPr>
      </w:pPr>
      <w:r w:rsidRPr="000103AA">
        <w:rPr>
          <w:lang w:eastAsia="ja-JP"/>
        </w:rPr>
        <w:t>It is worth commenting that assessment of extra nodal sites of disease within skin and bone marrow were assessed</w:t>
      </w:r>
      <w:r w:rsidR="0084057E">
        <w:rPr>
          <w:lang w:eastAsia="ja-JP"/>
        </w:rPr>
        <w:t>.</w:t>
      </w:r>
      <w:r w:rsidRPr="000103AA">
        <w:rPr>
          <w:lang w:eastAsia="ja-JP"/>
        </w:rPr>
        <w:t xml:space="preserve"> </w:t>
      </w:r>
      <w:r w:rsidR="0084057E">
        <w:rPr>
          <w:lang w:eastAsia="ja-JP"/>
        </w:rPr>
        <w:t>O</w:t>
      </w:r>
      <w:r w:rsidRPr="000103AA">
        <w:rPr>
          <w:lang w:eastAsia="ja-JP"/>
        </w:rPr>
        <w:t xml:space="preserve">f 41 patients who had evidence of extra nodal lesions, nine or 22% achieved complete resolution and three </w:t>
      </w:r>
      <w:r w:rsidR="0084057E">
        <w:rPr>
          <w:lang w:eastAsia="ja-JP"/>
        </w:rPr>
        <w:t xml:space="preserve">achieved partial responses. </w:t>
      </w:r>
      <w:r w:rsidRPr="000103AA">
        <w:rPr>
          <w:lang w:eastAsia="ja-JP"/>
        </w:rPr>
        <w:t>These data are equivalent to the overall response categories.</w:t>
      </w:r>
    </w:p>
    <w:p w:rsidR="000103AA" w:rsidRPr="000103AA" w:rsidRDefault="000103AA" w:rsidP="0068064F">
      <w:pPr>
        <w:rPr>
          <w:lang w:eastAsia="ja-JP"/>
        </w:rPr>
      </w:pPr>
      <w:r w:rsidRPr="000103AA">
        <w:rPr>
          <w:lang w:eastAsia="ja-JP"/>
        </w:rPr>
        <w:t xml:space="preserve">Review of responses to treatment according to patient sub-groups including gender, age, region, PTCL sub-type, number of prior therapies etc is indicated in Table </w:t>
      </w:r>
      <w:r w:rsidR="00836B36">
        <w:rPr>
          <w:lang w:eastAsia="ja-JP"/>
        </w:rPr>
        <w:t>2</w:t>
      </w:r>
      <w:r w:rsidR="00543517">
        <w:rPr>
          <w:lang w:eastAsia="ja-JP"/>
        </w:rPr>
        <w:t>2</w:t>
      </w:r>
      <w:r w:rsidRPr="000103AA">
        <w:rPr>
          <w:lang w:eastAsia="ja-JP"/>
        </w:rPr>
        <w:t xml:space="preserve">.  There were no meaningful differences in the rate of complete responders or the rate of objective disease response when assessed by these sub-groups.  This is particularly pertinent in relation to the various histological sub-types of PTCL where the response rates within each were comparable.  It is also noteworthy that even in those patients who had received more than three prior systemic therapies there were responses recorded in line with the overall response rate.  </w:t>
      </w:r>
    </w:p>
    <w:p w:rsidR="000103AA" w:rsidRPr="0084057E" w:rsidRDefault="00836B36" w:rsidP="0068064F">
      <w:pPr>
        <w:pStyle w:val="TableTitle"/>
      </w:pPr>
      <w:r>
        <w:lastRenderedPageBreak/>
        <w:t>Table 2</w:t>
      </w:r>
      <w:r w:rsidR="00543517">
        <w:t>2</w:t>
      </w:r>
      <w:r w:rsidR="0084057E">
        <w:t xml:space="preserve">. </w:t>
      </w:r>
      <w:r w:rsidR="0084057E" w:rsidRPr="0084057E">
        <w:t>Complete Response and Objective Disease Response Rates Based on Overall</w:t>
      </w:r>
      <w:r w:rsidR="0084057E">
        <w:t xml:space="preserve"> </w:t>
      </w:r>
      <w:r w:rsidR="0084057E" w:rsidRPr="0084057E">
        <w:t>IRC Assessment in Patient Subgroups (</w:t>
      </w:r>
      <w:proofErr w:type="spellStart"/>
      <w:r w:rsidR="0084057E" w:rsidRPr="0084057E">
        <w:t>Histopathologically</w:t>
      </w:r>
      <w:proofErr w:type="spellEnd"/>
      <w:r w:rsidR="0084057E" w:rsidRPr="0084057E">
        <w:t>-Confirmed</w:t>
      </w:r>
      <w:r w:rsidR="0084057E">
        <w:t xml:space="preserve"> </w:t>
      </w:r>
      <w:r w:rsidR="0084057E" w:rsidRPr="0084057E">
        <w:t>Population, Study GPI-06-0002, N=130)</w:t>
      </w:r>
    </w:p>
    <w:p w:rsidR="0084057E" w:rsidRDefault="0084057E" w:rsidP="0068064F">
      <w:pPr>
        <w:rPr>
          <w:lang w:eastAsia="ja-JP"/>
        </w:rPr>
      </w:pPr>
      <w:r>
        <w:rPr>
          <w:noProof/>
          <w:lang w:eastAsia="en-AU"/>
        </w:rPr>
        <w:drawing>
          <wp:inline distT="0" distB="0" distL="0" distR="0">
            <wp:extent cx="5731510" cy="4858691"/>
            <wp:effectExtent l="19050" t="0" r="2540" b="0"/>
            <wp:docPr id="12" name="Picture 10" descr="Table 22. Complete Response and Objective Disease Response Rates Based on Overall IRC Assessment in Patient Subgroups (Histopathologically-Confirmed Population, Study GPI-06-0002, N=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5731510" cy="4858691"/>
                    </a:xfrm>
                    <a:prstGeom prst="rect">
                      <a:avLst/>
                    </a:prstGeom>
                    <a:noFill/>
                    <a:ln w="9525">
                      <a:noFill/>
                      <a:miter lim="800000"/>
                      <a:headEnd/>
                      <a:tailEnd/>
                    </a:ln>
                  </pic:spPr>
                </pic:pic>
              </a:graphicData>
            </a:graphic>
          </wp:inline>
        </w:drawing>
      </w:r>
    </w:p>
    <w:p w:rsidR="000103AA" w:rsidRPr="0084057E" w:rsidRDefault="000103AA" w:rsidP="0068064F">
      <w:pPr>
        <w:pStyle w:val="Heading4"/>
      </w:pPr>
      <w:r w:rsidRPr="0084057E">
        <w:t>Update of efficacy</w:t>
      </w:r>
    </w:p>
    <w:p w:rsidR="000103AA" w:rsidRPr="000103AA" w:rsidRDefault="000103AA" w:rsidP="0068064F">
      <w:pPr>
        <w:rPr>
          <w:lang w:eastAsia="ja-JP"/>
        </w:rPr>
      </w:pPr>
      <w:r w:rsidRPr="000103AA">
        <w:rPr>
          <w:lang w:eastAsia="ja-JP"/>
        </w:rPr>
        <w:t>An updated analysis of the clinical data with a later cut-off date of the 31</w:t>
      </w:r>
      <w:r w:rsidRPr="000103AA">
        <w:rPr>
          <w:vertAlign w:val="superscript"/>
          <w:lang w:eastAsia="ja-JP"/>
        </w:rPr>
        <w:t>st</w:t>
      </w:r>
      <w:r w:rsidRPr="000103AA">
        <w:rPr>
          <w:lang w:eastAsia="ja-JP"/>
        </w:rPr>
        <w:t xml:space="preserve"> October 2010 or seven months after</w:t>
      </w:r>
      <w:r w:rsidR="00B31038">
        <w:rPr>
          <w:lang w:eastAsia="ja-JP"/>
        </w:rPr>
        <w:t xml:space="preserve"> the initial data is provided. </w:t>
      </w:r>
      <w:r w:rsidRPr="000103AA">
        <w:rPr>
          <w:lang w:eastAsia="ja-JP"/>
        </w:rPr>
        <w:t xml:space="preserve">Table </w:t>
      </w:r>
      <w:r w:rsidR="008020BA">
        <w:rPr>
          <w:lang w:eastAsia="ja-JP"/>
        </w:rPr>
        <w:t>2</w:t>
      </w:r>
      <w:r w:rsidR="00543517">
        <w:rPr>
          <w:lang w:eastAsia="ja-JP"/>
        </w:rPr>
        <w:t>3</w:t>
      </w:r>
      <w:r w:rsidRPr="000103AA">
        <w:rPr>
          <w:lang w:eastAsia="ja-JP"/>
        </w:rPr>
        <w:t xml:space="preserve"> compares the original analysis results in terms of primary and secondary objectives to the updated results.  In the updated analysis the complete response rate based on the overall IRC review improved from 13.1% to 14.6% or 19/130 patients as two patients had improvement from PR to CR.  A further two patients with </w:t>
      </w:r>
      <w:proofErr w:type="spellStart"/>
      <w:r w:rsidRPr="000103AA">
        <w:rPr>
          <w:lang w:eastAsia="ja-JP"/>
        </w:rPr>
        <w:t>CRu</w:t>
      </w:r>
      <w:proofErr w:type="spellEnd"/>
      <w:r w:rsidRPr="000103AA">
        <w:rPr>
          <w:lang w:eastAsia="ja-JP"/>
        </w:rPr>
        <w:t xml:space="preserve"> became CR.  The overall response rate for the updated data was 25.4% and there was one patient with PR initially had an update result of stable disease.  </w:t>
      </w:r>
    </w:p>
    <w:p w:rsidR="000103AA" w:rsidRPr="0084057E" w:rsidRDefault="008020BA" w:rsidP="0068064F">
      <w:pPr>
        <w:pStyle w:val="TableTitle"/>
      </w:pPr>
      <w:r>
        <w:lastRenderedPageBreak/>
        <w:t>Table 2</w:t>
      </w:r>
      <w:r w:rsidR="00543517">
        <w:t>3</w:t>
      </w:r>
      <w:r w:rsidR="0084057E" w:rsidRPr="0084057E">
        <w:t>. Original and Updated Response Rates and Duration of Response Based on Overall IRC Review (</w:t>
      </w:r>
      <w:proofErr w:type="spellStart"/>
      <w:r w:rsidR="0084057E" w:rsidRPr="0084057E">
        <w:t>Histopathologically</w:t>
      </w:r>
      <w:proofErr w:type="spellEnd"/>
      <w:r w:rsidR="0084057E" w:rsidRPr="0084057E">
        <w:t xml:space="preserve"> Confirmed Population, N=130)</w:t>
      </w:r>
    </w:p>
    <w:p w:rsidR="0084057E" w:rsidRDefault="0084057E" w:rsidP="0068064F">
      <w:pPr>
        <w:rPr>
          <w:lang w:eastAsia="ja-JP"/>
        </w:rPr>
      </w:pPr>
      <w:r>
        <w:rPr>
          <w:noProof/>
          <w:lang w:eastAsia="en-AU"/>
        </w:rPr>
        <w:drawing>
          <wp:inline distT="0" distB="0" distL="0" distR="0">
            <wp:extent cx="5150498" cy="3684381"/>
            <wp:effectExtent l="19050" t="0" r="0" b="0"/>
            <wp:docPr id="13" name="Picture 11" descr="Table 23. Original and Updated Response Rates and Duration of Response Based on Overall IRC Review (Histopathologically Confirmed Population, N=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a:stretch>
                      <a:fillRect/>
                    </a:stretch>
                  </pic:blipFill>
                  <pic:spPr bwMode="auto">
                    <a:xfrm>
                      <a:off x="0" y="0"/>
                      <a:ext cx="5151057" cy="3684781"/>
                    </a:xfrm>
                    <a:prstGeom prst="rect">
                      <a:avLst/>
                    </a:prstGeom>
                    <a:noFill/>
                    <a:ln w="9525">
                      <a:noFill/>
                      <a:miter lim="800000"/>
                      <a:headEnd/>
                      <a:tailEnd/>
                    </a:ln>
                  </pic:spPr>
                </pic:pic>
              </a:graphicData>
            </a:graphic>
          </wp:inline>
        </w:drawing>
      </w:r>
    </w:p>
    <w:p w:rsidR="000103AA" w:rsidRPr="000103AA" w:rsidRDefault="000103AA" w:rsidP="0068064F">
      <w:pPr>
        <w:rPr>
          <w:lang w:eastAsia="ja-JP"/>
        </w:rPr>
      </w:pPr>
      <w:r w:rsidRPr="000103AA">
        <w:rPr>
          <w:lang w:eastAsia="ja-JP"/>
        </w:rPr>
        <w:t xml:space="preserve">Kaplan-Meier curves for duration of response based on the update are given in Figures </w:t>
      </w:r>
      <w:r w:rsidR="008020BA">
        <w:rPr>
          <w:lang w:eastAsia="ja-JP"/>
        </w:rPr>
        <w:t>8</w:t>
      </w:r>
      <w:r w:rsidRPr="000103AA">
        <w:rPr>
          <w:lang w:eastAsia="ja-JP"/>
        </w:rPr>
        <w:t xml:space="preserve"> and </w:t>
      </w:r>
      <w:r w:rsidR="008020BA">
        <w:rPr>
          <w:lang w:eastAsia="ja-JP"/>
        </w:rPr>
        <w:t>9</w:t>
      </w:r>
      <w:r w:rsidRPr="000103AA">
        <w:rPr>
          <w:lang w:eastAsia="ja-JP"/>
        </w:rPr>
        <w:t xml:space="preserve">.  The updated estimated median duration of response was 17 months or 505 days, 13 or 68% of these 19 patients had duration of response in excess of six months and seven or 37% duration of response In excess of 12 months.  The median duration of objective disease response across the 33 patients improved from 12 months or 353 days to 17 months or 505 days.  </w:t>
      </w:r>
    </w:p>
    <w:p w:rsidR="000103AA" w:rsidRPr="0084057E" w:rsidRDefault="008020BA" w:rsidP="0068064F">
      <w:pPr>
        <w:pStyle w:val="FigureTitle"/>
      </w:pPr>
      <w:r>
        <w:t>Figure 8</w:t>
      </w:r>
      <w:r w:rsidR="0084057E" w:rsidRPr="0084057E">
        <w:t>. Updated Kaplan-Meier Curve of Duration of Overall Response for</w:t>
      </w:r>
      <w:r w:rsidR="0084057E">
        <w:t xml:space="preserve"> </w:t>
      </w:r>
      <w:r w:rsidR="0084057E" w:rsidRPr="0084057E">
        <w:t xml:space="preserve">Patients with CR or </w:t>
      </w:r>
      <w:proofErr w:type="spellStart"/>
      <w:r w:rsidR="0084057E" w:rsidRPr="0084057E">
        <w:t>CRu</w:t>
      </w:r>
      <w:proofErr w:type="spellEnd"/>
      <w:r w:rsidR="0084057E" w:rsidRPr="0084057E">
        <w:t xml:space="preserve"> Based on Overall IRC Review (N=19)</w:t>
      </w:r>
    </w:p>
    <w:p w:rsidR="0084057E" w:rsidRDefault="0084057E" w:rsidP="0068064F">
      <w:r>
        <w:rPr>
          <w:noProof/>
          <w:lang w:eastAsia="en-AU"/>
        </w:rPr>
        <w:drawing>
          <wp:inline distT="0" distB="0" distL="0" distR="0">
            <wp:extent cx="4445000" cy="2910840"/>
            <wp:effectExtent l="19050" t="0" r="0" b="0"/>
            <wp:docPr id="16" name="Picture 12" descr="Figure 8. Updated Kaplan-Meier Curve of Duration of Overall Response for Patients with CR or CRu Based on Overall IRC Review (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srcRect/>
                    <a:stretch>
                      <a:fillRect/>
                    </a:stretch>
                  </pic:blipFill>
                  <pic:spPr bwMode="auto">
                    <a:xfrm>
                      <a:off x="0" y="0"/>
                      <a:ext cx="4445000" cy="2910840"/>
                    </a:xfrm>
                    <a:prstGeom prst="rect">
                      <a:avLst/>
                    </a:prstGeom>
                    <a:noFill/>
                    <a:ln w="9525">
                      <a:noFill/>
                      <a:miter lim="800000"/>
                      <a:headEnd/>
                      <a:tailEnd/>
                    </a:ln>
                  </pic:spPr>
                </pic:pic>
              </a:graphicData>
            </a:graphic>
          </wp:inline>
        </w:drawing>
      </w:r>
    </w:p>
    <w:p w:rsidR="0084057E" w:rsidRPr="0084057E" w:rsidRDefault="008020BA" w:rsidP="009E1A03">
      <w:pPr>
        <w:pStyle w:val="FigureTitle"/>
      </w:pPr>
      <w:r>
        <w:lastRenderedPageBreak/>
        <w:t>Figure 9</w:t>
      </w:r>
      <w:r w:rsidR="0084057E" w:rsidRPr="0084057E">
        <w:t>. Updated Kaplan-Meier Curve of Duration of Overall Response for</w:t>
      </w:r>
      <w:r w:rsidR="0084057E">
        <w:t xml:space="preserve"> </w:t>
      </w:r>
      <w:r w:rsidR="0084057E" w:rsidRPr="0084057E">
        <w:t>Patients with CR/</w:t>
      </w:r>
      <w:proofErr w:type="spellStart"/>
      <w:r w:rsidR="0084057E" w:rsidRPr="0084057E">
        <w:t>CRu</w:t>
      </w:r>
      <w:proofErr w:type="spellEnd"/>
      <w:r w:rsidR="0084057E" w:rsidRPr="0084057E">
        <w:t xml:space="preserve"> or PR Based on Overall IRC Review (N=33)</w:t>
      </w:r>
    </w:p>
    <w:p w:rsidR="0084057E" w:rsidRDefault="0084057E" w:rsidP="009E1A03">
      <w:pPr>
        <w:rPr>
          <w:lang w:eastAsia="ja-JP"/>
        </w:rPr>
      </w:pPr>
      <w:r>
        <w:rPr>
          <w:noProof/>
          <w:lang w:eastAsia="en-AU"/>
        </w:rPr>
        <w:drawing>
          <wp:inline distT="0" distB="0" distL="0" distR="0">
            <wp:extent cx="4536440" cy="2926080"/>
            <wp:effectExtent l="19050" t="0" r="0" b="0"/>
            <wp:docPr id="18" name="Picture 13" descr="Figure 9. Updated Kaplan-Meier Curve of Duration of Overall Response for Patients with CR/CRu or PR Based on Overall IRC Review (N=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a:stretch>
                      <a:fillRect/>
                    </a:stretch>
                  </pic:blipFill>
                  <pic:spPr bwMode="auto">
                    <a:xfrm>
                      <a:off x="0" y="0"/>
                      <a:ext cx="4536440" cy="2926080"/>
                    </a:xfrm>
                    <a:prstGeom prst="rect">
                      <a:avLst/>
                    </a:prstGeom>
                    <a:noFill/>
                    <a:ln w="9525">
                      <a:noFill/>
                      <a:miter lim="800000"/>
                      <a:headEnd/>
                      <a:tailEnd/>
                    </a:ln>
                  </pic:spPr>
                </pic:pic>
              </a:graphicData>
            </a:graphic>
          </wp:inline>
        </w:drawing>
      </w:r>
    </w:p>
    <w:p w:rsidR="000103AA" w:rsidRPr="000103AA" w:rsidRDefault="000103AA" w:rsidP="009E1A03">
      <w:pPr>
        <w:rPr>
          <w:lang w:eastAsia="ja-JP"/>
        </w:rPr>
      </w:pPr>
      <w:r w:rsidRPr="000103AA">
        <w:rPr>
          <w:lang w:eastAsia="ja-JP"/>
        </w:rPr>
        <w:t>In the updated review median time to objective disease response across all responders was</w:t>
      </w:r>
      <w:r w:rsidR="00B31038">
        <w:rPr>
          <w:lang w:eastAsia="ja-JP"/>
        </w:rPr>
        <w:t xml:space="preserve"> 1.8 months with a range of 1.4</w:t>
      </w:r>
      <w:r w:rsidRPr="000103AA">
        <w:rPr>
          <w:lang w:eastAsia="ja-JP"/>
        </w:rPr>
        <w:t>-5.3 months and median time to complete response was 3</w:t>
      </w:r>
      <w:r w:rsidR="00B31038">
        <w:rPr>
          <w:lang w:eastAsia="ja-JP"/>
        </w:rPr>
        <w:t>.7 months with a range of 1.6–</w:t>
      </w:r>
      <w:r w:rsidRPr="000103AA">
        <w:rPr>
          <w:lang w:eastAsia="ja-JP"/>
        </w:rPr>
        <w:t xml:space="preserve">13.7 months.  </w:t>
      </w:r>
    </w:p>
    <w:p w:rsidR="000103AA" w:rsidRPr="000103AA" w:rsidRDefault="000103AA" w:rsidP="009E1A03">
      <w:pPr>
        <w:rPr>
          <w:lang w:eastAsia="ja-JP"/>
        </w:rPr>
      </w:pPr>
      <w:r w:rsidRPr="000103AA">
        <w:rPr>
          <w:lang w:eastAsia="ja-JP"/>
        </w:rPr>
        <w:t xml:space="preserve">A graphic display of the duration </w:t>
      </w:r>
      <w:r w:rsidR="0084057E">
        <w:rPr>
          <w:lang w:eastAsia="ja-JP"/>
        </w:rPr>
        <w:t xml:space="preserve">of </w:t>
      </w:r>
      <w:r w:rsidRPr="000103AA">
        <w:rPr>
          <w:lang w:eastAsia="ja-JP"/>
        </w:rPr>
        <w:t xml:space="preserve">response for the 19 patients with a complete response is given in Figure </w:t>
      </w:r>
      <w:r w:rsidR="008020BA">
        <w:rPr>
          <w:lang w:eastAsia="ja-JP"/>
        </w:rPr>
        <w:t>10</w:t>
      </w:r>
      <w:r w:rsidRPr="000103AA">
        <w:rPr>
          <w:lang w:eastAsia="ja-JP"/>
        </w:rPr>
        <w:t xml:space="preserve">.  </w:t>
      </w:r>
    </w:p>
    <w:p w:rsidR="009E1A03" w:rsidRDefault="008020BA" w:rsidP="009E1A03">
      <w:pPr>
        <w:pStyle w:val="FigureTitle"/>
        <w:rPr>
          <w:lang w:eastAsia="ja-JP"/>
        </w:rPr>
      </w:pPr>
      <w:r>
        <w:rPr>
          <w:lang w:eastAsia="ja-JP"/>
        </w:rPr>
        <w:t xml:space="preserve">Figure 10. </w:t>
      </w:r>
      <w:r w:rsidR="0084057E" w:rsidRPr="0084057E">
        <w:rPr>
          <w:lang w:eastAsia="ja-JP"/>
        </w:rPr>
        <w:t>By-Patient Display of Updated Duration of Response for Patients with CR</w:t>
      </w:r>
      <w:r w:rsidR="00B31038">
        <w:rPr>
          <w:lang w:eastAsia="ja-JP"/>
        </w:rPr>
        <w:t xml:space="preserve"> </w:t>
      </w:r>
      <w:r w:rsidR="0084057E" w:rsidRPr="0084057E">
        <w:rPr>
          <w:lang w:eastAsia="ja-JP"/>
        </w:rPr>
        <w:t xml:space="preserve">and </w:t>
      </w:r>
      <w:proofErr w:type="spellStart"/>
      <w:r w:rsidR="0084057E" w:rsidRPr="0084057E">
        <w:rPr>
          <w:lang w:eastAsia="ja-JP"/>
        </w:rPr>
        <w:t>CRu</w:t>
      </w:r>
      <w:proofErr w:type="spellEnd"/>
      <w:r w:rsidR="0084057E" w:rsidRPr="0084057E">
        <w:rPr>
          <w:lang w:eastAsia="ja-JP"/>
        </w:rPr>
        <w:t xml:space="preserve"> Based on Overall IRC Review (N=19)</w:t>
      </w:r>
      <w:r w:rsidR="00B31038">
        <w:rPr>
          <w:lang w:eastAsia="ja-JP"/>
        </w:rPr>
        <w:t>.</w:t>
      </w:r>
    </w:p>
    <w:p w:rsidR="0084057E" w:rsidRPr="000103AA" w:rsidRDefault="0084057E" w:rsidP="009E1A03">
      <w:pPr>
        <w:rPr>
          <w:lang w:eastAsia="ja-JP"/>
        </w:rPr>
      </w:pPr>
      <w:r>
        <w:rPr>
          <w:noProof/>
          <w:lang w:eastAsia="en-AU"/>
        </w:rPr>
        <w:drawing>
          <wp:inline distT="0" distB="0" distL="0" distR="0">
            <wp:extent cx="4729328" cy="3581400"/>
            <wp:effectExtent l="19050" t="0" r="0" b="0"/>
            <wp:docPr id="19" name="Picture 14" descr="Figure 10. By-Patient Display of Updated Duration of Response for Patients with CR and CRu Based on Overall IRC Review (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cstate="print"/>
                    <a:srcRect/>
                    <a:stretch>
                      <a:fillRect/>
                    </a:stretch>
                  </pic:blipFill>
                  <pic:spPr bwMode="auto">
                    <a:xfrm>
                      <a:off x="0" y="0"/>
                      <a:ext cx="4726732" cy="3579434"/>
                    </a:xfrm>
                    <a:prstGeom prst="rect">
                      <a:avLst/>
                    </a:prstGeom>
                    <a:noFill/>
                    <a:ln w="9525">
                      <a:noFill/>
                      <a:miter lim="800000"/>
                      <a:headEnd/>
                      <a:tailEnd/>
                    </a:ln>
                  </pic:spPr>
                </pic:pic>
              </a:graphicData>
            </a:graphic>
          </wp:inline>
        </w:drawing>
      </w:r>
    </w:p>
    <w:p w:rsidR="000103AA" w:rsidRPr="000103AA" w:rsidRDefault="000103AA" w:rsidP="009E1A03">
      <w:pPr>
        <w:rPr>
          <w:lang w:eastAsia="ja-JP"/>
        </w:rPr>
      </w:pPr>
      <w:r w:rsidRPr="000103AA">
        <w:rPr>
          <w:lang w:eastAsia="ja-JP"/>
        </w:rPr>
        <w:t xml:space="preserve">Updated analysis for progression free survival for the overall patient population </w:t>
      </w:r>
      <w:r w:rsidR="0084057E">
        <w:rPr>
          <w:lang w:eastAsia="ja-JP"/>
        </w:rPr>
        <w:t>was provided</w:t>
      </w:r>
      <w:r w:rsidRPr="000103AA">
        <w:rPr>
          <w:lang w:eastAsia="ja-JP"/>
        </w:rPr>
        <w:t xml:space="preserve">.  There is essentially no difference between the initial and updated analyses for these data.  </w:t>
      </w:r>
    </w:p>
    <w:p w:rsidR="000103AA" w:rsidRPr="000103AA" w:rsidRDefault="00B31038" w:rsidP="009E1A03">
      <w:pPr>
        <w:rPr>
          <w:lang w:eastAsia="ja-JP"/>
        </w:rPr>
      </w:pPr>
      <w:r>
        <w:rPr>
          <w:lang w:eastAsia="ja-JP"/>
        </w:rPr>
        <w:lastRenderedPageBreak/>
        <w:t xml:space="preserve">Summary data on </w:t>
      </w:r>
      <w:r w:rsidR="000103AA" w:rsidRPr="000103AA">
        <w:rPr>
          <w:lang w:eastAsia="ja-JP"/>
        </w:rPr>
        <w:t>overall survival for the 130 patients in the HC population</w:t>
      </w:r>
      <w:r>
        <w:rPr>
          <w:lang w:eastAsia="ja-JP"/>
        </w:rPr>
        <w:t xml:space="preserve"> showed that o</w:t>
      </w:r>
      <w:r w:rsidR="000103AA" w:rsidRPr="000103AA">
        <w:rPr>
          <w:lang w:eastAsia="ja-JP"/>
        </w:rPr>
        <w:t xml:space="preserve">verall 76 or 58.5% of patients had died with a median overall survival of 11.3 months from the start of </w:t>
      </w:r>
      <w:r>
        <w:rPr>
          <w:lang w:eastAsia="ja-JP"/>
        </w:rPr>
        <w:t>romidepsin treatment. The data on o</w:t>
      </w:r>
      <w:r w:rsidR="000103AA" w:rsidRPr="000103AA">
        <w:rPr>
          <w:lang w:eastAsia="ja-JP"/>
        </w:rPr>
        <w:t xml:space="preserve">verall survival by best response to </w:t>
      </w:r>
      <w:r>
        <w:rPr>
          <w:lang w:eastAsia="ja-JP"/>
        </w:rPr>
        <w:t>r</w:t>
      </w:r>
      <w:r w:rsidR="000103AA" w:rsidRPr="000103AA">
        <w:rPr>
          <w:lang w:eastAsia="ja-JP"/>
        </w:rPr>
        <w:t>omidepsin indicate that complete response was associated with a longer survival compared with other response categories as might be expected.</w:t>
      </w:r>
    </w:p>
    <w:p w:rsidR="000103AA" w:rsidRPr="000103AA" w:rsidRDefault="000103AA" w:rsidP="009E1A03">
      <w:pPr>
        <w:rPr>
          <w:lang w:eastAsia="ja-JP"/>
        </w:rPr>
      </w:pPr>
      <w:r w:rsidRPr="000103AA">
        <w:rPr>
          <w:lang w:eastAsia="ja-JP"/>
        </w:rPr>
        <w:t>Review of investigator assessments for the update indicates that these were consistent and supportive of the IRC assessments</w:t>
      </w:r>
      <w:r w:rsidR="00B31038">
        <w:rPr>
          <w:lang w:eastAsia="ja-JP"/>
        </w:rPr>
        <w:t xml:space="preserve">. </w:t>
      </w:r>
      <w:r w:rsidRPr="000103AA">
        <w:rPr>
          <w:lang w:eastAsia="ja-JP"/>
        </w:rPr>
        <w:t xml:space="preserve">Investigator reported complete response rate and overall response rate did not change in the updated analysis.  </w:t>
      </w:r>
    </w:p>
    <w:p w:rsidR="000103AA" w:rsidRPr="000103AA" w:rsidRDefault="000103AA" w:rsidP="009E1A03">
      <w:pPr>
        <w:rPr>
          <w:lang w:eastAsia="ja-JP"/>
        </w:rPr>
      </w:pPr>
      <w:r w:rsidRPr="000103AA">
        <w:rPr>
          <w:lang w:eastAsia="ja-JP"/>
        </w:rPr>
        <w:t xml:space="preserve">Updated results also confirmed consistency of results across the various sub-groups </w:t>
      </w:r>
      <w:r w:rsidR="009E1A03">
        <w:rPr>
          <w:lang w:eastAsia="ja-JP"/>
        </w:rPr>
        <w:t xml:space="preserve">as per the original analysis. </w:t>
      </w:r>
    </w:p>
    <w:p w:rsidR="000103AA" w:rsidRPr="009E1A03" w:rsidRDefault="009E1A03" w:rsidP="009E1A03">
      <w:pPr>
        <w:rPr>
          <w:b/>
          <w:lang w:eastAsia="ja-JP"/>
        </w:rPr>
      </w:pPr>
      <w:r w:rsidRPr="009E1A03">
        <w:rPr>
          <w:b/>
          <w:lang w:eastAsia="ja-JP"/>
        </w:rPr>
        <w:t>COMMENT:</w:t>
      </w:r>
    </w:p>
    <w:p w:rsidR="000103AA" w:rsidRPr="000103AA" w:rsidRDefault="009150B9" w:rsidP="009E1A03">
      <w:pPr>
        <w:rPr>
          <w:lang w:eastAsia="ja-JP"/>
        </w:rPr>
      </w:pPr>
      <w:r>
        <w:rPr>
          <w:lang w:eastAsia="ja-JP"/>
        </w:rPr>
        <w:t>The</w:t>
      </w:r>
      <w:r w:rsidR="000103AA" w:rsidRPr="000103AA">
        <w:rPr>
          <w:lang w:eastAsia="ja-JP"/>
        </w:rPr>
        <w:t xml:space="preserve"> data from the original updated analyses indic</w:t>
      </w:r>
      <w:r>
        <w:rPr>
          <w:lang w:eastAsia="ja-JP"/>
        </w:rPr>
        <w:t>ate that the administration of r</w:t>
      </w:r>
      <w:r w:rsidR="000103AA" w:rsidRPr="000103AA">
        <w:rPr>
          <w:lang w:eastAsia="ja-JP"/>
        </w:rPr>
        <w:t>omidepsin to the heavily pre-treated population of patients with PTCL is associated with a complete response rate of 15% and an overall response rate of 25%.  These data were consistent across the population</w:t>
      </w:r>
      <w:r>
        <w:rPr>
          <w:lang w:eastAsia="ja-JP"/>
        </w:rPr>
        <w:t>,</w:t>
      </w:r>
      <w:r w:rsidR="000103AA" w:rsidRPr="000103AA">
        <w:rPr>
          <w:lang w:eastAsia="ja-JP"/>
        </w:rPr>
        <w:t xml:space="preserve"> including histological sub-type, risk factors and number and type and response to prior therapy.  Responses were durable with a median duration of response of 17 months for all responders.  These data are therefore in line with evidence of worthwhile clinical benefit for patients who otherwise would have very limited therapeutic options available to them.  The only area of uncertainty rests with the fact that this was a phase II study without a comparator</w:t>
      </w:r>
      <w:r>
        <w:rPr>
          <w:lang w:eastAsia="ja-JP"/>
        </w:rPr>
        <w:t>,</w:t>
      </w:r>
      <w:r w:rsidR="000103AA" w:rsidRPr="000103AA">
        <w:rPr>
          <w:lang w:eastAsia="ja-JP"/>
        </w:rPr>
        <w:t xml:space="preserve"> although it is recognised that such selection would have been extremely difficult.  </w:t>
      </w:r>
    </w:p>
    <w:p w:rsidR="000103AA" w:rsidRPr="009150B9" w:rsidRDefault="000103AA" w:rsidP="009E1A03">
      <w:pPr>
        <w:pStyle w:val="Heading3"/>
      </w:pPr>
      <w:bookmarkStart w:id="29" w:name="_Toc374006742"/>
      <w:r w:rsidRPr="009150B9">
        <w:t>Study NCI 1312:</w:t>
      </w:r>
      <w:bookmarkEnd w:id="29"/>
    </w:p>
    <w:p w:rsidR="00952151" w:rsidRDefault="00952151" w:rsidP="009E1A03">
      <w:pPr>
        <w:pStyle w:val="Heading4"/>
      </w:pPr>
      <w:r>
        <w:t>Study design, objectives and patient population</w:t>
      </w:r>
    </w:p>
    <w:p w:rsidR="000103AA" w:rsidRPr="008A611A" w:rsidRDefault="000103AA" w:rsidP="009E1A03">
      <w:r w:rsidRPr="008A611A">
        <w:t>The supportive study provided in this submission</w:t>
      </w:r>
      <w:r w:rsidR="008F07F1">
        <w:t>,</w:t>
      </w:r>
      <w:r w:rsidRPr="008A611A">
        <w:t xml:space="preserve"> NCI study 1312</w:t>
      </w:r>
      <w:r w:rsidR="008F07F1">
        <w:t>,</w:t>
      </w:r>
      <w:r w:rsidRPr="008A611A">
        <w:t xml:space="preserve"> is a phase II open-label multicentre international study designed to evaluate th</w:t>
      </w:r>
      <w:r w:rsidR="008F07F1">
        <w:t>e activity and tolerability of r</w:t>
      </w:r>
      <w:r w:rsidRPr="008A611A">
        <w:t xml:space="preserve">omidepsin in separate cohorts of patients with CTCL and PTCL.  Initially the PTCL cohort in the study was restricted to patients with relapsed or refractory PTCL NOS or primary </w:t>
      </w:r>
      <w:proofErr w:type="spellStart"/>
      <w:r w:rsidRPr="008A611A">
        <w:t>cutaneous</w:t>
      </w:r>
      <w:proofErr w:type="spellEnd"/>
      <w:r w:rsidRPr="008A611A">
        <w:t xml:space="preserve"> ALCL who had not received more than two systemic cytotoxic chemotherapy regimens.  Observed activity in the early phases of trial led to amendment to include all sub-types of PTCL in patients who had previously received more than two cytotoxic therapies.</w:t>
      </w:r>
    </w:p>
    <w:p w:rsidR="000103AA" w:rsidRPr="008A611A" w:rsidRDefault="000103AA" w:rsidP="009E1A03">
      <w:r w:rsidRPr="008A611A">
        <w:t xml:space="preserve">Inclusion criteria included male and female patients 18 years of age all with measurable disease, ECOG PS of 0-2 and life expectancy of at least 12 weeks.  Central histopathological confirmation of PTCL was required.  </w:t>
      </w:r>
    </w:p>
    <w:p w:rsidR="000103AA" w:rsidRPr="00E87CB3" w:rsidRDefault="000103AA" w:rsidP="009E1A03">
      <w:r w:rsidRPr="00E87CB3">
        <w:t>Romidepsin was administered as a four-hour infusion on days 1, 8 and 15 of a 28-day cycle with a starting dose of 14mg/m</w:t>
      </w:r>
      <w:r w:rsidRPr="00E87CB3">
        <w:rPr>
          <w:vertAlign w:val="superscript"/>
        </w:rPr>
        <w:t>2</w:t>
      </w:r>
      <w:r w:rsidRPr="00E87CB3">
        <w:t>.</w:t>
      </w:r>
      <w:r w:rsidR="00E87CB3">
        <w:t xml:space="preserve"> </w:t>
      </w:r>
      <w:r w:rsidRPr="00E87CB3">
        <w:t>It is noted that the first two patients in this study were treated with 18mg/m</w:t>
      </w:r>
      <w:r w:rsidRPr="00E87CB3">
        <w:rPr>
          <w:vertAlign w:val="superscript"/>
        </w:rPr>
        <w:t>2</w:t>
      </w:r>
      <w:r w:rsidRPr="00E87CB3">
        <w:t xml:space="preserve"> on days 1 and 5 of a 21-day cycle but the schedule modified because of relatively poor tolerance.  </w:t>
      </w:r>
    </w:p>
    <w:p w:rsidR="000103AA" w:rsidRPr="000103AA" w:rsidRDefault="000103AA" w:rsidP="009E1A03">
      <w:pPr>
        <w:rPr>
          <w:lang w:eastAsia="ja-JP"/>
        </w:rPr>
      </w:pPr>
      <w:r w:rsidRPr="000103AA">
        <w:rPr>
          <w:lang w:eastAsia="ja-JP"/>
        </w:rPr>
        <w:t>Patients with a measurable respons</w:t>
      </w:r>
      <w:r w:rsidR="00BA58BD">
        <w:rPr>
          <w:lang w:eastAsia="ja-JP"/>
        </w:rPr>
        <w:t>e continued to be treated with r</w:t>
      </w:r>
      <w:r w:rsidRPr="000103AA">
        <w:rPr>
          <w:lang w:eastAsia="ja-JP"/>
        </w:rPr>
        <w:t xml:space="preserve">omidepsin with increasing intervals allowed between cycles after completion of six cycles if needed to improve patient tolerance and compliance.  </w:t>
      </w:r>
    </w:p>
    <w:p w:rsidR="000103AA" w:rsidRPr="000103AA" w:rsidRDefault="000103AA" w:rsidP="009E1A03">
      <w:pPr>
        <w:rPr>
          <w:lang w:eastAsia="ja-JP"/>
        </w:rPr>
      </w:pPr>
      <w:r w:rsidRPr="000103AA">
        <w:rPr>
          <w:lang w:eastAsia="ja-JP"/>
        </w:rPr>
        <w:t xml:space="preserve">The primary efficacy endpoint of study was objective disease response rate as determined by the site investigators.  Standard criteria for evaluation were utilised including IWC for </w:t>
      </w:r>
      <w:proofErr w:type="spellStart"/>
      <w:r w:rsidRPr="000103AA">
        <w:rPr>
          <w:lang w:eastAsia="ja-JP"/>
        </w:rPr>
        <w:t>lymphadenopathy</w:t>
      </w:r>
      <w:proofErr w:type="spellEnd"/>
      <w:r w:rsidRPr="000103AA">
        <w:rPr>
          <w:lang w:eastAsia="ja-JP"/>
        </w:rPr>
        <w:t xml:space="preserve"> and RECIST for skin and visceral lesions.  Response assessments were performed every two cycles.  </w:t>
      </w:r>
    </w:p>
    <w:p w:rsidR="000103AA" w:rsidRPr="000103AA" w:rsidRDefault="000103AA" w:rsidP="009E1A03">
      <w:pPr>
        <w:rPr>
          <w:lang w:eastAsia="ja-JP"/>
        </w:rPr>
      </w:pPr>
      <w:r w:rsidRPr="000103AA">
        <w:rPr>
          <w:lang w:eastAsia="ja-JP"/>
        </w:rPr>
        <w:t xml:space="preserve">Overall 47 patients were enrolled in the study and received a median of three cycles of treatment and the maximum duration of treatment was 57 cycles.  </w:t>
      </w:r>
    </w:p>
    <w:p w:rsidR="000103AA" w:rsidRPr="000103AA" w:rsidRDefault="000103AA" w:rsidP="009E1A03">
      <w:pPr>
        <w:rPr>
          <w:lang w:eastAsia="ja-JP"/>
        </w:rPr>
      </w:pPr>
      <w:r w:rsidRPr="000103AA">
        <w:rPr>
          <w:lang w:eastAsia="ja-JP"/>
        </w:rPr>
        <w:lastRenderedPageBreak/>
        <w:t xml:space="preserve">Demographic characteristics for patients are given in Table </w:t>
      </w:r>
      <w:r w:rsidR="00952151">
        <w:rPr>
          <w:lang w:eastAsia="ja-JP"/>
        </w:rPr>
        <w:t>2</w:t>
      </w:r>
      <w:r w:rsidR="00543517">
        <w:rPr>
          <w:lang w:eastAsia="ja-JP"/>
        </w:rPr>
        <w:t>4</w:t>
      </w:r>
      <w:r w:rsidRPr="000103AA">
        <w:rPr>
          <w:lang w:eastAsia="ja-JP"/>
        </w:rPr>
        <w:t xml:space="preserve">.  These were consistent with </w:t>
      </w:r>
      <w:r w:rsidR="00952151">
        <w:rPr>
          <w:lang w:eastAsia="ja-JP"/>
        </w:rPr>
        <w:t xml:space="preserve">that expected for the disease. </w:t>
      </w:r>
      <w:r w:rsidRPr="000103AA">
        <w:rPr>
          <w:lang w:eastAsia="ja-JP"/>
        </w:rPr>
        <w:t>Central histopathological review confirmed that 46/47 patients treated in the study had PTCL.  The median number of prior regimens for treatment of PTCL was three ranging from</w:t>
      </w:r>
      <w:r w:rsidR="00E87CB3">
        <w:rPr>
          <w:lang w:eastAsia="ja-JP"/>
        </w:rPr>
        <w:t xml:space="preserve"> 1–</w:t>
      </w:r>
      <w:r w:rsidRPr="000103AA">
        <w:rPr>
          <w:lang w:eastAsia="ja-JP"/>
        </w:rPr>
        <w:t xml:space="preserve">11 and 17 or 36.1% had undergone stem cell transplantation.  </w:t>
      </w:r>
    </w:p>
    <w:p w:rsidR="000103AA" w:rsidRDefault="00952151" w:rsidP="002B3932">
      <w:pPr>
        <w:pStyle w:val="TableTitle"/>
        <w:rPr>
          <w:lang w:eastAsia="ja-JP"/>
        </w:rPr>
      </w:pPr>
      <w:r>
        <w:rPr>
          <w:lang w:eastAsia="ja-JP"/>
        </w:rPr>
        <w:t>Table 2</w:t>
      </w:r>
      <w:r w:rsidR="00543517">
        <w:rPr>
          <w:lang w:eastAsia="ja-JP"/>
        </w:rPr>
        <w:t>4</w:t>
      </w:r>
      <w:r w:rsidR="00E87CB3">
        <w:rPr>
          <w:lang w:eastAsia="ja-JP"/>
        </w:rPr>
        <w:t>. Demographic and Baseline Disease Characteristics (All Treated Patients, NCI Study 1312)</w:t>
      </w:r>
    </w:p>
    <w:p w:rsidR="00E87CB3" w:rsidRDefault="00E87CB3" w:rsidP="002B3932">
      <w:pPr>
        <w:rPr>
          <w:lang w:eastAsia="ja-JP"/>
        </w:rPr>
      </w:pPr>
      <w:r>
        <w:rPr>
          <w:noProof/>
          <w:lang w:eastAsia="en-AU"/>
        </w:rPr>
        <w:drawing>
          <wp:inline distT="0" distB="0" distL="0" distR="0">
            <wp:extent cx="4228048" cy="3518671"/>
            <wp:effectExtent l="19050" t="0" r="1052" b="0"/>
            <wp:docPr id="21" name="Picture 15" descr="Table 24. Demographic and Baseline Disease Characteristics (All Treated Patients, NCI Study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srcRect/>
                    <a:stretch>
                      <a:fillRect/>
                    </a:stretch>
                  </pic:blipFill>
                  <pic:spPr bwMode="auto">
                    <a:xfrm>
                      <a:off x="0" y="0"/>
                      <a:ext cx="4227011" cy="3517808"/>
                    </a:xfrm>
                    <a:prstGeom prst="rect">
                      <a:avLst/>
                    </a:prstGeom>
                    <a:noFill/>
                    <a:ln w="9525">
                      <a:noFill/>
                      <a:miter lim="800000"/>
                      <a:headEnd/>
                      <a:tailEnd/>
                    </a:ln>
                  </pic:spPr>
                </pic:pic>
              </a:graphicData>
            </a:graphic>
          </wp:inline>
        </w:drawing>
      </w:r>
    </w:p>
    <w:p w:rsidR="00952151" w:rsidRDefault="00952151" w:rsidP="002B3932">
      <w:pPr>
        <w:pStyle w:val="Heading4"/>
      </w:pPr>
      <w:r>
        <w:t>Results</w:t>
      </w:r>
    </w:p>
    <w:p w:rsidR="00E87CB3" w:rsidRDefault="000103AA" w:rsidP="002B3932">
      <w:pPr>
        <w:rPr>
          <w:lang w:eastAsia="ja-JP"/>
        </w:rPr>
      </w:pPr>
      <w:r w:rsidRPr="000103AA">
        <w:rPr>
          <w:lang w:eastAsia="ja-JP"/>
        </w:rPr>
        <w:t xml:space="preserve">Reviewing results, a total of 45 patients were eligible for assessment of response to treatment, one being excluded because of not having the diagnosis of PTCL and the other because of protocol violation before starting the treatment.  </w:t>
      </w:r>
    </w:p>
    <w:p w:rsidR="000103AA" w:rsidRPr="000103AA" w:rsidRDefault="00E87CB3" w:rsidP="002B3932">
      <w:pPr>
        <w:rPr>
          <w:lang w:eastAsia="ja-JP"/>
        </w:rPr>
      </w:pPr>
      <w:r>
        <w:rPr>
          <w:lang w:eastAsia="ja-JP"/>
        </w:rPr>
        <w:t>T</w:t>
      </w:r>
      <w:r w:rsidR="000103AA" w:rsidRPr="000103AA">
        <w:rPr>
          <w:lang w:eastAsia="ja-JP"/>
        </w:rPr>
        <w:t xml:space="preserve">he objective disease response rate was 37.8% with eight </w:t>
      </w:r>
      <w:r>
        <w:rPr>
          <w:lang w:eastAsia="ja-JP"/>
        </w:rPr>
        <w:t xml:space="preserve">(17.8%) </w:t>
      </w:r>
      <w:r w:rsidR="000103AA" w:rsidRPr="000103AA">
        <w:rPr>
          <w:lang w:eastAsia="ja-JP"/>
        </w:rPr>
        <w:t>complete responses.  Median time to response was 1.8 months with most patients achieving response within two months.  The overall median duration of objective disease response was nine months</w:t>
      </w:r>
      <w:r>
        <w:rPr>
          <w:lang w:eastAsia="ja-JP"/>
        </w:rPr>
        <w:t>,</w:t>
      </w:r>
      <w:r w:rsidR="000103AA" w:rsidRPr="000103AA">
        <w:rPr>
          <w:lang w:eastAsia="ja-JP"/>
        </w:rPr>
        <w:t xml:space="preserve"> ranging from 2–74 months and median duration of CR was 29.7 months.</w:t>
      </w:r>
    </w:p>
    <w:p w:rsidR="000103AA" w:rsidRPr="000103AA" w:rsidRDefault="000103AA" w:rsidP="002B3932">
      <w:pPr>
        <w:rPr>
          <w:lang w:eastAsia="ja-JP"/>
        </w:rPr>
      </w:pPr>
      <w:r w:rsidRPr="000103AA">
        <w:rPr>
          <w:lang w:eastAsia="ja-JP"/>
        </w:rPr>
        <w:t xml:space="preserve">An overview of baseline characteristics, treatment duration and time to duration response for the eight patients who achieved complete response in this study is given in Table </w:t>
      </w:r>
      <w:r w:rsidR="00952151">
        <w:rPr>
          <w:lang w:eastAsia="ja-JP"/>
        </w:rPr>
        <w:t>2</w:t>
      </w:r>
      <w:r w:rsidR="00543517">
        <w:rPr>
          <w:lang w:eastAsia="ja-JP"/>
        </w:rPr>
        <w:t>5</w:t>
      </w:r>
      <w:r w:rsidRPr="000103AA">
        <w:rPr>
          <w:lang w:eastAsia="ja-JP"/>
        </w:rPr>
        <w:t xml:space="preserve">.  This group is representative of the overall patient population under study.  Six of the eight patients with complete response had duration of response of six months or longer and five durations of 12 months or longer.  Among the nine patients with the best response of PR, five had duration of response of six months or longer and two duration of 12 months of longer.  Among the five patients the best response of SD all five had SD for at least three months and three for six months or longer.  </w:t>
      </w:r>
    </w:p>
    <w:p w:rsidR="000103AA" w:rsidRDefault="00952151" w:rsidP="002B3932">
      <w:pPr>
        <w:pStyle w:val="TableTitle"/>
        <w:rPr>
          <w:lang w:eastAsia="ja-JP"/>
        </w:rPr>
      </w:pPr>
      <w:r>
        <w:rPr>
          <w:lang w:eastAsia="ja-JP"/>
        </w:rPr>
        <w:lastRenderedPageBreak/>
        <w:t>Table 2</w:t>
      </w:r>
      <w:r w:rsidR="00543517">
        <w:rPr>
          <w:lang w:eastAsia="ja-JP"/>
        </w:rPr>
        <w:t>5</w:t>
      </w:r>
      <w:r w:rsidR="00BA58BD">
        <w:rPr>
          <w:lang w:eastAsia="ja-JP"/>
        </w:rPr>
        <w:t>. Patient Listing of Baseline Characteristics and Time to Event Data for</w:t>
      </w:r>
      <w:r w:rsidR="00DC18D7">
        <w:rPr>
          <w:lang w:eastAsia="ja-JP"/>
        </w:rPr>
        <w:t xml:space="preserve"> </w:t>
      </w:r>
      <w:r w:rsidR="00BA58BD">
        <w:rPr>
          <w:lang w:eastAsia="ja-JP"/>
        </w:rPr>
        <w:t>Patients with Complete Response Based on Investigators’ Assessments (NCI</w:t>
      </w:r>
      <w:r w:rsidR="00DC18D7">
        <w:rPr>
          <w:lang w:eastAsia="ja-JP"/>
        </w:rPr>
        <w:t xml:space="preserve"> </w:t>
      </w:r>
      <w:r w:rsidR="00BA58BD">
        <w:rPr>
          <w:lang w:eastAsia="ja-JP"/>
        </w:rPr>
        <w:t>Study 1312, N=8)</w:t>
      </w:r>
    </w:p>
    <w:p w:rsidR="00BA58BD" w:rsidRDefault="00BA58BD" w:rsidP="002B3932">
      <w:pPr>
        <w:rPr>
          <w:lang w:eastAsia="ja-JP"/>
        </w:rPr>
      </w:pPr>
      <w:r>
        <w:rPr>
          <w:noProof/>
          <w:lang w:eastAsia="en-AU"/>
        </w:rPr>
        <w:drawing>
          <wp:inline distT="0" distB="0" distL="0" distR="0">
            <wp:extent cx="5731510" cy="2659229"/>
            <wp:effectExtent l="19050" t="0" r="2540" b="0"/>
            <wp:docPr id="22" name="Picture 16" descr="Table 25. Patient Listing of Baseline Characteristics and Time to Event Data for Patients with Complete Response Based on Investigators’ Assessments (NCI Study 1312, 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5731510" cy="2659229"/>
                    </a:xfrm>
                    <a:prstGeom prst="rect">
                      <a:avLst/>
                    </a:prstGeom>
                    <a:noFill/>
                    <a:ln w="9525">
                      <a:noFill/>
                      <a:miter lim="800000"/>
                      <a:headEnd/>
                      <a:tailEnd/>
                    </a:ln>
                  </pic:spPr>
                </pic:pic>
              </a:graphicData>
            </a:graphic>
          </wp:inline>
        </w:drawing>
      </w:r>
    </w:p>
    <w:p w:rsidR="000103AA" w:rsidRPr="000103AA" w:rsidRDefault="000103AA" w:rsidP="002B3932">
      <w:pPr>
        <w:rPr>
          <w:lang w:eastAsia="ja-JP"/>
        </w:rPr>
      </w:pPr>
      <w:r w:rsidRPr="000103AA">
        <w:rPr>
          <w:lang w:eastAsia="ja-JP"/>
        </w:rPr>
        <w:t xml:space="preserve">Objective disease response was observed in patients with PTCL NOS being 42.9%, ARTL 16.7%, ALK -1 negative, ALCL 100% and </w:t>
      </w:r>
      <w:proofErr w:type="spellStart"/>
      <w:r w:rsidRPr="000103AA">
        <w:rPr>
          <w:lang w:eastAsia="ja-JP"/>
        </w:rPr>
        <w:t>enteropathy</w:t>
      </w:r>
      <w:proofErr w:type="spellEnd"/>
      <w:r w:rsidRPr="000103AA">
        <w:rPr>
          <w:lang w:eastAsia="ja-JP"/>
        </w:rPr>
        <w:t xml:space="preserve"> and associated T-cell lymphoma are 1 of 1.  Of the 17 patients who had undergone prior stem cell therapy six or 35.3% experienced an objective response and three CR or 17.6%.  </w:t>
      </w:r>
    </w:p>
    <w:p w:rsidR="000103AA" w:rsidRPr="002B3932" w:rsidRDefault="000103AA" w:rsidP="002B3932">
      <w:pPr>
        <w:rPr>
          <w:b/>
        </w:rPr>
      </w:pPr>
      <w:r w:rsidRPr="002B3932">
        <w:rPr>
          <w:b/>
        </w:rPr>
        <w:t>COMMENT</w:t>
      </w:r>
      <w:r w:rsidR="00BA58BD" w:rsidRPr="002B3932">
        <w:rPr>
          <w:b/>
        </w:rPr>
        <w:t>:</w:t>
      </w:r>
      <w:r w:rsidRPr="002B3932">
        <w:rPr>
          <w:b/>
        </w:rPr>
        <w:t xml:space="preserve"> </w:t>
      </w:r>
    </w:p>
    <w:p w:rsidR="00C22678" w:rsidRPr="00586F98" w:rsidRDefault="000103AA" w:rsidP="002B3932">
      <w:pPr>
        <w:rPr>
          <w:lang w:eastAsia="ja-JP"/>
        </w:rPr>
      </w:pPr>
      <w:r w:rsidRPr="000103AA">
        <w:rPr>
          <w:lang w:eastAsia="ja-JP"/>
        </w:rPr>
        <w:t>These supportive data suppor</w:t>
      </w:r>
      <w:r w:rsidR="00BA58BD">
        <w:rPr>
          <w:lang w:eastAsia="ja-JP"/>
        </w:rPr>
        <w:t>t the evidence of efficacy for r</w:t>
      </w:r>
      <w:r w:rsidRPr="000103AA">
        <w:rPr>
          <w:lang w:eastAsia="ja-JP"/>
        </w:rPr>
        <w:t xml:space="preserve">omidepsin in heavily previously treated patients with PTCL.  Response rates observed including the incidence of complete remission are comparable to that for the pivotal trial.  Overall the two patient populations involving 175 patients </w:t>
      </w:r>
      <w:r w:rsidR="00BA58BD">
        <w:rPr>
          <w:lang w:eastAsia="ja-JP"/>
        </w:rPr>
        <w:t>indicates definite activity of r</w:t>
      </w:r>
      <w:r w:rsidRPr="000103AA">
        <w:rPr>
          <w:lang w:eastAsia="ja-JP"/>
        </w:rPr>
        <w:t>omidepsin in this patient population with at least a 15% complete remission rate with the responses being durable and clinically meaningful.</w:t>
      </w:r>
      <w:r>
        <w:rPr>
          <w:lang w:eastAsia="ja-JP"/>
        </w:rPr>
        <w:t xml:space="preserve"> </w:t>
      </w:r>
    </w:p>
    <w:p w:rsidR="00C22678" w:rsidRDefault="00C22678" w:rsidP="002B3932">
      <w:pPr>
        <w:pStyle w:val="Heading2"/>
      </w:pPr>
      <w:bookmarkStart w:id="30" w:name="_Toc374006743"/>
      <w:r>
        <w:t>Clinical safety</w:t>
      </w:r>
      <w:bookmarkEnd w:id="30"/>
    </w:p>
    <w:p w:rsidR="005C2FAE" w:rsidRDefault="005C2FAE" w:rsidP="002B3932">
      <w:pPr>
        <w:pStyle w:val="Heading3"/>
      </w:pPr>
      <w:bookmarkStart w:id="31" w:name="_Toc374006744"/>
      <w:r>
        <w:t>Studies providing evaluable safety data</w:t>
      </w:r>
      <w:bookmarkEnd w:id="31"/>
    </w:p>
    <w:p w:rsidR="000103AA" w:rsidRPr="005C2FAE" w:rsidRDefault="000103AA" w:rsidP="002B3932">
      <w:r w:rsidRPr="005C2FAE">
        <w:t>This submission for evaluation of clinical safety supporting the PTCL indication presents data from the total of 891 patients who</w:t>
      </w:r>
      <w:r w:rsidR="00E071F2" w:rsidRPr="005C2FAE">
        <w:t xml:space="preserve"> received at least one dose of r</w:t>
      </w:r>
      <w:r w:rsidRPr="005C2FAE">
        <w:t>omidepsin as monotherapy through 30</w:t>
      </w:r>
      <w:r w:rsidR="005C2FAE">
        <w:t xml:space="preserve"> </w:t>
      </w:r>
      <w:r w:rsidRPr="005C2FAE">
        <w:t xml:space="preserve">September 2010 in clinical studies supported by </w:t>
      </w:r>
      <w:proofErr w:type="spellStart"/>
      <w:r w:rsidRPr="005C2FAE">
        <w:t>Celgene</w:t>
      </w:r>
      <w:proofErr w:type="spellEnd"/>
      <w:r w:rsidRPr="005C2FAE">
        <w:t xml:space="preserve"> with the US National Cancer Institute</w:t>
      </w:r>
      <w:r w:rsidR="005C2FAE" w:rsidRPr="005C2FAE">
        <w:t>,</w:t>
      </w:r>
      <w:r w:rsidRPr="005C2FAE">
        <w:t xml:space="preserve"> including 447 patients with haematological malignancies including lymphomas and 444 patients with solid tumours as indicated in Table </w:t>
      </w:r>
      <w:r w:rsidR="005C2FAE">
        <w:t>2</w:t>
      </w:r>
      <w:r w:rsidR="00543517">
        <w:t>6</w:t>
      </w:r>
      <w:r w:rsidRPr="005C2FAE">
        <w:t xml:space="preserve">.  Individual studies involved in the safety population for evaluation are indicated in </w:t>
      </w:r>
      <w:r w:rsidR="005C2FAE">
        <w:t>Table 2</w:t>
      </w:r>
      <w:r w:rsidR="00543517">
        <w:t>7</w:t>
      </w:r>
      <w:r w:rsidRPr="005C2FAE">
        <w:t>.  As shown</w:t>
      </w:r>
      <w:r w:rsidR="00DC18D7" w:rsidRPr="005C2FAE">
        <w:t>,</w:t>
      </w:r>
      <w:r w:rsidRPr="005C2FAE">
        <w:t xml:space="preserve"> 178 patients were involved in the two clinical efficacy PTCL studies.  It is to be noted that patients included in the CTCL studies as well as those for other indications were included in the safety evaluation data for the US </w:t>
      </w:r>
      <w:r w:rsidR="005C2FAE">
        <w:t>determination of marketing for r</w:t>
      </w:r>
      <w:r w:rsidRPr="005C2FAE">
        <w:t>omidepsin for the indication of CTCL who had received previous therapy.</w:t>
      </w:r>
    </w:p>
    <w:p w:rsidR="000103AA" w:rsidRPr="005C2FAE" w:rsidRDefault="005C2FAE" w:rsidP="002B3932">
      <w:pPr>
        <w:pStyle w:val="TableTitle"/>
      </w:pPr>
      <w:r>
        <w:lastRenderedPageBreak/>
        <w:t>Table 2</w:t>
      </w:r>
      <w:r w:rsidR="00543517">
        <w:t>6</w:t>
      </w:r>
      <w:r w:rsidR="00DC18D7" w:rsidRPr="005C2FAE">
        <w:t xml:space="preserve">. Patients Treated with Romidepsin as </w:t>
      </w:r>
      <w:proofErr w:type="spellStart"/>
      <w:r w:rsidR="00DC18D7" w:rsidRPr="005C2FAE">
        <w:t>Monotherapy</w:t>
      </w:r>
      <w:proofErr w:type="spellEnd"/>
      <w:r w:rsidR="00DC18D7" w:rsidRPr="005C2FAE">
        <w:t xml:space="preserve"> in </w:t>
      </w:r>
      <w:proofErr w:type="spellStart"/>
      <w:r w:rsidR="00DC18D7" w:rsidRPr="005C2FAE">
        <w:t>Celgene</w:t>
      </w:r>
      <w:proofErr w:type="spellEnd"/>
      <w:r w:rsidR="00DC18D7" w:rsidRPr="005C2FAE">
        <w:t>- and US NCI Sponsored Studies</w:t>
      </w:r>
    </w:p>
    <w:p w:rsidR="00DC18D7" w:rsidRPr="00E071F2" w:rsidRDefault="00DC18D7" w:rsidP="002B3932">
      <w:r>
        <w:rPr>
          <w:noProof/>
          <w:lang w:eastAsia="en-AU"/>
        </w:rPr>
        <w:drawing>
          <wp:inline distT="0" distB="0" distL="0" distR="0">
            <wp:extent cx="4988413" cy="1936508"/>
            <wp:effectExtent l="19050" t="0" r="2687" b="0"/>
            <wp:docPr id="24" name="Picture 17" descr="Table 26. Patients Treated with Romidepsin as Monotherapy in Celgene- and US NCI Sponsor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cstate="print"/>
                    <a:srcRect/>
                    <a:stretch>
                      <a:fillRect/>
                    </a:stretch>
                  </pic:blipFill>
                  <pic:spPr bwMode="auto">
                    <a:xfrm>
                      <a:off x="0" y="0"/>
                      <a:ext cx="4988413" cy="1936508"/>
                    </a:xfrm>
                    <a:prstGeom prst="rect">
                      <a:avLst/>
                    </a:prstGeom>
                    <a:noFill/>
                    <a:ln w="9525">
                      <a:noFill/>
                      <a:miter lim="800000"/>
                      <a:headEnd/>
                      <a:tailEnd/>
                    </a:ln>
                  </pic:spPr>
                </pic:pic>
              </a:graphicData>
            </a:graphic>
          </wp:inline>
        </w:drawing>
      </w:r>
    </w:p>
    <w:p w:rsidR="003F11EB" w:rsidRDefault="005C2FAE" w:rsidP="002B3932">
      <w:pPr>
        <w:pStyle w:val="TableTitle"/>
      </w:pPr>
      <w:r>
        <w:t>Table 2</w:t>
      </w:r>
      <w:r w:rsidR="00543517">
        <w:t>7</w:t>
      </w:r>
      <w:r w:rsidR="003F11EB">
        <w:t>. Safety Data included in this Summary of Clinical Safety</w:t>
      </w:r>
    </w:p>
    <w:p w:rsidR="003F11EB" w:rsidRDefault="003F11EB" w:rsidP="002B3932">
      <w:r>
        <w:rPr>
          <w:noProof/>
          <w:lang w:eastAsia="en-AU"/>
        </w:rPr>
        <w:drawing>
          <wp:inline distT="0" distB="0" distL="0" distR="0">
            <wp:extent cx="4359299" cy="2802933"/>
            <wp:effectExtent l="19050" t="0" r="3151" b="0"/>
            <wp:docPr id="25" name="Picture 18" descr="Table 27. Safety Data included in this Summary of Clinical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4356522" cy="2801148"/>
                    </a:xfrm>
                    <a:prstGeom prst="rect">
                      <a:avLst/>
                    </a:prstGeom>
                    <a:noFill/>
                    <a:ln w="9525">
                      <a:noFill/>
                      <a:miter lim="800000"/>
                      <a:headEnd/>
                      <a:tailEnd/>
                    </a:ln>
                  </pic:spPr>
                </pic:pic>
              </a:graphicData>
            </a:graphic>
          </wp:inline>
        </w:drawing>
      </w:r>
    </w:p>
    <w:p w:rsidR="000103AA" w:rsidRPr="00E071F2" w:rsidRDefault="000103AA" w:rsidP="002B3932">
      <w:r w:rsidRPr="00E071F2">
        <w:t>It is worth noting that there were differences in the pivotal study GPI-06-0002 and the NCI study 1312 in terms of the protocols, observation schedules and patient characteristics that are not considered to have a clinically significant influence on assessment of adverse effects.  There were some differences in the frequency of evaluation for the two studies in PTCL</w:t>
      </w:r>
      <w:r w:rsidR="003F11EB">
        <w:t>,</w:t>
      </w:r>
      <w:r w:rsidRPr="00E071F2">
        <w:t xml:space="preserve"> particularly in NCI 1312 where laboratory evaluations were undertaken more frequently.  </w:t>
      </w:r>
    </w:p>
    <w:p w:rsidR="000103AA" w:rsidRPr="005C2FAE" w:rsidRDefault="000103AA" w:rsidP="002B3932">
      <w:r w:rsidRPr="005C2FAE">
        <w:t xml:space="preserve">This evaluator considers it most appropriate to concentrate on the safety data in relation to the two PTCL studies. Accordingly the disposition of the 178 patients with PTCL is indicated in Table </w:t>
      </w:r>
      <w:r w:rsidR="005C2FAE" w:rsidRPr="005C2FAE">
        <w:t>2</w:t>
      </w:r>
      <w:r w:rsidR="00543517">
        <w:t>8</w:t>
      </w:r>
      <w:r w:rsidRPr="005C2FAE">
        <w:t xml:space="preserve">.  </w:t>
      </w:r>
    </w:p>
    <w:p w:rsidR="000103AA" w:rsidRDefault="005C2FAE" w:rsidP="002B3932">
      <w:pPr>
        <w:pStyle w:val="TableTitle"/>
        <w:rPr>
          <w:lang w:eastAsia="ja-JP"/>
        </w:rPr>
      </w:pPr>
      <w:r>
        <w:rPr>
          <w:lang w:eastAsia="ja-JP"/>
        </w:rPr>
        <w:lastRenderedPageBreak/>
        <w:t>Table 2</w:t>
      </w:r>
      <w:r w:rsidR="00543517">
        <w:rPr>
          <w:lang w:eastAsia="ja-JP"/>
        </w:rPr>
        <w:t>8</w:t>
      </w:r>
      <w:r>
        <w:rPr>
          <w:lang w:eastAsia="ja-JP"/>
        </w:rPr>
        <w:t>.</w:t>
      </w:r>
      <w:r w:rsidR="003F11EB" w:rsidRPr="003F11EB">
        <w:rPr>
          <w:lang w:eastAsia="ja-JP"/>
        </w:rPr>
        <w:t xml:space="preserve"> Patient Disposition, by Indication and Study: Patients with PTCL (N=178)</w:t>
      </w:r>
    </w:p>
    <w:p w:rsidR="003F11EB" w:rsidRDefault="003F11EB" w:rsidP="002B3932">
      <w:pPr>
        <w:rPr>
          <w:lang w:eastAsia="ja-JP"/>
        </w:rPr>
      </w:pPr>
      <w:r>
        <w:rPr>
          <w:noProof/>
          <w:lang w:eastAsia="en-AU"/>
        </w:rPr>
        <w:drawing>
          <wp:inline distT="0" distB="0" distL="0" distR="0">
            <wp:extent cx="3999269" cy="4305300"/>
            <wp:effectExtent l="19050" t="0" r="1231" b="0"/>
            <wp:docPr id="27" name="Picture 19" descr="Table 28. Patient Disposition, by Indication and Study: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4000192" cy="4306294"/>
                    </a:xfrm>
                    <a:prstGeom prst="rect">
                      <a:avLst/>
                    </a:prstGeom>
                    <a:noFill/>
                    <a:ln w="9525">
                      <a:noFill/>
                      <a:miter lim="800000"/>
                      <a:headEnd/>
                      <a:tailEnd/>
                    </a:ln>
                  </pic:spPr>
                </pic:pic>
              </a:graphicData>
            </a:graphic>
          </wp:inline>
        </w:drawing>
      </w:r>
    </w:p>
    <w:p w:rsidR="00F95A99" w:rsidRDefault="00F95A99" w:rsidP="002B3932">
      <w:pPr>
        <w:pStyle w:val="Heading3"/>
      </w:pPr>
      <w:bookmarkStart w:id="32" w:name="_Toc374006745"/>
      <w:r>
        <w:t>Exposure</w:t>
      </w:r>
      <w:bookmarkEnd w:id="32"/>
    </w:p>
    <w:p w:rsidR="00F95A99" w:rsidRPr="00F95A99" w:rsidRDefault="00F95A99" w:rsidP="002B3932">
      <w:pPr>
        <w:rPr>
          <w:lang w:eastAsia="ja-JP"/>
        </w:rPr>
      </w:pPr>
      <w:r w:rsidRPr="00F95A99">
        <w:rPr>
          <w:lang w:eastAsia="ja-JP"/>
        </w:rPr>
        <w:t>Table 2</w:t>
      </w:r>
      <w:r w:rsidR="00543517">
        <w:rPr>
          <w:lang w:eastAsia="ja-JP"/>
        </w:rPr>
        <w:t>9</w:t>
      </w:r>
      <w:r w:rsidRPr="00F95A99">
        <w:rPr>
          <w:lang w:eastAsia="ja-JP"/>
        </w:rPr>
        <w:t xml:space="preserve"> indicates the extent of exposure to romidepsin by study for patients with PTCL. Figure 11 indicates the number of patients treated with romidepsin within each treatment cycle by study.  </w:t>
      </w:r>
    </w:p>
    <w:p w:rsidR="003F11EB" w:rsidRDefault="005C2FAE" w:rsidP="002B3932">
      <w:pPr>
        <w:pStyle w:val="TableTitle"/>
        <w:rPr>
          <w:lang w:eastAsia="ja-JP"/>
        </w:rPr>
      </w:pPr>
      <w:r>
        <w:rPr>
          <w:lang w:eastAsia="ja-JP"/>
        </w:rPr>
        <w:lastRenderedPageBreak/>
        <w:t>Table 2</w:t>
      </w:r>
      <w:r w:rsidR="00543517">
        <w:rPr>
          <w:lang w:eastAsia="ja-JP"/>
        </w:rPr>
        <w:t>9.</w:t>
      </w:r>
      <w:r>
        <w:rPr>
          <w:lang w:eastAsia="ja-JP"/>
        </w:rPr>
        <w:t xml:space="preserve"> Exposure to r</w:t>
      </w:r>
      <w:r w:rsidR="003F11EB" w:rsidRPr="003F11EB">
        <w:rPr>
          <w:lang w:eastAsia="ja-JP"/>
        </w:rPr>
        <w:t>omidepsin, by Study: Patients with PTCL (N=178)</w:t>
      </w:r>
    </w:p>
    <w:p w:rsidR="003F11EB" w:rsidRPr="000103AA" w:rsidRDefault="003F11EB" w:rsidP="002B3932">
      <w:pPr>
        <w:rPr>
          <w:lang w:eastAsia="ja-JP"/>
        </w:rPr>
      </w:pPr>
      <w:r>
        <w:rPr>
          <w:noProof/>
          <w:lang w:eastAsia="en-AU"/>
        </w:rPr>
        <w:drawing>
          <wp:inline distT="0" distB="0" distL="0" distR="0">
            <wp:extent cx="4481645" cy="4332514"/>
            <wp:effectExtent l="19050" t="0" r="0" b="0"/>
            <wp:docPr id="28" name="Picture 20" descr="Table 29 Exposure to Romidepsin, by Study: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cstate="print"/>
                    <a:srcRect/>
                    <a:stretch>
                      <a:fillRect/>
                    </a:stretch>
                  </pic:blipFill>
                  <pic:spPr bwMode="auto">
                    <a:xfrm>
                      <a:off x="0" y="0"/>
                      <a:ext cx="4479954" cy="4330880"/>
                    </a:xfrm>
                    <a:prstGeom prst="rect">
                      <a:avLst/>
                    </a:prstGeom>
                    <a:noFill/>
                    <a:ln w="9525">
                      <a:noFill/>
                      <a:miter lim="800000"/>
                      <a:headEnd/>
                      <a:tailEnd/>
                    </a:ln>
                  </pic:spPr>
                </pic:pic>
              </a:graphicData>
            </a:graphic>
          </wp:inline>
        </w:drawing>
      </w:r>
    </w:p>
    <w:p w:rsidR="003F11EB" w:rsidRDefault="005C2FAE" w:rsidP="002B3932">
      <w:pPr>
        <w:pStyle w:val="FigureTitle"/>
        <w:rPr>
          <w:lang w:eastAsia="ja-JP"/>
        </w:rPr>
      </w:pPr>
      <w:r>
        <w:rPr>
          <w:lang w:eastAsia="ja-JP"/>
        </w:rPr>
        <w:t>Figure 11</w:t>
      </w:r>
      <w:r w:rsidR="003F11EB">
        <w:rPr>
          <w:lang w:eastAsia="ja-JP"/>
        </w:rPr>
        <w:t>. Percentage of Patients Treated in Each Cycle, by Study: Patients with PTCL (N=178)</w:t>
      </w:r>
    </w:p>
    <w:p w:rsidR="003F11EB" w:rsidRDefault="003F11EB" w:rsidP="002B3932">
      <w:pPr>
        <w:rPr>
          <w:lang w:eastAsia="ja-JP"/>
        </w:rPr>
      </w:pPr>
      <w:r>
        <w:rPr>
          <w:noProof/>
          <w:lang w:eastAsia="en-AU"/>
        </w:rPr>
        <w:drawing>
          <wp:inline distT="0" distB="0" distL="0" distR="0">
            <wp:extent cx="4323534" cy="2383972"/>
            <wp:effectExtent l="19050" t="0" r="816" b="0"/>
            <wp:docPr id="30" name="Picture 21" descr="Figure 11. Percentage of Patients Treated in Each Cycle, by Study: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4325471" cy="2385040"/>
                    </a:xfrm>
                    <a:prstGeom prst="rect">
                      <a:avLst/>
                    </a:prstGeom>
                    <a:noFill/>
                    <a:ln w="9525">
                      <a:noFill/>
                      <a:miter lim="800000"/>
                      <a:headEnd/>
                      <a:tailEnd/>
                    </a:ln>
                  </pic:spPr>
                </pic:pic>
              </a:graphicData>
            </a:graphic>
          </wp:inline>
        </w:drawing>
      </w:r>
    </w:p>
    <w:p w:rsidR="000103AA" w:rsidRPr="000103AA" w:rsidRDefault="000103AA" w:rsidP="002B3932">
      <w:pPr>
        <w:rPr>
          <w:lang w:eastAsia="ja-JP"/>
        </w:rPr>
      </w:pPr>
      <w:r w:rsidRPr="000103AA">
        <w:rPr>
          <w:lang w:eastAsia="ja-JP"/>
        </w:rPr>
        <w:t>Design methodology for the two studies has previously been presented in the Efficacy section.  Among the patients with PTCL</w:t>
      </w:r>
      <w:r w:rsidR="00E34F09">
        <w:rPr>
          <w:lang w:eastAsia="ja-JP"/>
        </w:rPr>
        <w:t xml:space="preserve"> the mean and median number of r</w:t>
      </w:r>
      <w:r w:rsidRPr="000103AA">
        <w:rPr>
          <w:lang w:eastAsia="ja-JP"/>
        </w:rPr>
        <w:t>omidepsin cycles administered were 5.2 and 2 respectively and mean and median duration of treatment of 142 days or 4.7 months and 46 days or 1.5 months respectively.  The range of the number of cycles administered was wide being 1-57 cycles.  Among all the patients with PTCL the mean and median total doses of Romidepsin administered were 333mg and 151mg respectively with a range from 25-2391</w:t>
      </w:r>
      <w:r w:rsidR="005C2FAE">
        <w:rPr>
          <w:lang w:eastAsia="ja-JP"/>
        </w:rPr>
        <w:t xml:space="preserve"> </w:t>
      </w:r>
      <w:r w:rsidRPr="000103AA">
        <w:rPr>
          <w:lang w:eastAsia="ja-JP"/>
        </w:rPr>
        <w:t xml:space="preserve">mg.  </w:t>
      </w:r>
    </w:p>
    <w:p w:rsidR="000103AA" w:rsidRDefault="000103AA" w:rsidP="002B3932">
      <w:pPr>
        <w:rPr>
          <w:lang w:eastAsia="ja-JP"/>
        </w:rPr>
      </w:pPr>
      <w:r w:rsidRPr="000103AA">
        <w:rPr>
          <w:lang w:eastAsia="ja-JP"/>
        </w:rPr>
        <w:lastRenderedPageBreak/>
        <w:t>The mean and median number of cycles administered in the pivotal study</w:t>
      </w:r>
      <w:r w:rsidR="007A2EE8">
        <w:rPr>
          <w:lang w:eastAsia="ja-JP"/>
        </w:rPr>
        <w:t>,</w:t>
      </w:r>
      <w:r w:rsidRPr="000103AA">
        <w:rPr>
          <w:lang w:eastAsia="ja-JP"/>
        </w:rPr>
        <w:t xml:space="preserve"> being 4.3 and 2 respectively</w:t>
      </w:r>
      <w:r w:rsidR="007A2EE8">
        <w:rPr>
          <w:lang w:eastAsia="ja-JP"/>
        </w:rPr>
        <w:t>,</w:t>
      </w:r>
      <w:r w:rsidRPr="000103AA">
        <w:rPr>
          <w:lang w:eastAsia="ja-JP"/>
        </w:rPr>
        <w:t xml:space="preserve"> were both lower than that for the supportive NCI study 1312</w:t>
      </w:r>
      <w:r w:rsidR="007A2EE8">
        <w:rPr>
          <w:lang w:eastAsia="ja-JP"/>
        </w:rPr>
        <w:t>,</w:t>
      </w:r>
      <w:r w:rsidRPr="000103AA">
        <w:rPr>
          <w:lang w:eastAsia="ja-JP"/>
        </w:rPr>
        <w:t xml:space="preserve"> being 7.9 and 3 respectively.  The extent of </w:t>
      </w:r>
      <w:r w:rsidR="007A2EE8">
        <w:rPr>
          <w:lang w:eastAsia="ja-JP"/>
        </w:rPr>
        <w:t>the exposure to r</w:t>
      </w:r>
      <w:r w:rsidRPr="000103AA">
        <w:rPr>
          <w:lang w:eastAsia="ja-JP"/>
        </w:rPr>
        <w:t xml:space="preserve">omidepsin is appreciably greater in the NCI study than the pivotal study; this had some influence on the adverse event rate between the two studies.  Demographic and other pre-treatment characteristics for the two patient populations have previously been presented.  </w:t>
      </w:r>
    </w:p>
    <w:p w:rsidR="005C2FAE" w:rsidRPr="000103AA" w:rsidRDefault="005C2FAE" w:rsidP="002B3932">
      <w:pPr>
        <w:pStyle w:val="Heading3"/>
      </w:pPr>
      <w:bookmarkStart w:id="33" w:name="_Toc374006746"/>
      <w:r>
        <w:t>Adverse events</w:t>
      </w:r>
      <w:bookmarkEnd w:id="33"/>
    </w:p>
    <w:p w:rsidR="000103AA" w:rsidRPr="000103AA" w:rsidRDefault="000103AA" w:rsidP="002B3932">
      <w:pPr>
        <w:rPr>
          <w:lang w:eastAsia="ja-JP"/>
        </w:rPr>
      </w:pPr>
      <w:r w:rsidRPr="000103AA">
        <w:rPr>
          <w:lang w:eastAsia="ja-JP"/>
        </w:rPr>
        <w:t xml:space="preserve">Analyses of adverse events during the two studies were performed on treatment emergent adverse events defined as </w:t>
      </w:r>
      <w:r w:rsidR="00F95A99">
        <w:rPr>
          <w:lang w:eastAsia="ja-JP"/>
        </w:rPr>
        <w:t>those events that start during r</w:t>
      </w:r>
      <w:r w:rsidRPr="000103AA">
        <w:rPr>
          <w:lang w:eastAsia="ja-JP"/>
        </w:rPr>
        <w:t>omidepsin administration or through 30 days after the last dose.  All adverse events that are study drug related and all events present at baseline that were worsening in intensity were subsequently considered drug related or were subsequently drug related by the investigator.  Assessment of grading of toxicities was determined by NCI toxicity criteria.  It is to be noted that the methodological differences between the pivotal study and NCI study 1312 included differences in the visit and evaluation schedules, adverse events reporting procedures</w:t>
      </w:r>
      <w:r w:rsidR="00344647">
        <w:rPr>
          <w:lang w:eastAsia="ja-JP"/>
        </w:rPr>
        <w:t>,</w:t>
      </w:r>
      <w:r w:rsidRPr="000103AA">
        <w:rPr>
          <w:lang w:eastAsia="ja-JP"/>
        </w:rPr>
        <w:t xml:space="preserve"> and documentation of treatment for adverse events.  Also there were differences in the patient characteristics in each study population with patients in NCI study 1312 having more advanced disease and receiving more prior lines of therapy.  </w:t>
      </w:r>
    </w:p>
    <w:p w:rsidR="000103AA" w:rsidRPr="00344647" w:rsidRDefault="000103AA" w:rsidP="002B3932">
      <w:r w:rsidRPr="00344647">
        <w:t xml:space="preserve">An overall summary of the categories of adverse events reported in the two studies is indicated in Table </w:t>
      </w:r>
      <w:r w:rsidR="00543517">
        <w:t>30</w:t>
      </w:r>
      <w:r w:rsidRPr="00344647">
        <w:t xml:space="preserve">.  As indicated approximately 97% of patients experienced at least one treatment emergent adverse event of which 71% were at least grade III and 27% at least grade IV in intensity.  Fifty-one per cent of patients experienced at least one serious adverse event and 8% of patients had an adverse event that resulted in death.  Overall 20% of patients discontinued study drug because of an adverse event.  </w:t>
      </w:r>
    </w:p>
    <w:p w:rsidR="000103AA" w:rsidRDefault="00543517" w:rsidP="002B3932">
      <w:pPr>
        <w:pStyle w:val="TableTitle"/>
        <w:rPr>
          <w:lang w:eastAsia="ja-JP"/>
        </w:rPr>
      </w:pPr>
      <w:r>
        <w:rPr>
          <w:lang w:eastAsia="ja-JP"/>
        </w:rPr>
        <w:t>Table 30</w:t>
      </w:r>
      <w:r w:rsidR="000D6CD7">
        <w:rPr>
          <w:lang w:eastAsia="ja-JP"/>
        </w:rPr>
        <w:t>. Summary of Treatment-emergent Adverse Events, by Study: Patients with PTCL (N=178)</w:t>
      </w:r>
    </w:p>
    <w:p w:rsidR="000D6CD7" w:rsidRPr="000103AA" w:rsidRDefault="000D6CD7" w:rsidP="002B3932">
      <w:pPr>
        <w:rPr>
          <w:lang w:eastAsia="ja-JP"/>
        </w:rPr>
      </w:pPr>
      <w:r>
        <w:rPr>
          <w:noProof/>
          <w:lang w:eastAsia="en-AU"/>
        </w:rPr>
        <w:drawing>
          <wp:inline distT="0" distB="0" distL="0" distR="0">
            <wp:extent cx="4405914" cy="2402308"/>
            <wp:effectExtent l="19050" t="0" r="0" b="0"/>
            <wp:docPr id="31" name="Picture 22" descr="Table 30. Summary of Treatment-emergent Adverse Events, by Study: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4407161" cy="2402988"/>
                    </a:xfrm>
                    <a:prstGeom prst="rect">
                      <a:avLst/>
                    </a:prstGeom>
                    <a:noFill/>
                    <a:ln w="9525">
                      <a:noFill/>
                      <a:miter lim="800000"/>
                      <a:headEnd/>
                      <a:tailEnd/>
                    </a:ln>
                  </pic:spPr>
                </pic:pic>
              </a:graphicData>
            </a:graphic>
          </wp:inline>
        </w:drawing>
      </w:r>
    </w:p>
    <w:p w:rsidR="000103AA" w:rsidRPr="000103AA" w:rsidRDefault="000103AA" w:rsidP="002B3932">
      <w:pPr>
        <w:rPr>
          <w:lang w:eastAsia="ja-JP"/>
        </w:rPr>
      </w:pPr>
      <w:r w:rsidRPr="000103AA">
        <w:rPr>
          <w:lang w:eastAsia="ja-JP"/>
        </w:rPr>
        <w:t>The most common adverse events and t</w:t>
      </w:r>
      <w:r w:rsidR="000D6CD7">
        <w:rPr>
          <w:lang w:eastAsia="ja-JP"/>
        </w:rPr>
        <w:t xml:space="preserve">he grade III and </w:t>
      </w:r>
      <w:r w:rsidRPr="000103AA">
        <w:rPr>
          <w:lang w:eastAsia="ja-JP"/>
        </w:rPr>
        <w:t xml:space="preserve">IV incidences of these common adverse events among the patients is summarised in Table </w:t>
      </w:r>
      <w:r w:rsidR="00344647">
        <w:rPr>
          <w:lang w:eastAsia="ja-JP"/>
        </w:rPr>
        <w:t>3</w:t>
      </w:r>
      <w:r w:rsidR="00543517">
        <w:rPr>
          <w:lang w:eastAsia="ja-JP"/>
        </w:rPr>
        <w:t>1</w:t>
      </w:r>
      <w:r w:rsidRPr="000103AA">
        <w:rPr>
          <w:lang w:eastAsia="ja-JP"/>
        </w:rPr>
        <w:t xml:space="preserve">.  It is to be noted that more than half, </w:t>
      </w:r>
      <w:proofErr w:type="spellStart"/>
      <w:r w:rsidRPr="000103AA">
        <w:rPr>
          <w:lang w:eastAsia="ja-JP"/>
        </w:rPr>
        <w:t>ie</w:t>
      </w:r>
      <w:proofErr w:type="spellEnd"/>
      <w:r w:rsidRPr="000103AA">
        <w:rPr>
          <w:lang w:eastAsia="ja-JP"/>
        </w:rPr>
        <w:t xml:space="preserve"> 10/18 events that occurred at an incidence of at least 20% in the NCI study 1312 and &lt;20% of study in the pivotal study were clinical chemistry abnormalities.  </w:t>
      </w:r>
    </w:p>
    <w:p w:rsidR="000103AA" w:rsidRDefault="00543517" w:rsidP="002B3932">
      <w:pPr>
        <w:pStyle w:val="TableTitle"/>
        <w:rPr>
          <w:lang w:eastAsia="ja-JP"/>
        </w:rPr>
      </w:pPr>
      <w:r>
        <w:rPr>
          <w:lang w:eastAsia="ja-JP"/>
        </w:rPr>
        <w:lastRenderedPageBreak/>
        <w:t>Table 31</w:t>
      </w:r>
      <w:r w:rsidR="00BF418F">
        <w:rPr>
          <w:lang w:eastAsia="ja-JP"/>
        </w:rPr>
        <w:t xml:space="preserve">. Treatment-emergent Adverse Events Experienced by at Least 20% of Patients in Either Study, Overall and By Intensity, by </w:t>
      </w:r>
      <w:proofErr w:type="spellStart"/>
      <w:r w:rsidR="00BF418F">
        <w:rPr>
          <w:lang w:eastAsia="ja-JP"/>
        </w:rPr>
        <w:t>MedDRA</w:t>
      </w:r>
      <w:proofErr w:type="spellEnd"/>
      <w:r w:rsidR="00BF418F">
        <w:rPr>
          <w:lang w:eastAsia="ja-JP"/>
        </w:rPr>
        <w:t xml:space="preserve"> Preferred Term: Patients with PTCL (N=178)</w:t>
      </w:r>
    </w:p>
    <w:p w:rsidR="00344647" w:rsidRDefault="00344647" w:rsidP="002B3932">
      <w:pPr>
        <w:rPr>
          <w:lang w:eastAsia="ja-JP"/>
        </w:rPr>
      </w:pPr>
      <w:r>
        <w:rPr>
          <w:noProof/>
          <w:lang w:eastAsia="en-AU"/>
        </w:rPr>
        <w:drawing>
          <wp:inline distT="0" distB="0" distL="0" distR="0">
            <wp:extent cx="5793422" cy="5328299"/>
            <wp:effectExtent l="19050" t="0" r="0" b="0"/>
            <wp:docPr id="38" name="Picture 28" descr="Table 31. Treatment-emergent Adverse Events Experienced by at Least 20% of Patients in Either Study, Overall and By Intensity, by MedDRA Preferred Term: Patients with PTCL (N=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srcRect/>
                    <a:stretch>
                      <a:fillRect/>
                    </a:stretch>
                  </pic:blipFill>
                  <pic:spPr bwMode="auto">
                    <a:xfrm>
                      <a:off x="0" y="0"/>
                      <a:ext cx="5793422" cy="5328299"/>
                    </a:xfrm>
                    <a:prstGeom prst="rect">
                      <a:avLst/>
                    </a:prstGeom>
                    <a:noFill/>
                    <a:ln w="9525">
                      <a:noFill/>
                      <a:miter lim="800000"/>
                      <a:headEnd/>
                      <a:tailEnd/>
                    </a:ln>
                  </pic:spPr>
                </pic:pic>
              </a:graphicData>
            </a:graphic>
          </wp:inline>
        </w:drawing>
      </w:r>
    </w:p>
    <w:p w:rsidR="000103AA" w:rsidRDefault="000103AA" w:rsidP="002B3932">
      <w:pPr>
        <w:rPr>
          <w:lang w:eastAsia="ja-JP"/>
        </w:rPr>
      </w:pPr>
      <w:r w:rsidRPr="000103AA">
        <w:rPr>
          <w:lang w:eastAsia="ja-JP"/>
        </w:rPr>
        <w:t>The principal adverse events observed in the two studies included GI disturbances in 83% particularly nausea, vomiting, diarrhoea and constipation.  These events were however generally mild to moderate in intensity and most patients continued treatment despite these effects.  Severe grade III or IV nausea and vomiting occurred in 3% and 6% of patients respectively.</w:t>
      </w:r>
    </w:p>
    <w:p w:rsidR="00344647" w:rsidRPr="000103AA" w:rsidRDefault="00344647" w:rsidP="002B3932">
      <w:pPr>
        <w:pStyle w:val="Heading4"/>
      </w:pPr>
      <w:r w:rsidRPr="00344647">
        <w:t>Haematological</w:t>
      </w:r>
      <w:r>
        <w:t xml:space="preserve"> adverse events</w:t>
      </w:r>
    </w:p>
    <w:p w:rsidR="000103AA" w:rsidRPr="000103AA" w:rsidRDefault="000103AA" w:rsidP="002B3932">
      <w:pPr>
        <w:rPr>
          <w:lang w:eastAsia="ja-JP"/>
        </w:rPr>
      </w:pPr>
      <w:r w:rsidRPr="000103AA">
        <w:rPr>
          <w:lang w:eastAsia="ja-JP"/>
        </w:rPr>
        <w:t xml:space="preserve">Haematological abnormalities were noted in 66% of patients including thrombocytopenia in 47%, neutropenia 39%, anaemia 34%, </w:t>
      </w:r>
      <w:proofErr w:type="spellStart"/>
      <w:r w:rsidRPr="000103AA">
        <w:rPr>
          <w:lang w:eastAsia="ja-JP"/>
        </w:rPr>
        <w:t>leukopenia</w:t>
      </w:r>
      <w:proofErr w:type="spellEnd"/>
      <w:r w:rsidRPr="000103AA">
        <w:rPr>
          <w:lang w:eastAsia="ja-JP"/>
        </w:rPr>
        <w:t xml:space="preserve"> 23% and </w:t>
      </w:r>
      <w:proofErr w:type="spellStart"/>
      <w:r w:rsidRPr="000103AA">
        <w:rPr>
          <w:lang w:eastAsia="ja-JP"/>
        </w:rPr>
        <w:t>lymphopenia</w:t>
      </w:r>
      <w:proofErr w:type="spellEnd"/>
      <w:r w:rsidRPr="000103AA">
        <w:rPr>
          <w:lang w:eastAsia="ja-JP"/>
        </w:rPr>
        <w:t xml:space="preserve"> 14%.  Thrombocytopenia in particular was most common in those patients who had received at least one prior systemic therapy or had received prior bone marrow transplantation, being 71% </w:t>
      </w:r>
      <w:proofErr w:type="spellStart"/>
      <w:r w:rsidRPr="000103AA">
        <w:rPr>
          <w:lang w:eastAsia="ja-JP"/>
        </w:rPr>
        <w:t>vs</w:t>
      </w:r>
      <w:proofErr w:type="spellEnd"/>
      <w:r w:rsidRPr="000103AA">
        <w:rPr>
          <w:lang w:eastAsia="ja-JP"/>
        </w:rPr>
        <w:t xml:space="preserve"> 41% for those who had not undertaken these procedures.  Grade III or greater haematological abnormalities were also common with grade III thrombocytopenia 21%, neutropenia 17%, leukopenia 11%, anaemia 14% and </w:t>
      </w:r>
      <w:proofErr w:type="spellStart"/>
      <w:r w:rsidRPr="000103AA">
        <w:rPr>
          <w:lang w:eastAsia="ja-JP"/>
        </w:rPr>
        <w:t>lymphopenia</w:t>
      </w:r>
      <w:proofErr w:type="spellEnd"/>
      <w:r w:rsidRPr="000103AA">
        <w:rPr>
          <w:lang w:eastAsia="ja-JP"/>
        </w:rPr>
        <w:t xml:space="preserve"> 12%.    The grade IV incidences of these events were 7%, 10%, 5%, 1% and &lt;1% respectively.  Because of these toxicities doses were held or reduced in 29% of patients and 5% of patients permanently discontinued study drug.  </w:t>
      </w:r>
    </w:p>
    <w:p w:rsidR="00344647" w:rsidRDefault="00344647" w:rsidP="002B3932">
      <w:pPr>
        <w:pStyle w:val="Heading4"/>
      </w:pPr>
      <w:proofErr w:type="spellStart"/>
      <w:r w:rsidRPr="00344647">
        <w:lastRenderedPageBreak/>
        <w:t>Asthenic</w:t>
      </w:r>
      <w:proofErr w:type="spellEnd"/>
      <w:r w:rsidRPr="00344647">
        <w:t xml:space="preserve"> conditions</w:t>
      </w:r>
    </w:p>
    <w:p w:rsidR="000103AA" w:rsidRPr="000103AA" w:rsidRDefault="000103AA" w:rsidP="002B3932">
      <w:pPr>
        <w:rPr>
          <w:lang w:eastAsia="ja-JP"/>
        </w:rPr>
      </w:pPr>
      <w:proofErr w:type="spellStart"/>
      <w:r w:rsidRPr="000103AA">
        <w:rPr>
          <w:lang w:eastAsia="ja-JP"/>
        </w:rPr>
        <w:t>Asthenic</w:t>
      </w:r>
      <w:proofErr w:type="spellEnd"/>
      <w:r w:rsidRPr="000103AA">
        <w:rPr>
          <w:lang w:eastAsia="ja-JP"/>
        </w:rPr>
        <w:t xml:space="preserve"> conditions occurred in 60% of patients including fatigue, asthenia and malaise.  These were generally grade I and II in intensity although grade III asthenia occurred in 11% of patients but there were no grade IV events.  &lt;1% of patients required treatment discontinuation because of asthenia. </w:t>
      </w:r>
    </w:p>
    <w:p w:rsidR="00344647" w:rsidRDefault="00344647" w:rsidP="002B3932">
      <w:pPr>
        <w:pStyle w:val="Heading4"/>
      </w:pPr>
      <w:r>
        <w:t>Infections</w:t>
      </w:r>
    </w:p>
    <w:p w:rsidR="000103AA" w:rsidRPr="000103AA" w:rsidRDefault="000103AA" w:rsidP="002B3932">
      <w:pPr>
        <w:rPr>
          <w:lang w:eastAsia="ja-JP"/>
        </w:rPr>
      </w:pPr>
      <w:r w:rsidRPr="000103AA">
        <w:rPr>
          <w:lang w:eastAsia="ja-JP"/>
        </w:rPr>
        <w:t>Infection was common in these two studies occurring in 53% with 16% of patients experiencing infections of grade</w:t>
      </w:r>
      <w:r w:rsidR="006F3E7D">
        <w:rPr>
          <w:lang w:eastAsia="ja-JP"/>
        </w:rPr>
        <w:t xml:space="preserve"> I</w:t>
      </w:r>
      <w:r w:rsidR="00845B79">
        <w:rPr>
          <w:lang w:eastAsia="ja-JP"/>
        </w:rPr>
        <w:t>II</w:t>
      </w:r>
      <w:r w:rsidR="006F3E7D">
        <w:rPr>
          <w:lang w:eastAsia="ja-JP"/>
        </w:rPr>
        <w:t xml:space="preserve"> intensity and </w:t>
      </w:r>
      <w:r w:rsidR="00845B79">
        <w:rPr>
          <w:lang w:eastAsia="ja-JP"/>
        </w:rPr>
        <w:t xml:space="preserve">3% </w:t>
      </w:r>
      <w:r w:rsidR="006F3E7D">
        <w:rPr>
          <w:lang w:eastAsia="ja-JP"/>
        </w:rPr>
        <w:t xml:space="preserve">grade </w:t>
      </w:r>
      <w:r w:rsidRPr="000103AA">
        <w:rPr>
          <w:lang w:eastAsia="ja-JP"/>
        </w:rPr>
        <w:t xml:space="preserve">IV intensities.  Febrile disorders were common in 38%.  It is noted that these infections were much more common in patients who had received prior monoclonal antibody therapy than those that did not being 77% </w:t>
      </w:r>
      <w:proofErr w:type="spellStart"/>
      <w:r w:rsidRPr="000103AA">
        <w:rPr>
          <w:lang w:eastAsia="ja-JP"/>
        </w:rPr>
        <w:t>vs</w:t>
      </w:r>
      <w:proofErr w:type="spellEnd"/>
      <w:r w:rsidRPr="000103AA">
        <w:rPr>
          <w:lang w:eastAsia="ja-JP"/>
        </w:rPr>
        <w:t xml:space="preserve"> 50% and more common in patients &gt;65 years being 51% </w:t>
      </w:r>
      <w:proofErr w:type="spellStart"/>
      <w:r w:rsidRPr="000103AA">
        <w:rPr>
          <w:lang w:eastAsia="ja-JP"/>
        </w:rPr>
        <w:t>vs</w:t>
      </w:r>
      <w:proofErr w:type="spellEnd"/>
      <w:r w:rsidRPr="000103AA">
        <w:rPr>
          <w:lang w:eastAsia="ja-JP"/>
        </w:rPr>
        <w:t xml:space="preserve"> 37% for younger patients.  </w:t>
      </w:r>
    </w:p>
    <w:p w:rsidR="000103AA" w:rsidRDefault="000103AA" w:rsidP="002B3932">
      <w:pPr>
        <w:rPr>
          <w:lang w:eastAsia="ja-JP"/>
        </w:rPr>
      </w:pPr>
      <w:r w:rsidRPr="000103AA">
        <w:rPr>
          <w:lang w:eastAsia="ja-JP"/>
        </w:rPr>
        <w:t xml:space="preserve">Twenty per cent of patients had serious infection and 6/18 patients in the two studies with a treatment emergent death had a diagnosis of infection, </w:t>
      </w:r>
      <w:proofErr w:type="spellStart"/>
      <w:r w:rsidRPr="000103AA">
        <w:rPr>
          <w:lang w:eastAsia="ja-JP"/>
        </w:rPr>
        <w:t>ie</w:t>
      </w:r>
      <w:proofErr w:type="spellEnd"/>
      <w:r w:rsidRPr="000103AA">
        <w:rPr>
          <w:lang w:eastAsia="ja-JP"/>
        </w:rPr>
        <w:t xml:space="preserve"> pneumonia, sepsis and infection and infection was involved in 2/3 deaths assessed as possibly or probably related to study drug.  Twelve per cent of patients required dose suspension or reduction and 3% discontinued Romidepsin because of infection.  The most common infections include pneumonia and sepsis in 10% being at least grade III in 17 patients.  It is noted that these patients were also neutropenic at the time of pneumonia/sepsis in five patients.  </w:t>
      </w:r>
    </w:p>
    <w:p w:rsidR="00344647" w:rsidRPr="000103AA" w:rsidRDefault="00344647" w:rsidP="002B3932">
      <w:pPr>
        <w:pStyle w:val="Heading4"/>
      </w:pPr>
      <w:r>
        <w:t>Differences between studies</w:t>
      </w:r>
    </w:p>
    <w:p w:rsidR="000103AA" w:rsidRDefault="000103AA" w:rsidP="002B3932">
      <w:pPr>
        <w:rPr>
          <w:lang w:eastAsia="ja-JP"/>
        </w:rPr>
      </w:pPr>
      <w:r w:rsidRPr="000103AA">
        <w:rPr>
          <w:lang w:eastAsia="ja-JP"/>
        </w:rPr>
        <w:t xml:space="preserve">It is noted that due to the methodological differences between the two studies that the frequency of </w:t>
      </w:r>
      <w:proofErr w:type="spellStart"/>
      <w:r w:rsidRPr="000103AA">
        <w:rPr>
          <w:lang w:eastAsia="ja-JP"/>
        </w:rPr>
        <w:t>haematologic</w:t>
      </w:r>
      <w:proofErr w:type="spellEnd"/>
      <w:r w:rsidRPr="000103AA">
        <w:rPr>
          <w:lang w:eastAsia="ja-JP"/>
        </w:rPr>
        <w:t xml:space="preserve"> and biochemical abnormalities noted in NCI study 1312 were greater than the pivotal trial</w:t>
      </w:r>
      <w:r w:rsidR="00344647">
        <w:rPr>
          <w:lang w:eastAsia="ja-JP"/>
        </w:rPr>
        <w:t>,</w:t>
      </w:r>
      <w:r w:rsidRPr="000103AA">
        <w:rPr>
          <w:lang w:eastAsia="ja-JP"/>
        </w:rPr>
        <w:t xml:space="preserve"> including hypocalcaemia in 60% </w:t>
      </w:r>
      <w:proofErr w:type="spellStart"/>
      <w:r w:rsidRPr="000103AA">
        <w:rPr>
          <w:lang w:eastAsia="ja-JP"/>
        </w:rPr>
        <w:t>vs</w:t>
      </w:r>
      <w:proofErr w:type="spellEnd"/>
      <w:r w:rsidRPr="000103AA">
        <w:rPr>
          <w:lang w:eastAsia="ja-JP"/>
        </w:rPr>
        <w:t xml:space="preserve"> 4% for the pivotal study, </w:t>
      </w:r>
      <w:proofErr w:type="spellStart"/>
      <w:r w:rsidRPr="000103AA">
        <w:rPr>
          <w:lang w:eastAsia="ja-JP"/>
        </w:rPr>
        <w:t>hypoalbuminia</w:t>
      </w:r>
      <w:proofErr w:type="spellEnd"/>
      <w:r w:rsidRPr="000103AA">
        <w:rPr>
          <w:lang w:eastAsia="ja-JP"/>
        </w:rPr>
        <w:t xml:space="preserve"> in 51% </w:t>
      </w:r>
      <w:proofErr w:type="spellStart"/>
      <w:r w:rsidRPr="000103AA">
        <w:rPr>
          <w:lang w:eastAsia="ja-JP"/>
        </w:rPr>
        <w:t>vs</w:t>
      </w:r>
      <w:proofErr w:type="spellEnd"/>
      <w:r w:rsidRPr="000103AA">
        <w:rPr>
          <w:lang w:eastAsia="ja-JP"/>
        </w:rPr>
        <w:t xml:space="preserve"> 2%, increased AST 38% </w:t>
      </w:r>
      <w:proofErr w:type="spellStart"/>
      <w:r w:rsidRPr="000103AA">
        <w:rPr>
          <w:lang w:eastAsia="ja-JP"/>
        </w:rPr>
        <w:t>vs</w:t>
      </w:r>
      <w:proofErr w:type="spellEnd"/>
      <w:r w:rsidRPr="000103AA">
        <w:rPr>
          <w:lang w:eastAsia="ja-JP"/>
        </w:rPr>
        <w:t xml:space="preserve"> 4%, hyperglycaemia 38% </w:t>
      </w:r>
      <w:proofErr w:type="spellStart"/>
      <w:r w:rsidRPr="000103AA">
        <w:rPr>
          <w:lang w:eastAsia="ja-JP"/>
        </w:rPr>
        <w:t>vs</w:t>
      </w:r>
      <w:proofErr w:type="spellEnd"/>
      <w:r w:rsidRPr="000103AA">
        <w:rPr>
          <w:lang w:eastAsia="ja-JP"/>
        </w:rPr>
        <w:t xml:space="preserve"> 3%, increased ALT 36% </w:t>
      </w:r>
      <w:proofErr w:type="spellStart"/>
      <w:r w:rsidRPr="000103AA">
        <w:rPr>
          <w:lang w:eastAsia="ja-JP"/>
        </w:rPr>
        <w:t>vs</w:t>
      </w:r>
      <w:proofErr w:type="spellEnd"/>
      <w:r w:rsidRPr="000103AA">
        <w:rPr>
          <w:lang w:eastAsia="ja-JP"/>
        </w:rPr>
        <w:t xml:space="preserve"> 4%, hypomagnesaemia 32% </w:t>
      </w:r>
      <w:proofErr w:type="spellStart"/>
      <w:r w:rsidRPr="000103AA">
        <w:rPr>
          <w:lang w:eastAsia="ja-JP"/>
        </w:rPr>
        <w:t>vs</w:t>
      </w:r>
      <w:proofErr w:type="spellEnd"/>
      <w:r w:rsidRPr="000103AA">
        <w:rPr>
          <w:lang w:eastAsia="ja-JP"/>
        </w:rPr>
        <w:t xml:space="preserve"> 6% and </w:t>
      </w:r>
      <w:proofErr w:type="spellStart"/>
      <w:r w:rsidRPr="000103AA">
        <w:rPr>
          <w:lang w:eastAsia="ja-JP"/>
        </w:rPr>
        <w:t>hypokalaemia</w:t>
      </w:r>
      <w:proofErr w:type="spellEnd"/>
      <w:r w:rsidRPr="000103AA">
        <w:rPr>
          <w:lang w:eastAsia="ja-JP"/>
        </w:rPr>
        <w:t xml:space="preserve"> 17% </w:t>
      </w:r>
      <w:proofErr w:type="spellStart"/>
      <w:r w:rsidRPr="000103AA">
        <w:rPr>
          <w:lang w:eastAsia="ja-JP"/>
        </w:rPr>
        <w:t>vs</w:t>
      </w:r>
      <w:proofErr w:type="spellEnd"/>
      <w:r w:rsidRPr="000103AA">
        <w:rPr>
          <w:lang w:eastAsia="ja-JP"/>
        </w:rPr>
        <w:t xml:space="preserve"> 10% respectively.  The vast majority of these clinical chemistry</w:t>
      </w:r>
      <w:r w:rsidR="006E2F66">
        <w:rPr>
          <w:lang w:eastAsia="ja-JP"/>
        </w:rPr>
        <w:t xml:space="preserve"> abnormalities were grade I or </w:t>
      </w:r>
      <w:r w:rsidRPr="000103AA">
        <w:rPr>
          <w:lang w:eastAsia="ja-JP"/>
        </w:rPr>
        <w:t xml:space="preserve">II in intensity.  Most patients continued treatment unchanged.  </w:t>
      </w:r>
      <w:r w:rsidR="006E2F66">
        <w:rPr>
          <w:lang w:eastAsia="ja-JP"/>
        </w:rPr>
        <w:t>T</w:t>
      </w:r>
      <w:r w:rsidRPr="000103AA">
        <w:rPr>
          <w:lang w:eastAsia="ja-JP"/>
        </w:rPr>
        <w:t>he incidence of adverse events w</w:t>
      </w:r>
      <w:r w:rsidR="006E2F66">
        <w:rPr>
          <w:lang w:eastAsia="ja-JP"/>
        </w:rPr>
        <w:t xml:space="preserve">as </w:t>
      </w:r>
      <w:r w:rsidRPr="000103AA">
        <w:rPr>
          <w:lang w:eastAsia="ja-JP"/>
        </w:rPr>
        <w:t xml:space="preserve">generally most often after cycle 1.  </w:t>
      </w:r>
    </w:p>
    <w:p w:rsidR="00344647" w:rsidRPr="000103AA" w:rsidRDefault="00344647" w:rsidP="002B3932">
      <w:pPr>
        <w:pStyle w:val="Heading4"/>
      </w:pPr>
      <w:r>
        <w:t>Deaths</w:t>
      </w:r>
    </w:p>
    <w:p w:rsidR="000103AA" w:rsidRPr="000103AA" w:rsidRDefault="000103AA" w:rsidP="002B3932">
      <w:pPr>
        <w:rPr>
          <w:lang w:eastAsia="ja-JP"/>
        </w:rPr>
      </w:pPr>
      <w:r w:rsidRPr="000103AA">
        <w:rPr>
          <w:lang w:eastAsia="ja-JP"/>
        </w:rPr>
        <w:t>In relation to treatment emergent deaths</w:t>
      </w:r>
      <w:r w:rsidR="009245D2">
        <w:rPr>
          <w:lang w:eastAsia="ja-JP"/>
        </w:rPr>
        <w:t>,</w:t>
      </w:r>
      <w:r w:rsidRPr="000103AA">
        <w:rPr>
          <w:lang w:eastAsia="ja-JP"/>
        </w:rPr>
        <w:t xml:space="preserve"> these were reported for 10 or 8% of patients in the pivotal study and it is noted that the investigator considered death to be unrelated to study drug for 9/10 patients and the patient in which the investigator considered the patient’s death to be possibly related died of multi-organ failure in the setting of sepsis and progressive disease.  </w:t>
      </w:r>
    </w:p>
    <w:p w:rsidR="000103AA" w:rsidRPr="000103AA" w:rsidRDefault="000103AA" w:rsidP="002B3932">
      <w:pPr>
        <w:rPr>
          <w:lang w:eastAsia="ja-JP"/>
        </w:rPr>
      </w:pPr>
      <w:r w:rsidRPr="000103AA">
        <w:rPr>
          <w:lang w:eastAsia="ja-JP"/>
        </w:rPr>
        <w:t xml:space="preserve">In study NCI 1312, eight or 17% of patients had treatment emergent deaths with the investigator considering that two of these deaths were potentially related to treatment, one dying with recurrent </w:t>
      </w:r>
      <w:r w:rsidRPr="009245D2">
        <w:rPr>
          <w:i/>
          <w:iCs/>
          <w:lang w:eastAsia="ja-JP"/>
        </w:rPr>
        <w:t>P</w:t>
      </w:r>
      <w:r w:rsidR="009245D2" w:rsidRPr="009245D2">
        <w:rPr>
          <w:i/>
          <w:iCs/>
          <w:lang w:eastAsia="ja-JP"/>
        </w:rPr>
        <w:t xml:space="preserve">. </w:t>
      </w:r>
      <w:proofErr w:type="spellStart"/>
      <w:r w:rsidRPr="009245D2">
        <w:rPr>
          <w:i/>
          <w:iCs/>
          <w:lang w:eastAsia="ja-JP"/>
        </w:rPr>
        <w:t>carinii</w:t>
      </w:r>
      <w:proofErr w:type="spellEnd"/>
      <w:r w:rsidRPr="000103AA">
        <w:rPr>
          <w:lang w:eastAsia="ja-JP"/>
        </w:rPr>
        <w:t xml:space="preserve"> pneumonia in the setting of progressive disease and the second a sudden death at home that was considered by the investigator potentially related to vascular disease.  An overall summary of treatment emergent deaths for the two studies is given in </w:t>
      </w:r>
      <w:r w:rsidR="009245D2">
        <w:rPr>
          <w:lang w:eastAsia="ja-JP"/>
        </w:rPr>
        <w:t>the dossier</w:t>
      </w:r>
      <w:r w:rsidRPr="000103AA">
        <w:rPr>
          <w:lang w:eastAsia="ja-JP"/>
        </w:rPr>
        <w:t>.</w:t>
      </w:r>
    </w:p>
    <w:p w:rsidR="000103AA" w:rsidRDefault="000103AA" w:rsidP="002B3932">
      <w:pPr>
        <w:rPr>
          <w:lang w:eastAsia="ja-JP"/>
        </w:rPr>
      </w:pPr>
      <w:r w:rsidRPr="000103AA">
        <w:rPr>
          <w:lang w:eastAsia="ja-JP"/>
        </w:rPr>
        <w:t xml:space="preserve">It is worth noting that eight patients whose death was not considered due solely to progressive disease also died with associated infection.  </w:t>
      </w:r>
    </w:p>
    <w:p w:rsidR="00344647" w:rsidRPr="000103AA" w:rsidRDefault="00344647" w:rsidP="002B3932">
      <w:pPr>
        <w:pStyle w:val="Heading4"/>
      </w:pPr>
      <w:r>
        <w:t>Serious adverse events</w:t>
      </w:r>
    </w:p>
    <w:p w:rsidR="000103AA" w:rsidRPr="000103AA" w:rsidRDefault="000103AA" w:rsidP="002B3932">
      <w:pPr>
        <w:rPr>
          <w:lang w:eastAsia="ja-JP"/>
        </w:rPr>
      </w:pPr>
      <w:r w:rsidRPr="000103AA">
        <w:rPr>
          <w:lang w:eastAsia="ja-JP"/>
        </w:rPr>
        <w:t xml:space="preserve">In relation to serious adverse events, in the pivotal study these occurred in 60 or 46% of patients, the most common being pyrexia 7%, pneumonia 5%, vomiting and sepsis 5%, </w:t>
      </w:r>
      <w:proofErr w:type="spellStart"/>
      <w:r w:rsidRPr="000103AA">
        <w:rPr>
          <w:lang w:eastAsia="ja-JP"/>
        </w:rPr>
        <w:t>cellulitis</w:t>
      </w:r>
      <w:proofErr w:type="spellEnd"/>
      <w:r w:rsidRPr="000103AA">
        <w:rPr>
          <w:lang w:eastAsia="ja-JP"/>
        </w:rPr>
        <w:t xml:space="preserve"> 4%, abdominal pain, febrile neutropenia and deep vein thrombosis 3% each and dehydration, dyspnoea, neutropenia, chest pain and pulmonary embolism 2% each.  The investigators considered these serious adverse events to be study drug related in 33 or 25% of patients in the pivotal study with those related to at least two patients being vomiting, pyrexia in four patients, febrile neutropenia, deep vein thrombosis and </w:t>
      </w:r>
      <w:proofErr w:type="spellStart"/>
      <w:r w:rsidRPr="000103AA">
        <w:rPr>
          <w:lang w:eastAsia="ja-JP"/>
        </w:rPr>
        <w:t>cellulitis</w:t>
      </w:r>
      <w:proofErr w:type="spellEnd"/>
      <w:r w:rsidRPr="000103AA">
        <w:rPr>
          <w:lang w:eastAsia="ja-JP"/>
        </w:rPr>
        <w:t xml:space="preserve"> in three patients each.</w:t>
      </w:r>
    </w:p>
    <w:p w:rsidR="000103AA" w:rsidRDefault="000103AA" w:rsidP="002B3932">
      <w:pPr>
        <w:rPr>
          <w:lang w:eastAsia="ja-JP"/>
        </w:rPr>
      </w:pPr>
      <w:r w:rsidRPr="000103AA">
        <w:rPr>
          <w:lang w:eastAsia="ja-JP"/>
        </w:rPr>
        <w:lastRenderedPageBreak/>
        <w:t>In the NCI study 1312, the incidence of serious adverse events was higher than the pivotal study being 64%.  The most common being pyrexia in eight patients, increased AST and hyp</w:t>
      </w:r>
      <w:r w:rsidR="00D756C7">
        <w:rPr>
          <w:lang w:eastAsia="ja-JP"/>
        </w:rPr>
        <w:t>o</w:t>
      </w:r>
      <w:r w:rsidRPr="000103AA">
        <w:rPr>
          <w:lang w:eastAsia="ja-JP"/>
        </w:rPr>
        <w:t>tension in six patients, ALT increased, anaemia, thrombocytopenia and disease progression in five patients and infection, dyspnoea and dehydration in four patients.  A serious adverse event was considered by the investigator to be study drug related for 55% of patients with the most common being pyrexia, hyp</w:t>
      </w:r>
      <w:r w:rsidR="00D756C7">
        <w:rPr>
          <w:lang w:eastAsia="ja-JP"/>
        </w:rPr>
        <w:t>o</w:t>
      </w:r>
      <w:r w:rsidRPr="000103AA">
        <w:rPr>
          <w:lang w:eastAsia="ja-JP"/>
        </w:rPr>
        <w:t xml:space="preserve">tension and increased AST in five patients each, thrombocytopenia, ALT increase and dehydration in four patients each and anaemia, </w:t>
      </w:r>
      <w:proofErr w:type="spellStart"/>
      <w:r w:rsidRPr="000103AA">
        <w:rPr>
          <w:lang w:eastAsia="ja-JP"/>
        </w:rPr>
        <w:t>lymphopenia</w:t>
      </w:r>
      <w:proofErr w:type="spellEnd"/>
      <w:r w:rsidRPr="000103AA">
        <w:rPr>
          <w:lang w:eastAsia="ja-JP"/>
        </w:rPr>
        <w:t xml:space="preserve"> and infection in three patients each.  </w:t>
      </w:r>
    </w:p>
    <w:p w:rsidR="00883C83" w:rsidRPr="000103AA" w:rsidRDefault="00883C83" w:rsidP="002B3932">
      <w:pPr>
        <w:pStyle w:val="Heading4"/>
      </w:pPr>
      <w:r w:rsidRPr="00883C83">
        <w:t>Adverse events leading to study drug discontinuation</w:t>
      </w:r>
      <w:r w:rsidR="00FF2D48">
        <w:t xml:space="preserve"> or dose reduction</w:t>
      </w:r>
    </w:p>
    <w:p w:rsidR="000103AA" w:rsidRPr="000103AA" w:rsidRDefault="000103AA" w:rsidP="002B3932">
      <w:pPr>
        <w:rPr>
          <w:lang w:eastAsia="ja-JP"/>
        </w:rPr>
      </w:pPr>
      <w:r w:rsidRPr="000103AA">
        <w:rPr>
          <w:lang w:eastAsia="ja-JP"/>
        </w:rPr>
        <w:t xml:space="preserve">Adverse events leading to study drug discontinuation occurring in at least 1% of patients in the two studies </w:t>
      </w:r>
      <w:r w:rsidR="00B40902">
        <w:rPr>
          <w:lang w:eastAsia="ja-JP"/>
        </w:rPr>
        <w:t xml:space="preserve">were </w:t>
      </w:r>
      <w:r w:rsidRPr="000103AA">
        <w:rPr>
          <w:lang w:eastAsia="ja-JP"/>
        </w:rPr>
        <w:t xml:space="preserve">summarised, both in terms of overall incidence and relationship to study drug.  </w:t>
      </w:r>
      <w:r w:rsidR="00B40902">
        <w:rPr>
          <w:lang w:eastAsia="ja-JP"/>
        </w:rPr>
        <w:t>I</w:t>
      </w:r>
      <w:r w:rsidRPr="000103AA">
        <w:rPr>
          <w:lang w:eastAsia="ja-JP"/>
        </w:rPr>
        <w:t xml:space="preserve">n the pivotal study, 22 patients discontinued according to an adverse event involving thrombocytopenia in three patients, dyspnoea, pneumonia and sepsis in two patients and the remainder only occurring in one patient each.  These adverse events were considered by the investigator to be study drug related for 11 patients with only thrombocytopenia in three patients being noted in more than one patient.  </w:t>
      </w:r>
    </w:p>
    <w:p w:rsidR="000103AA" w:rsidRPr="000103AA" w:rsidRDefault="000103AA" w:rsidP="002B3932">
      <w:pPr>
        <w:rPr>
          <w:lang w:eastAsia="ja-JP"/>
        </w:rPr>
      </w:pPr>
      <w:r w:rsidRPr="000103AA">
        <w:rPr>
          <w:lang w:eastAsia="ja-JP"/>
        </w:rPr>
        <w:t xml:space="preserve">In the NCI study 1312, 13 or 28% of patients discontinued study drug because of an adverse event.  The only adverse events other than disease progression led to study drug discontinuation for more than one patient were thrombocytopenia in three patients and ALT increase in two patients.  </w:t>
      </w:r>
    </w:p>
    <w:p w:rsidR="000103AA" w:rsidRDefault="000103AA" w:rsidP="002B3932">
      <w:pPr>
        <w:rPr>
          <w:lang w:eastAsia="ja-JP"/>
        </w:rPr>
      </w:pPr>
      <w:r w:rsidRPr="000103AA">
        <w:rPr>
          <w:lang w:eastAsia="ja-JP"/>
        </w:rPr>
        <w:t xml:space="preserve">In relation to dose reductions or delays in dosing in the pivotal study, delay of </w:t>
      </w:r>
      <w:r w:rsidR="00385BEE">
        <w:rPr>
          <w:lang w:eastAsia="ja-JP"/>
        </w:rPr>
        <w:t>r</w:t>
      </w:r>
      <w:r w:rsidRPr="000103AA">
        <w:rPr>
          <w:lang w:eastAsia="ja-JP"/>
        </w:rPr>
        <w:t xml:space="preserve">omidepsin dose was most frequent in course 2 and course 3.  Dose reductions were most common in course 2 and 3.  The nature of the adverse events leading to dose reductions or delays in the pivotal study </w:t>
      </w:r>
      <w:r w:rsidR="00385BEE">
        <w:rPr>
          <w:lang w:eastAsia="ja-JP"/>
        </w:rPr>
        <w:t>was shown</w:t>
      </w:r>
      <w:r w:rsidRPr="000103AA">
        <w:rPr>
          <w:lang w:eastAsia="ja-JP"/>
        </w:rPr>
        <w:t xml:space="preserve">.  It is noted that 60 or 46% of patients required one dose to be held and 14 or 11% required at least one dose reduction for the management of an adverse event.  The most frequent events related were thrombocytopenia and neutropenia.  </w:t>
      </w:r>
    </w:p>
    <w:p w:rsidR="00FF2D48" w:rsidRPr="000103AA" w:rsidRDefault="00FF2D48" w:rsidP="002B3932">
      <w:pPr>
        <w:pStyle w:val="Heading4"/>
      </w:pPr>
      <w:r w:rsidRPr="00FF2D48">
        <w:t>Adverse events</w:t>
      </w:r>
      <w:r>
        <w:t xml:space="preserve"> by system organ class</w:t>
      </w:r>
    </w:p>
    <w:p w:rsidR="000103AA" w:rsidRPr="000103AA" w:rsidRDefault="000103AA" w:rsidP="002B3932">
      <w:pPr>
        <w:rPr>
          <w:lang w:eastAsia="ja-JP"/>
        </w:rPr>
      </w:pPr>
      <w:r w:rsidRPr="000103AA">
        <w:rPr>
          <w:lang w:eastAsia="ja-JP"/>
        </w:rPr>
        <w:t xml:space="preserve">A full breakdown of adverse events occurring in at least 5% of patients in the two studies classified according to organ system or syndrome and level of intensity is given in </w:t>
      </w:r>
      <w:r w:rsidR="00385BEE">
        <w:rPr>
          <w:lang w:eastAsia="ja-JP"/>
        </w:rPr>
        <w:t>the dossier</w:t>
      </w:r>
      <w:r w:rsidRPr="000103AA">
        <w:rPr>
          <w:lang w:eastAsia="ja-JP"/>
        </w:rPr>
        <w:t xml:space="preserve">.  </w:t>
      </w:r>
    </w:p>
    <w:p w:rsidR="000103AA" w:rsidRPr="000103AA" w:rsidRDefault="000103AA" w:rsidP="002B3932">
      <w:pPr>
        <w:rPr>
          <w:lang w:eastAsia="ja-JP"/>
        </w:rPr>
      </w:pPr>
      <w:r w:rsidRPr="000103AA">
        <w:rPr>
          <w:lang w:eastAsia="ja-JP"/>
        </w:rPr>
        <w:t>Reviewing some of the disorders by individual system</w:t>
      </w:r>
      <w:r w:rsidR="00385BEE">
        <w:rPr>
          <w:lang w:eastAsia="ja-JP"/>
        </w:rPr>
        <w:t>:</w:t>
      </w:r>
      <w:r w:rsidRPr="000103AA">
        <w:rPr>
          <w:lang w:eastAsia="ja-JP"/>
        </w:rPr>
        <w:t xml:space="preserve">  In relation to gastrointestinal disorders the incidence of this </w:t>
      </w:r>
      <w:r w:rsidR="00C4143D">
        <w:rPr>
          <w:lang w:eastAsia="ja-JP"/>
        </w:rPr>
        <w:t xml:space="preserve">was </w:t>
      </w:r>
      <w:r w:rsidRPr="000103AA">
        <w:rPr>
          <w:lang w:eastAsia="ja-JP"/>
        </w:rPr>
        <w:t xml:space="preserve">83% of patients.  </w:t>
      </w:r>
      <w:r w:rsidR="00C4143D">
        <w:rPr>
          <w:lang w:eastAsia="ja-JP"/>
        </w:rPr>
        <w:t xml:space="preserve">The </w:t>
      </w:r>
      <w:r w:rsidRPr="000103AA">
        <w:rPr>
          <w:lang w:eastAsia="ja-JP"/>
        </w:rPr>
        <w:t>summary of the common GI disorders in terms of incidence and severity</w:t>
      </w:r>
      <w:r w:rsidR="00C4143D">
        <w:rPr>
          <w:lang w:eastAsia="ja-JP"/>
        </w:rPr>
        <w:t xml:space="preserve"> was noted, again emphasising</w:t>
      </w:r>
      <w:r w:rsidRPr="000103AA">
        <w:rPr>
          <w:lang w:eastAsia="ja-JP"/>
        </w:rPr>
        <w:t xml:space="preserve"> the frequency of nausea and vomitin</w:t>
      </w:r>
      <w:r w:rsidR="00C4143D">
        <w:rPr>
          <w:lang w:eastAsia="ja-JP"/>
        </w:rPr>
        <w:t xml:space="preserve">g, diarrhoea and constipation. </w:t>
      </w:r>
      <w:r w:rsidRPr="000103AA">
        <w:rPr>
          <w:lang w:eastAsia="ja-JP"/>
        </w:rPr>
        <w:t xml:space="preserve">The estimated probability of onset of GI disorders overall and of nausea and vomiting symptoms diarrhoea and constipation as a function of time on treatment is </w:t>
      </w:r>
      <w:r w:rsidR="00C4143D">
        <w:rPr>
          <w:lang w:eastAsia="ja-JP"/>
        </w:rPr>
        <w:t>shown</w:t>
      </w:r>
      <w:r w:rsidR="003669E7">
        <w:rPr>
          <w:lang w:eastAsia="ja-JP"/>
        </w:rPr>
        <w:t xml:space="preserve">. </w:t>
      </w:r>
      <w:r w:rsidRPr="000103AA">
        <w:rPr>
          <w:lang w:eastAsia="ja-JP"/>
        </w:rPr>
        <w:t xml:space="preserve">It is noted that it is estimated approximately 75% of patients experienced the onset of these symptoms by the end of C1.  </w:t>
      </w:r>
    </w:p>
    <w:p w:rsidR="000103AA" w:rsidRPr="000103AA" w:rsidRDefault="000103AA" w:rsidP="002B3932">
      <w:pPr>
        <w:rPr>
          <w:lang w:eastAsia="ja-JP"/>
        </w:rPr>
      </w:pPr>
      <w:r w:rsidRPr="000103AA">
        <w:rPr>
          <w:lang w:eastAsia="ja-JP"/>
        </w:rPr>
        <w:t xml:space="preserve">In relation to </w:t>
      </w:r>
      <w:proofErr w:type="spellStart"/>
      <w:r w:rsidRPr="000103AA">
        <w:rPr>
          <w:lang w:eastAsia="ja-JP"/>
        </w:rPr>
        <w:t>haematologic</w:t>
      </w:r>
      <w:proofErr w:type="spellEnd"/>
      <w:r w:rsidRPr="000103AA">
        <w:rPr>
          <w:lang w:eastAsia="ja-JP"/>
        </w:rPr>
        <w:t xml:space="preserve"> abnormalities, these were common in both studies as previously indicated above particularly study NCI 1312 for reasons of increa</w:t>
      </w:r>
      <w:r w:rsidR="00FC2A6C">
        <w:rPr>
          <w:lang w:eastAsia="ja-JP"/>
        </w:rPr>
        <w:t xml:space="preserve">sed frequency of </w:t>
      </w:r>
      <w:proofErr w:type="spellStart"/>
      <w:r w:rsidR="00FC2A6C">
        <w:rPr>
          <w:lang w:eastAsia="ja-JP"/>
        </w:rPr>
        <w:t>haematologic</w:t>
      </w:r>
      <w:proofErr w:type="spellEnd"/>
      <w:r w:rsidR="00FC2A6C">
        <w:rPr>
          <w:lang w:eastAsia="ja-JP"/>
        </w:rPr>
        <w:t xml:space="preserve"> </w:t>
      </w:r>
      <w:r w:rsidRPr="000103AA">
        <w:rPr>
          <w:lang w:eastAsia="ja-JP"/>
        </w:rPr>
        <w:t xml:space="preserve">assessment.  Despite the common incidence of these </w:t>
      </w:r>
      <w:proofErr w:type="spellStart"/>
      <w:r w:rsidRPr="000103AA">
        <w:rPr>
          <w:lang w:eastAsia="ja-JP"/>
        </w:rPr>
        <w:t>haematologic</w:t>
      </w:r>
      <w:proofErr w:type="spellEnd"/>
      <w:r w:rsidRPr="000103AA">
        <w:rPr>
          <w:lang w:eastAsia="ja-JP"/>
        </w:rPr>
        <w:t xml:space="preserve"> abnormalities a relatively low incidence of transfusions and growth factors were required in the pivotal study with six patients receiving platelet transfusion support, eight receiving red blood cell transfusion and four GCSF support.  </w:t>
      </w:r>
    </w:p>
    <w:p w:rsidR="000103AA" w:rsidRPr="000103AA" w:rsidRDefault="000103AA" w:rsidP="002B3932">
      <w:pPr>
        <w:rPr>
          <w:lang w:eastAsia="ja-JP"/>
        </w:rPr>
      </w:pPr>
      <w:r w:rsidRPr="000103AA">
        <w:rPr>
          <w:lang w:eastAsia="ja-JP"/>
        </w:rPr>
        <w:t xml:space="preserve">The estimated probability of onset of </w:t>
      </w:r>
      <w:proofErr w:type="spellStart"/>
      <w:r w:rsidRPr="000103AA">
        <w:rPr>
          <w:lang w:eastAsia="ja-JP"/>
        </w:rPr>
        <w:t>haematologic</w:t>
      </w:r>
      <w:proofErr w:type="spellEnd"/>
      <w:r w:rsidRPr="000103AA">
        <w:rPr>
          <w:lang w:eastAsia="ja-JP"/>
        </w:rPr>
        <w:t xml:space="preserve"> abnormalities of any intensity as a function of time on treatment </w:t>
      </w:r>
      <w:r w:rsidR="00C4143D">
        <w:rPr>
          <w:lang w:eastAsia="ja-JP"/>
        </w:rPr>
        <w:t>w</w:t>
      </w:r>
      <w:r w:rsidRPr="000103AA">
        <w:rPr>
          <w:lang w:eastAsia="ja-JP"/>
        </w:rPr>
        <w:t xml:space="preserve">as indicated.  </w:t>
      </w:r>
      <w:r w:rsidR="00C4143D">
        <w:rPr>
          <w:lang w:eastAsia="ja-JP"/>
        </w:rPr>
        <w:t>T</w:t>
      </w:r>
      <w:r w:rsidRPr="000103AA">
        <w:rPr>
          <w:lang w:eastAsia="ja-JP"/>
        </w:rPr>
        <w:t xml:space="preserve">here is a sharp rise in the estimated probability that the first onset of </w:t>
      </w:r>
      <w:proofErr w:type="spellStart"/>
      <w:r w:rsidRPr="000103AA">
        <w:rPr>
          <w:lang w:eastAsia="ja-JP"/>
        </w:rPr>
        <w:t>haematologic</w:t>
      </w:r>
      <w:proofErr w:type="spellEnd"/>
      <w:r w:rsidRPr="000103AA">
        <w:rPr>
          <w:lang w:eastAsia="ja-JP"/>
        </w:rPr>
        <w:t xml:space="preserve"> abnormities of any intensity with approximately two cycles of dosing, thereafter there was a low probability of experiencing the first onset of </w:t>
      </w:r>
      <w:proofErr w:type="spellStart"/>
      <w:r w:rsidRPr="000103AA">
        <w:rPr>
          <w:lang w:eastAsia="ja-JP"/>
        </w:rPr>
        <w:t>haematologic</w:t>
      </w:r>
      <w:proofErr w:type="spellEnd"/>
      <w:r w:rsidRPr="000103AA">
        <w:rPr>
          <w:lang w:eastAsia="ja-JP"/>
        </w:rPr>
        <w:t xml:space="preserve"> abnormality.</w:t>
      </w:r>
    </w:p>
    <w:p w:rsidR="000103AA" w:rsidRPr="000103AA" w:rsidRDefault="000103AA" w:rsidP="002B3932">
      <w:pPr>
        <w:rPr>
          <w:lang w:eastAsia="ja-JP"/>
        </w:rPr>
      </w:pPr>
      <w:r w:rsidRPr="000103AA">
        <w:rPr>
          <w:lang w:eastAsia="ja-JP"/>
        </w:rPr>
        <w:t>In relation to thrombocytopenia as previously stated it is noted the higher incidence of this in the NCI study 1312 with grade III and IV intensi</w:t>
      </w:r>
      <w:r w:rsidR="00FF2D48">
        <w:rPr>
          <w:lang w:eastAsia="ja-JP"/>
        </w:rPr>
        <w:t xml:space="preserve">ty in this study being 30% and </w:t>
      </w:r>
      <w:r w:rsidRPr="000103AA">
        <w:rPr>
          <w:lang w:eastAsia="ja-JP"/>
        </w:rPr>
        <w:t xml:space="preserve">6% of patients  </w:t>
      </w:r>
      <w:r w:rsidRPr="000103AA">
        <w:rPr>
          <w:lang w:eastAsia="ja-JP"/>
        </w:rPr>
        <w:lastRenderedPageBreak/>
        <w:t xml:space="preserve">respectively and related to treatment in 30% of patients.  Thrombocytopenia led to discontinuation of the study drug in this trial for three patients.  The incidence was notably higher in patients who received more than one prior line of systemic therapy being 55% </w:t>
      </w:r>
      <w:proofErr w:type="spellStart"/>
      <w:r w:rsidRPr="000103AA">
        <w:rPr>
          <w:lang w:eastAsia="ja-JP"/>
        </w:rPr>
        <w:t>vs</w:t>
      </w:r>
      <w:proofErr w:type="spellEnd"/>
      <w:r w:rsidRPr="000103AA">
        <w:rPr>
          <w:lang w:eastAsia="ja-JP"/>
        </w:rPr>
        <w:t xml:space="preserve"> 28% for those only receiving one prior line of systemic therapy and in patients who received prior bone marrow transplantation compared to those who did not being 71% </w:t>
      </w:r>
      <w:proofErr w:type="spellStart"/>
      <w:r w:rsidRPr="000103AA">
        <w:rPr>
          <w:lang w:eastAsia="ja-JP"/>
        </w:rPr>
        <w:t>vs</w:t>
      </w:r>
      <w:proofErr w:type="spellEnd"/>
      <w:r w:rsidRPr="000103AA">
        <w:rPr>
          <w:lang w:eastAsia="ja-JP"/>
        </w:rPr>
        <w:t xml:space="preserve"> 41%.  </w:t>
      </w:r>
    </w:p>
    <w:p w:rsidR="000103AA" w:rsidRPr="000103AA" w:rsidRDefault="000103AA" w:rsidP="002B3932">
      <w:pPr>
        <w:rPr>
          <w:lang w:eastAsia="ja-JP"/>
        </w:rPr>
      </w:pPr>
      <w:r w:rsidRPr="000103AA">
        <w:rPr>
          <w:lang w:eastAsia="ja-JP"/>
        </w:rPr>
        <w:t xml:space="preserve">It is noted that there were 23 bleeding events in the studies but only four were considered at least possibly related to treatment and at the time patients were thrombocytopenic. </w:t>
      </w:r>
    </w:p>
    <w:p w:rsidR="000103AA" w:rsidRPr="000103AA" w:rsidRDefault="000103AA" w:rsidP="002B3932">
      <w:pPr>
        <w:rPr>
          <w:lang w:eastAsia="ja-JP"/>
        </w:rPr>
      </w:pPr>
      <w:r w:rsidRPr="000103AA">
        <w:rPr>
          <w:lang w:eastAsia="ja-JP"/>
        </w:rPr>
        <w:t xml:space="preserve">In relation to neutropenia, as previously indicated the incidence in the pivotal study was 30% and study drug related in all but one patient.  The incidence of grade III and IV neutropenia was 14% and 6% respectively.  Neutropenia led to a dose being held or reduced in 11% of patients although none led to discontinuation of study drug.  In study NCI 1312 the incidence of neutropenia was higher at 66% and considered study drug related in 64% of patients.  Neutropenia was grade III and IV in 26% and 21% of patients respectively.  No patient discontinued because of neutropenia.  Other aspects of neutropenia in these two studies have been previously discussed.  </w:t>
      </w:r>
    </w:p>
    <w:p w:rsidR="000103AA" w:rsidRPr="000103AA" w:rsidRDefault="000103AA" w:rsidP="002B3932">
      <w:pPr>
        <w:rPr>
          <w:lang w:eastAsia="ja-JP"/>
        </w:rPr>
      </w:pPr>
      <w:r w:rsidRPr="000103AA">
        <w:rPr>
          <w:lang w:eastAsia="ja-JP"/>
        </w:rPr>
        <w:t>In relation to febrile neutropenia, which was reported as an adverse event for five or 4% of patients in the pivotal study and considered drug related, at least grade III in intensity and serious for four patients each.  One patient discontinued treatment because of febrile neutropenia.  The incidence of febrile neutropenia was slightly higher in the NCI study 1312 with an incidence of 6% or three patients.  The event was considered study drug related, at least grade III in intensity for all three patients and serious in two.  No patient discontinued study drug because of febrile neutropenia.</w:t>
      </w:r>
    </w:p>
    <w:p w:rsidR="000103AA" w:rsidRPr="000103AA" w:rsidRDefault="000103AA" w:rsidP="002B3932">
      <w:pPr>
        <w:rPr>
          <w:lang w:eastAsia="ja-JP"/>
        </w:rPr>
      </w:pPr>
      <w:r w:rsidRPr="000103AA">
        <w:rPr>
          <w:lang w:eastAsia="ja-JP"/>
        </w:rPr>
        <w:t xml:space="preserve">Aspects of anaemia, </w:t>
      </w:r>
      <w:proofErr w:type="spellStart"/>
      <w:r w:rsidRPr="000103AA">
        <w:rPr>
          <w:lang w:eastAsia="ja-JP"/>
        </w:rPr>
        <w:t>leukopenia</w:t>
      </w:r>
      <w:proofErr w:type="spellEnd"/>
      <w:r w:rsidRPr="000103AA">
        <w:rPr>
          <w:lang w:eastAsia="ja-JP"/>
        </w:rPr>
        <w:t xml:space="preserve"> and </w:t>
      </w:r>
      <w:proofErr w:type="spellStart"/>
      <w:r w:rsidRPr="000103AA">
        <w:rPr>
          <w:lang w:eastAsia="ja-JP"/>
        </w:rPr>
        <w:t>lymphopenia</w:t>
      </w:r>
      <w:proofErr w:type="spellEnd"/>
      <w:r w:rsidRPr="000103AA">
        <w:rPr>
          <w:lang w:eastAsia="ja-JP"/>
        </w:rPr>
        <w:t xml:space="preserve"> have been previously outlined above.  </w:t>
      </w:r>
    </w:p>
    <w:p w:rsidR="000103AA" w:rsidRPr="000103AA" w:rsidRDefault="000103AA" w:rsidP="002B3932">
      <w:pPr>
        <w:rPr>
          <w:lang w:eastAsia="ja-JP"/>
        </w:rPr>
      </w:pPr>
      <w:r w:rsidRPr="000103AA">
        <w:rPr>
          <w:lang w:eastAsia="ja-JP"/>
        </w:rPr>
        <w:t xml:space="preserve">In relation to clinical chemistry abnormalities among all patients in the two studies the incidence of chemistry abnormalities was 43% and the most common events are </w:t>
      </w:r>
      <w:r w:rsidR="002A6FAF">
        <w:rPr>
          <w:lang w:eastAsia="ja-JP"/>
        </w:rPr>
        <w:t>noted</w:t>
      </w:r>
      <w:r w:rsidRPr="000103AA">
        <w:rPr>
          <w:lang w:eastAsia="ja-JP"/>
        </w:rPr>
        <w:t xml:space="preserve">.  </w:t>
      </w:r>
    </w:p>
    <w:p w:rsidR="000103AA" w:rsidRPr="000103AA" w:rsidRDefault="000103AA" w:rsidP="002B3932">
      <w:pPr>
        <w:rPr>
          <w:lang w:eastAsia="ja-JP"/>
        </w:rPr>
      </w:pPr>
      <w:r w:rsidRPr="000103AA">
        <w:rPr>
          <w:lang w:eastAsia="ja-JP"/>
        </w:rPr>
        <w:t xml:space="preserve">In relation to liver function test abnormalities in the pivotal study the incidence of increased AST was 4% and related to treatment in 3% of patients. It was grade III and related to treatment in one patient and one case was serious.  There were no patients requiring treatment discontinuation because of elevation of AST.  The incidence of increased AST was higher in the NCI study 1312 at 38% with most such events considered to be drug related.  Grade III and IV increased AST was reported for 9% and 2% of patients respectively with most being study drug related.  One patient discontinued study drug as a result of increased AST.  </w:t>
      </w:r>
    </w:p>
    <w:p w:rsidR="000103AA" w:rsidRPr="000103AA" w:rsidRDefault="000103AA" w:rsidP="002B3932">
      <w:pPr>
        <w:rPr>
          <w:lang w:eastAsia="ja-JP"/>
        </w:rPr>
      </w:pPr>
      <w:r w:rsidRPr="000103AA">
        <w:rPr>
          <w:lang w:eastAsia="ja-JP"/>
        </w:rPr>
        <w:t xml:space="preserve">In relation to increased ALT which is also low at 4% in the pivotal study and study drug related in 3%.  There were no cases of grade III and no study drug discontinuation.  The incidence in the NCI study 1312 of increased ALT was 36% with most events being considered drug related and grade III or IV in 13% and 2% of patients with all such events considered study drug related.  Eleven per cent of patients adverse events were reported as serious and in 4% the event led to study drug discontinuation.  </w:t>
      </w:r>
    </w:p>
    <w:p w:rsidR="000103AA" w:rsidRPr="000103AA" w:rsidRDefault="000103AA" w:rsidP="002B3932">
      <w:pPr>
        <w:rPr>
          <w:lang w:eastAsia="ja-JP"/>
        </w:rPr>
      </w:pPr>
      <w:r w:rsidRPr="000103AA">
        <w:rPr>
          <w:lang w:eastAsia="ja-JP"/>
        </w:rPr>
        <w:t xml:space="preserve">In regards to serious liver function test abnormalities overall nine patients or 5% in the two studies had at least one LFT abnormality reported as serious or at least grade III in intensity.  Among these nine patients the serious LFT resolved and treatment was continued thereafter for seven patients.  One patient had study drug permanently discontinued and the remaining patient experiencing onset of serous LFT abnormalities because of progressive disease.  </w:t>
      </w:r>
    </w:p>
    <w:p w:rsidR="000103AA" w:rsidRPr="000103AA" w:rsidRDefault="000103AA" w:rsidP="002B3932">
      <w:pPr>
        <w:rPr>
          <w:lang w:eastAsia="ja-JP"/>
        </w:rPr>
      </w:pPr>
      <w:r w:rsidRPr="000103AA">
        <w:rPr>
          <w:lang w:eastAsia="ja-JP"/>
        </w:rPr>
        <w:t xml:space="preserve">In relation to asthenia which has been discussed above, as previously indicated 60% of patients in the two studies experienced an </w:t>
      </w:r>
      <w:proofErr w:type="spellStart"/>
      <w:r w:rsidRPr="000103AA">
        <w:rPr>
          <w:lang w:eastAsia="ja-JP"/>
        </w:rPr>
        <w:t>asthenic</w:t>
      </w:r>
      <w:proofErr w:type="spellEnd"/>
      <w:r w:rsidRPr="000103AA">
        <w:rPr>
          <w:lang w:eastAsia="ja-JP"/>
        </w:rPr>
        <w:t xml:space="preserve"> condition.</w:t>
      </w:r>
    </w:p>
    <w:p w:rsidR="000103AA" w:rsidRPr="000103AA" w:rsidRDefault="000103AA" w:rsidP="002B3932">
      <w:pPr>
        <w:rPr>
          <w:lang w:eastAsia="ja-JP"/>
        </w:rPr>
      </w:pPr>
      <w:r w:rsidRPr="000103AA">
        <w:rPr>
          <w:lang w:eastAsia="ja-JP"/>
        </w:rPr>
        <w:t xml:space="preserve">In relation to infections, a summary of the incidence of infections in the two studies overall and by study is </w:t>
      </w:r>
      <w:r w:rsidR="002A6FAF">
        <w:rPr>
          <w:lang w:eastAsia="ja-JP"/>
        </w:rPr>
        <w:t>provided in the dossier, as are t</w:t>
      </w:r>
      <w:r w:rsidRPr="000103AA">
        <w:rPr>
          <w:lang w:eastAsia="ja-JP"/>
        </w:rPr>
        <w:t>reatment emergent infections reported for at least 5% of patients</w:t>
      </w:r>
      <w:r w:rsidR="002A6FAF">
        <w:rPr>
          <w:lang w:eastAsia="ja-JP"/>
        </w:rPr>
        <w:t>, and a</w:t>
      </w:r>
      <w:r w:rsidRPr="000103AA">
        <w:rPr>
          <w:lang w:eastAsia="ja-JP"/>
        </w:rPr>
        <w:t>ll infections reported among all the 178 patients in the two studies.</w:t>
      </w:r>
    </w:p>
    <w:p w:rsidR="000103AA" w:rsidRPr="000103AA" w:rsidRDefault="000103AA" w:rsidP="002B3932">
      <w:pPr>
        <w:rPr>
          <w:lang w:eastAsia="ja-JP"/>
        </w:rPr>
      </w:pPr>
      <w:r w:rsidRPr="000103AA">
        <w:rPr>
          <w:lang w:eastAsia="ja-JP"/>
        </w:rPr>
        <w:lastRenderedPageBreak/>
        <w:t xml:space="preserve">It should be noted that in patients with this diagnosis of infection is a common phenomenon because of overall immune-compromise.  Accordingly infections are common both in relation to the disease and treatment.  It is noted in these two studies, the overall incidence of infection was high but no particular infection occurred at an incidence &gt;10% with the most common being urinary tract infections, upper respiratory tract infections, </w:t>
      </w:r>
      <w:proofErr w:type="spellStart"/>
      <w:r w:rsidRPr="000103AA">
        <w:rPr>
          <w:lang w:eastAsia="ja-JP"/>
        </w:rPr>
        <w:t>cellulitis</w:t>
      </w:r>
      <w:proofErr w:type="spellEnd"/>
      <w:r w:rsidRPr="000103AA">
        <w:rPr>
          <w:lang w:eastAsia="ja-JP"/>
        </w:rPr>
        <w:t xml:space="preserve"> and pneumonia and sepsis.  As noted earlier infections of any intensity were more common in patients who had received prior monoclonal antibody therapy or previous stem cell transplant. Study drug discontinuation due to an infection was infrequent at 3%.  </w:t>
      </w:r>
    </w:p>
    <w:p w:rsidR="000103AA" w:rsidRPr="000103AA" w:rsidRDefault="000103AA" w:rsidP="002B3932">
      <w:pPr>
        <w:rPr>
          <w:lang w:eastAsia="ja-JP"/>
        </w:rPr>
      </w:pPr>
      <w:r w:rsidRPr="000103AA">
        <w:rPr>
          <w:lang w:eastAsia="ja-JP"/>
        </w:rPr>
        <w:t xml:space="preserve">In relation to pneumonia and sepsis 18 patients in the two studies experienced this and they were &gt;grade III intensity in all patients.  Four patients discontinued Romidepsin because of this complication and pneumonia and sepsis led to death in five patients, two of which were assessed by the investigator as study drug related.  </w:t>
      </w:r>
    </w:p>
    <w:p w:rsidR="000103AA" w:rsidRPr="000103AA" w:rsidRDefault="000103AA" w:rsidP="002B3932">
      <w:pPr>
        <w:rPr>
          <w:lang w:eastAsia="ja-JP"/>
        </w:rPr>
      </w:pPr>
      <w:r w:rsidRPr="000103AA">
        <w:rPr>
          <w:lang w:eastAsia="ja-JP"/>
        </w:rPr>
        <w:t xml:space="preserve">It is worth commenting that reactivation of DNA viruses is being reported with Romidepsin and after review of the infection data from the two studies it was noted that two patients in the NCI study 1312 had experienced EBV and Hepatitis B virus reactivation respectively.   </w:t>
      </w:r>
    </w:p>
    <w:p w:rsidR="000103AA" w:rsidRPr="000103AA" w:rsidRDefault="000103AA" w:rsidP="002B3932">
      <w:pPr>
        <w:rPr>
          <w:lang w:eastAsia="ja-JP"/>
        </w:rPr>
      </w:pPr>
      <w:r w:rsidRPr="000103AA">
        <w:rPr>
          <w:lang w:eastAsia="ja-JP"/>
        </w:rPr>
        <w:t xml:space="preserve">In relation to skin and subcutaneous disorders overall 33% of patients in these studies experienced this adverse effect.  </w:t>
      </w:r>
    </w:p>
    <w:p w:rsidR="002A6FAF" w:rsidRDefault="000103AA" w:rsidP="002B3932">
      <w:pPr>
        <w:rPr>
          <w:lang w:eastAsia="ja-JP"/>
        </w:rPr>
      </w:pPr>
      <w:r w:rsidRPr="000103AA">
        <w:rPr>
          <w:lang w:eastAsia="ja-JP"/>
        </w:rPr>
        <w:t>Other</w:t>
      </w:r>
      <w:r w:rsidR="002A6FAF">
        <w:rPr>
          <w:lang w:eastAsia="ja-JP"/>
        </w:rPr>
        <w:t xml:space="preserve"> adverse events such as musculo</w:t>
      </w:r>
      <w:r w:rsidRPr="000103AA">
        <w:rPr>
          <w:lang w:eastAsia="ja-JP"/>
        </w:rPr>
        <w:t xml:space="preserve">skeletal and connective tissue disorders are summarised in </w:t>
      </w:r>
      <w:r w:rsidR="002A6FAF">
        <w:rPr>
          <w:lang w:eastAsia="ja-JP"/>
        </w:rPr>
        <w:t>the dossier</w:t>
      </w:r>
      <w:r w:rsidRPr="000103AA">
        <w:rPr>
          <w:lang w:eastAsia="ja-JP"/>
        </w:rPr>
        <w:t xml:space="preserve">.  </w:t>
      </w:r>
    </w:p>
    <w:p w:rsidR="000103AA" w:rsidRPr="000103AA" w:rsidRDefault="000103AA" w:rsidP="002B3932">
      <w:pPr>
        <w:rPr>
          <w:lang w:eastAsia="ja-JP"/>
        </w:rPr>
      </w:pPr>
      <w:r w:rsidRPr="000103AA">
        <w:rPr>
          <w:lang w:eastAsia="ja-JP"/>
        </w:rPr>
        <w:t>The relation to hyp</w:t>
      </w:r>
      <w:r w:rsidR="00D756C7">
        <w:rPr>
          <w:lang w:eastAsia="ja-JP"/>
        </w:rPr>
        <w:t>o</w:t>
      </w:r>
      <w:r w:rsidRPr="000103AA">
        <w:rPr>
          <w:lang w:eastAsia="ja-JP"/>
        </w:rPr>
        <w:t xml:space="preserve">tension in the pivotal study and the incidence of vascular </w:t>
      </w:r>
      <w:proofErr w:type="spellStart"/>
      <w:r w:rsidRPr="000103AA">
        <w:rPr>
          <w:lang w:eastAsia="ja-JP"/>
        </w:rPr>
        <w:t>hyp</w:t>
      </w:r>
      <w:r w:rsidR="00D756C7">
        <w:rPr>
          <w:lang w:eastAsia="ja-JP"/>
        </w:rPr>
        <w:t>o</w:t>
      </w:r>
      <w:r w:rsidRPr="000103AA">
        <w:rPr>
          <w:lang w:eastAsia="ja-JP"/>
        </w:rPr>
        <w:t>tensive</w:t>
      </w:r>
      <w:proofErr w:type="spellEnd"/>
      <w:r w:rsidRPr="000103AA">
        <w:rPr>
          <w:lang w:eastAsia="ja-JP"/>
        </w:rPr>
        <w:t xml:space="preserve"> disorders was 8% and most cases being grade I or II and two patients experienced grade III hyp</w:t>
      </w:r>
      <w:r w:rsidR="00D756C7">
        <w:rPr>
          <w:lang w:eastAsia="ja-JP"/>
        </w:rPr>
        <w:t>o</w:t>
      </w:r>
      <w:r w:rsidRPr="000103AA">
        <w:rPr>
          <w:lang w:eastAsia="ja-JP"/>
        </w:rPr>
        <w:t>tension, no patient discontinued study drug because of this.  Hyp</w:t>
      </w:r>
      <w:r w:rsidR="00D756C7">
        <w:rPr>
          <w:lang w:eastAsia="ja-JP"/>
        </w:rPr>
        <w:t>o</w:t>
      </w:r>
      <w:r w:rsidRPr="000103AA">
        <w:rPr>
          <w:lang w:eastAsia="ja-JP"/>
        </w:rPr>
        <w:t>tension was considered study drug related for 6/11 patients.  In NCI study 1312 the incidence was 30% and study drug related in 10 patients with hyp</w:t>
      </w:r>
      <w:r w:rsidR="00D756C7">
        <w:rPr>
          <w:lang w:eastAsia="ja-JP"/>
        </w:rPr>
        <w:t>o</w:t>
      </w:r>
      <w:r w:rsidRPr="000103AA">
        <w:rPr>
          <w:lang w:eastAsia="ja-JP"/>
        </w:rPr>
        <w:t>tension grade III and IV and three patients discontinued study drug because of hyp</w:t>
      </w:r>
      <w:r w:rsidR="00D756C7">
        <w:rPr>
          <w:lang w:eastAsia="ja-JP"/>
        </w:rPr>
        <w:t>o</w:t>
      </w:r>
      <w:r w:rsidRPr="000103AA">
        <w:rPr>
          <w:lang w:eastAsia="ja-JP"/>
        </w:rPr>
        <w:t xml:space="preserve">tension.  </w:t>
      </w:r>
    </w:p>
    <w:p w:rsidR="000103AA" w:rsidRPr="000103AA" w:rsidRDefault="000103AA" w:rsidP="002B3932">
      <w:pPr>
        <w:rPr>
          <w:lang w:eastAsia="ja-JP"/>
        </w:rPr>
      </w:pPr>
      <w:r w:rsidRPr="000103AA">
        <w:rPr>
          <w:lang w:eastAsia="ja-JP"/>
        </w:rPr>
        <w:t xml:space="preserve">In relation to ECG changes during the two studies for the pivotal study eight patients had an ECG abnormality reported as a treatment emergent adverse event although they were grade I or II in intensity but assessed as treatment related.  In two patients the ECG abnormalities were grade III.  In six patients the ECG abnormalities were reported as serious adverse events or led to treatment discontinuation.  </w:t>
      </w:r>
    </w:p>
    <w:p w:rsidR="000103AA" w:rsidRPr="003E352D" w:rsidRDefault="000103AA" w:rsidP="002B3932">
      <w:r w:rsidRPr="003E352D">
        <w:t xml:space="preserve">The most common abnormality was ECG QT prolongation reported in four patients although none of these </w:t>
      </w:r>
      <w:r w:rsidR="003E352D" w:rsidRPr="003E352D">
        <w:t>patients</w:t>
      </w:r>
      <w:r w:rsidRPr="003E352D">
        <w:t xml:space="preserve"> had concurrent cardiac adverse events or syncope.  A summary of the incidence of treatment emergent cardiac disorders for patients in the two studies is indicated in </w:t>
      </w:r>
      <w:r w:rsidR="002A6FAF" w:rsidRPr="003E352D">
        <w:t>the dossier</w:t>
      </w:r>
      <w:r w:rsidRPr="003E352D">
        <w:t xml:space="preserve"> and cardiac disorders reported during the study including the grade III and IV incidences of these events is reported.  It is noted that in the pivotal study 15% of patients had at least one cardiac disorder although no particular disorder was reported of at least 10%.  Approximately half of these events were considered study drug related with one patient experiencing grade III cardiac disorder of </w:t>
      </w:r>
      <w:proofErr w:type="spellStart"/>
      <w:r w:rsidRPr="003E352D">
        <w:t>supraventricular</w:t>
      </w:r>
      <w:proofErr w:type="spellEnd"/>
      <w:r w:rsidRPr="003E352D">
        <w:t xml:space="preserve"> tachycardia and another grade IV cardiac disorder of </w:t>
      </w:r>
      <w:proofErr w:type="spellStart"/>
      <w:r w:rsidRPr="003E352D">
        <w:t>cardiogenic</w:t>
      </w:r>
      <w:proofErr w:type="spellEnd"/>
      <w:r w:rsidRPr="003E352D">
        <w:t xml:space="preserve"> shock and sub-</w:t>
      </w:r>
      <w:proofErr w:type="spellStart"/>
      <w:r w:rsidRPr="003E352D">
        <w:t>endocardial</w:t>
      </w:r>
      <w:proofErr w:type="spellEnd"/>
      <w:r w:rsidRPr="003E352D">
        <w:t xml:space="preserve"> </w:t>
      </w:r>
      <w:proofErr w:type="spellStart"/>
      <w:r w:rsidRPr="003E352D">
        <w:t>ischaemia</w:t>
      </w:r>
      <w:proofErr w:type="spellEnd"/>
      <w:r w:rsidRPr="003E352D">
        <w:t xml:space="preserve">.  These events were not considered related to study drug.  Study drug was discontinued because of a cardiac event, </w:t>
      </w:r>
      <w:proofErr w:type="spellStart"/>
      <w:r w:rsidRPr="003E352D">
        <w:t>ie</w:t>
      </w:r>
      <w:proofErr w:type="spellEnd"/>
      <w:r w:rsidRPr="003E352D">
        <w:t xml:space="preserve"> grade II ventricular systoles in one patient and this was considered study drug related.  </w:t>
      </w:r>
    </w:p>
    <w:p w:rsidR="000103AA" w:rsidRPr="003E352D" w:rsidRDefault="000103AA" w:rsidP="002B3932">
      <w:r w:rsidRPr="003E352D">
        <w:t xml:space="preserve">In study NCI 1312 there was an incidence of cardiac events in 15% of patients and at least grade III in intensity for 4% and serious for 9% of patients with one patient discontinuing study drug.  </w:t>
      </w:r>
    </w:p>
    <w:p w:rsidR="000103AA" w:rsidRPr="000103AA" w:rsidRDefault="000103AA" w:rsidP="002B3932">
      <w:pPr>
        <w:rPr>
          <w:lang w:eastAsia="ja-JP"/>
        </w:rPr>
      </w:pPr>
      <w:r w:rsidRPr="000103AA">
        <w:rPr>
          <w:lang w:eastAsia="ja-JP"/>
        </w:rPr>
        <w:t>In relation to venous thromboembolism events a total of 8 or 4% of patients in the studies experienced this including DVT in four patients, pulmonary embolism in three patients and venous embolism in two patients.  This was grade III or IV in intensity for all but one patient and was considered study drug related in four patients and two patients discontinued study drug.</w:t>
      </w:r>
    </w:p>
    <w:p w:rsidR="000103AA" w:rsidRPr="000103AA" w:rsidRDefault="000103AA" w:rsidP="002B3932">
      <w:pPr>
        <w:rPr>
          <w:lang w:eastAsia="ja-JP"/>
        </w:rPr>
      </w:pPr>
      <w:r w:rsidRPr="000103AA">
        <w:rPr>
          <w:lang w:eastAsia="ja-JP"/>
        </w:rPr>
        <w:t xml:space="preserve">This incidence is not unexpected for patients with a serious malignancy in its advanced stages.  </w:t>
      </w:r>
    </w:p>
    <w:p w:rsidR="000103AA" w:rsidRPr="000103AA" w:rsidRDefault="000103AA" w:rsidP="002B3932">
      <w:pPr>
        <w:rPr>
          <w:lang w:eastAsia="ja-JP"/>
        </w:rPr>
      </w:pPr>
      <w:r w:rsidRPr="000103AA">
        <w:rPr>
          <w:lang w:eastAsia="ja-JP"/>
        </w:rPr>
        <w:lastRenderedPageBreak/>
        <w:t xml:space="preserve">A review of adverse events by baseline disease characteristics is summarised in </w:t>
      </w:r>
      <w:r w:rsidR="00663FF0">
        <w:rPr>
          <w:lang w:eastAsia="ja-JP"/>
        </w:rPr>
        <w:t>the dossier</w:t>
      </w:r>
      <w:r w:rsidRPr="000103AA">
        <w:rPr>
          <w:lang w:eastAsia="ja-JP"/>
        </w:rPr>
        <w:t xml:space="preserve">.  In general these findings were in line with the various adverse events and the relationship to baseline characteristics discussed earlier.  </w:t>
      </w:r>
    </w:p>
    <w:p w:rsidR="000103AA" w:rsidRPr="000103AA" w:rsidRDefault="000103AA" w:rsidP="002B3932">
      <w:pPr>
        <w:pStyle w:val="Heading3"/>
      </w:pPr>
      <w:bookmarkStart w:id="34" w:name="_Toc374006747"/>
      <w:r w:rsidRPr="000103AA">
        <w:t>Safety update</w:t>
      </w:r>
      <w:bookmarkEnd w:id="34"/>
      <w:r w:rsidRPr="000103AA">
        <w:t xml:space="preserve"> </w:t>
      </w:r>
    </w:p>
    <w:p w:rsidR="000103AA" w:rsidRDefault="000103AA" w:rsidP="002B3932">
      <w:pPr>
        <w:rPr>
          <w:lang w:eastAsia="ja-JP"/>
        </w:rPr>
      </w:pPr>
      <w:r w:rsidRPr="000103AA">
        <w:rPr>
          <w:lang w:eastAsia="ja-JP"/>
        </w:rPr>
        <w:t>A four month safety update which included data through the 31</w:t>
      </w:r>
      <w:r w:rsidRPr="000103AA">
        <w:rPr>
          <w:vertAlign w:val="superscript"/>
          <w:lang w:eastAsia="ja-JP"/>
        </w:rPr>
        <w:t>st</w:t>
      </w:r>
      <w:r w:rsidRPr="000103AA">
        <w:rPr>
          <w:lang w:eastAsia="ja-JP"/>
        </w:rPr>
        <w:t xml:space="preserve"> October 2010 for all the 178 patients in the two studies, a total of 23 patients including 18 in the pivotal study and five in the NCI study 1312 remain on treatment and 15 of these are still on treatment as of the 31</w:t>
      </w:r>
      <w:r w:rsidRPr="000103AA">
        <w:rPr>
          <w:vertAlign w:val="superscript"/>
          <w:lang w:eastAsia="ja-JP"/>
        </w:rPr>
        <w:t>st</w:t>
      </w:r>
      <w:r w:rsidRPr="000103AA">
        <w:rPr>
          <w:lang w:eastAsia="ja-JP"/>
        </w:rPr>
        <w:t xml:space="preserve"> October 2010.  Across all analyses there have been no clinically meaningful changes in the incidence or types of adverse events, serious adverse events of grade III or IV events between the data discussed above and that included in the update.  Table </w:t>
      </w:r>
      <w:r w:rsidR="00080D8C">
        <w:rPr>
          <w:lang w:eastAsia="ja-JP"/>
        </w:rPr>
        <w:t>3</w:t>
      </w:r>
      <w:r w:rsidR="00543517">
        <w:rPr>
          <w:lang w:eastAsia="ja-JP"/>
        </w:rPr>
        <w:t>2</w:t>
      </w:r>
      <w:r w:rsidR="00080D8C">
        <w:rPr>
          <w:lang w:eastAsia="ja-JP"/>
        </w:rPr>
        <w:t xml:space="preserve"> </w:t>
      </w:r>
      <w:r w:rsidRPr="000103AA">
        <w:rPr>
          <w:lang w:eastAsia="ja-JP"/>
        </w:rPr>
        <w:t xml:space="preserve">summarises adverse events discussed in detail above compared to the four month update data.  </w:t>
      </w:r>
    </w:p>
    <w:p w:rsidR="00663FF0" w:rsidRPr="000103AA" w:rsidRDefault="00080D8C" w:rsidP="002B3932">
      <w:pPr>
        <w:pStyle w:val="TableTitle"/>
        <w:rPr>
          <w:lang w:eastAsia="ja-JP"/>
        </w:rPr>
      </w:pPr>
      <w:r>
        <w:rPr>
          <w:lang w:eastAsia="ja-JP"/>
        </w:rPr>
        <w:t>Table 3</w:t>
      </w:r>
      <w:r w:rsidR="00543517">
        <w:rPr>
          <w:lang w:eastAsia="ja-JP"/>
        </w:rPr>
        <w:t>2</w:t>
      </w:r>
      <w:r w:rsidR="00663FF0">
        <w:rPr>
          <w:lang w:eastAsia="ja-JP"/>
        </w:rPr>
        <w:t>. Adverse Reactions occurring in &gt;20% of Patients with PTCL in Study GPI-06-0002 (N=131)</w:t>
      </w:r>
    </w:p>
    <w:p w:rsidR="000103AA" w:rsidRPr="000103AA" w:rsidRDefault="00663FF0" w:rsidP="002B3932">
      <w:pPr>
        <w:rPr>
          <w:lang w:eastAsia="ja-JP"/>
        </w:rPr>
      </w:pPr>
      <w:r>
        <w:rPr>
          <w:noProof/>
          <w:lang w:eastAsia="en-AU"/>
        </w:rPr>
        <w:drawing>
          <wp:inline distT="0" distB="0" distL="0" distR="0">
            <wp:extent cx="5695950" cy="2773680"/>
            <wp:effectExtent l="19050" t="0" r="0" b="0"/>
            <wp:docPr id="37" name="Picture 25" descr="Table 32. Adverse Reactions occurring in &gt;20% of Patients with PTCL in Study GPI-06-0002 (N=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l="554" t="9460"/>
                    <a:stretch>
                      <a:fillRect/>
                    </a:stretch>
                  </pic:blipFill>
                  <pic:spPr bwMode="auto">
                    <a:xfrm>
                      <a:off x="0" y="0"/>
                      <a:ext cx="5695950" cy="2773680"/>
                    </a:xfrm>
                    <a:prstGeom prst="rect">
                      <a:avLst/>
                    </a:prstGeom>
                    <a:noFill/>
                    <a:ln w="9525">
                      <a:noFill/>
                      <a:miter lim="800000"/>
                      <a:headEnd/>
                      <a:tailEnd/>
                    </a:ln>
                  </pic:spPr>
                </pic:pic>
              </a:graphicData>
            </a:graphic>
          </wp:inline>
        </w:drawing>
      </w:r>
    </w:p>
    <w:p w:rsidR="000103AA" w:rsidRPr="000103AA" w:rsidRDefault="000103AA" w:rsidP="00CB017B">
      <w:pPr>
        <w:pStyle w:val="Heading3"/>
      </w:pPr>
      <w:bookmarkStart w:id="35" w:name="_Toc374006748"/>
      <w:r w:rsidRPr="000103AA">
        <w:t>Post-marketing data:</w:t>
      </w:r>
      <w:bookmarkEnd w:id="35"/>
    </w:p>
    <w:p w:rsidR="000103AA" w:rsidRPr="000103AA" w:rsidRDefault="000103AA" w:rsidP="00CB017B">
      <w:pPr>
        <w:rPr>
          <w:lang w:eastAsia="ja-JP"/>
        </w:rPr>
      </w:pPr>
      <w:r w:rsidRPr="000103AA">
        <w:rPr>
          <w:lang w:eastAsia="ja-JP"/>
        </w:rPr>
        <w:t>Romidepsin was approved in the United States on the 5</w:t>
      </w:r>
      <w:r w:rsidRPr="000103AA">
        <w:rPr>
          <w:vertAlign w:val="superscript"/>
          <w:lang w:eastAsia="ja-JP"/>
        </w:rPr>
        <w:t>th</w:t>
      </w:r>
      <w:r w:rsidRPr="000103AA">
        <w:rPr>
          <w:lang w:eastAsia="ja-JP"/>
        </w:rPr>
        <w:t xml:space="preserve"> November 2009 for the treatment of patients with CTCL who had received at least one prior systemic therapy.  Romidepsin is not currently marketed outside the U.S.  Post-marketing data for Romidepsin are based on four periodic adverse experience reports submitted to the FDA through 30</w:t>
      </w:r>
      <w:r w:rsidRPr="000103AA">
        <w:rPr>
          <w:vertAlign w:val="superscript"/>
          <w:lang w:eastAsia="ja-JP"/>
        </w:rPr>
        <w:t>th</w:t>
      </w:r>
      <w:r w:rsidRPr="000103AA">
        <w:rPr>
          <w:lang w:eastAsia="ja-JP"/>
        </w:rPr>
        <w:t xml:space="preserve"> October 2010.  A total of 652</w:t>
      </w:r>
      <w:r w:rsidR="00E85A9A">
        <w:rPr>
          <w:lang w:eastAsia="ja-JP"/>
        </w:rPr>
        <w:t>-</w:t>
      </w:r>
      <w:r w:rsidRPr="000103AA">
        <w:rPr>
          <w:lang w:eastAsia="ja-JP"/>
        </w:rPr>
        <w:t>978 treatment cycles have been given in 6-8 vials per cycle.  Events reported in the post-marketing experience are</w:t>
      </w:r>
      <w:r w:rsidR="00663FF0">
        <w:rPr>
          <w:lang w:eastAsia="ja-JP"/>
        </w:rPr>
        <w:t xml:space="preserve"> provided</w:t>
      </w:r>
      <w:r w:rsidRPr="000103AA">
        <w:rPr>
          <w:lang w:eastAsia="ja-JP"/>
        </w:rPr>
        <w:t xml:space="preserve">.  The most common adverse events reported were fatigue in four patients, sudden death in four patients and disease progression, asthenia, EBV virus infection which has been discussed earlier, ECG T-wave inversion, laboratory test abnormalities, decreased platelet counts, decreased appetite and </w:t>
      </w:r>
      <w:proofErr w:type="spellStart"/>
      <w:r w:rsidRPr="000103AA">
        <w:rPr>
          <w:lang w:eastAsia="ja-JP"/>
        </w:rPr>
        <w:t>dysgeusia</w:t>
      </w:r>
      <w:proofErr w:type="spellEnd"/>
      <w:r w:rsidRPr="000103AA">
        <w:rPr>
          <w:lang w:eastAsia="ja-JP"/>
        </w:rPr>
        <w:t xml:space="preserve"> all in two patients each.</w:t>
      </w:r>
    </w:p>
    <w:p w:rsidR="000103AA" w:rsidRPr="00CB017B" w:rsidRDefault="000103AA" w:rsidP="00CB017B">
      <w:pPr>
        <w:rPr>
          <w:b/>
        </w:rPr>
      </w:pPr>
      <w:r w:rsidRPr="00CB017B">
        <w:rPr>
          <w:b/>
        </w:rPr>
        <w:t>COMMENT:</w:t>
      </w:r>
    </w:p>
    <w:p w:rsidR="00C22678" w:rsidRPr="00651D3D" w:rsidRDefault="000103AA" w:rsidP="00CB017B">
      <w:r w:rsidRPr="00651D3D">
        <w:t xml:space="preserve">The safety data from these two studies has generally outlined adverse effects that are consistent with those observed in pre-clinical and previous clinical studies.  It is to be noted that the toxicities encountered are generally well-recognised in conjunction with various cancer chemotherapies, including GI disturbances, </w:t>
      </w:r>
      <w:proofErr w:type="spellStart"/>
      <w:r w:rsidRPr="00651D3D">
        <w:t>haematologic</w:t>
      </w:r>
      <w:proofErr w:type="spellEnd"/>
      <w:r w:rsidRPr="00651D3D">
        <w:t xml:space="preserve"> toxicities, </w:t>
      </w:r>
      <w:proofErr w:type="spellStart"/>
      <w:r w:rsidRPr="00651D3D">
        <w:t>asthenic</w:t>
      </w:r>
      <w:proofErr w:type="spellEnd"/>
      <w:r w:rsidRPr="00651D3D">
        <w:t xml:space="preserve"> conditions and infections.  Generally well managed in most circumstances and there is no data from these two studies to suggest that there would be greater difficulties for oncologists with this agent.</w:t>
      </w:r>
    </w:p>
    <w:p w:rsidR="00C22678" w:rsidRDefault="00C22678" w:rsidP="00CB017B">
      <w:pPr>
        <w:pStyle w:val="Heading2"/>
      </w:pPr>
      <w:bookmarkStart w:id="36" w:name="_Toc374006749"/>
      <w:r>
        <w:lastRenderedPageBreak/>
        <w:t>First round benefit-risk assessment</w:t>
      </w:r>
      <w:bookmarkEnd w:id="36"/>
    </w:p>
    <w:p w:rsidR="000103AA" w:rsidRPr="000103AA" w:rsidRDefault="000103AA" w:rsidP="00CB017B">
      <w:pPr>
        <w:pStyle w:val="Heading3"/>
      </w:pPr>
      <w:bookmarkStart w:id="37" w:name="_Toc374006750"/>
      <w:r w:rsidRPr="000103AA">
        <w:t>First round assessment of benefits</w:t>
      </w:r>
      <w:bookmarkEnd w:id="37"/>
    </w:p>
    <w:p w:rsidR="00B57E1D" w:rsidRDefault="000103AA" w:rsidP="00CB017B">
      <w:pPr>
        <w:rPr>
          <w:lang w:eastAsia="ja-JP"/>
        </w:rPr>
      </w:pPr>
      <w:r w:rsidRPr="000103AA">
        <w:rPr>
          <w:lang w:eastAsia="ja-JP"/>
        </w:rPr>
        <w:t>The pivotal study GPI-06-0002</w:t>
      </w:r>
      <w:r w:rsidR="00B57E1D">
        <w:rPr>
          <w:lang w:eastAsia="ja-JP"/>
        </w:rPr>
        <w:t>,</w:t>
      </w:r>
      <w:r w:rsidRPr="000103AA">
        <w:rPr>
          <w:lang w:eastAsia="ja-JP"/>
        </w:rPr>
        <w:t xml:space="preserve"> the phase II trial evaluating </w:t>
      </w:r>
      <w:r w:rsidR="00B57E1D">
        <w:rPr>
          <w:lang w:eastAsia="ja-JP"/>
        </w:rPr>
        <w:t>r</w:t>
      </w:r>
      <w:r w:rsidRPr="000103AA">
        <w:rPr>
          <w:lang w:eastAsia="ja-JP"/>
        </w:rPr>
        <w:t>omidepsin in patients with previously treated PTCL</w:t>
      </w:r>
      <w:r w:rsidR="00B57E1D">
        <w:rPr>
          <w:lang w:eastAsia="ja-JP"/>
        </w:rPr>
        <w:t>,</w:t>
      </w:r>
      <w:r w:rsidRPr="000103AA">
        <w:rPr>
          <w:lang w:eastAsia="ja-JP"/>
        </w:rPr>
        <w:t xml:space="preserve"> has demonstrated in 130 </w:t>
      </w:r>
      <w:proofErr w:type="spellStart"/>
      <w:r w:rsidRPr="000103AA">
        <w:rPr>
          <w:lang w:eastAsia="ja-JP"/>
        </w:rPr>
        <w:t>histologically</w:t>
      </w:r>
      <w:proofErr w:type="spellEnd"/>
      <w:r w:rsidRPr="000103AA">
        <w:rPr>
          <w:lang w:eastAsia="ja-JP"/>
        </w:rPr>
        <w:t xml:space="preserve"> confirmed patients a complete response rate of 13.1% and an overall objective response rate of 26.2%.</w:t>
      </w:r>
      <w:r w:rsidR="00D66264">
        <w:rPr>
          <w:rStyle w:val="FootnoteReference"/>
          <w:lang w:eastAsia="ja-JP"/>
        </w:rPr>
        <w:footnoteReference w:id="1"/>
      </w:r>
      <w:r w:rsidRPr="000103AA">
        <w:rPr>
          <w:lang w:eastAsia="ja-JP"/>
        </w:rPr>
        <w:t xml:space="preserve"> In this heavily pre-treated patient population including a significant proportion of patients who had received prior </w:t>
      </w:r>
      <w:proofErr w:type="spellStart"/>
      <w:r w:rsidRPr="000103AA">
        <w:rPr>
          <w:lang w:eastAsia="ja-JP"/>
        </w:rPr>
        <w:t>auto</w:t>
      </w:r>
      <w:r w:rsidR="00B57E1D">
        <w:rPr>
          <w:lang w:eastAsia="ja-JP"/>
        </w:rPr>
        <w:t>lo</w:t>
      </w:r>
      <w:r w:rsidRPr="000103AA">
        <w:rPr>
          <w:lang w:eastAsia="ja-JP"/>
        </w:rPr>
        <w:t>gous</w:t>
      </w:r>
      <w:proofErr w:type="spellEnd"/>
      <w:r w:rsidRPr="000103AA">
        <w:rPr>
          <w:lang w:eastAsia="ja-JP"/>
        </w:rPr>
        <w:t xml:space="preserve"> stem cell infusions this is quite an impressive response.  Certainly the responses appear to be durable with an overall median duration of respon</w:t>
      </w:r>
      <w:r w:rsidR="00B57E1D">
        <w:rPr>
          <w:lang w:eastAsia="ja-JP"/>
        </w:rPr>
        <w:t>se</w:t>
      </w:r>
      <w:r w:rsidRPr="000103AA">
        <w:rPr>
          <w:lang w:eastAsia="ja-JP"/>
        </w:rPr>
        <w:t xml:space="preserve"> of 12 months and median duration of complete response not yet reached</w:t>
      </w:r>
      <w:r w:rsidR="00D66264">
        <w:rPr>
          <w:lang w:eastAsia="ja-JP"/>
        </w:rPr>
        <w:t>,</w:t>
      </w:r>
      <w:r w:rsidRPr="000103AA">
        <w:rPr>
          <w:lang w:eastAsia="ja-JP"/>
        </w:rPr>
        <w:t xml:space="preserve"> but </w:t>
      </w:r>
      <w:r w:rsidR="00D66264">
        <w:rPr>
          <w:lang w:eastAsia="ja-JP"/>
        </w:rPr>
        <w:t xml:space="preserve">[there are] </w:t>
      </w:r>
      <w:r w:rsidRPr="000103AA">
        <w:rPr>
          <w:lang w:eastAsia="ja-JP"/>
        </w:rPr>
        <w:t>patients with response in excess of 26 months.</w:t>
      </w:r>
      <w:r w:rsidR="00B57E1D">
        <w:rPr>
          <w:rStyle w:val="FootnoteReference"/>
          <w:lang w:eastAsia="ja-JP"/>
        </w:rPr>
        <w:footnoteReference w:id="2"/>
      </w:r>
    </w:p>
    <w:p w:rsidR="000103AA" w:rsidRPr="00BA3AC7" w:rsidRDefault="000103AA" w:rsidP="00CB017B">
      <w:r w:rsidRPr="000103AA">
        <w:rPr>
          <w:lang w:eastAsia="ja-JP"/>
        </w:rPr>
        <w:t>Various sub-group analyses have</w:t>
      </w:r>
      <w:r w:rsidR="00D66264">
        <w:rPr>
          <w:lang w:eastAsia="ja-JP"/>
        </w:rPr>
        <w:t xml:space="preserve"> confirmed this response data. </w:t>
      </w:r>
      <w:r w:rsidRPr="000103AA">
        <w:rPr>
          <w:lang w:eastAsia="ja-JP"/>
        </w:rPr>
        <w:t>With respect to the issue of this being a phase II study, it is noted that in general terms undertaking a phase III trial would be more appropriate</w:t>
      </w:r>
      <w:r w:rsidR="00D66264">
        <w:rPr>
          <w:lang w:eastAsia="ja-JP"/>
        </w:rPr>
        <w:t>,</w:t>
      </w:r>
      <w:r w:rsidRPr="000103AA">
        <w:rPr>
          <w:lang w:eastAsia="ja-JP"/>
        </w:rPr>
        <w:t xml:space="preserve"> but recognising the relatively uncommon nature of PTCL and most particularly its considerable variability in histological sub-types as well as responsiveness to therapy</w:t>
      </w:r>
      <w:r w:rsidR="00D66264">
        <w:rPr>
          <w:lang w:eastAsia="ja-JP"/>
        </w:rPr>
        <w:t>,</w:t>
      </w:r>
      <w:r w:rsidRPr="000103AA">
        <w:rPr>
          <w:lang w:eastAsia="ja-JP"/>
        </w:rPr>
        <w:t xml:space="preserve"> such a phase III trial would have difficulties in being undertaken.  With regards to decisions regarding complete response as the primary efficacy endpoint it is generally </w:t>
      </w:r>
      <w:r w:rsidRPr="00BA3AC7">
        <w:t xml:space="preserve">recognised that in phase II trials complete response is a good indicator of likely benefit for therapy translating to improved progression free survival and overall survival.  </w:t>
      </w:r>
    </w:p>
    <w:p w:rsidR="000103AA" w:rsidRPr="000103AA" w:rsidRDefault="000103AA" w:rsidP="00CB017B">
      <w:pPr>
        <w:rPr>
          <w:lang w:eastAsia="ja-JP"/>
        </w:rPr>
      </w:pPr>
      <w:r w:rsidRPr="000103AA">
        <w:rPr>
          <w:lang w:eastAsia="ja-JP"/>
        </w:rPr>
        <w:t xml:space="preserve">The supportive study NCI 1312 in a patient population of 45 patients with </w:t>
      </w:r>
      <w:proofErr w:type="spellStart"/>
      <w:r w:rsidRPr="000103AA">
        <w:rPr>
          <w:lang w:eastAsia="ja-JP"/>
        </w:rPr>
        <w:t>histologically</w:t>
      </w:r>
      <w:proofErr w:type="spellEnd"/>
      <w:r w:rsidRPr="000103AA">
        <w:rPr>
          <w:lang w:eastAsia="ja-JP"/>
        </w:rPr>
        <w:t xml:space="preserve"> confirmed PTCL demonstrated a complete response rate of 17.8% and an objective disease response rate of 37.8%.  There was a median overall response duration of nine months and 17 months for complete responders.  Again this data tends to support and confirm that from the pivotal trial.  </w:t>
      </w:r>
    </w:p>
    <w:p w:rsidR="000103AA" w:rsidRPr="000103AA" w:rsidRDefault="000103AA" w:rsidP="00CB017B">
      <w:pPr>
        <w:rPr>
          <w:lang w:eastAsia="ja-JP"/>
        </w:rPr>
      </w:pPr>
      <w:r w:rsidRPr="000103AA">
        <w:rPr>
          <w:lang w:eastAsia="ja-JP"/>
        </w:rPr>
        <w:t xml:space="preserve">Accordingly this reviewer considers that </w:t>
      </w:r>
      <w:r w:rsidR="00D66264">
        <w:rPr>
          <w:lang w:eastAsia="ja-JP"/>
        </w:rPr>
        <w:t>there is every indica</w:t>
      </w:r>
      <w:r w:rsidR="00D66264" w:rsidRPr="00CB017B">
        <w:t>t</w:t>
      </w:r>
      <w:r w:rsidR="00D66264">
        <w:rPr>
          <w:lang w:eastAsia="ja-JP"/>
        </w:rPr>
        <w:t xml:space="preserve">ion that </w:t>
      </w:r>
      <w:proofErr w:type="spellStart"/>
      <w:r w:rsidR="00D66264">
        <w:rPr>
          <w:lang w:eastAsia="ja-JP"/>
        </w:rPr>
        <w:t>r</w:t>
      </w:r>
      <w:r w:rsidRPr="000103AA">
        <w:rPr>
          <w:lang w:eastAsia="ja-JP"/>
        </w:rPr>
        <w:t>omidepsin</w:t>
      </w:r>
      <w:proofErr w:type="spellEnd"/>
      <w:r w:rsidRPr="000103AA">
        <w:rPr>
          <w:lang w:eastAsia="ja-JP"/>
        </w:rPr>
        <w:t xml:space="preserve"> has worthwhile clinical activity in patients with previously treated PTCL that may well translate to further benefit as potential first-line therapy and in combination with other approaches.  Further studies will determine this.  </w:t>
      </w:r>
    </w:p>
    <w:p w:rsidR="000103AA" w:rsidRPr="000103AA" w:rsidRDefault="000103AA" w:rsidP="00CB017B">
      <w:pPr>
        <w:pStyle w:val="Heading3"/>
      </w:pPr>
      <w:bookmarkStart w:id="38" w:name="_Toc374006751"/>
      <w:r w:rsidRPr="000103AA">
        <w:t>First round assessment of risks</w:t>
      </w:r>
      <w:bookmarkEnd w:id="38"/>
      <w:r w:rsidRPr="000103AA">
        <w:t xml:space="preserve"> </w:t>
      </w:r>
    </w:p>
    <w:p w:rsidR="000103AA" w:rsidRPr="000103AA" w:rsidRDefault="000103AA" w:rsidP="00CB017B">
      <w:pPr>
        <w:rPr>
          <w:lang w:eastAsia="ja-JP"/>
        </w:rPr>
      </w:pPr>
      <w:r w:rsidRPr="000103AA">
        <w:rPr>
          <w:lang w:eastAsia="ja-JP"/>
        </w:rPr>
        <w:t xml:space="preserve">The safety profile observed in the two studies of patients with PTCL evaluated in this submission was consistent with anticipated events in a patient population with advanced previously treated PTCL who have received prior chemotherapy and consistent with the effects observed in pre-clinical and previous clinical studies of Romidepsin.  The most common adverse events were functional GI disturbances, </w:t>
      </w:r>
      <w:proofErr w:type="spellStart"/>
      <w:r w:rsidRPr="000103AA">
        <w:rPr>
          <w:lang w:eastAsia="ja-JP"/>
        </w:rPr>
        <w:t>haematologic</w:t>
      </w:r>
      <w:proofErr w:type="spellEnd"/>
      <w:r w:rsidRPr="000103AA">
        <w:rPr>
          <w:lang w:eastAsia="ja-JP"/>
        </w:rPr>
        <w:t xml:space="preserve"> toxicities, </w:t>
      </w:r>
      <w:proofErr w:type="spellStart"/>
      <w:r w:rsidRPr="000103AA">
        <w:rPr>
          <w:lang w:eastAsia="ja-JP"/>
        </w:rPr>
        <w:t>asthe</w:t>
      </w:r>
      <w:r w:rsidR="00845B79">
        <w:rPr>
          <w:lang w:eastAsia="ja-JP"/>
        </w:rPr>
        <w:t>n</w:t>
      </w:r>
      <w:r w:rsidRPr="000103AA">
        <w:rPr>
          <w:lang w:eastAsia="ja-JP"/>
        </w:rPr>
        <w:t>ic</w:t>
      </w:r>
      <w:proofErr w:type="spellEnd"/>
      <w:r w:rsidRPr="000103AA">
        <w:rPr>
          <w:lang w:eastAsia="ja-JP"/>
        </w:rPr>
        <w:t xml:space="preserve"> conditions and infections.  While the incidence of these adverse effects was common they were generally mild to moderate in severity with severe adverse effects being relatively uncommon.  It is noted however that there were 10 treatment emergent adverse events resulting in death although five of the deaths were considered directly due to disease progression while for the remaining five the primary cause of death was an infection or an event that occurred in the setting of infection.  All but one of these deaths was considered by the investigator unrelated to study drug.  In general the adverse event profile is one which is familiar to oncologists managing patients on chemotherapy and recognises the requirements for appropriate prophylactic and early interventional management.  This evaluator does not consider that the profile exhibited from </w:t>
      </w:r>
      <w:r w:rsidRPr="000103AA">
        <w:rPr>
          <w:lang w:eastAsia="ja-JP"/>
        </w:rPr>
        <w:lastRenderedPageBreak/>
        <w:t xml:space="preserve">these studies represents excessive risk for patients with advanced stage PTCL who otherwise would have a very limited duration of survival.  </w:t>
      </w:r>
    </w:p>
    <w:p w:rsidR="000103AA" w:rsidRPr="007F0BBC" w:rsidRDefault="000103AA" w:rsidP="00CB017B">
      <w:pPr>
        <w:pStyle w:val="Heading3"/>
      </w:pPr>
      <w:bookmarkStart w:id="39" w:name="_Toc374006752"/>
      <w:r w:rsidRPr="007F0BBC">
        <w:t>First round assessment of benefit/risk balance</w:t>
      </w:r>
      <w:bookmarkEnd w:id="39"/>
    </w:p>
    <w:p w:rsidR="000103AA" w:rsidRPr="001E5F54" w:rsidRDefault="000103AA" w:rsidP="00CB017B">
      <w:r w:rsidRPr="001E5F54">
        <w:t>As has been indicated above the pivotal study involving 130 patients has est</w:t>
      </w:r>
      <w:r w:rsidR="001E5F54">
        <w:t>ablished definite efficacy for r</w:t>
      </w:r>
      <w:r w:rsidRPr="001E5F54">
        <w:t>omidepsin in the management of patients with relapsed and refractory PTCL who have been heavily previously treated with a complete response rate of 13.1% and o</w:t>
      </w:r>
      <w:r w:rsidR="001E5F54" w:rsidRPr="001E5F54">
        <w:t xml:space="preserve">verall response rate of 26.2%. </w:t>
      </w:r>
      <w:r w:rsidRPr="001E5F54">
        <w:t>These responses were durable and various analyses including sub-group analyses have supported t</w:t>
      </w:r>
      <w:r w:rsidR="001E5F54" w:rsidRPr="001E5F54">
        <w:t xml:space="preserve">he legitimacy of the findings. </w:t>
      </w:r>
      <w:r w:rsidRPr="001E5F54">
        <w:t xml:space="preserve">Data from the supportive study NCI 1312 were also indicative of complete response rate of 17.8% and overall response rate of 37.8%.  </w:t>
      </w:r>
    </w:p>
    <w:p w:rsidR="000103AA" w:rsidRPr="000103AA" w:rsidRDefault="000103AA" w:rsidP="00CB017B">
      <w:pPr>
        <w:rPr>
          <w:lang w:eastAsia="ja-JP"/>
        </w:rPr>
      </w:pPr>
      <w:r w:rsidRPr="000103AA">
        <w:rPr>
          <w:lang w:eastAsia="ja-JP"/>
        </w:rPr>
        <w:t>The toxicity profile generally is consistent with that to be expected with various chemotherapeutic agents and generally associated with well-known forms of toxicities including gastrointestinal,</w:t>
      </w:r>
      <w:r w:rsidR="001E5F54">
        <w:rPr>
          <w:lang w:eastAsia="ja-JP"/>
        </w:rPr>
        <w:t xml:space="preserve"> haematological and asthenia. </w:t>
      </w:r>
      <w:r w:rsidRPr="000103AA">
        <w:rPr>
          <w:lang w:eastAsia="ja-JP"/>
        </w:rPr>
        <w:t>These have appeared to be generally manageable and well within the province of o</w:t>
      </w:r>
      <w:r w:rsidR="001E5F54">
        <w:rPr>
          <w:lang w:eastAsia="ja-JP"/>
        </w:rPr>
        <w:t xml:space="preserve">ncologists areas of expertise. </w:t>
      </w:r>
      <w:r w:rsidRPr="000103AA">
        <w:rPr>
          <w:lang w:eastAsia="ja-JP"/>
        </w:rPr>
        <w:t>Accordingly this reviewer considers the benefit/risk balance favourable.</w:t>
      </w:r>
    </w:p>
    <w:p w:rsidR="001E5F54" w:rsidRPr="00025D9F" w:rsidRDefault="001E5F54" w:rsidP="00CB017B">
      <w:pPr>
        <w:spacing w:before="240" w:after="480"/>
        <w:rPr>
          <w:b/>
          <w:bCs/>
          <w:lang w:eastAsia="ja-JP"/>
        </w:rPr>
      </w:pPr>
      <w:r w:rsidRPr="00025D9F">
        <w:rPr>
          <w:b/>
          <w:bCs/>
          <w:lang w:eastAsia="ja-JP"/>
        </w:rPr>
        <w:t>[Information redacted]</w:t>
      </w:r>
    </w:p>
    <w:p w:rsidR="00C22678" w:rsidRDefault="00C22678" w:rsidP="00CB017B">
      <w:pPr>
        <w:pStyle w:val="Heading2"/>
      </w:pPr>
      <w:bookmarkStart w:id="40" w:name="_Toc374006753"/>
      <w:r>
        <w:t>Clinical questions</w:t>
      </w:r>
      <w:bookmarkEnd w:id="40"/>
    </w:p>
    <w:p w:rsidR="00C22678" w:rsidRPr="00586F98" w:rsidRDefault="000103AA" w:rsidP="00CB017B">
      <w:pPr>
        <w:rPr>
          <w:lang w:eastAsia="ja-JP"/>
        </w:rPr>
      </w:pPr>
      <w:r>
        <w:rPr>
          <w:lang w:eastAsia="ja-JP"/>
        </w:rPr>
        <w:t xml:space="preserve">None. </w:t>
      </w:r>
    </w:p>
    <w:p w:rsidR="00C618F7" w:rsidRDefault="00C618F7" w:rsidP="00CB017B">
      <w:pPr>
        <w:pStyle w:val="Heading2"/>
      </w:pPr>
      <w:bookmarkStart w:id="41" w:name="_Toc374006754"/>
      <w:r>
        <w:t>Second round evaluation of clinical data submitted in response to questions</w:t>
      </w:r>
      <w:bookmarkEnd w:id="41"/>
    </w:p>
    <w:p w:rsidR="00C618F7" w:rsidRPr="00586F98" w:rsidRDefault="000103AA" w:rsidP="00CB017B">
      <w:pPr>
        <w:rPr>
          <w:lang w:eastAsia="ja-JP"/>
        </w:rPr>
      </w:pPr>
      <w:r>
        <w:rPr>
          <w:lang w:eastAsia="ja-JP"/>
        </w:rPr>
        <w:t xml:space="preserve">Not applicable. </w:t>
      </w:r>
    </w:p>
    <w:p w:rsidR="00C618F7" w:rsidRDefault="000103AA" w:rsidP="00CB017B">
      <w:pPr>
        <w:pStyle w:val="Heading2"/>
      </w:pPr>
      <w:bookmarkStart w:id="42" w:name="_Toc374006755"/>
      <w:r>
        <w:t>R</w:t>
      </w:r>
      <w:r w:rsidR="00C618F7">
        <w:t>ecommendation regarding authorisation</w:t>
      </w:r>
      <w:bookmarkEnd w:id="42"/>
    </w:p>
    <w:p w:rsidR="000103AA" w:rsidRPr="000103AA" w:rsidRDefault="000103AA" w:rsidP="00CB017B">
      <w:pPr>
        <w:rPr>
          <w:lang w:eastAsia="ja-JP"/>
        </w:rPr>
      </w:pPr>
      <w:r w:rsidRPr="000103AA">
        <w:rPr>
          <w:lang w:eastAsia="ja-JP"/>
        </w:rPr>
        <w:t>This evaluator considers that on balance in view of the discussion indicated above that there is evi</w:t>
      </w:r>
      <w:r w:rsidR="00025D9F">
        <w:rPr>
          <w:lang w:eastAsia="ja-JP"/>
        </w:rPr>
        <w:t>dence of definite efficacy for r</w:t>
      </w:r>
      <w:r w:rsidRPr="000103AA">
        <w:rPr>
          <w:lang w:eastAsia="ja-JP"/>
        </w:rPr>
        <w:t xml:space="preserve">omidepsin in the treatment of advanced stage relapsed and refractory PTCL.  Despite the fact that the studies involved were phase II in nature without a direct comparator this evaluator considers that the overall evidence of benefit </w:t>
      </w:r>
      <w:proofErr w:type="spellStart"/>
      <w:r w:rsidRPr="000103AA">
        <w:rPr>
          <w:lang w:eastAsia="ja-JP"/>
        </w:rPr>
        <w:t>vs</w:t>
      </w:r>
      <w:proofErr w:type="spellEnd"/>
      <w:r w:rsidRPr="000103AA">
        <w:rPr>
          <w:lang w:eastAsia="ja-JP"/>
        </w:rPr>
        <w:t xml:space="preserve"> the relative risks involved would support approval for marketing of this agent.</w:t>
      </w:r>
    </w:p>
    <w:p w:rsidR="00C618F7" w:rsidRPr="00025D9F" w:rsidRDefault="000103AA" w:rsidP="00CB017B">
      <w:r w:rsidRPr="000103AA">
        <w:rPr>
          <w:lang w:eastAsia="ja-JP"/>
        </w:rPr>
        <w:t>It is also worth commenting that it is noted that pr</w:t>
      </w:r>
      <w:r w:rsidR="00025D9F">
        <w:rPr>
          <w:lang w:eastAsia="ja-JP"/>
        </w:rPr>
        <w:t>ior approval for r</w:t>
      </w:r>
      <w:r w:rsidRPr="000103AA">
        <w:rPr>
          <w:lang w:eastAsia="ja-JP"/>
        </w:rPr>
        <w:t>omidepsin in the management of patients with advanced stage refractory and relapsed PTCL has been given by the US FDA.</w:t>
      </w:r>
    </w:p>
    <w:bookmarkEnd w:id="2"/>
    <w:bookmarkEnd w:id="1"/>
    <w:bookmarkEnd w:id="0"/>
    <w:p w:rsidR="003D1E62" w:rsidRPr="001D043B" w:rsidRDefault="003D1E62" w:rsidP="002666AC">
      <w:pPr>
        <w:sectPr w:rsidR="003D1E62" w:rsidRPr="001D043B" w:rsidSect="003B6A50">
          <w:footerReference w:type="default" r:id="rId67"/>
          <w:pgSz w:w="11906" w:h="16838" w:code="9"/>
          <w:pgMar w:top="1440" w:right="1440" w:bottom="1440" w:left="1440" w:header="907" w:footer="216" w:gutter="0"/>
          <w:cols w:space="708"/>
          <w:docGrid w:linePitch="360"/>
        </w:sectPr>
      </w:pPr>
    </w:p>
    <w:p w:rsidR="00774E1D" w:rsidRPr="008A5E0B" w:rsidRDefault="00774E1D" w:rsidP="008A5E0B"/>
    <w:sectPr w:rsidR="00774E1D" w:rsidRPr="008A5E0B" w:rsidSect="008D770F">
      <w:headerReference w:type="even" r:id="rId68"/>
      <w:headerReference w:type="default" r:id="rId69"/>
      <w:footerReference w:type="default" r:id="rId70"/>
      <w:headerReference w:type="first" r:id="rId71"/>
      <w:footerReference w:type="first" r:id="rId7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EC0" w:rsidRDefault="009A0EC0" w:rsidP="00C40A36">
      <w:pPr>
        <w:spacing w:after="0"/>
      </w:pPr>
      <w:r>
        <w:separator/>
      </w:r>
    </w:p>
  </w:endnote>
  <w:endnote w:type="continuationSeparator" w:id="0">
    <w:p w:rsidR="009A0EC0" w:rsidRDefault="009A0EC0"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9A0EC0" w:rsidRPr="00487162" w:rsidTr="0053625B">
      <w:trPr>
        <w:trHeight w:val="269"/>
      </w:trPr>
      <w:tc>
        <w:tcPr>
          <w:tcW w:w="7938" w:type="dxa"/>
          <w:tcMar>
            <w:top w:w="142" w:type="dxa"/>
            <w:bottom w:w="0" w:type="dxa"/>
          </w:tcMar>
        </w:tcPr>
        <w:p w:rsidR="009A0EC0" w:rsidRPr="00487162" w:rsidRDefault="009A0EC0" w:rsidP="00586F98">
          <w:pPr>
            <w:pStyle w:val="Footer"/>
          </w:pPr>
          <w:r w:rsidRPr="00AF086C">
            <w:t>PM-2012-01446-3-4</w:t>
          </w:r>
          <w:r>
            <w:t xml:space="preserve"> Extract from the Clinical Evaluation Report for </w:t>
          </w:r>
          <w:r w:rsidRPr="00AF086C">
            <w:t>Istodax</w:t>
          </w:r>
          <w:r>
            <w:t xml:space="preserve"> </w:t>
          </w:r>
          <w:r w:rsidRPr="00AF086C">
            <w:t>romidepsin</w:t>
          </w:r>
        </w:p>
      </w:tc>
      <w:tc>
        <w:tcPr>
          <w:tcW w:w="923" w:type="dxa"/>
          <w:tcMar>
            <w:top w:w="142" w:type="dxa"/>
            <w:bottom w:w="0" w:type="dxa"/>
          </w:tcMar>
        </w:tcPr>
        <w:p w:rsidR="009A0EC0" w:rsidRPr="00487162" w:rsidRDefault="009A0EC0" w:rsidP="00D855D4">
          <w:pPr>
            <w:pStyle w:val="Footer"/>
            <w:jc w:val="right"/>
          </w:pPr>
          <w:r w:rsidRPr="00487162">
            <w:t xml:space="preserve">Page </w:t>
          </w:r>
          <w:r>
            <w:t>2</w:t>
          </w:r>
          <w:r w:rsidRPr="00487162">
            <w:t xml:space="preserve"> of </w:t>
          </w:r>
          <w:fldSimple w:instr=" NUMPAGES  \* Arabic ">
            <w:r w:rsidR="005926BA">
              <w:rPr>
                <w:noProof/>
              </w:rPr>
              <w:t>55</w:t>
            </w:r>
          </w:fldSimple>
        </w:p>
      </w:tc>
    </w:tr>
  </w:tbl>
  <w:p w:rsidR="009A0EC0" w:rsidRDefault="009A0EC0"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9A0EC0" w:rsidRPr="00487162" w:rsidTr="00586F98">
      <w:trPr>
        <w:trHeight w:val="269"/>
      </w:trPr>
      <w:tc>
        <w:tcPr>
          <w:tcW w:w="7655" w:type="dxa"/>
          <w:tcMar>
            <w:top w:w="142" w:type="dxa"/>
            <w:bottom w:w="0" w:type="dxa"/>
          </w:tcMar>
        </w:tcPr>
        <w:p w:rsidR="009A0EC0" w:rsidRPr="00487162" w:rsidRDefault="009A0EC0" w:rsidP="00D855D4">
          <w:pPr>
            <w:pStyle w:val="Footer"/>
          </w:pPr>
          <w:r w:rsidRPr="00AF086C">
            <w:t>PM-2012-01446-3-4 Extract from the Clinical Evaluation Report for Istodax romidepsin</w:t>
          </w:r>
        </w:p>
      </w:tc>
      <w:tc>
        <w:tcPr>
          <w:tcW w:w="1206" w:type="dxa"/>
          <w:tcMar>
            <w:top w:w="142" w:type="dxa"/>
            <w:bottom w:w="0" w:type="dxa"/>
          </w:tcMar>
        </w:tcPr>
        <w:p w:rsidR="009A0EC0" w:rsidRPr="00487162" w:rsidRDefault="009A0EC0" w:rsidP="00E45619">
          <w:pPr>
            <w:pStyle w:val="Footer"/>
            <w:jc w:val="right"/>
          </w:pPr>
          <w:r w:rsidRPr="00487162">
            <w:t xml:space="preserve">Page </w:t>
          </w:r>
          <w:fldSimple w:instr="PAGE">
            <w:r w:rsidR="005926BA">
              <w:rPr>
                <w:noProof/>
              </w:rPr>
              <w:t>4</w:t>
            </w:r>
          </w:fldSimple>
          <w:r w:rsidRPr="00487162">
            <w:t xml:space="preserve"> of </w:t>
          </w:r>
          <w:fldSimple w:instr=" NUMPAGES  \* Arabic ">
            <w:r w:rsidR="005926BA">
              <w:rPr>
                <w:noProof/>
              </w:rPr>
              <w:t>55</w:t>
            </w:r>
          </w:fldSimple>
        </w:p>
      </w:tc>
    </w:tr>
  </w:tbl>
  <w:p w:rsidR="009A0EC0" w:rsidRDefault="009A0EC0"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9A0EC0" w:rsidRPr="00487162" w:rsidTr="00E45619">
      <w:trPr>
        <w:trHeight w:val="269"/>
      </w:trPr>
      <w:tc>
        <w:tcPr>
          <w:tcW w:w="4519" w:type="dxa"/>
          <w:tcBorders>
            <w:top w:val="single" w:sz="4" w:space="0" w:color="auto"/>
          </w:tcBorders>
          <w:tcMar>
            <w:top w:w="142" w:type="dxa"/>
            <w:bottom w:w="0" w:type="dxa"/>
          </w:tcMar>
        </w:tcPr>
        <w:p w:rsidR="009A0EC0" w:rsidRPr="00487162" w:rsidRDefault="009A0EC0" w:rsidP="00FE1DEE">
          <w:pPr>
            <w:pStyle w:val="Footer"/>
          </w:pPr>
          <w:r w:rsidRPr="00487162">
            <w:t>Document title, Part #, Section # - Section title</w:t>
          </w:r>
        </w:p>
        <w:p w:rsidR="009A0EC0" w:rsidRPr="00487162" w:rsidRDefault="009A0EC0" w:rsidP="00FE1DEE">
          <w:pPr>
            <w:pStyle w:val="Footer"/>
          </w:pPr>
          <w:r w:rsidRPr="00487162">
            <w:t>V1.0 October 2010</w:t>
          </w:r>
        </w:p>
      </w:tc>
      <w:tc>
        <w:tcPr>
          <w:tcW w:w="4342" w:type="dxa"/>
          <w:tcBorders>
            <w:top w:val="single" w:sz="4" w:space="0" w:color="auto"/>
          </w:tcBorders>
          <w:tcMar>
            <w:top w:w="142" w:type="dxa"/>
            <w:bottom w:w="0" w:type="dxa"/>
          </w:tcMar>
        </w:tcPr>
        <w:p w:rsidR="009A0EC0" w:rsidRPr="00487162" w:rsidRDefault="009A0EC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9A0EC0" w:rsidRDefault="009A0EC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034" w:type="dxa"/>
      <w:tblBorders>
        <w:top w:val="single" w:sz="4" w:space="0" w:color="auto"/>
      </w:tblBorders>
      <w:tblLayout w:type="fixed"/>
      <w:tblCellMar>
        <w:top w:w="170" w:type="dxa"/>
        <w:left w:w="0" w:type="dxa"/>
        <w:bottom w:w="170" w:type="dxa"/>
        <w:right w:w="0" w:type="dxa"/>
      </w:tblCellMar>
      <w:tblLook w:val="04A0"/>
    </w:tblPr>
    <w:tblGrid>
      <w:gridCol w:w="7655"/>
      <w:gridCol w:w="6379"/>
    </w:tblGrid>
    <w:tr w:rsidR="009A0EC0" w:rsidRPr="00487162" w:rsidTr="0027219C">
      <w:trPr>
        <w:trHeight w:val="269"/>
      </w:trPr>
      <w:tc>
        <w:tcPr>
          <w:tcW w:w="7655" w:type="dxa"/>
          <w:tcMar>
            <w:top w:w="142" w:type="dxa"/>
            <w:bottom w:w="0" w:type="dxa"/>
          </w:tcMar>
        </w:tcPr>
        <w:p w:rsidR="009A0EC0" w:rsidRPr="00487162" w:rsidRDefault="009A0EC0" w:rsidP="00D855D4">
          <w:pPr>
            <w:pStyle w:val="Footer"/>
          </w:pPr>
          <w:r w:rsidRPr="00AF086C">
            <w:t xml:space="preserve">PM-2012-01446-3-4 Extract from the Clinical Evaluation Report for </w:t>
          </w:r>
          <w:proofErr w:type="spellStart"/>
          <w:r w:rsidRPr="00AF086C">
            <w:t>Istodax</w:t>
          </w:r>
          <w:proofErr w:type="spellEnd"/>
          <w:r w:rsidRPr="00AF086C">
            <w:t xml:space="preserve"> </w:t>
          </w:r>
          <w:proofErr w:type="spellStart"/>
          <w:r w:rsidRPr="00AF086C">
            <w:t>romidepsin</w:t>
          </w:r>
          <w:proofErr w:type="spellEnd"/>
        </w:p>
      </w:tc>
      <w:tc>
        <w:tcPr>
          <w:tcW w:w="6379" w:type="dxa"/>
          <w:tcMar>
            <w:top w:w="142" w:type="dxa"/>
            <w:bottom w:w="0" w:type="dxa"/>
          </w:tcMar>
        </w:tcPr>
        <w:p w:rsidR="009A0EC0" w:rsidRPr="00487162" w:rsidRDefault="009A0EC0" w:rsidP="00E45619">
          <w:pPr>
            <w:pStyle w:val="Footer"/>
            <w:jc w:val="right"/>
          </w:pPr>
          <w:r w:rsidRPr="00487162">
            <w:t xml:space="preserve">Page </w:t>
          </w:r>
          <w:fldSimple w:instr="PAGE">
            <w:r w:rsidR="005926BA">
              <w:rPr>
                <w:noProof/>
              </w:rPr>
              <w:t>12</w:t>
            </w:r>
          </w:fldSimple>
          <w:r w:rsidRPr="00487162">
            <w:t xml:space="preserve"> of </w:t>
          </w:r>
          <w:fldSimple w:instr=" NUMPAGES  \* Arabic ">
            <w:r w:rsidR="005926BA">
              <w:rPr>
                <w:noProof/>
              </w:rPr>
              <w:t>55</w:t>
            </w:r>
          </w:fldSimple>
        </w:p>
      </w:tc>
    </w:tr>
  </w:tbl>
  <w:p w:rsidR="009A0EC0" w:rsidRDefault="009A0EC0"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9A0EC0" w:rsidRPr="00487162" w:rsidTr="00586F98">
      <w:trPr>
        <w:trHeight w:val="269"/>
      </w:trPr>
      <w:tc>
        <w:tcPr>
          <w:tcW w:w="7655" w:type="dxa"/>
          <w:tcMar>
            <w:top w:w="142" w:type="dxa"/>
            <w:bottom w:w="0" w:type="dxa"/>
          </w:tcMar>
        </w:tcPr>
        <w:p w:rsidR="009A0EC0" w:rsidRPr="00487162" w:rsidRDefault="009A0EC0" w:rsidP="00D855D4">
          <w:pPr>
            <w:pStyle w:val="Footer"/>
          </w:pPr>
          <w:r w:rsidRPr="00AF086C">
            <w:t xml:space="preserve">PM-2012-01446-3-4 Extract from the Clinical Evaluation Report for </w:t>
          </w:r>
          <w:proofErr w:type="spellStart"/>
          <w:r w:rsidRPr="00AF086C">
            <w:t>Istodax</w:t>
          </w:r>
          <w:proofErr w:type="spellEnd"/>
          <w:r w:rsidRPr="00AF086C">
            <w:t xml:space="preserve"> </w:t>
          </w:r>
          <w:proofErr w:type="spellStart"/>
          <w:r w:rsidRPr="00AF086C">
            <w:t>romidepsin</w:t>
          </w:r>
          <w:proofErr w:type="spellEnd"/>
        </w:p>
      </w:tc>
      <w:tc>
        <w:tcPr>
          <w:tcW w:w="1206" w:type="dxa"/>
          <w:tcMar>
            <w:top w:w="142" w:type="dxa"/>
            <w:bottom w:w="0" w:type="dxa"/>
          </w:tcMar>
        </w:tcPr>
        <w:p w:rsidR="009A0EC0" w:rsidRPr="00487162" w:rsidRDefault="009A0EC0" w:rsidP="00E45619">
          <w:pPr>
            <w:pStyle w:val="Footer"/>
            <w:jc w:val="right"/>
          </w:pPr>
          <w:r w:rsidRPr="00487162">
            <w:t xml:space="preserve">Page </w:t>
          </w:r>
          <w:fldSimple w:instr="PAGE">
            <w:r w:rsidR="005926BA">
              <w:rPr>
                <w:noProof/>
              </w:rPr>
              <w:t>54</w:t>
            </w:r>
          </w:fldSimple>
          <w:r w:rsidRPr="00487162">
            <w:t xml:space="preserve"> of </w:t>
          </w:r>
          <w:fldSimple w:instr=" NUMPAGES  \* Arabic ">
            <w:r w:rsidR="005926BA">
              <w:rPr>
                <w:noProof/>
              </w:rPr>
              <w:t>55</w:t>
            </w:r>
          </w:fldSimple>
        </w:p>
      </w:tc>
    </w:tr>
  </w:tbl>
  <w:p w:rsidR="009A0EC0" w:rsidRDefault="009A0EC0" w:rsidP="00E2613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9A0EC0" w:rsidRPr="00487162" w:rsidTr="008D770F">
              <w:trPr>
                <w:trHeight w:hRule="exact" w:val="564"/>
              </w:trPr>
              <w:tc>
                <w:tcPr>
                  <w:tcW w:w="9175" w:type="dxa"/>
                </w:tcPr>
                <w:p w:rsidR="009A0EC0" w:rsidRPr="00487162" w:rsidRDefault="009A0EC0" w:rsidP="008E7846">
                  <w:pPr>
                    <w:pStyle w:val="TGASignoff"/>
                  </w:pPr>
                  <w:r w:rsidRPr="00487162">
                    <w:t>Therapeutic Goods Administration</w:t>
                  </w:r>
                </w:p>
              </w:tc>
            </w:tr>
            <w:tr w:rsidR="009A0EC0" w:rsidRPr="00487162" w:rsidTr="00E45619">
              <w:trPr>
                <w:trHeight w:val="1221"/>
              </w:trPr>
              <w:tc>
                <w:tcPr>
                  <w:tcW w:w="9175" w:type="dxa"/>
                  <w:tcMar>
                    <w:top w:w="28" w:type="dxa"/>
                  </w:tcMar>
                </w:tcPr>
                <w:p w:rsidR="009A0EC0" w:rsidRPr="00487162" w:rsidRDefault="009A0EC0" w:rsidP="00E45619">
                  <w:pPr>
                    <w:pStyle w:val="Address"/>
                  </w:pPr>
                  <w:r w:rsidRPr="00487162">
                    <w:t>PO Box 100 Woden ACT 2606 Australia</w:t>
                  </w:r>
                </w:p>
                <w:p w:rsidR="009A0EC0" w:rsidRPr="00487162" w:rsidRDefault="009A0EC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9A0EC0" w:rsidRPr="008D770F" w:rsidRDefault="009A0EC0" w:rsidP="008D770F">
                  <w:pPr>
                    <w:pStyle w:val="Address"/>
                    <w:spacing w:line="260" w:lineRule="atLeast"/>
                    <w:rPr>
                      <w:b/>
                      <w:color w:val="0000FF"/>
                      <w:u w:val="single"/>
                    </w:rPr>
                  </w:pPr>
                  <w:hyperlink r:id="rId2" w:history="1">
                    <w:r w:rsidRPr="007C06C7">
                      <w:rPr>
                        <w:rStyle w:val="Hyperlink"/>
                        <w:b/>
                      </w:rPr>
                      <w:t>http://www.tga.gov.au</w:t>
                    </w:r>
                  </w:hyperlink>
                </w:p>
              </w:tc>
            </w:tr>
          </w:tbl>
          <w:p w:rsidR="009A0EC0" w:rsidRDefault="009A0EC0" w:rsidP="008E7846">
            <w:pPr>
              <w:pStyle w:val="Notes"/>
            </w:pP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9A0EC0" w:rsidTr="0010601F">
      <w:trPr>
        <w:trHeight w:val="108"/>
      </w:trPr>
      <w:tc>
        <w:tcPr>
          <w:tcW w:w="8875" w:type="dxa"/>
          <w:gridSpan w:val="2"/>
          <w:tcBorders>
            <w:bottom w:val="single" w:sz="4" w:space="0" w:color="auto"/>
          </w:tcBorders>
          <w:tcMar>
            <w:right w:w="284" w:type="dxa"/>
          </w:tcMar>
        </w:tcPr>
        <w:p w:rsidR="009A0EC0" w:rsidRDefault="009A0EC0" w:rsidP="006E08B3">
          <w:pPr>
            <w:pStyle w:val="Heading3"/>
          </w:pPr>
          <w:r>
            <w:t>Copyright</w:t>
          </w:r>
        </w:p>
        <w:p w:rsidR="009A0EC0" w:rsidRDefault="009A0EC0" w:rsidP="006E08B3">
          <w:r>
            <w:rPr>
              <w:rFonts w:cs="Arial"/>
            </w:rPr>
            <w:t>©</w:t>
          </w:r>
          <w:r>
            <w:t xml:space="preserve"> Commonwealth of Australia [add year]</w:t>
          </w:r>
        </w:p>
        <w:p w:rsidR="009A0EC0" w:rsidRDefault="009A0EC0" w:rsidP="006E08B3"/>
        <w:p w:rsidR="009A0EC0" w:rsidRDefault="009A0EC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A0EC0" w:rsidRDefault="009A0EC0" w:rsidP="006E08B3"/>
        <w:p w:rsidR="009A0EC0" w:rsidRDefault="009A0EC0" w:rsidP="006E08B3">
          <w:pPr>
            <w:pStyle w:val="Heading3"/>
          </w:pPr>
          <w:r>
            <w:t>Confidentiality</w:t>
          </w:r>
        </w:p>
        <w:p w:rsidR="009A0EC0" w:rsidRDefault="009A0EC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A0EC0" w:rsidRDefault="009A0EC0" w:rsidP="006E08B3"/>
        <w:p w:rsidR="009A0EC0" w:rsidRDefault="009A0EC0" w:rsidP="006E08B3">
          <w:r>
            <w:t>For submission made by individuals, all personal details, other than your name, will be removed from your submission before it is published on the TGA’s Internet site.</w:t>
          </w:r>
        </w:p>
        <w:p w:rsidR="009A0EC0" w:rsidRDefault="009A0EC0" w:rsidP="006E08B3"/>
        <w:p w:rsidR="009A0EC0" w:rsidRDefault="009A0EC0"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A0EC0" w:rsidTr="0010601F">
      <w:trPr>
        <w:trHeight w:val="417"/>
      </w:trPr>
      <w:tc>
        <w:tcPr>
          <w:tcW w:w="4519" w:type="dxa"/>
          <w:tcBorders>
            <w:top w:val="single" w:sz="4" w:space="0" w:color="auto"/>
          </w:tcBorders>
          <w:tcMar>
            <w:top w:w="142" w:type="dxa"/>
            <w:bottom w:w="0" w:type="dxa"/>
          </w:tcMar>
        </w:tcPr>
        <w:p w:rsidR="009A0EC0" w:rsidRDefault="009A0EC0" w:rsidP="006E08B3">
          <w:r>
            <w:t>Document title, Part #, Section # - Section title</w:t>
          </w:r>
        </w:p>
        <w:p w:rsidR="009A0EC0" w:rsidRDefault="009A0EC0" w:rsidP="006E08B3">
          <w:r>
            <w:t>V1.0 October 2010</w:t>
          </w:r>
        </w:p>
      </w:tc>
      <w:tc>
        <w:tcPr>
          <w:tcW w:w="4356" w:type="dxa"/>
          <w:tcBorders>
            <w:top w:val="single" w:sz="4" w:space="0" w:color="auto"/>
          </w:tcBorders>
          <w:tcMar>
            <w:top w:w="142" w:type="dxa"/>
            <w:bottom w:w="0" w:type="dxa"/>
          </w:tcMar>
        </w:tcPr>
        <w:p w:rsidR="009A0EC0" w:rsidRDefault="009A0EC0"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9A0EC0" w:rsidRDefault="009A0EC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EC0" w:rsidRDefault="009A0EC0" w:rsidP="00C40A36">
      <w:pPr>
        <w:spacing w:after="0"/>
      </w:pPr>
      <w:r>
        <w:separator/>
      </w:r>
    </w:p>
  </w:footnote>
  <w:footnote w:type="continuationSeparator" w:id="0">
    <w:p w:rsidR="009A0EC0" w:rsidRDefault="009A0EC0" w:rsidP="00C40A36">
      <w:pPr>
        <w:spacing w:after="0"/>
      </w:pPr>
      <w:r>
        <w:continuationSeparator/>
      </w:r>
    </w:p>
  </w:footnote>
  <w:footnote w:id="1">
    <w:p w:rsidR="009A0EC0" w:rsidRPr="00D66264" w:rsidRDefault="009A0EC0" w:rsidP="00CB017B">
      <w:pPr>
        <w:pStyle w:val="FootnoteText"/>
      </w:pPr>
      <w:r w:rsidRPr="00D66264">
        <w:rPr>
          <w:rStyle w:val="FootnoteReference"/>
          <w:szCs w:val="18"/>
        </w:rPr>
        <w:footnoteRef/>
      </w:r>
      <w:r w:rsidRPr="00D66264">
        <w:t xml:space="preserve"> Sponsor clarification: In the updated efficacy analysis, the response rate was 14.6% and the overall objective response rate was 25.4%.</w:t>
      </w:r>
    </w:p>
  </w:footnote>
  <w:footnote w:id="2">
    <w:p w:rsidR="009A0EC0" w:rsidRPr="00B57E1D" w:rsidRDefault="009A0EC0" w:rsidP="00CB017B">
      <w:pPr>
        <w:pStyle w:val="FootnoteText"/>
      </w:pPr>
      <w:r w:rsidRPr="00B57E1D">
        <w:rPr>
          <w:rStyle w:val="FootnoteReference"/>
          <w:szCs w:val="18"/>
        </w:rPr>
        <w:footnoteRef/>
      </w:r>
      <w:r w:rsidRPr="00B57E1D">
        <w:t xml:space="preserve"> Sponsor clarification: In the updated efficacy analysis, </w:t>
      </w:r>
      <w:r>
        <w:t xml:space="preserve">the </w:t>
      </w:r>
      <w:r w:rsidRPr="00B57E1D">
        <w:t xml:space="preserve">overall median duration of response and </w:t>
      </w:r>
      <w:r>
        <w:t xml:space="preserve">the </w:t>
      </w:r>
      <w:r w:rsidRPr="00B57E1D">
        <w:t xml:space="preserve">median duration of complete response </w:t>
      </w:r>
      <w:r>
        <w:t xml:space="preserve">were both 17 </w:t>
      </w:r>
      <w:r w:rsidRPr="00B57E1D">
        <w:t xml:space="preserve">months.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pPr>
      <w:rPr>
        <w:noProof/>
        <w:lang w:eastAsia="en-AU"/>
      </w:rPr>
    </w:pPr>
    <w:r w:rsidRPr="002D545C">
      <w:rPr>
        <w:noProof/>
        <w:lang w:eastAsia="en-AU"/>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A0EC0" w:rsidRDefault="009A0EC0"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3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EC0" w:rsidRDefault="009A0EC0" w:rsidP="006E08B3">
    <w:r>
      <w:t>Therapeutic Goods Administration</w:t>
    </w:r>
  </w:p>
  <w:p w:rsidR="009A0EC0" w:rsidRDefault="009A0EC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33CBF84"/>
    <w:lvl w:ilvl="0">
      <w:start w:val="1"/>
      <w:numFmt w:val="decimal"/>
      <w:lvlText w:val="%1."/>
      <w:lvlJc w:val="left"/>
      <w:pPr>
        <w:tabs>
          <w:tab w:val="num" w:pos="1492"/>
        </w:tabs>
        <w:ind w:left="1492" w:hanging="360"/>
      </w:pPr>
    </w:lvl>
  </w:abstractNum>
  <w:abstractNum w:abstractNumId="1">
    <w:nsid w:val="FFFFFF7D"/>
    <w:multiLevelType w:val="singleLevel"/>
    <w:tmpl w:val="06BA7B2A"/>
    <w:lvl w:ilvl="0">
      <w:start w:val="1"/>
      <w:numFmt w:val="decimal"/>
      <w:lvlText w:val="%1."/>
      <w:lvlJc w:val="left"/>
      <w:pPr>
        <w:tabs>
          <w:tab w:val="num" w:pos="1209"/>
        </w:tabs>
        <w:ind w:left="1209" w:hanging="360"/>
      </w:pPr>
    </w:lvl>
  </w:abstractNum>
  <w:abstractNum w:abstractNumId="2">
    <w:nsid w:val="FFFFFF7E"/>
    <w:multiLevelType w:val="singleLevel"/>
    <w:tmpl w:val="D4904E20"/>
    <w:lvl w:ilvl="0">
      <w:start w:val="1"/>
      <w:numFmt w:val="decimal"/>
      <w:lvlText w:val="%1."/>
      <w:lvlJc w:val="left"/>
      <w:pPr>
        <w:tabs>
          <w:tab w:val="num" w:pos="926"/>
        </w:tabs>
        <w:ind w:left="926" w:hanging="360"/>
      </w:pPr>
    </w:lvl>
  </w:abstractNum>
  <w:abstractNum w:abstractNumId="3">
    <w:nsid w:val="FFFFFF7F"/>
    <w:multiLevelType w:val="singleLevel"/>
    <w:tmpl w:val="2F16CAE6"/>
    <w:lvl w:ilvl="0">
      <w:start w:val="1"/>
      <w:numFmt w:val="decimal"/>
      <w:lvlText w:val="%1."/>
      <w:lvlJc w:val="left"/>
      <w:pPr>
        <w:tabs>
          <w:tab w:val="num" w:pos="643"/>
        </w:tabs>
        <w:ind w:left="643" w:hanging="360"/>
      </w:pPr>
    </w:lvl>
  </w:abstractNum>
  <w:abstractNum w:abstractNumId="4">
    <w:nsid w:val="FFFFFF80"/>
    <w:multiLevelType w:val="singleLevel"/>
    <w:tmpl w:val="406E112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E646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FAAAFBC6"/>
    <w:lvl w:ilvl="0">
      <w:start w:val="1"/>
      <w:numFmt w:val="decimal"/>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9"/>
  </w:num>
  <w:num w:numId="2">
    <w:abstractNumId w:val="7"/>
  </w:num>
  <w:num w:numId="3">
    <w:abstractNumId w:val="12"/>
  </w:num>
  <w:num w:numId="4">
    <w:abstractNumId w:val="12"/>
  </w:num>
  <w:num w:numId="5">
    <w:abstractNumId w:val="6"/>
  </w:num>
  <w:num w:numId="6">
    <w:abstractNumId w:val="12"/>
  </w:num>
  <w:num w:numId="7">
    <w:abstractNumId w:val="12"/>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2"/>
  </w:num>
  <w:num w:numId="14">
    <w:abstractNumId w:val="12"/>
  </w:num>
  <w:num w:numId="15">
    <w:abstractNumId w:val="12"/>
  </w:num>
  <w:num w:numId="16">
    <w:abstractNumId w:val="11"/>
  </w:num>
  <w:num w:numId="17">
    <w:abstractNumId w:val="11"/>
  </w:num>
  <w:num w:numId="18">
    <w:abstractNumId w:val="11"/>
  </w:num>
  <w:num w:numId="19">
    <w:abstractNumId w:val="12"/>
  </w:num>
  <w:num w:numId="20">
    <w:abstractNumId w:val="12"/>
  </w:num>
  <w:num w:numId="21">
    <w:abstractNumId w:val="12"/>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3"/>
  </w:num>
  <w:num w:numId="26">
    <w:abstractNumId w:val="14"/>
  </w:num>
  <w:num w:numId="27">
    <w:abstractNumId w:val="15"/>
  </w:num>
  <w:num w:numId="28">
    <w:abstractNumId w:val="16"/>
  </w:num>
  <w:num w:numId="29">
    <w:abstractNumId w:val="17"/>
  </w:num>
  <w:num w:numId="30">
    <w:abstractNumId w:val="17"/>
  </w:num>
  <w:num w:numId="31">
    <w:abstractNumId w:val="17"/>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5"/>
  </w:num>
  <w:num w:numId="34">
    <w:abstractNumId w:val="4"/>
  </w:num>
  <w:num w:numId="35">
    <w:abstractNumId w:val="8"/>
  </w:num>
  <w:num w:numId="36">
    <w:abstractNumId w:val="3"/>
  </w:num>
  <w:num w:numId="37">
    <w:abstractNumId w:val="2"/>
  </w:num>
  <w:num w:numId="38">
    <w:abstractNumId w:val="1"/>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proofState w:spelling="clean"/>
  <w:stylePaneFormatFilter w:val="1004"/>
  <w:stylePaneSortMethod w:val="0000"/>
  <w:defaultTabStop w:val="720"/>
  <w:defaultTableStyle w:val="TableTGAblue"/>
  <w:drawingGridHorizontalSpacing w:val="110"/>
  <w:displayHorizontalDrawingGridEvery w:val="2"/>
  <w:characterSpacingControl w:val="doNotCompress"/>
  <w:hdrShapeDefaults>
    <o:shapedefaults v:ext="edit" spidmax="65538">
      <o:colormenu v:ext="edit" fillcolor="none [3206]"/>
    </o:shapedefaults>
  </w:hdrShapeDefaults>
  <w:footnotePr>
    <w:footnote w:id="-1"/>
    <w:footnote w:id="0"/>
  </w:footnotePr>
  <w:endnotePr>
    <w:endnote w:id="-1"/>
    <w:endnote w:id="0"/>
  </w:endnotePr>
  <w:compat/>
  <w:rsids>
    <w:rsidRoot w:val="0017078F"/>
    <w:rsid w:val="00002031"/>
    <w:rsid w:val="00004734"/>
    <w:rsid w:val="00004A6F"/>
    <w:rsid w:val="00004AFB"/>
    <w:rsid w:val="00006B22"/>
    <w:rsid w:val="000103AA"/>
    <w:rsid w:val="0001276A"/>
    <w:rsid w:val="000246AE"/>
    <w:rsid w:val="00025C67"/>
    <w:rsid w:val="00025D9F"/>
    <w:rsid w:val="00040ACB"/>
    <w:rsid w:val="0005559E"/>
    <w:rsid w:val="00077775"/>
    <w:rsid w:val="00080D8C"/>
    <w:rsid w:val="00090471"/>
    <w:rsid w:val="00090ABE"/>
    <w:rsid w:val="000A01C1"/>
    <w:rsid w:val="000A3AED"/>
    <w:rsid w:val="000A63AF"/>
    <w:rsid w:val="000B3532"/>
    <w:rsid w:val="000B3A75"/>
    <w:rsid w:val="000C1581"/>
    <w:rsid w:val="000C690F"/>
    <w:rsid w:val="000D1295"/>
    <w:rsid w:val="000D391B"/>
    <w:rsid w:val="000D3D6D"/>
    <w:rsid w:val="000D4FC7"/>
    <w:rsid w:val="000D6CD7"/>
    <w:rsid w:val="000E4030"/>
    <w:rsid w:val="000F02F9"/>
    <w:rsid w:val="000F3D5A"/>
    <w:rsid w:val="000F4869"/>
    <w:rsid w:val="000F5B42"/>
    <w:rsid w:val="000F6E6F"/>
    <w:rsid w:val="00104613"/>
    <w:rsid w:val="0010601F"/>
    <w:rsid w:val="0010788A"/>
    <w:rsid w:val="00107A31"/>
    <w:rsid w:val="00110EA5"/>
    <w:rsid w:val="00112F56"/>
    <w:rsid w:val="00125318"/>
    <w:rsid w:val="00125C3B"/>
    <w:rsid w:val="001305A2"/>
    <w:rsid w:val="00133238"/>
    <w:rsid w:val="00136E13"/>
    <w:rsid w:val="0014197B"/>
    <w:rsid w:val="001447CD"/>
    <w:rsid w:val="001516B1"/>
    <w:rsid w:val="00154EBB"/>
    <w:rsid w:val="00156316"/>
    <w:rsid w:val="00161A46"/>
    <w:rsid w:val="00165389"/>
    <w:rsid w:val="00166E2B"/>
    <w:rsid w:val="0017078F"/>
    <w:rsid w:val="0017693F"/>
    <w:rsid w:val="0018110E"/>
    <w:rsid w:val="00181684"/>
    <w:rsid w:val="001843C6"/>
    <w:rsid w:val="001850E0"/>
    <w:rsid w:val="001A2158"/>
    <w:rsid w:val="001A525F"/>
    <w:rsid w:val="001A6D20"/>
    <w:rsid w:val="001B09F9"/>
    <w:rsid w:val="001B6448"/>
    <w:rsid w:val="001B758E"/>
    <w:rsid w:val="001D0750"/>
    <w:rsid w:val="001E07CF"/>
    <w:rsid w:val="001E5256"/>
    <w:rsid w:val="001E59F1"/>
    <w:rsid w:val="001E5F54"/>
    <w:rsid w:val="001F49EB"/>
    <w:rsid w:val="001F6CBA"/>
    <w:rsid w:val="001F7F9F"/>
    <w:rsid w:val="00201D4E"/>
    <w:rsid w:val="002076C9"/>
    <w:rsid w:val="00220B8A"/>
    <w:rsid w:val="00224850"/>
    <w:rsid w:val="002257F3"/>
    <w:rsid w:val="00233456"/>
    <w:rsid w:val="002339A5"/>
    <w:rsid w:val="00233CE1"/>
    <w:rsid w:val="002350F6"/>
    <w:rsid w:val="00257848"/>
    <w:rsid w:val="002666AC"/>
    <w:rsid w:val="0027084A"/>
    <w:rsid w:val="0027219C"/>
    <w:rsid w:val="0027381E"/>
    <w:rsid w:val="0027596C"/>
    <w:rsid w:val="00286434"/>
    <w:rsid w:val="00286C59"/>
    <w:rsid w:val="00292113"/>
    <w:rsid w:val="002942D1"/>
    <w:rsid w:val="0029501A"/>
    <w:rsid w:val="002966AC"/>
    <w:rsid w:val="002A6FAF"/>
    <w:rsid w:val="002B1638"/>
    <w:rsid w:val="002B3932"/>
    <w:rsid w:val="002C63ED"/>
    <w:rsid w:val="002C6E6F"/>
    <w:rsid w:val="002D545C"/>
    <w:rsid w:val="002D6161"/>
    <w:rsid w:val="002D743F"/>
    <w:rsid w:val="002E4C9A"/>
    <w:rsid w:val="002E53AF"/>
    <w:rsid w:val="002F11F8"/>
    <w:rsid w:val="002F3F56"/>
    <w:rsid w:val="002F44B5"/>
    <w:rsid w:val="0030204C"/>
    <w:rsid w:val="00311AC0"/>
    <w:rsid w:val="0032583B"/>
    <w:rsid w:val="00327883"/>
    <w:rsid w:val="00335504"/>
    <w:rsid w:val="00344647"/>
    <w:rsid w:val="003521E8"/>
    <w:rsid w:val="003669E7"/>
    <w:rsid w:val="003728F3"/>
    <w:rsid w:val="003729AA"/>
    <w:rsid w:val="0037496E"/>
    <w:rsid w:val="0037623D"/>
    <w:rsid w:val="00385BEE"/>
    <w:rsid w:val="00386150"/>
    <w:rsid w:val="003874CE"/>
    <w:rsid w:val="00390900"/>
    <w:rsid w:val="00396C92"/>
    <w:rsid w:val="003A7F6C"/>
    <w:rsid w:val="003B1113"/>
    <w:rsid w:val="003B4D60"/>
    <w:rsid w:val="003B634F"/>
    <w:rsid w:val="003B6A50"/>
    <w:rsid w:val="003B7E39"/>
    <w:rsid w:val="003C58DC"/>
    <w:rsid w:val="003C7704"/>
    <w:rsid w:val="003D0A3B"/>
    <w:rsid w:val="003D1E62"/>
    <w:rsid w:val="003E2486"/>
    <w:rsid w:val="003E3208"/>
    <w:rsid w:val="003E352D"/>
    <w:rsid w:val="003F0B04"/>
    <w:rsid w:val="003F11EB"/>
    <w:rsid w:val="0040134E"/>
    <w:rsid w:val="00401446"/>
    <w:rsid w:val="00415D59"/>
    <w:rsid w:val="00421280"/>
    <w:rsid w:val="00432CA0"/>
    <w:rsid w:val="00435FEC"/>
    <w:rsid w:val="00436C25"/>
    <w:rsid w:val="0043797D"/>
    <w:rsid w:val="00440A2D"/>
    <w:rsid w:val="004564A7"/>
    <w:rsid w:val="004617BF"/>
    <w:rsid w:val="00463658"/>
    <w:rsid w:val="0046463E"/>
    <w:rsid w:val="004722CC"/>
    <w:rsid w:val="004767E5"/>
    <w:rsid w:val="004865FE"/>
    <w:rsid w:val="004936E4"/>
    <w:rsid w:val="00494E60"/>
    <w:rsid w:val="00497487"/>
    <w:rsid w:val="004A2A0F"/>
    <w:rsid w:val="004A7E13"/>
    <w:rsid w:val="004B713E"/>
    <w:rsid w:val="004B7B76"/>
    <w:rsid w:val="004C2DCA"/>
    <w:rsid w:val="004E0124"/>
    <w:rsid w:val="004F0F38"/>
    <w:rsid w:val="004F4AF5"/>
    <w:rsid w:val="00501921"/>
    <w:rsid w:val="00530354"/>
    <w:rsid w:val="0053625B"/>
    <w:rsid w:val="005434C6"/>
    <w:rsid w:val="00543517"/>
    <w:rsid w:val="00543B39"/>
    <w:rsid w:val="00543D03"/>
    <w:rsid w:val="00550096"/>
    <w:rsid w:val="00557FF9"/>
    <w:rsid w:val="00576378"/>
    <w:rsid w:val="00577945"/>
    <w:rsid w:val="00577E38"/>
    <w:rsid w:val="00585322"/>
    <w:rsid w:val="005857C6"/>
    <w:rsid w:val="00586F98"/>
    <w:rsid w:val="005926BA"/>
    <w:rsid w:val="00592F6E"/>
    <w:rsid w:val="00593AD1"/>
    <w:rsid w:val="005A68B6"/>
    <w:rsid w:val="005B3DA6"/>
    <w:rsid w:val="005C2FAE"/>
    <w:rsid w:val="005C5570"/>
    <w:rsid w:val="005C79A4"/>
    <w:rsid w:val="005D4C5A"/>
    <w:rsid w:val="005D5442"/>
    <w:rsid w:val="005D6573"/>
    <w:rsid w:val="005E1E3E"/>
    <w:rsid w:val="00603F32"/>
    <w:rsid w:val="006137D3"/>
    <w:rsid w:val="00620406"/>
    <w:rsid w:val="006279AC"/>
    <w:rsid w:val="00632398"/>
    <w:rsid w:val="00632D99"/>
    <w:rsid w:val="00634525"/>
    <w:rsid w:val="00640FC3"/>
    <w:rsid w:val="00641F05"/>
    <w:rsid w:val="00642020"/>
    <w:rsid w:val="00645228"/>
    <w:rsid w:val="00646206"/>
    <w:rsid w:val="00651D3D"/>
    <w:rsid w:val="0065337B"/>
    <w:rsid w:val="0065419D"/>
    <w:rsid w:val="00657195"/>
    <w:rsid w:val="006604D8"/>
    <w:rsid w:val="00663FF0"/>
    <w:rsid w:val="00664A5B"/>
    <w:rsid w:val="006763D2"/>
    <w:rsid w:val="0068064F"/>
    <w:rsid w:val="00680C08"/>
    <w:rsid w:val="00682074"/>
    <w:rsid w:val="00690643"/>
    <w:rsid w:val="006931B1"/>
    <w:rsid w:val="00693452"/>
    <w:rsid w:val="006A15C0"/>
    <w:rsid w:val="006A4728"/>
    <w:rsid w:val="006B0403"/>
    <w:rsid w:val="006C130C"/>
    <w:rsid w:val="006C3E2A"/>
    <w:rsid w:val="006C642F"/>
    <w:rsid w:val="006D03E5"/>
    <w:rsid w:val="006D5D3E"/>
    <w:rsid w:val="006E08B3"/>
    <w:rsid w:val="006E2F66"/>
    <w:rsid w:val="006F17AC"/>
    <w:rsid w:val="006F1D37"/>
    <w:rsid w:val="006F2796"/>
    <w:rsid w:val="006F3E7D"/>
    <w:rsid w:val="006F572E"/>
    <w:rsid w:val="007046D6"/>
    <w:rsid w:val="00705DB0"/>
    <w:rsid w:val="00722B57"/>
    <w:rsid w:val="0074253D"/>
    <w:rsid w:val="0074429B"/>
    <w:rsid w:val="007513B4"/>
    <w:rsid w:val="007615BC"/>
    <w:rsid w:val="00762F05"/>
    <w:rsid w:val="007652FF"/>
    <w:rsid w:val="00770EF1"/>
    <w:rsid w:val="00773EF7"/>
    <w:rsid w:val="00774E1D"/>
    <w:rsid w:val="0077675A"/>
    <w:rsid w:val="00780355"/>
    <w:rsid w:val="00785721"/>
    <w:rsid w:val="00793A59"/>
    <w:rsid w:val="007A2EE8"/>
    <w:rsid w:val="007B572B"/>
    <w:rsid w:val="007B6E9F"/>
    <w:rsid w:val="007C1216"/>
    <w:rsid w:val="007C1AF7"/>
    <w:rsid w:val="007C55A6"/>
    <w:rsid w:val="007D1FA7"/>
    <w:rsid w:val="007E6E27"/>
    <w:rsid w:val="007F0BBC"/>
    <w:rsid w:val="00801004"/>
    <w:rsid w:val="00801788"/>
    <w:rsid w:val="008020BA"/>
    <w:rsid w:val="00805D27"/>
    <w:rsid w:val="008164AF"/>
    <w:rsid w:val="00821776"/>
    <w:rsid w:val="00824EA9"/>
    <w:rsid w:val="008321F5"/>
    <w:rsid w:val="00832369"/>
    <w:rsid w:val="00832BF0"/>
    <w:rsid w:val="00834660"/>
    <w:rsid w:val="00836B36"/>
    <w:rsid w:val="00836BC2"/>
    <w:rsid w:val="008373E3"/>
    <w:rsid w:val="0084057E"/>
    <w:rsid w:val="008414A0"/>
    <w:rsid w:val="00845B79"/>
    <w:rsid w:val="0085641B"/>
    <w:rsid w:val="00857136"/>
    <w:rsid w:val="00876927"/>
    <w:rsid w:val="00883C83"/>
    <w:rsid w:val="00886D15"/>
    <w:rsid w:val="00887DD8"/>
    <w:rsid w:val="00896018"/>
    <w:rsid w:val="008960DD"/>
    <w:rsid w:val="0089635C"/>
    <w:rsid w:val="008A2B9D"/>
    <w:rsid w:val="008A5E0B"/>
    <w:rsid w:val="008A611A"/>
    <w:rsid w:val="008A6D59"/>
    <w:rsid w:val="008B4B03"/>
    <w:rsid w:val="008B596F"/>
    <w:rsid w:val="008B5A3E"/>
    <w:rsid w:val="008B705E"/>
    <w:rsid w:val="008B7DE6"/>
    <w:rsid w:val="008C159F"/>
    <w:rsid w:val="008C1623"/>
    <w:rsid w:val="008C1850"/>
    <w:rsid w:val="008C51A9"/>
    <w:rsid w:val="008D770F"/>
    <w:rsid w:val="008E7846"/>
    <w:rsid w:val="008F07F1"/>
    <w:rsid w:val="008F1CCC"/>
    <w:rsid w:val="008F2967"/>
    <w:rsid w:val="008F530A"/>
    <w:rsid w:val="008F6943"/>
    <w:rsid w:val="00902A21"/>
    <w:rsid w:val="009117BC"/>
    <w:rsid w:val="009150B9"/>
    <w:rsid w:val="00920330"/>
    <w:rsid w:val="009219D7"/>
    <w:rsid w:val="00922D53"/>
    <w:rsid w:val="00923B70"/>
    <w:rsid w:val="00924482"/>
    <w:rsid w:val="009245D2"/>
    <w:rsid w:val="00930237"/>
    <w:rsid w:val="00945E71"/>
    <w:rsid w:val="00946EA5"/>
    <w:rsid w:val="0095160F"/>
    <w:rsid w:val="00952151"/>
    <w:rsid w:val="00963C08"/>
    <w:rsid w:val="00983BCD"/>
    <w:rsid w:val="00985019"/>
    <w:rsid w:val="0098585A"/>
    <w:rsid w:val="0098669D"/>
    <w:rsid w:val="009866B5"/>
    <w:rsid w:val="009A0EC0"/>
    <w:rsid w:val="009A4CED"/>
    <w:rsid w:val="009A690D"/>
    <w:rsid w:val="009B1D12"/>
    <w:rsid w:val="009B416B"/>
    <w:rsid w:val="009C0CA0"/>
    <w:rsid w:val="009C4BD5"/>
    <w:rsid w:val="009D7B77"/>
    <w:rsid w:val="009E0BB0"/>
    <w:rsid w:val="009E1968"/>
    <w:rsid w:val="009E1A03"/>
    <w:rsid w:val="009E3FBB"/>
    <w:rsid w:val="00A102E4"/>
    <w:rsid w:val="00A12C42"/>
    <w:rsid w:val="00A14DF7"/>
    <w:rsid w:val="00A235D9"/>
    <w:rsid w:val="00A3246D"/>
    <w:rsid w:val="00A36FA7"/>
    <w:rsid w:val="00A42115"/>
    <w:rsid w:val="00A475B7"/>
    <w:rsid w:val="00A47AF7"/>
    <w:rsid w:val="00A47C3E"/>
    <w:rsid w:val="00A50226"/>
    <w:rsid w:val="00A54090"/>
    <w:rsid w:val="00A60BAD"/>
    <w:rsid w:val="00A964D1"/>
    <w:rsid w:val="00AA0ED0"/>
    <w:rsid w:val="00AA3499"/>
    <w:rsid w:val="00AC2B40"/>
    <w:rsid w:val="00AC2BB2"/>
    <w:rsid w:val="00AC2C3C"/>
    <w:rsid w:val="00AC512D"/>
    <w:rsid w:val="00AE01C2"/>
    <w:rsid w:val="00AE65EB"/>
    <w:rsid w:val="00AE67A7"/>
    <w:rsid w:val="00AF086C"/>
    <w:rsid w:val="00AF1D94"/>
    <w:rsid w:val="00AF60C5"/>
    <w:rsid w:val="00B009C6"/>
    <w:rsid w:val="00B01548"/>
    <w:rsid w:val="00B02208"/>
    <w:rsid w:val="00B13710"/>
    <w:rsid w:val="00B1425E"/>
    <w:rsid w:val="00B15927"/>
    <w:rsid w:val="00B2142E"/>
    <w:rsid w:val="00B21D29"/>
    <w:rsid w:val="00B25034"/>
    <w:rsid w:val="00B31038"/>
    <w:rsid w:val="00B33588"/>
    <w:rsid w:val="00B33863"/>
    <w:rsid w:val="00B37D17"/>
    <w:rsid w:val="00B40902"/>
    <w:rsid w:val="00B4175E"/>
    <w:rsid w:val="00B452CE"/>
    <w:rsid w:val="00B54C25"/>
    <w:rsid w:val="00B57E1D"/>
    <w:rsid w:val="00B61BE6"/>
    <w:rsid w:val="00B76B91"/>
    <w:rsid w:val="00B77EB1"/>
    <w:rsid w:val="00B811C6"/>
    <w:rsid w:val="00B85A87"/>
    <w:rsid w:val="00B92E08"/>
    <w:rsid w:val="00B96EBE"/>
    <w:rsid w:val="00BA3AC7"/>
    <w:rsid w:val="00BA58BD"/>
    <w:rsid w:val="00BB6A57"/>
    <w:rsid w:val="00BC622A"/>
    <w:rsid w:val="00BD45E3"/>
    <w:rsid w:val="00BE0A78"/>
    <w:rsid w:val="00BE3C3B"/>
    <w:rsid w:val="00BE6252"/>
    <w:rsid w:val="00BE79F0"/>
    <w:rsid w:val="00BF046D"/>
    <w:rsid w:val="00BF1190"/>
    <w:rsid w:val="00BF418F"/>
    <w:rsid w:val="00BF5D04"/>
    <w:rsid w:val="00C104B2"/>
    <w:rsid w:val="00C1164D"/>
    <w:rsid w:val="00C16861"/>
    <w:rsid w:val="00C207DE"/>
    <w:rsid w:val="00C22678"/>
    <w:rsid w:val="00C25606"/>
    <w:rsid w:val="00C30EAD"/>
    <w:rsid w:val="00C404A6"/>
    <w:rsid w:val="00C40A36"/>
    <w:rsid w:val="00C4143D"/>
    <w:rsid w:val="00C44419"/>
    <w:rsid w:val="00C45E7B"/>
    <w:rsid w:val="00C471B1"/>
    <w:rsid w:val="00C618F7"/>
    <w:rsid w:val="00C6316B"/>
    <w:rsid w:val="00C634A9"/>
    <w:rsid w:val="00C64586"/>
    <w:rsid w:val="00C70D53"/>
    <w:rsid w:val="00C73D0B"/>
    <w:rsid w:val="00C772FF"/>
    <w:rsid w:val="00C801AF"/>
    <w:rsid w:val="00C80256"/>
    <w:rsid w:val="00C811C0"/>
    <w:rsid w:val="00C833C6"/>
    <w:rsid w:val="00C864E7"/>
    <w:rsid w:val="00CB017B"/>
    <w:rsid w:val="00CB6BC0"/>
    <w:rsid w:val="00CC1B7C"/>
    <w:rsid w:val="00CC4A71"/>
    <w:rsid w:val="00CC727F"/>
    <w:rsid w:val="00CC7CB9"/>
    <w:rsid w:val="00CE2B5B"/>
    <w:rsid w:val="00CF15C3"/>
    <w:rsid w:val="00CF2B6F"/>
    <w:rsid w:val="00CF58B6"/>
    <w:rsid w:val="00CF5AA9"/>
    <w:rsid w:val="00D004C9"/>
    <w:rsid w:val="00D017ED"/>
    <w:rsid w:val="00D0366D"/>
    <w:rsid w:val="00D040D3"/>
    <w:rsid w:val="00D04C65"/>
    <w:rsid w:val="00D076A9"/>
    <w:rsid w:val="00D224FE"/>
    <w:rsid w:val="00D53A31"/>
    <w:rsid w:val="00D6493E"/>
    <w:rsid w:val="00D66264"/>
    <w:rsid w:val="00D7301E"/>
    <w:rsid w:val="00D756C7"/>
    <w:rsid w:val="00D80087"/>
    <w:rsid w:val="00D83AE1"/>
    <w:rsid w:val="00D855D4"/>
    <w:rsid w:val="00D93466"/>
    <w:rsid w:val="00D94D5D"/>
    <w:rsid w:val="00DA1124"/>
    <w:rsid w:val="00DB1610"/>
    <w:rsid w:val="00DB5567"/>
    <w:rsid w:val="00DB75B7"/>
    <w:rsid w:val="00DC18D7"/>
    <w:rsid w:val="00DC6E02"/>
    <w:rsid w:val="00DE02AE"/>
    <w:rsid w:val="00DF1D7F"/>
    <w:rsid w:val="00DF4BE4"/>
    <w:rsid w:val="00E02FB4"/>
    <w:rsid w:val="00E071F2"/>
    <w:rsid w:val="00E07F15"/>
    <w:rsid w:val="00E14000"/>
    <w:rsid w:val="00E20571"/>
    <w:rsid w:val="00E235F7"/>
    <w:rsid w:val="00E23659"/>
    <w:rsid w:val="00E239D4"/>
    <w:rsid w:val="00E26130"/>
    <w:rsid w:val="00E2741C"/>
    <w:rsid w:val="00E34F09"/>
    <w:rsid w:val="00E40B22"/>
    <w:rsid w:val="00E45619"/>
    <w:rsid w:val="00E4588F"/>
    <w:rsid w:val="00E46DA3"/>
    <w:rsid w:val="00E46E37"/>
    <w:rsid w:val="00E51BB1"/>
    <w:rsid w:val="00E624A5"/>
    <w:rsid w:val="00E7344E"/>
    <w:rsid w:val="00E81A5D"/>
    <w:rsid w:val="00E85A9A"/>
    <w:rsid w:val="00E86C9C"/>
    <w:rsid w:val="00E87CB3"/>
    <w:rsid w:val="00E936E3"/>
    <w:rsid w:val="00E97ACC"/>
    <w:rsid w:val="00EA4294"/>
    <w:rsid w:val="00EB0798"/>
    <w:rsid w:val="00EB135D"/>
    <w:rsid w:val="00EB40AD"/>
    <w:rsid w:val="00EB586E"/>
    <w:rsid w:val="00EB5FC8"/>
    <w:rsid w:val="00ED3CAD"/>
    <w:rsid w:val="00ED48DB"/>
    <w:rsid w:val="00ED5A41"/>
    <w:rsid w:val="00ED7EE6"/>
    <w:rsid w:val="00EE1785"/>
    <w:rsid w:val="00EE1DE8"/>
    <w:rsid w:val="00F033EC"/>
    <w:rsid w:val="00F03B1F"/>
    <w:rsid w:val="00F04F68"/>
    <w:rsid w:val="00F12670"/>
    <w:rsid w:val="00F13FDA"/>
    <w:rsid w:val="00F14B27"/>
    <w:rsid w:val="00F174CE"/>
    <w:rsid w:val="00F3148D"/>
    <w:rsid w:val="00F325C5"/>
    <w:rsid w:val="00F32FE0"/>
    <w:rsid w:val="00F35298"/>
    <w:rsid w:val="00F47333"/>
    <w:rsid w:val="00F47E37"/>
    <w:rsid w:val="00F53C07"/>
    <w:rsid w:val="00F543D2"/>
    <w:rsid w:val="00F54B65"/>
    <w:rsid w:val="00F640B6"/>
    <w:rsid w:val="00F76B36"/>
    <w:rsid w:val="00F80E40"/>
    <w:rsid w:val="00F848D9"/>
    <w:rsid w:val="00F95A99"/>
    <w:rsid w:val="00FA41B6"/>
    <w:rsid w:val="00FA5B82"/>
    <w:rsid w:val="00FA639E"/>
    <w:rsid w:val="00FC25E4"/>
    <w:rsid w:val="00FC2A6C"/>
    <w:rsid w:val="00FC4EF7"/>
    <w:rsid w:val="00FE1DEE"/>
    <w:rsid w:val="00FE5E96"/>
    <w:rsid w:val="00FF2126"/>
    <w:rsid w:val="00FF2D48"/>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bidi="lo-LA"/>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B017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31"/>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7219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NoSpacing">
    <w:name w:val="No Spacing"/>
    <w:uiPriority w:val="1"/>
    <w:qFormat/>
    <w:rsid w:val="00EE1785"/>
    <w:pPr>
      <w:spacing w:after="0" w:line="240" w:lineRule="auto"/>
    </w:pPr>
    <w:rPr>
      <w:rFonts w:ascii="Calibri" w:eastAsia="Calibri" w:hAnsi="Calibri" w:cs="Times New Roman"/>
    </w:rPr>
  </w:style>
  <w:style w:type="paragraph" w:styleId="FootnoteText">
    <w:name w:val="footnote text"/>
    <w:basedOn w:val="Normal"/>
    <w:link w:val="FootnoteTextChar"/>
    <w:uiPriority w:val="99"/>
    <w:unhideWhenUsed/>
    <w:rsid w:val="00CB017B"/>
    <w:pPr>
      <w:spacing w:before="0" w:after="0" w:line="240" w:lineRule="auto"/>
    </w:pPr>
    <w:rPr>
      <w:sz w:val="18"/>
      <w:szCs w:val="20"/>
    </w:rPr>
  </w:style>
  <w:style w:type="character" w:customStyle="1" w:styleId="FootnoteTextChar">
    <w:name w:val="Footnote Text Char"/>
    <w:basedOn w:val="DefaultParagraphFont"/>
    <w:link w:val="FootnoteText"/>
    <w:uiPriority w:val="99"/>
    <w:rsid w:val="00CB017B"/>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B57E1D"/>
    <w:rPr>
      <w:vertAlign w:val="superscript"/>
    </w:rPr>
  </w:style>
</w:styles>
</file>

<file path=word/webSettings.xml><?xml version="1.0" encoding="utf-8"?>
<w:webSettings xmlns:r="http://schemas.openxmlformats.org/officeDocument/2006/relationships" xmlns:w="http://schemas.openxmlformats.org/wordprocessingml/2006/main">
  <w:divs>
    <w:div w:id="9911318">
      <w:bodyDiv w:val="1"/>
      <w:marLeft w:val="0"/>
      <w:marRight w:val="0"/>
      <w:marTop w:val="0"/>
      <w:marBottom w:val="0"/>
      <w:divBdr>
        <w:top w:val="none" w:sz="0" w:space="0" w:color="auto"/>
        <w:left w:val="none" w:sz="0" w:space="0" w:color="auto"/>
        <w:bottom w:val="none" w:sz="0" w:space="0" w:color="auto"/>
        <w:right w:val="none" w:sz="0" w:space="0" w:color="auto"/>
      </w:divBdr>
    </w:div>
    <w:div w:id="35586542">
      <w:bodyDiv w:val="1"/>
      <w:marLeft w:val="0"/>
      <w:marRight w:val="0"/>
      <w:marTop w:val="0"/>
      <w:marBottom w:val="0"/>
      <w:divBdr>
        <w:top w:val="none" w:sz="0" w:space="0" w:color="auto"/>
        <w:left w:val="none" w:sz="0" w:space="0" w:color="auto"/>
        <w:bottom w:val="none" w:sz="0" w:space="0" w:color="auto"/>
        <w:right w:val="none" w:sz="0" w:space="0" w:color="auto"/>
      </w:divBdr>
    </w:div>
    <w:div w:id="192228357">
      <w:bodyDiv w:val="1"/>
      <w:marLeft w:val="0"/>
      <w:marRight w:val="0"/>
      <w:marTop w:val="0"/>
      <w:marBottom w:val="0"/>
      <w:divBdr>
        <w:top w:val="none" w:sz="0" w:space="0" w:color="auto"/>
        <w:left w:val="none" w:sz="0" w:space="0" w:color="auto"/>
        <w:bottom w:val="none" w:sz="0" w:space="0" w:color="auto"/>
        <w:right w:val="none" w:sz="0" w:space="0" w:color="auto"/>
      </w:divBdr>
    </w:div>
    <w:div w:id="580259931">
      <w:bodyDiv w:val="1"/>
      <w:marLeft w:val="0"/>
      <w:marRight w:val="0"/>
      <w:marTop w:val="0"/>
      <w:marBottom w:val="0"/>
      <w:divBdr>
        <w:top w:val="none" w:sz="0" w:space="0" w:color="auto"/>
        <w:left w:val="none" w:sz="0" w:space="0" w:color="auto"/>
        <w:bottom w:val="none" w:sz="0" w:space="0" w:color="auto"/>
        <w:right w:val="none" w:sz="0" w:space="0" w:color="auto"/>
      </w:divBdr>
    </w:div>
    <w:div w:id="733118452">
      <w:bodyDiv w:val="1"/>
      <w:marLeft w:val="0"/>
      <w:marRight w:val="0"/>
      <w:marTop w:val="0"/>
      <w:marBottom w:val="0"/>
      <w:divBdr>
        <w:top w:val="none" w:sz="0" w:space="0" w:color="auto"/>
        <w:left w:val="none" w:sz="0" w:space="0" w:color="auto"/>
        <w:bottom w:val="none" w:sz="0" w:space="0" w:color="auto"/>
        <w:right w:val="none" w:sz="0" w:space="0" w:color="auto"/>
      </w:divBdr>
    </w:div>
    <w:div w:id="822116155">
      <w:bodyDiv w:val="1"/>
      <w:marLeft w:val="0"/>
      <w:marRight w:val="0"/>
      <w:marTop w:val="0"/>
      <w:marBottom w:val="0"/>
      <w:divBdr>
        <w:top w:val="none" w:sz="0" w:space="0" w:color="auto"/>
        <w:left w:val="none" w:sz="0" w:space="0" w:color="auto"/>
        <w:bottom w:val="none" w:sz="0" w:space="0" w:color="auto"/>
        <w:right w:val="none" w:sz="0" w:space="0" w:color="auto"/>
      </w:divBdr>
    </w:div>
    <w:div w:id="1074475615">
      <w:bodyDiv w:val="1"/>
      <w:marLeft w:val="0"/>
      <w:marRight w:val="0"/>
      <w:marTop w:val="0"/>
      <w:marBottom w:val="0"/>
      <w:divBdr>
        <w:top w:val="none" w:sz="0" w:space="0" w:color="auto"/>
        <w:left w:val="none" w:sz="0" w:space="0" w:color="auto"/>
        <w:bottom w:val="none" w:sz="0" w:space="0" w:color="auto"/>
        <w:right w:val="none" w:sz="0" w:space="0" w:color="auto"/>
      </w:divBdr>
    </w:div>
    <w:div w:id="1095321642">
      <w:bodyDiv w:val="1"/>
      <w:marLeft w:val="0"/>
      <w:marRight w:val="0"/>
      <w:marTop w:val="0"/>
      <w:marBottom w:val="0"/>
      <w:divBdr>
        <w:top w:val="none" w:sz="0" w:space="0" w:color="auto"/>
        <w:left w:val="none" w:sz="0" w:space="0" w:color="auto"/>
        <w:bottom w:val="none" w:sz="0" w:space="0" w:color="auto"/>
        <w:right w:val="none" w:sz="0" w:space="0" w:color="auto"/>
      </w:divBdr>
    </w:div>
    <w:div w:id="1455253347">
      <w:bodyDiv w:val="1"/>
      <w:marLeft w:val="0"/>
      <w:marRight w:val="0"/>
      <w:marTop w:val="0"/>
      <w:marBottom w:val="0"/>
      <w:divBdr>
        <w:top w:val="none" w:sz="0" w:space="0" w:color="auto"/>
        <w:left w:val="none" w:sz="0" w:space="0" w:color="auto"/>
        <w:bottom w:val="none" w:sz="0" w:space="0" w:color="auto"/>
        <w:right w:val="none" w:sz="0" w:space="0" w:color="auto"/>
      </w:divBdr>
    </w:div>
    <w:div w:id="1477915000">
      <w:bodyDiv w:val="1"/>
      <w:marLeft w:val="0"/>
      <w:marRight w:val="0"/>
      <w:marTop w:val="0"/>
      <w:marBottom w:val="0"/>
      <w:divBdr>
        <w:top w:val="none" w:sz="0" w:space="0" w:color="auto"/>
        <w:left w:val="none" w:sz="0" w:space="0" w:color="auto"/>
        <w:bottom w:val="none" w:sz="0" w:space="0" w:color="auto"/>
        <w:right w:val="none" w:sz="0" w:space="0" w:color="auto"/>
      </w:divBdr>
    </w:div>
    <w:div w:id="1502966171">
      <w:bodyDiv w:val="1"/>
      <w:marLeft w:val="0"/>
      <w:marRight w:val="0"/>
      <w:marTop w:val="0"/>
      <w:marBottom w:val="0"/>
      <w:divBdr>
        <w:top w:val="none" w:sz="0" w:space="0" w:color="auto"/>
        <w:left w:val="none" w:sz="0" w:space="0" w:color="auto"/>
        <w:bottom w:val="none" w:sz="0" w:space="0" w:color="auto"/>
        <w:right w:val="none" w:sz="0" w:space="0" w:color="auto"/>
      </w:divBdr>
    </w:div>
    <w:div w:id="1532263349">
      <w:bodyDiv w:val="1"/>
      <w:marLeft w:val="0"/>
      <w:marRight w:val="0"/>
      <w:marTop w:val="0"/>
      <w:marBottom w:val="0"/>
      <w:divBdr>
        <w:top w:val="none" w:sz="0" w:space="0" w:color="auto"/>
        <w:left w:val="none" w:sz="0" w:space="0" w:color="auto"/>
        <w:bottom w:val="none" w:sz="0" w:space="0" w:color="auto"/>
        <w:right w:val="none" w:sz="0" w:space="0" w:color="auto"/>
      </w:divBdr>
    </w:div>
    <w:div w:id="1547520694">
      <w:bodyDiv w:val="1"/>
      <w:marLeft w:val="0"/>
      <w:marRight w:val="0"/>
      <w:marTop w:val="0"/>
      <w:marBottom w:val="0"/>
      <w:divBdr>
        <w:top w:val="none" w:sz="0" w:space="0" w:color="auto"/>
        <w:left w:val="none" w:sz="0" w:space="0" w:color="auto"/>
        <w:bottom w:val="none" w:sz="0" w:space="0" w:color="auto"/>
        <w:right w:val="none" w:sz="0" w:space="0" w:color="auto"/>
      </w:divBdr>
    </w:div>
    <w:div w:id="2037777806">
      <w:bodyDiv w:val="1"/>
      <w:marLeft w:val="0"/>
      <w:marRight w:val="0"/>
      <w:marTop w:val="0"/>
      <w:marBottom w:val="0"/>
      <w:divBdr>
        <w:top w:val="none" w:sz="0" w:space="0" w:color="auto"/>
        <w:left w:val="none" w:sz="0" w:space="0" w:color="auto"/>
        <w:bottom w:val="none" w:sz="0" w:space="0" w:color="auto"/>
        <w:right w:val="none" w:sz="0" w:space="0" w:color="auto"/>
      </w:divBdr>
    </w:div>
    <w:div w:id="212534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emf"/><Relationship Id="rId21" Type="http://schemas.openxmlformats.org/officeDocument/2006/relationships/image" Target="media/image5.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image" Target="media/image46.emf"/><Relationship Id="rId68"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2.emf"/><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image" Target="media/image44.emf"/><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3.emf"/><Relationship Id="rId65" Type="http://schemas.openxmlformats.org/officeDocument/2006/relationships/image" Target="media/image4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header" Target="header7.xml"/><Relationship Id="rId8" Type="http://schemas.openxmlformats.org/officeDocument/2006/relationships/hyperlink" Target="http://www.tga.gov.au" TargetMode="External"/><Relationship Id="rId51" Type="http://schemas.openxmlformats.org/officeDocument/2006/relationships/image" Target="media/image34.emf"/><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2.emf"/><Relationship Id="rId67" Type="http://schemas.openxmlformats.org/officeDocument/2006/relationships/footer" Target="footer5.xm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emf"/><Relationship Id="rId62" Type="http://schemas.openxmlformats.org/officeDocument/2006/relationships/image" Target="media/image45.emf"/><Relationship Id="rId7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footer6.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77E92-1878-43D3-8C93-3204E684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55</Pages>
  <Words>14447</Words>
  <Characters>82354</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Romidepsin</vt:lpstr>
    </vt:vector>
  </TitlesOfParts>
  <Company>Department of Health Therapeutic Goods Administration</Company>
  <LinksUpToDate>false</LinksUpToDate>
  <CharactersWithSpaces>96608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2. Extract from the Clinical Evaluation Report for Romidepsin</dc:title>
  <dc:subject>prescription medicine regulation</dc:subject>
  <dc:creator>Therapeutic Goods Administration</dc:creator>
  <cp:keywords>clinical, evaluation, report, medicine, assessment, regulation, australia, romidepsin, istodax, celgene</cp:keywords>
  <cp:lastModifiedBy>dixonj</cp:lastModifiedBy>
  <cp:revision>120</cp:revision>
  <cp:lastPrinted>2010-12-20T22:59:00Z</cp:lastPrinted>
  <dcterms:created xsi:type="dcterms:W3CDTF">2013-10-16T03:01:00Z</dcterms:created>
  <dcterms:modified xsi:type="dcterms:W3CDTF">2013-12-05T00:36:00Z</dcterms:modified>
</cp:coreProperties>
</file>