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3FBDF" w14:textId="77777777" w:rsidR="009F0D79" w:rsidRPr="00C53BA1" w:rsidRDefault="000A4718" w:rsidP="00604558">
      <w:pPr>
        <w:pStyle w:val="BayerBodyText-left"/>
      </w:pPr>
      <w:bookmarkStart w:id="0" w:name="_GoBack"/>
      <w:bookmarkEnd w:id="0"/>
      <w:r w:rsidRPr="00C53BA1">
        <w:t xml:space="preserve">AUSTRALIAN </w:t>
      </w:r>
      <w:r w:rsidR="009F0D79" w:rsidRPr="00C53BA1">
        <w:t>PRODUCT INFORMATION</w:t>
      </w:r>
    </w:p>
    <w:p w14:paraId="2BC25A74" w14:textId="77777777" w:rsidR="009F0D79" w:rsidRPr="00C53BA1" w:rsidRDefault="009F0D79" w:rsidP="00C53BA1">
      <w:pPr>
        <w:pStyle w:val="Caption"/>
        <w:jc w:val="center"/>
      </w:pPr>
      <w:r w:rsidRPr="00C53BA1">
        <w:t>XARELTO</w:t>
      </w:r>
      <w:r w:rsidR="001F081C" w:rsidRPr="00C53BA1">
        <w:rPr>
          <w:rFonts w:cs="Arial"/>
          <w:vertAlign w:val="superscript"/>
        </w:rPr>
        <w:t>®</w:t>
      </w:r>
      <w:r w:rsidRPr="00C53BA1">
        <w:rPr>
          <w:vertAlign w:val="superscript"/>
        </w:rPr>
        <w:t xml:space="preserve"> </w:t>
      </w:r>
      <w:r w:rsidRPr="00C53BA1">
        <w:t>(rivaroxaban)</w:t>
      </w:r>
    </w:p>
    <w:p w14:paraId="5A14CFB5" w14:textId="77777777" w:rsidR="00380D8E" w:rsidRPr="00A90FAB" w:rsidRDefault="00380D8E" w:rsidP="00380D8E"/>
    <w:p w14:paraId="6B713C1A" w14:textId="77777777" w:rsidR="00654C4C" w:rsidRPr="00BE31A8" w:rsidRDefault="00830A86" w:rsidP="00BE31A8">
      <w:pPr>
        <w:pStyle w:val="Heading1"/>
      </w:pPr>
      <w:r w:rsidRPr="00BE31A8">
        <w:t>NAME OF THE MEDICINE</w:t>
      </w:r>
    </w:p>
    <w:p w14:paraId="721B9A1E" w14:textId="77777777" w:rsidR="001D5269" w:rsidRPr="00830A86" w:rsidRDefault="001D5269" w:rsidP="00E90F26">
      <w:pPr>
        <w:pStyle w:val="BayerBodyTextFull"/>
      </w:pPr>
      <w:r w:rsidRPr="00830A86">
        <w:t>XARELTO</w:t>
      </w:r>
      <w:r w:rsidR="001F081C" w:rsidRPr="001F081C">
        <w:rPr>
          <w:rFonts w:cs="Arial"/>
          <w:vertAlign w:val="superscript"/>
        </w:rPr>
        <w:t>®</w:t>
      </w:r>
      <w:r w:rsidRPr="00830A86">
        <w:t xml:space="preserve"> (rivaroxaban) </w:t>
      </w:r>
    </w:p>
    <w:p w14:paraId="27F467A9" w14:textId="77777777" w:rsidR="00380D8E" w:rsidRPr="00A90FAB" w:rsidRDefault="00380D8E" w:rsidP="00E90F26">
      <w:pPr>
        <w:pStyle w:val="BayerBodyTextFull"/>
      </w:pPr>
    </w:p>
    <w:p w14:paraId="6639947C" w14:textId="77777777" w:rsidR="00380D8E" w:rsidRPr="00BE31A8" w:rsidRDefault="00380D8E" w:rsidP="00BE31A8">
      <w:pPr>
        <w:pStyle w:val="Heading1"/>
      </w:pPr>
      <w:r w:rsidRPr="00BE31A8">
        <w:t>QUALITATIVE AND QUANTITATIVE COMPOSITION</w:t>
      </w:r>
    </w:p>
    <w:p w14:paraId="4A024DEF" w14:textId="77777777" w:rsidR="00E90F26" w:rsidRDefault="00E90F26" w:rsidP="00E90F26">
      <w:pPr>
        <w:pStyle w:val="BayerBodyTextFull"/>
      </w:pPr>
      <w:r>
        <w:t>Each film-coated tablet of XARELTO</w:t>
      </w:r>
    </w:p>
    <w:p w14:paraId="5574B173" w14:textId="77777777" w:rsidR="00E90F26" w:rsidRDefault="00E90F26" w:rsidP="0043158B">
      <w:pPr>
        <w:pStyle w:val="BayerBodyTextFull"/>
        <w:numPr>
          <w:ilvl w:val="0"/>
          <w:numId w:val="21"/>
        </w:numPr>
      </w:pPr>
      <w:r>
        <w:t>2.5 mg contains 2.5 mg of rivaroxaban.</w:t>
      </w:r>
    </w:p>
    <w:p w14:paraId="78C86AA1" w14:textId="77777777" w:rsidR="00E90F26" w:rsidRDefault="00E90F26" w:rsidP="0043158B">
      <w:pPr>
        <w:pStyle w:val="BayerBodyTextFull"/>
        <w:numPr>
          <w:ilvl w:val="0"/>
          <w:numId w:val="21"/>
        </w:numPr>
      </w:pPr>
      <w:r>
        <w:t>10 mg contains 10 mg of rivaroxaban.</w:t>
      </w:r>
    </w:p>
    <w:p w14:paraId="3BAFAB3C" w14:textId="77777777" w:rsidR="00E90F26" w:rsidRDefault="00E90F26" w:rsidP="0043158B">
      <w:pPr>
        <w:pStyle w:val="BayerBodyTextFull"/>
        <w:numPr>
          <w:ilvl w:val="0"/>
          <w:numId w:val="21"/>
        </w:numPr>
      </w:pPr>
      <w:r>
        <w:t>15 mg contains 15 mg of rivaroxaban.</w:t>
      </w:r>
    </w:p>
    <w:p w14:paraId="5D48E34E" w14:textId="77777777" w:rsidR="00E90F26" w:rsidRDefault="00E90F26" w:rsidP="0043158B">
      <w:pPr>
        <w:pStyle w:val="BayerBodyTextFull"/>
        <w:numPr>
          <w:ilvl w:val="0"/>
          <w:numId w:val="21"/>
        </w:numPr>
      </w:pPr>
      <w:r>
        <w:t>20 mg conta</w:t>
      </w:r>
      <w:r w:rsidR="001B0DB2">
        <w:softHyphen/>
      </w:r>
      <w:r w:rsidR="001B0DB2">
        <w:softHyphen/>
      </w:r>
      <w:r>
        <w:t>ins 20 mg of rivaroxaban.</w:t>
      </w:r>
    </w:p>
    <w:p w14:paraId="01DAD211" w14:textId="77777777" w:rsidR="001F081C" w:rsidRDefault="001F081C" w:rsidP="00E90F26">
      <w:pPr>
        <w:pStyle w:val="BayerBodyTextFull"/>
      </w:pPr>
      <w:r>
        <w:t>Excipient with known effect</w:t>
      </w:r>
    </w:p>
    <w:p w14:paraId="42B99078" w14:textId="77777777" w:rsidR="001F081C" w:rsidRDefault="001F081C" w:rsidP="00E90F26">
      <w:pPr>
        <w:pStyle w:val="BayerBodyTextFull"/>
      </w:pPr>
      <w:r>
        <w:t>Each film-coated tablet of XARELTO</w:t>
      </w:r>
    </w:p>
    <w:p w14:paraId="63E83192" w14:textId="77777777" w:rsidR="001F081C" w:rsidRDefault="001F081C" w:rsidP="0043158B">
      <w:pPr>
        <w:pStyle w:val="BayerBodyTextFull"/>
        <w:numPr>
          <w:ilvl w:val="0"/>
          <w:numId w:val="20"/>
        </w:numPr>
      </w:pPr>
      <w:r>
        <w:t>2.5 mg contains 35.70 mg lactose (as monohydrate)</w:t>
      </w:r>
    </w:p>
    <w:p w14:paraId="5DC2A70C" w14:textId="77777777" w:rsidR="001F081C" w:rsidRDefault="001F081C" w:rsidP="0043158B">
      <w:pPr>
        <w:pStyle w:val="BayerBodyTextFull"/>
        <w:numPr>
          <w:ilvl w:val="0"/>
          <w:numId w:val="20"/>
        </w:numPr>
      </w:pPr>
      <w:r>
        <w:t>10 mg contains 27.9 mg lactose (as monohydrate)</w:t>
      </w:r>
    </w:p>
    <w:p w14:paraId="0F8F5E9D" w14:textId="77777777" w:rsidR="001F081C" w:rsidRDefault="001F081C" w:rsidP="0043158B">
      <w:pPr>
        <w:pStyle w:val="BayerBodyTextFull"/>
        <w:numPr>
          <w:ilvl w:val="0"/>
          <w:numId w:val="20"/>
        </w:numPr>
      </w:pPr>
      <w:r>
        <w:t>15 mg contains 25.4 mg lactose (as monohydrate)</w:t>
      </w:r>
    </w:p>
    <w:p w14:paraId="0A2D6C0E" w14:textId="77777777" w:rsidR="001F081C" w:rsidRDefault="001F081C" w:rsidP="0043158B">
      <w:pPr>
        <w:pStyle w:val="BayerBodyTextFull"/>
        <w:numPr>
          <w:ilvl w:val="0"/>
          <w:numId w:val="20"/>
        </w:numPr>
      </w:pPr>
      <w:r>
        <w:t>20 mg contains 22.9 mg lactose (as monohydrate)</w:t>
      </w:r>
    </w:p>
    <w:p w14:paraId="0B96FF59" w14:textId="77777777" w:rsidR="001F081C" w:rsidRPr="00C1226C" w:rsidRDefault="00A019A2" w:rsidP="00E90F26">
      <w:pPr>
        <w:pStyle w:val="BayerBodyTextFull"/>
        <w:rPr>
          <w:lang w:val="en-AU"/>
        </w:rPr>
      </w:pPr>
      <w:r>
        <w:t xml:space="preserve">See </w:t>
      </w:r>
      <w:r w:rsidR="00A810D1">
        <w:fldChar w:fldCharType="begin"/>
      </w:r>
      <w:r w:rsidR="00A810D1">
        <w:instrText xml:space="preserve"> REF _Ref522881962 \h </w:instrText>
      </w:r>
      <w:r w:rsidR="00A810D1">
        <w:fldChar w:fldCharType="separate"/>
      </w:r>
      <w:r w:rsidR="00C51DA4" w:rsidRPr="00AC51A2">
        <w:t xml:space="preserve">Information about excipients </w:t>
      </w:r>
      <w:r w:rsidR="00A810D1">
        <w:fldChar w:fldCharType="end"/>
      </w:r>
    </w:p>
    <w:p w14:paraId="3ACEBDE4" w14:textId="77777777" w:rsidR="003B731D" w:rsidRDefault="005C669E" w:rsidP="00E90F26">
      <w:pPr>
        <w:pStyle w:val="BayerBodyTextFull"/>
      </w:pPr>
      <w:r>
        <w:t xml:space="preserve">For the full list of excipients, see Section </w:t>
      </w:r>
      <w:r w:rsidR="00A810D1">
        <w:fldChar w:fldCharType="begin"/>
      </w:r>
      <w:r w:rsidR="00A810D1">
        <w:instrText xml:space="preserve"> REF _Ref522882032 \r \h </w:instrText>
      </w:r>
      <w:r w:rsidR="00A810D1">
        <w:fldChar w:fldCharType="separate"/>
      </w:r>
      <w:r w:rsidR="00C51DA4">
        <w:t>6.1</w:t>
      </w:r>
      <w:r w:rsidR="00A810D1">
        <w:fldChar w:fldCharType="end"/>
      </w:r>
      <w:r w:rsidR="00A810D1">
        <w:t xml:space="preserve"> </w:t>
      </w:r>
      <w:r w:rsidR="00A810D1">
        <w:fldChar w:fldCharType="begin"/>
      </w:r>
      <w:r w:rsidR="00A810D1">
        <w:instrText xml:space="preserve"> REF _Ref522882032 \h </w:instrText>
      </w:r>
      <w:r w:rsidR="00A810D1">
        <w:fldChar w:fldCharType="separate"/>
      </w:r>
      <w:r w:rsidR="00C51DA4" w:rsidRPr="000202B5">
        <w:t>List of Excipients</w:t>
      </w:r>
      <w:r w:rsidR="00A810D1">
        <w:fldChar w:fldCharType="end"/>
      </w:r>
      <w:r>
        <w:t>.</w:t>
      </w:r>
    </w:p>
    <w:p w14:paraId="2857B563" w14:textId="77777777" w:rsidR="005C669E" w:rsidRDefault="005C669E" w:rsidP="00E90F26">
      <w:pPr>
        <w:pStyle w:val="BayerBodyTextFull"/>
      </w:pPr>
    </w:p>
    <w:p w14:paraId="47D65D79" w14:textId="77777777" w:rsidR="00380D8E" w:rsidRPr="00BE31A8" w:rsidRDefault="00380D8E" w:rsidP="00BE31A8">
      <w:pPr>
        <w:pStyle w:val="Heading1"/>
      </w:pPr>
      <w:r w:rsidRPr="00BE31A8">
        <w:t>PHARMACEUTICAL FORM</w:t>
      </w:r>
    </w:p>
    <w:p w14:paraId="05CCC1E1" w14:textId="77777777" w:rsidR="0023107C" w:rsidRPr="0023107C" w:rsidRDefault="0023107C" w:rsidP="0023107C">
      <w:pPr>
        <w:pStyle w:val="BayerBodyTextFull"/>
        <w:rPr>
          <w:lang w:val="en-AU"/>
        </w:rPr>
      </w:pPr>
      <w:r w:rsidRPr="0023107C">
        <w:rPr>
          <w:lang w:val="en-AU"/>
        </w:rPr>
        <w:t>Film-coated (immediate release) tablet.</w:t>
      </w:r>
    </w:p>
    <w:p w14:paraId="145F8B50" w14:textId="35FBF509" w:rsidR="00680889" w:rsidRDefault="0023107C" w:rsidP="00D0333D">
      <w:pPr>
        <w:spacing w:before="120" w:after="240"/>
        <w:ind w:left="630" w:right="46"/>
        <w:jc w:val="both"/>
        <w:rPr>
          <w:rFonts w:cs="Arial"/>
          <w:szCs w:val="22"/>
        </w:rPr>
      </w:pPr>
      <w:r w:rsidRPr="0023107C">
        <w:rPr>
          <w:rFonts w:cs="Arial"/>
          <w:szCs w:val="22"/>
        </w:rPr>
        <w:t>XARELTO 2.5 mg – Light yellow, round biconvex tablets (6 mm diameter, 9 mm radius of curvature) marked with the BAYER-cross on one side and "2.5" and a triangle on the other side</w:t>
      </w:r>
      <w:r w:rsidR="00680889">
        <w:rPr>
          <w:rFonts w:cs="Arial"/>
          <w:szCs w:val="22"/>
        </w:rPr>
        <w:t>.</w:t>
      </w:r>
    </w:p>
    <w:p w14:paraId="30703BAE" w14:textId="4F37D275" w:rsidR="00663695" w:rsidRPr="002742BE" w:rsidRDefault="005F6704" w:rsidP="00293B91">
      <w:pPr>
        <w:tabs>
          <w:tab w:val="left" w:pos="360"/>
        </w:tabs>
        <w:spacing w:before="120" w:after="240"/>
        <w:ind w:left="630" w:right="46"/>
        <w:rPr>
          <w:rFonts w:cs="Arial"/>
          <w:noProof/>
          <w:szCs w:val="22"/>
        </w:rPr>
      </w:pPr>
      <w:r>
        <w:rPr>
          <w:rFonts w:cs="Arial"/>
          <w:szCs w:val="22"/>
        </w:rPr>
        <w:t>XARELTO</w:t>
      </w:r>
      <w:r w:rsidR="00663695" w:rsidRPr="002742BE">
        <w:rPr>
          <w:rFonts w:cs="Arial"/>
          <w:szCs w:val="22"/>
        </w:rPr>
        <w:t xml:space="preserve"> 10 mg </w:t>
      </w:r>
      <w:r w:rsidR="0023107C" w:rsidRPr="0023107C">
        <w:rPr>
          <w:rFonts w:cs="Arial"/>
          <w:szCs w:val="22"/>
        </w:rPr>
        <w:t>- Light red, round biconvex tablets (6 mm diameter, 9 mm radius of curvature) marked with the BAYER-cross on one side and "10" and a triangle on the other side</w:t>
      </w:r>
      <w:r w:rsidR="00B51875">
        <w:rPr>
          <w:rFonts w:cs="Arial"/>
          <w:szCs w:val="22"/>
        </w:rPr>
        <w:t>.</w:t>
      </w:r>
    </w:p>
    <w:p w14:paraId="5CAE3DDA" w14:textId="0C40BC33" w:rsidR="00663695" w:rsidRPr="002742BE" w:rsidRDefault="005F6704" w:rsidP="009A2EDE">
      <w:pPr>
        <w:tabs>
          <w:tab w:val="left" w:pos="360"/>
          <w:tab w:val="left" w:pos="450"/>
        </w:tabs>
        <w:spacing w:before="120" w:after="240"/>
        <w:ind w:left="630" w:right="46"/>
        <w:rPr>
          <w:rFonts w:cs="Arial"/>
          <w:szCs w:val="22"/>
        </w:rPr>
      </w:pPr>
      <w:r>
        <w:rPr>
          <w:rFonts w:cs="Arial"/>
          <w:szCs w:val="22"/>
        </w:rPr>
        <w:t>XARELTO</w:t>
      </w:r>
      <w:r w:rsidR="00663695" w:rsidRPr="002742BE">
        <w:rPr>
          <w:rFonts w:cs="Arial"/>
          <w:szCs w:val="22"/>
        </w:rPr>
        <w:t xml:space="preserve"> 15 mg - </w:t>
      </w:r>
      <w:r w:rsidR="00F35309" w:rsidRPr="00F35309">
        <w:rPr>
          <w:rFonts w:cs="Arial"/>
          <w:szCs w:val="22"/>
        </w:rPr>
        <w:t>Red, round biconvex tablets (6 mm diameter, 9 mm radius of curvature) marked with the BAYER cross on one side and “15” and a triangle on the other side.</w:t>
      </w:r>
    </w:p>
    <w:p w14:paraId="2387C484" w14:textId="48CDDCCB" w:rsidR="00663695" w:rsidRPr="002742BE" w:rsidRDefault="005F6704" w:rsidP="00293B91">
      <w:pPr>
        <w:tabs>
          <w:tab w:val="left" w:pos="360"/>
        </w:tabs>
        <w:spacing w:before="120" w:after="240"/>
        <w:ind w:left="630" w:right="46"/>
        <w:rPr>
          <w:rFonts w:cs="Arial"/>
          <w:szCs w:val="22"/>
        </w:rPr>
      </w:pPr>
      <w:r>
        <w:rPr>
          <w:rFonts w:cs="Arial"/>
          <w:szCs w:val="22"/>
        </w:rPr>
        <w:t>XARELTO</w:t>
      </w:r>
      <w:r w:rsidR="00663695" w:rsidRPr="002742BE">
        <w:rPr>
          <w:rFonts w:cs="Arial"/>
          <w:szCs w:val="22"/>
        </w:rPr>
        <w:t xml:space="preserve"> 20 mg </w:t>
      </w:r>
      <w:r w:rsidR="00F35309" w:rsidRPr="00F35309">
        <w:rPr>
          <w:rFonts w:cs="Arial"/>
          <w:szCs w:val="22"/>
        </w:rPr>
        <w:t>Brown-red, round biconvex tablets (6 mm diameter, 9 mm radius of curvature) marked with the BAYER-cross on one side and “20” and a triangle on the other side.</w:t>
      </w:r>
    </w:p>
    <w:p w14:paraId="42A3A69B" w14:textId="77777777" w:rsidR="00100151" w:rsidRDefault="00100151">
      <w:pPr>
        <w:rPr>
          <w:b/>
          <w:kern w:val="28"/>
          <w:sz w:val="24"/>
        </w:rPr>
      </w:pPr>
    </w:p>
    <w:p w14:paraId="1B3B65BF" w14:textId="77777777" w:rsidR="000548F3" w:rsidRPr="00BE31A8" w:rsidRDefault="000548F3" w:rsidP="00BE31A8">
      <w:pPr>
        <w:pStyle w:val="Heading1"/>
      </w:pPr>
      <w:bookmarkStart w:id="1" w:name="_Ref501605150"/>
      <w:r w:rsidRPr="00BE31A8">
        <w:lastRenderedPageBreak/>
        <w:t>CLINICAL PAR</w:t>
      </w:r>
      <w:r w:rsidR="003F6639" w:rsidRPr="00BE31A8">
        <w:t>T</w:t>
      </w:r>
      <w:r w:rsidRPr="00BE31A8">
        <w:t>ICULARS</w:t>
      </w:r>
      <w:bookmarkEnd w:id="1"/>
    </w:p>
    <w:p w14:paraId="50BB1745" w14:textId="77777777" w:rsidR="000548F3" w:rsidRPr="00AC51A2" w:rsidRDefault="00AC7F7E" w:rsidP="00AC51A2">
      <w:pPr>
        <w:pStyle w:val="Heading2"/>
      </w:pPr>
      <w:r w:rsidRPr="00AC51A2">
        <w:t xml:space="preserve">Therapeutic </w:t>
      </w:r>
      <w:r w:rsidR="003B25EB" w:rsidRPr="00AC51A2">
        <w:t>I</w:t>
      </w:r>
      <w:r w:rsidR="000548F3" w:rsidRPr="00AC51A2">
        <w:t>ndications</w:t>
      </w:r>
    </w:p>
    <w:p w14:paraId="34788576" w14:textId="77777777" w:rsidR="00663695" w:rsidRPr="002742BE" w:rsidRDefault="005F6704" w:rsidP="00293B91">
      <w:pPr>
        <w:spacing w:before="120" w:after="240"/>
        <w:ind w:right="46" w:firstLine="567"/>
        <w:rPr>
          <w:rFonts w:cs="Arial"/>
          <w:szCs w:val="22"/>
        </w:rPr>
      </w:pPr>
      <w:r>
        <w:rPr>
          <w:rFonts w:cs="Arial"/>
          <w:szCs w:val="22"/>
        </w:rPr>
        <w:t>XARELTO</w:t>
      </w:r>
      <w:r w:rsidR="00663695" w:rsidRPr="002742BE">
        <w:rPr>
          <w:rFonts w:cs="Arial"/>
          <w:szCs w:val="22"/>
        </w:rPr>
        <w:t xml:space="preserve"> is indicated for</w:t>
      </w:r>
      <w:r w:rsidR="00663695">
        <w:rPr>
          <w:rFonts w:cs="Arial"/>
          <w:szCs w:val="22"/>
        </w:rPr>
        <w:t>:</w:t>
      </w:r>
      <w:r w:rsidR="00663695" w:rsidRPr="002742BE">
        <w:rPr>
          <w:rFonts w:cs="Arial"/>
          <w:szCs w:val="22"/>
        </w:rPr>
        <w:t xml:space="preserve"> </w:t>
      </w:r>
    </w:p>
    <w:p w14:paraId="0EA4E014" w14:textId="77777777" w:rsidR="00663695" w:rsidRPr="00293B91" w:rsidRDefault="00663695" w:rsidP="0043158B">
      <w:pPr>
        <w:pStyle w:val="ListParagraph"/>
        <w:numPr>
          <w:ilvl w:val="0"/>
          <w:numId w:val="19"/>
        </w:numPr>
        <w:spacing w:before="120" w:after="120"/>
        <w:ind w:right="46"/>
        <w:rPr>
          <w:rFonts w:ascii="Arial" w:hAnsi="Arial" w:cs="Arial"/>
        </w:rPr>
      </w:pPr>
      <w:r w:rsidRPr="00293B91">
        <w:rPr>
          <w:rFonts w:ascii="Arial" w:hAnsi="Arial" w:cs="Arial"/>
        </w:rPr>
        <w:t>Prevention of venous thromboembolism (VTE) in adult patients who have undergone major orthopaedic surgery of the lower limbs (elective total hip replacement, treatment for up to 5 weeks; elective total knee replacement</w:t>
      </w:r>
      <w:r w:rsidR="009C3810" w:rsidRPr="00293B91">
        <w:rPr>
          <w:rFonts w:ascii="Arial" w:hAnsi="Arial" w:cs="Arial"/>
        </w:rPr>
        <w:t>, treatment for up to 2 weeks)</w:t>
      </w:r>
    </w:p>
    <w:p w14:paraId="66351B6E" w14:textId="77777777" w:rsidR="00663695" w:rsidRPr="00293B91" w:rsidRDefault="00663695" w:rsidP="0043158B">
      <w:pPr>
        <w:pStyle w:val="ListParagraph"/>
        <w:numPr>
          <w:ilvl w:val="0"/>
          <w:numId w:val="19"/>
        </w:numPr>
        <w:spacing w:before="120" w:after="120"/>
        <w:ind w:right="46"/>
        <w:rPr>
          <w:rFonts w:ascii="Arial" w:hAnsi="Arial" w:cs="Arial"/>
        </w:rPr>
      </w:pPr>
      <w:r w:rsidRPr="00293B91">
        <w:rPr>
          <w:rFonts w:ascii="Arial" w:hAnsi="Arial" w:cs="Arial"/>
        </w:rPr>
        <w:t>Prevention of stroke and systemic embolism in patients with non-valvular atrial fibrillation and at least one ad</w:t>
      </w:r>
      <w:r w:rsidR="009C3810" w:rsidRPr="00293B91">
        <w:rPr>
          <w:rFonts w:ascii="Arial" w:hAnsi="Arial" w:cs="Arial"/>
        </w:rPr>
        <w:t>ditional risk factor for stroke</w:t>
      </w:r>
    </w:p>
    <w:p w14:paraId="1E6A45B2" w14:textId="77777777" w:rsidR="00663695" w:rsidRPr="00293B91" w:rsidRDefault="00663695" w:rsidP="0043158B">
      <w:pPr>
        <w:pStyle w:val="ListParagraph"/>
        <w:numPr>
          <w:ilvl w:val="0"/>
          <w:numId w:val="19"/>
        </w:numPr>
        <w:spacing w:before="120" w:after="120"/>
        <w:ind w:right="46"/>
        <w:rPr>
          <w:rFonts w:ascii="Arial" w:hAnsi="Arial" w:cs="Arial"/>
        </w:rPr>
      </w:pPr>
      <w:r w:rsidRPr="00293B91">
        <w:rPr>
          <w:rFonts w:ascii="Arial" w:hAnsi="Arial" w:cs="Arial"/>
        </w:rPr>
        <w:t>Treatment of deep vein thrombosis (DVT) and pulmonary embolism (PE) and for the pre</w:t>
      </w:r>
      <w:r w:rsidR="009C3810" w:rsidRPr="00293B91">
        <w:rPr>
          <w:rFonts w:ascii="Arial" w:hAnsi="Arial" w:cs="Arial"/>
        </w:rPr>
        <w:t>vention of recurrent DVT and PE</w:t>
      </w:r>
    </w:p>
    <w:p w14:paraId="6E00855E" w14:textId="77777777" w:rsidR="00B6271C" w:rsidRPr="00B6271C" w:rsidRDefault="008F643B" w:rsidP="008F643B">
      <w:pPr>
        <w:spacing w:before="120" w:after="240"/>
        <w:ind w:right="46"/>
        <w:jc w:val="both"/>
        <w:rPr>
          <w:rFonts w:cs="Arial"/>
        </w:rPr>
      </w:pPr>
      <w:r>
        <w:rPr>
          <w:rFonts w:cs="Arial"/>
        </w:rPr>
        <w:t xml:space="preserve">       </w:t>
      </w:r>
      <w:r w:rsidR="00C24974" w:rsidRPr="00B6271C">
        <w:rPr>
          <w:rFonts w:cs="Arial"/>
        </w:rPr>
        <w:t xml:space="preserve">XARELTO, in combination with aspirin, is indicated for </w:t>
      </w:r>
    </w:p>
    <w:p w14:paraId="250960D5" w14:textId="38EAC33C" w:rsidR="003A7DDE" w:rsidRPr="00383365" w:rsidRDefault="00042F0F" w:rsidP="0043158B">
      <w:pPr>
        <w:pStyle w:val="ListParagraph"/>
        <w:numPr>
          <w:ilvl w:val="0"/>
          <w:numId w:val="19"/>
        </w:numPr>
        <w:rPr>
          <w:rFonts w:ascii="Arial" w:hAnsi="Arial" w:cs="Arial"/>
        </w:rPr>
      </w:pPr>
      <w:r w:rsidRPr="00042F0F">
        <w:rPr>
          <w:rFonts w:ascii="Arial" w:hAnsi="Arial" w:cs="Arial"/>
        </w:rPr>
        <w:t>the prevention of major cardiovascular events (composite of stroke, myocardial infarction and cardiovascular death) in patients with coronary artery disease (CAD) and/or peripheral artery disease (PAD)</w:t>
      </w:r>
      <w:r w:rsidR="007C6258">
        <w:rPr>
          <w:rFonts w:ascii="Arial" w:hAnsi="Arial" w:cs="Arial"/>
        </w:rPr>
        <w:t>.</w:t>
      </w:r>
    </w:p>
    <w:p w14:paraId="73D4A49E" w14:textId="77777777" w:rsidR="003A7DDE" w:rsidRPr="003A7DDE" w:rsidRDefault="003A7DDE" w:rsidP="00933E06">
      <w:pPr>
        <w:pStyle w:val="ListParagraph"/>
        <w:spacing w:before="120" w:after="240"/>
        <w:ind w:left="1080" w:right="46"/>
        <w:jc w:val="both"/>
        <w:rPr>
          <w:rFonts w:ascii="Arial" w:hAnsi="Arial" w:cs="Arial"/>
        </w:rPr>
      </w:pPr>
    </w:p>
    <w:p w14:paraId="3FBC280D" w14:textId="77777777" w:rsidR="000548F3" w:rsidRPr="00AC51A2" w:rsidRDefault="00792CC7" w:rsidP="00E80932">
      <w:pPr>
        <w:pStyle w:val="Heading2"/>
      </w:pPr>
      <w:bookmarkStart w:id="2" w:name="_Ref501602701"/>
      <w:r w:rsidRPr="00AC51A2">
        <w:t>DOSE AND METHOD OF ADMINISTRATION</w:t>
      </w:r>
      <w:bookmarkEnd w:id="2"/>
    </w:p>
    <w:p w14:paraId="30594EDE" w14:textId="77777777" w:rsidR="00184184" w:rsidRDefault="00184184" w:rsidP="00AC51A2">
      <w:pPr>
        <w:pStyle w:val="Heading3"/>
      </w:pPr>
      <w:bookmarkStart w:id="3" w:name="_Ref501571589"/>
      <w:r w:rsidRPr="00A90FAB">
        <w:t>Dos</w:t>
      </w:r>
      <w:r w:rsidR="00AC7F7E">
        <w:t>age</w:t>
      </w:r>
      <w:bookmarkEnd w:id="3"/>
    </w:p>
    <w:p w14:paraId="6D3373D0" w14:textId="77777777" w:rsidR="00DB7719" w:rsidRPr="00903B05" w:rsidRDefault="00DB7719" w:rsidP="005C669E">
      <w:pPr>
        <w:pStyle w:val="Quote"/>
        <w:ind w:left="630"/>
        <w:rPr>
          <w:b/>
          <w:szCs w:val="22"/>
        </w:rPr>
      </w:pPr>
      <w:r w:rsidRPr="00903B05">
        <w:rPr>
          <w:b/>
          <w:szCs w:val="22"/>
        </w:rPr>
        <w:t>VTE Prevention in total hip and knee replacement</w:t>
      </w:r>
    </w:p>
    <w:p w14:paraId="69EED23E" w14:textId="77777777" w:rsidR="00DB7719" w:rsidRPr="002742BE" w:rsidRDefault="00DB7719" w:rsidP="005C669E">
      <w:pPr>
        <w:spacing w:before="120" w:after="240"/>
        <w:ind w:left="630" w:right="46"/>
        <w:rPr>
          <w:rFonts w:cs="Arial"/>
          <w:szCs w:val="22"/>
        </w:rPr>
      </w:pPr>
      <w:r w:rsidRPr="002742BE">
        <w:rPr>
          <w:rFonts w:cs="Arial"/>
          <w:szCs w:val="22"/>
        </w:rPr>
        <w:t>The recommended</w:t>
      </w:r>
      <w:r w:rsidR="000550EB">
        <w:rPr>
          <w:rFonts w:cs="Arial"/>
          <w:szCs w:val="22"/>
        </w:rPr>
        <w:t xml:space="preserve"> </w:t>
      </w:r>
      <w:r w:rsidRPr="002742BE">
        <w:rPr>
          <w:rFonts w:cs="Arial"/>
          <w:szCs w:val="22"/>
        </w:rPr>
        <w:t xml:space="preserve">dose of </w:t>
      </w:r>
      <w:r w:rsidR="005F6704">
        <w:rPr>
          <w:rFonts w:cs="Arial"/>
          <w:szCs w:val="22"/>
        </w:rPr>
        <w:t>XARELTO</w:t>
      </w:r>
      <w:r w:rsidRPr="002742BE">
        <w:rPr>
          <w:rFonts w:cs="Arial"/>
          <w:szCs w:val="22"/>
        </w:rPr>
        <w:t xml:space="preserve"> for VTE prevention in major orthopaedic surgery of the lower limbs (elective total hip or knee replacement) is a</w:t>
      </w:r>
      <w:r w:rsidR="00144771">
        <w:rPr>
          <w:rFonts w:cs="Arial"/>
          <w:szCs w:val="22"/>
        </w:rPr>
        <w:t xml:space="preserve"> 10 mg tablet taken once daily.</w:t>
      </w:r>
    </w:p>
    <w:p w14:paraId="0A049315" w14:textId="77777777" w:rsidR="00DB7719" w:rsidRPr="002742BE" w:rsidRDefault="00DB7719" w:rsidP="005C669E">
      <w:pPr>
        <w:spacing w:before="120" w:after="240"/>
        <w:ind w:left="630" w:right="46"/>
        <w:rPr>
          <w:rFonts w:cs="Arial"/>
          <w:szCs w:val="22"/>
        </w:rPr>
      </w:pPr>
      <w:r w:rsidRPr="002742BE">
        <w:rPr>
          <w:rFonts w:cs="Arial"/>
          <w:szCs w:val="22"/>
        </w:rPr>
        <w:t>The i</w:t>
      </w:r>
      <w:r w:rsidR="00144771">
        <w:rPr>
          <w:rFonts w:cs="Arial"/>
          <w:szCs w:val="22"/>
        </w:rPr>
        <w:t xml:space="preserve">nitial dose should be taken 6 - </w:t>
      </w:r>
      <w:r w:rsidRPr="002742BE">
        <w:rPr>
          <w:rFonts w:cs="Arial"/>
          <w:szCs w:val="22"/>
        </w:rPr>
        <w:t>10 hours after surgery provided that ha</w:t>
      </w:r>
      <w:r w:rsidR="00144771">
        <w:rPr>
          <w:rFonts w:cs="Arial"/>
          <w:szCs w:val="22"/>
        </w:rPr>
        <w:t>emostasis has been established.</w:t>
      </w:r>
    </w:p>
    <w:p w14:paraId="6C8B3816" w14:textId="77777777" w:rsidR="00DB7719" w:rsidRPr="002742BE" w:rsidRDefault="00DB7719" w:rsidP="005C669E">
      <w:pPr>
        <w:spacing w:before="120" w:after="240"/>
        <w:ind w:left="630" w:right="46"/>
        <w:rPr>
          <w:rFonts w:cs="Arial"/>
          <w:szCs w:val="22"/>
        </w:rPr>
      </w:pPr>
      <w:r w:rsidRPr="002742BE">
        <w:rPr>
          <w:rFonts w:cs="Arial"/>
          <w:szCs w:val="22"/>
        </w:rPr>
        <w:t>The duration of treatment depends on the type of major orthopaedic sur</w:t>
      </w:r>
      <w:r w:rsidR="00144771">
        <w:rPr>
          <w:rFonts w:cs="Arial"/>
          <w:szCs w:val="22"/>
        </w:rPr>
        <w:t>gery.</w:t>
      </w:r>
    </w:p>
    <w:p w14:paraId="33F38B52" w14:textId="77777777" w:rsidR="00DB7719" w:rsidRPr="00DB7719" w:rsidRDefault="00DB7719" w:rsidP="0043158B">
      <w:pPr>
        <w:numPr>
          <w:ilvl w:val="0"/>
          <w:numId w:val="9"/>
        </w:numPr>
        <w:spacing w:before="120" w:after="240"/>
        <w:ind w:right="46"/>
        <w:rPr>
          <w:rFonts w:cs="Arial"/>
          <w:szCs w:val="22"/>
        </w:rPr>
      </w:pPr>
      <w:r w:rsidRPr="00DB7719">
        <w:rPr>
          <w:rFonts w:cs="Arial"/>
          <w:szCs w:val="22"/>
        </w:rPr>
        <w:t>For patients undergoing hip replacement surgery, a treatment duration of 5 weeks is recommended.</w:t>
      </w:r>
    </w:p>
    <w:p w14:paraId="21348ED9" w14:textId="77777777" w:rsidR="00DB7719" w:rsidRPr="00DB7719" w:rsidRDefault="00DB7719" w:rsidP="0043158B">
      <w:pPr>
        <w:numPr>
          <w:ilvl w:val="0"/>
          <w:numId w:val="9"/>
        </w:numPr>
        <w:tabs>
          <w:tab w:val="left" w:pos="8910"/>
        </w:tabs>
        <w:spacing w:before="120" w:after="240"/>
        <w:ind w:right="46"/>
        <w:rPr>
          <w:rFonts w:cs="Arial"/>
          <w:szCs w:val="22"/>
        </w:rPr>
      </w:pPr>
      <w:r w:rsidRPr="00DB7719">
        <w:rPr>
          <w:rFonts w:cs="Arial"/>
          <w:szCs w:val="22"/>
        </w:rPr>
        <w:t>For patients undergoing knee replacement surgery, a treatment duration of 2 weeks is recommended.</w:t>
      </w:r>
    </w:p>
    <w:p w14:paraId="7858EE4D" w14:textId="77777777" w:rsidR="00DB7719" w:rsidRPr="00DB7719" w:rsidRDefault="00DB7719" w:rsidP="005C669E">
      <w:pPr>
        <w:spacing w:before="120" w:after="240"/>
        <w:ind w:left="630" w:right="46"/>
        <w:rPr>
          <w:rFonts w:cs="Arial"/>
          <w:szCs w:val="22"/>
        </w:rPr>
      </w:pPr>
      <w:r w:rsidRPr="00DB7719">
        <w:rPr>
          <w:rFonts w:cs="Arial"/>
          <w:szCs w:val="22"/>
        </w:rPr>
        <w:t>Dose of 10 mg once daily and duration specified for each type of surgery is not to be exceeded.</w:t>
      </w:r>
    </w:p>
    <w:p w14:paraId="06BAE727" w14:textId="77777777" w:rsidR="00DB7719" w:rsidRPr="00903B05" w:rsidRDefault="00DB7719" w:rsidP="005C669E">
      <w:pPr>
        <w:pStyle w:val="Quote"/>
        <w:ind w:left="630"/>
        <w:rPr>
          <w:b/>
          <w:szCs w:val="22"/>
        </w:rPr>
      </w:pPr>
      <w:r w:rsidRPr="00903B05">
        <w:rPr>
          <w:b/>
          <w:szCs w:val="22"/>
        </w:rPr>
        <w:t>Stroke Prevention in Atrial Fibrillation</w:t>
      </w:r>
    </w:p>
    <w:p w14:paraId="4B427B4A" w14:textId="77777777" w:rsidR="00DB7719" w:rsidRPr="002742BE" w:rsidRDefault="00DB7719" w:rsidP="005C669E">
      <w:pPr>
        <w:spacing w:before="120" w:after="240"/>
        <w:ind w:left="630" w:right="46"/>
        <w:rPr>
          <w:rFonts w:cs="Arial"/>
          <w:szCs w:val="22"/>
        </w:rPr>
      </w:pPr>
      <w:r w:rsidRPr="002742BE">
        <w:rPr>
          <w:rFonts w:cs="Arial"/>
          <w:szCs w:val="22"/>
        </w:rPr>
        <w:t>The recommended dose is 20 mg once daily.</w:t>
      </w:r>
    </w:p>
    <w:p w14:paraId="5080A198" w14:textId="77777777" w:rsidR="00DB7719" w:rsidRPr="002742BE" w:rsidRDefault="00DB7719" w:rsidP="005C669E">
      <w:pPr>
        <w:spacing w:before="120" w:after="240"/>
        <w:ind w:left="630" w:right="46"/>
        <w:rPr>
          <w:rFonts w:cs="Arial"/>
          <w:szCs w:val="22"/>
        </w:rPr>
      </w:pPr>
      <w:r w:rsidRPr="002742BE">
        <w:rPr>
          <w:rFonts w:cs="Arial"/>
          <w:szCs w:val="22"/>
        </w:rPr>
        <w:t xml:space="preserve">For patients with moderate renal impairment (Creatinine clearance: 30 – 49 mL/min), one 15 mg tablet of </w:t>
      </w:r>
      <w:r w:rsidR="005F6704">
        <w:rPr>
          <w:rFonts w:cs="Arial"/>
          <w:szCs w:val="22"/>
        </w:rPr>
        <w:t>XARELTO</w:t>
      </w:r>
      <w:r w:rsidRPr="002742BE">
        <w:rPr>
          <w:rFonts w:cs="Arial"/>
          <w:szCs w:val="22"/>
        </w:rPr>
        <w:t xml:space="preserve"> should be taken once daily.</w:t>
      </w:r>
    </w:p>
    <w:p w14:paraId="71C42AA5" w14:textId="77777777" w:rsidR="005F08F0" w:rsidRDefault="00DB7719" w:rsidP="00903B05">
      <w:pPr>
        <w:spacing w:before="120" w:after="240"/>
        <w:ind w:left="630" w:right="46"/>
        <w:rPr>
          <w:rFonts w:cs="Arial"/>
          <w:szCs w:val="22"/>
        </w:rPr>
      </w:pPr>
      <w:r w:rsidRPr="00855A67">
        <w:rPr>
          <w:rFonts w:cs="Arial"/>
          <w:szCs w:val="22"/>
        </w:rPr>
        <w:lastRenderedPageBreak/>
        <w:t xml:space="preserve">Therapy with </w:t>
      </w:r>
      <w:r w:rsidR="005F6704">
        <w:rPr>
          <w:rFonts w:cs="Arial"/>
          <w:szCs w:val="22"/>
        </w:rPr>
        <w:t>XARELTO</w:t>
      </w:r>
      <w:r w:rsidRPr="00855A67">
        <w:rPr>
          <w:rFonts w:cs="Arial"/>
          <w:szCs w:val="22"/>
        </w:rPr>
        <w:t xml:space="preserve"> should be continued long term provided the benefit of prevention of stroke and systemic embolism </w:t>
      </w:r>
      <w:r>
        <w:rPr>
          <w:rFonts w:cs="Arial"/>
          <w:szCs w:val="22"/>
        </w:rPr>
        <w:t>outweighs the risk of bleeding.</w:t>
      </w:r>
    </w:p>
    <w:p w14:paraId="0DA4E166" w14:textId="77777777" w:rsidR="00921056" w:rsidRDefault="00921056" w:rsidP="005C669E">
      <w:pPr>
        <w:pStyle w:val="Quote"/>
        <w:ind w:left="630"/>
        <w:rPr>
          <w:b/>
          <w:szCs w:val="22"/>
        </w:rPr>
      </w:pPr>
      <w:r>
        <w:rPr>
          <w:b/>
          <w:szCs w:val="22"/>
        </w:rPr>
        <w:br w:type="page"/>
      </w:r>
    </w:p>
    <w:p w14:paraId="0967B770" w14:textId="77777777" w:rsidR="00DB7719" w:rsidRPr="00903B05" w:rsidRDefault="00DB7719" w:rsidP="005C669E">
      <w:pPr>
        <w:pStyle w:val="Quote"/>
        <w:ind w:left="630"/>
        <w:rPr>
          <w:b/>
          <w:szCs w:val="22"/>
        </w:rPr>
      </w:pPr>
      <w:r w:rsidRPr="00903B05">
        <w:rPr>
          <w:b/>
          <w:szCs w:val="22"/>
        </w:rPr>
        <w:lastRenderedPageBreak/>
        <w:t>Cardioversion</w:t>
      </w:r>
    </w:p>
    <w:p w14:paraId="6AF4EBB2" w14:textId="77777777" w:rsidR="00DB7719" w:rsidRPr="00D2547B" w:rsidRDefault="005F6704" w:rsidP="005C669E">
      <w:pPr>
        <w:spacing w:before="120" w:after="240"/>
        <w:ind w:left="630" w:right="46"/>
        <w:rPr>
          <w:rFonts w:cs="Arial"/>
          <w:szCs w:val="22"/>
        </w:rPr>
      </w:pPr>
      <w:r>
        <w:rPr>
          <w:rFonts w:cs="Arial"/>
          <w:szCs w:val="22"/>
        </w:rPr>
        <w:t>XARELTO</w:t>
      </w:r>
      <w:r w:rsidR="00DB7719" w:rsidRPr="00D2547B">
        <w:rPr>
          <w:rFonts w:cs="Arial"/>
          <w:szCs w:val="22"/>
        </w:rPr>
        <w:t xml:space="preserve"> can be initiated or continued in patients who may require cardioversion.</w:t>
      </w:r>
    </w:p>
    <w:p w14:paraId="51030BB7" w14:textId="77777777" w:rsidR="00DB7719" w:rsidRDefault="00DB7719" w:rsidP="005F08F0">
      <w:pPr>
        <w:pStyle w:val="BayerBodyText-left"/>
        <w:ind w:left="630"/>
        <w:jc w:val="left"/>
      </w:pPr>
      <w:r w:rsidRPr="00D2547B">
        <w:t xml:space="preserve">For </w:t>
      </w:r>
      <w:r w:rsidRPr="002F55F6">
        <w:t>TOE</w:t>
      </w:r>
      <w:r>
        <w:t>-</w:t>
      </w:r>
      <w:r w:rsidRPr="00D2547B">
        <w:t xml:space="preserve">guided cardioversion in patients not previously treated with anticoagulants, </w:t>
      </w:r>
      <w:r w:rsidR="005F6704">
        <w:t>XARELTO</w:t>
      </w:r>
      <w:r w:rsidRPr="00D2547B">
        <w:t xml:space="preserve"> treatment should be started at least 4 hours before cardioversion to ensure adequate anticoagulation (see</w:t>
      </w:r>
      <w:r w:rsidR="00E67857">
        <w:t xml:space="preserve"> Section 5.</w:t>
      </w:r>
      <w:r w:rsidR="00A810D1">
        <w:t>1</w:t>
      </w:r>
      <w:r w:rsidRPr="00D2547B">
        <w:t xml:space="preserve"> </w:t>
      </w:r>
      <w:r w:rsidR="00A810D1">
        <w:fldChar w:fldCharType="begin"/>
      </w:r>
      <w:r w:rsidR="00A810D1">
        <w:instrText xml:space="preserve"> REF _Ref522882098 \h </w:instrText>
      </w:r>
      <w:r w:rsidR="005F08F0">
        <w:instrText xml:space="preserve"> \* MERGEFORMAT </w:instrText>
      </w:r>
      <w:r w:rsidR="00A810D1">
        <w:fldChar w:fldCharType="separate"/>
      </w:r>
      <w:r w:rsidR="00C51DA4" w:rsidRPr="000202B5">
        <w:t>PHARMACODYNAMIC PROPERTIES</w:t>
      </w:r>
      <w:r w:rsidR="00A810D1">
        <w:fldChar w:fldCharType="end"/>
      </w:r>
      <w:r w:rsidR="00FD060F">
        <w:t xml:space="preserve"> </w:t>
      </w:r>
      <w:r w:rsidRPr="00792CC7">
        <w:t xml:space="preserve">and </w:t>
      </w:r>
      <w:r w:rsidR="00E67857" w:rsidRPr="00792CC7">
        <w:t>Section 5.</w:t>
      </w:r>
      <w:r w:rsidR="00A810D1">
        <w:t>2</w:t>
      </w:r>
      <w:r w:rsidR="00FD060F">
        <w:t xml:space="preserve"> </w:t>
      </w:r>
      <w:r w:rsidR="00A810D1">
        <w:fldChar w:fldCharType="begin"/>
      </w:r>
      <w:r w:rsidR="00A810D1">
        <w:instrText xml:space="preserve"> REF _Ref522882073 \h </w:instrText>
      </w:r>
      <w:r w:rsidR="005F08F0">
        <w:instrText xml:space="preserve"> \* MERGEFORMAT </w:instrText>
      </w:r>
      <w:r w:rsidR="00A810D1">
        <w:fldChar w:fldCharType="separate"/>
      </w:r>
      <w:r w:rsidR="00C51DA4" w:rsidRPr="000202B5">
        <w:t>PHARMACOKINETIC PROPERTIES</w:t>
      </w:r>
      <w:r w:rsidR="00A810D1">
        <w:fldChar w:fldCharType="end"/>
      </w:r>
      <w:r w:rsidR="00FD060F">
        <w:t>)</w:t>
      </w:r>
      <w:r w:rsidRPr="00D2547B">
        <w:t>.</w:t>
      </w:r>
    </w:p>
    <w:p w14:paraId="0513D046" w14:textId="77777777" w:rsidR="00921056" w:rsidRDefault="00921056" w:rsidP="005C669E">
      <w:pPr>
        <w:pStyle w:val="Quote"/>
        <w:ind w:left="630"/>
        <w:rPr>
          <w:b/>
          <w:szCs w:val="22"/>
        </w:rPr>
      </w:pPr>
    </w:p>
    <w:p w14:paraId="6429B06B" w14:textId="77777777" w:rsidR="00DB7719" w:rsidRPr="00903B05" w:rsidRDefault="00DB7719" w:rsidP="005C669E">
      <w:pPr>
        <w:pStyle w:val="Quote"/>
        <w:ind w:left="630"/>
        <w:rPr>
          <w:b/>
          <w:szCs w:val="22"/>
        </w:rPr>
      </w:pPr>
      <w:r w:rsidRPr="00903B05">
        <w:rPr>
          <w:b/>
          <w:szCs w:val="22"/>
        </w:rPr>
        <w:t>Treatment of DVT and PE and prevention of recurrent DVT and PE</w:t>
      </w:r>
    </w:p>
    <w:p w14:paraId="2E61F268" w14:textId="77777777" w:rsidR="00DB7719" w:rsidRPr="002742BE" w:rsidRDefault="00DB7719" w:rsidP="005C669E">
      <w:pPr>
        <w:spacing w:before="120" w:after="240"/>
        <w:ind w:left="630" w:right="46"/>
        <w:rPr>
          <w:rFonts w:cs="Arial"/>
          <w:szCs w:val="22"/>
        </w:rPr>
      </w:pPr>
      <w:r w:rsidRPr="002742BE">
        <w:rPr>
          <w:rFonts w:cs="Arial"/>
          <w:szCs w:val="22"/>
        </w:rPr>
        <w:t xml:space="preserve">The recommended dose for the initial treatment of acute DVT and PE is 15 mg </w:t>
      </w:r>
      <w:r w:rsidR="005F6704">
        <w:rPr>
          <w:rFonts w:cs="Arial"/>
          <w:szCs w:val="22"/>
        </w:rPr>
        <w:t>XARELTO</w:t>
      </w:r>
      <w:r w:rsidRPr="002742BE">
        <w:rPr>
          <w:rFonts w:cs="Arial"/>
          <w:szCs w:val="22"/>
        </w:rPr>
        <w:t xml:space="preserve"> </w:t>
      </w:r>
      <w:r w:rsidRPr="00903B05">
        <w:rPr>
          <w:rFonts w:cs="Arial"/>
          <w:b/>
          <w:szCs w:val="22"/>
        </w:rPr>
        <w:t>twice daily</w:t>
      </w:r>
      <w:r w:rsidRPr="002742BE">
        <w:rPr>
          <w:rFonts w:cs="Arial"/>
          <w:szCs w:val="22"/>
        </w:rPr>
        <w:t xml:space="preserve"> for the first three weeks followed by 20 mg </w:t>
      </w:r>
      <w:r w:rsidR="005F6704">
        <w:rPr>
          <w:rFonts w:cs="Arial"/>
          <w:szCs w:val="22"/>
        </w:rPr>
        <w:t>XARELTO</w:t>
      </w:r>
      <w:r w:rsidRPr="002742BE">
        <w:rPr>
          <w:rFonts w:cs="Arial"/>
          <w:szCs w:val="22"/>
        </w:rPr>
        <w:t xml:space="preserve"> </w:t>
      </w:r>
      <w:r w:rsidRPr="00903B05">
        <w:rPr>
          <w:rFonts w:cs="Arial"/>
          <w:b/>
          <w:szCs w:val="22"/>
        </w:rPr>
        <w:t>once daily</w:t>
      </w:r>
      <w:r w:rsidRPr="002742BE">
        <w:rPr>
          <w:rFonts w:cs="Arial"/>
          <w:szCs w:val="22"/>
        </w:rPr>
        <w:t xml:space="preserve"> for the continued treatment and the prevention of recurrent DVT and PE.</w:t>
      </w:r>
    </w:p>
    <w:p w14:paraId="7E9D4B15" w14:textId="77777777" w:rsidR="00DB7719" w:rsidRPr="002742BE" w:rsidRDefault="00DB7719" w:rsidP="005C669E">
      <w:pPr>
        <w:spacing w:before="120" w:after="240"/>
        <w:ind w:left="630" w:right="46"/>
        <w:rPr>
          <w:rFonts w:cs="Arial"/>
          <w:szCs w:val="22"/>
        </w:rPr>
      </w:pPr>
      <w:r>
        <w:rPr>
          <w:rFonts w:cs="Arial"/>
          <w:szCs w:val="22"/>
        </w:rPr>
        <w:t xml:space="preserve">During the initial 3 weeks of acute treatment 15 </w:t>
      </w:r>
      <w:r w:rsidRPr="002742BE">
        <w:rPr>
          <w:rFonts w:cs="Arial"/>
          <w:szCs w:val="22"/>
        </w:rPr>
        <w:t xml:space="preserve">mg of </w:t>
      </w:r>
      <w:r w:rsidR="005F6704">
        <w:rPr>
          <w:rFonts w:cs="Arial"/>
          <w:szCs w:val="22"/>
        </w:rPr>
        <w:t>XARELTO</w:t>
      </w:r>
      <w:r w:rsidRPr="002742BE">
        <w:rPr>
          <w:rFonts w:cs="Arial"/>
          <w:szCs w:val="22"/>
        </w:rPr>
        <w:t xml:space="preserve"> should be taken twice daily.</w:t>
      </w:r>
    </w:p>
    <w:p w14:paraId="73565385" w14:textId="77777777" w:rsidR="00903B05" w:rsidRDefault="00DB7719" w:rsidP="005C669E">
      <w:pPr>
        <w:spacing w:before="120" w:after="240"/>
        <w:ind w:left="630" w:right="46"/>
        <w:rPr>
          <w:rFonts w:cs="Arial"/>
          <w:szCs w:val="22"/>
        </w:rPr>
      </w:pPr>
      <w:r>
        <w:rPr>
          <w:rFonts w:cs="Arial"/>
          <w:szCs w:val="22"/>
        </w:rPr>
        <w:t xml:space="preserve">After the initial 3 </w:t>
      </w:r>
      <w:r w:rsidRPr="002742BE">
        <w:rPr>
          <w:rFonts w:cs="Arial"/>
          <w:szCs w:val="22"/>
        </w:rPr>
        <w:t xml:space="preserve">weeks treatment </w:t>
      </w:r>
      <w:r w:rsidR="005F6704">
        <w:rPr>
          <w:rFonts w:cs="Arial"/>
          <w:szCs w:val="22"/>
        </w:rPr>
        <w:t>XARELTO</w:t>
      </w:r>
      <w:r>
        <w:rPr>
          <w:rFonts w:cs="Arial"/>
          <w:szCs w:val="22"/>
        </w:rPr>
        <w:t xml:space="preserve"> should be continued at 20 </w:t>
      </w:r>
      <w:r w:rsidRPr="002742BE">
        <w:rPr>
          <w:rFonts w:cs="Arial"/>
          <w:szCs w:val="22"/>
        </w:rPr>
        <w:t xml:space="preserve">mg once daily. </w:t>
      </w:r>
      <w:r>
        <w:rPr>
          <w:rFonts w:cs="Arial"/>
          <w:szCs w:val="22"/>
        </w:rPr>
        <w:t xml:space="preserve"> </w:t>
      </w:r>
      <w:r w:rsidRPr="002742BE">
        <w:rPr>
          <w:rFonts w:cs="Arial"/>
          <w:szCs w:val="22"/>
        </w:rPr>
        <w:t xml:space="preserve">Therapy should be continued as long as the VTE risk persists. </w:t>
      </w:r>
      <w:r>
        <w:rPr>
          <w:rFonts w:cs="Arial"/>
          <w:szCs w:val="22"/>
        </w:rPr>
        <w:t xml:space="preserve"> </w:t>
      </w:r>
      <w:r w:rsidRPr="002742BE">
        <w:rPr>
          <w:rFonts w:cs="Arial"/>
          <w:szCs w:val="22"/>
        </w:rPr>
        <w:t xml:space="preserve">The duration of therapy should be individualised after careful assessment of the treatment benefit against the risk for bleeding. </w:t>
      </w:r>
    </w:p>
    <w:p w14:paraId="51CF0EED" w14:textId="77777777" w:rsidR="007B109A" w:rsidRDefault="00903B05" w:rsidP="00903B05">
      <w:pPr>
        <w:spacing w:before="120" w:after="240"/>
        <w:ind w:left="630" w:right="46"/>
        <w:rPr>
          <w:rFonts w:cs="Arial"/>
          <w:szCs w:val="22"/>
        </w:rPr>
      </w:pPr>
      <w:r w:rsidRPr="00903B05">
        <w:rPr>
          <w:rFonts w:cs="Arial"/>
          <w:szCs w:val="22"/>
        </w:rPr>
        <w:t>Following completion of six to twelve months therapy, based on an individual assessment of the risk of recurrent DVT or PE against the risk for bleeding, dose reduction to 10 mg Xarelto once daily may be considered.</w:t>
      </w:r>
    </w:p>
    <w:p w14:paraId="33591CCB" w14:textId="77777777" w:rsidR="00C24974" w:rsidRPr="00250BEE" w:rsidRDefault="00C24974" w:rsidP="00250BEE">
      <w:pPr>
        <w:pStyle w:val="Quote"/>
        <w:ind w:left="630"/>
        <w:rPr>
          <w:b/>
          <w:szCs w:val="22"/>
        </w:rPr>
      </w:pPr>
      <w:r w:rsidRPr="00250BEE">
        <w:rPr>
          <w:b/>
          <w:szCs w:val="22"/>
        </w:rPr>
        <w:t>Coronary artery disease (CAD) and/or peripheral artery disease (PAD)</w:t>
      </w:r>
      <w:r w:rsidR="009675FA" w:rsidRPr="00250BEE">
        <w:rPr>
          <w:b/>
          <w:szCs w:val="22"/>
        </w:rPr>
        <w:t>.</w:t>
      </w:r>
    </w:p>
    <w:p w14:paraId="7CB2673E" w14:textId="3BFBF2E1" w:rsidR="00C24974" w:rsidRPr="000550EB" w:rsidRDefault="00C24974" w:rsidP="0067576F">
      <w:pPr>
        <w:spacing w:before="120" w:after="240"/>
        <w:ind w:left="630" w:right="46"/>
        <w:jc w:val="both"/>
        <w:rPr>
          <w:rFonts w:cs="Arial"/>
          <w:szCs w:val="22"/>
        </w:rPr>
      </w:pPr>
      <w:r w:rsidRPr="000550EB">
        <w:rPr>
          <w:rFonts w:cs="Arial"/>
          <w:szCs w:val="22"/>
        </w:rPr>
        <w:t>The recommended dos</w:t>
      </w:r>
      <w:r w:rsidR="00A55575">
        <w:rPr>
          <w:rFonts w:cs="Arial"/>
          <w:szCs w:val="22"/>
        </w:rPr>
        <w:t>e</w:t>
      </w:r>
      <w:r w:rsidR="00791CB5">
        <w:rPr>
          <w:rFonts w:cs="Arial"/>
          <w:szCs w:val="22"/>
        </w:rPr>
        <w:t xml:space="preserve"> </w:t>
      </w:r>
      <w:r w:rsidR="0067576F" w:rsidRPr="0067576F">
        <w:rPr>
          <w:rFonts w:cs="Arial"/>
          <w:szCs w:val="22"/>
        </w:rPr>
        <w:t>for the</w:t>
      </w:r>
      <w:r w:rsidR="0067576F">
        <w:rPr>
          <w:rFonts w:cs="Arial"/>
          <w:szCs w:val="22"/>
        </w:rPr>
        <w:t xml:space="preserve"> </w:t>
      </w:r>
      <w:r w:rsidR="0067576F" w:rsidRPr="0067576F">
        <w:rPr>
          <w:rFonts w:cs="Arial"/>
          <w:szCs w:val="22"/>
        </w:rPr>
        <w:t>prevention of major cardiovascular events in patients with CAD and/or PAD</w:t>
      </w:r>
      <w:r w:rsidR="0067576F">
        <w:rPr>
          <w:rFonts w:cs="Arial"/>
          <w:szCs w:val="22"/>
        </w:rPr>
        <w:t xml:space="preserve"> </w:t>
      </w:r>
      <w:r w:rsidRPr="000550EB">
        <w:rPr>
          <w:rFonts w:cs="Arial"/>
          <w:szCs w:val="22"/>
        </w:rPr>
        <w:t>is one tablet of 2.5</w:t>
      </w:r>
      <w:r w:rsidR="00FD060F">
        <w:rPr>
          <w:rFonts w:cs="Arial"/>
          <w:szCs w:val="22"/>
        </w:rPr>
        <w:t xml:space="preserve"> </w:t>
      </w:r>
      <w:r w:rsidRPr="000550EB">
        <w:rPr>
          <w:rFonts w:cs="Arial"/>
          <w:szCs w:val="22"/>
        </w:rPr>
        <w:t xml:space="preserve">mg </w:t>
      </w:r>
      <w:r>
        <w:rPr>
          <w:rFonts w:cs="Arial"/>
          <w:szCs w:val="22"/>
        </w:rPr>
        <w:t>XARELTO</w:t>
      </w:r>
      <w:r w:rsidRPr="000550EB">
        <w:rPr>
          <w:rFonts w:cs="Arial"/>
          <w:szCs w:val="22"/>
        </w:rPr>
        <w:t xml:space="preserve"> twice daily in co</w:t>
      </w:r>
      <w:r>
        <w:rPr>
          <w:rFonts w:cs="Arial"/>
          <w:szCs w:val="22"/>
        </w:rPr>
        <w:t xml:space="preserve">mbination with a daily dose of </w:t>
      </w:r>
      <w:r w:rsidRPr="000550EB">
        <w:rPr>
          <w:rFonts w:cs="Arial"/>
          <w:szCs w:val="22"/>
        </w:rPr>
        <w:t xml:space="preserve">100 mg </w:t>
      </w:r>
      <w:r>
        <w:rPr>
          <w:rFonts w:cs="Arial"/>
          <w:szCs w:val="22"/>
        </w:rPr>
        <w:t xml:space="preserve">aspirin. </w:t>
      </w:r>
    </w:p>
    <w:p w14:paraId="632FAB02" w14:textId="77777777" w:rsidR="00C24974" w:rsidRDefault="00C24974" w:rsidP="00DA2FE4">
      <w:pPr>
        <w:pStyle w:val="BayerBodyText-left"/>
        <w:ind w:left="630"/>
        <w:jc w:val="left"/>
      </w:pPr>
      <w:r>
        <w:t xml:space="preserve">In patients with CAD and/or PAD, XARELTO 2.5 mg twice daily is not indicated in </w:t>
      </w:r>
      <w:r w:rsidR="00DA2FE4">
        <w:t xml:space="preserve">  </w:t>
      </w:r>
      <w:r>
        <w:t>combination with dual antiplatelet therapy</w:t>
      </w:r>
      <w:r w:rsidRPr="00F446ED">
        <w:t xml:space="preserve"> (see</w:t>
      </w:r>
      <w:r w:rsidR="00FD060F">
        <w:t xml:space="preserve"> Section 5.1 </w:t>
      </w:r>
      <w:r w:rsidR="00A019A2">
        <w:fldChar w:fldCharType="begin"/>
      </w:r>
      <w:r w:rsidR="00A019A2">
        <w:instrText xml:space="preserve"> REF _Ref522882098 \h </w:instrText>
      </w:r>
      <w:r w:rsidR="00A019A2">
        <w:fldChar w:fldCharType="separate"/>
      </w:r>
      <w:r w:rsidR="00C51DA4" w:rsidRPr="000202B5">
        <w:t>PHARMACODYNAMIC PROPERTIES</w:t>
      </w:r>
      <w:r w:rsidR="00A019A2">
        <w:fldChar w:fldCharType="end"/>
      </w:r>
      <w:r w:rsidR="00921056">
        <w:t>.</w:t>
      </w:r>
    </w:p>
    <w:p w14:paraId="34C24B3D" w14:textId="0E042D04" w:rsidR="00C24974" w:rsidRDefault="00162518" w:rsidP="005C669E">
      <w:pPr>
        <w:spacing w:before="120" w:after="240"/>
        <w:ind w:left="630" w:right="46"/>
        <w:rPr>
          <w:rFonts w:cs="Arial"/>
          <w:i/>
          <w:szCs w:val="22"/>
        </w:rPr>
      </w:pPr>
      <w:r w:rsidRPr="00162518">
        <w:rPr>
          <w:rFonts w:cs="Arial"/>
          <w:szCs w:val="22"/>
        </w:rPr>
        <w:t xml:space="preserve">Duration of treatment should be determined for each individual patient based on </w:t>
      </w:r>
      <w:r w:rsidR="00BE2755">
        <w:rPr>
          <w:rFonts w:cs="Arial"/>
          <w:szCs w:val="22"/>
        </w:rPr>
        <w:t>r</w:t>
      </w:r>
      <w:r w:rsidRPr="00162518">
        <w:rPr>
          <w:rFonts w:cs="Arial"/>
          <w:szCs w:val="22"/>
        </w:rPr>
        <w:t>egular evaluations and should consider the risk for thrombotic events versus the bleeding risks.</w:t>
      </w:r>
    </w:p>
    <w:p w14:paraId="1CCD33C9" w14:textId="77777777" w:rsidR="007C61C6" w:rsidRPr="00250BEE" w:rsidRDefault="007C61C6" w:rsidP="00250BEE">
      <w:pPr>
        <w:pStyle w:val="Quote"/>
        <w:ind w:left="630"/>
        <w:rPr>
          <w:b/>
          <w:i w:val="0"/>
          <w:szCs w:val="22"/>
        </w:rPr>
      </w:pPr>
      <w:r w:rsidRPr="00250BEE">
        <w:rPr>
          <w:b/>
          <w:i w:val="0"/>
          <w:szCs w:val="22"/>
        </w:rPr>
        <w:t>Method of administration</w:t>
      </w:r>
    </w:p>
    <w:p w14:paraId="07486A95" w14:textId="2A54CE37" w:rsidR="007C61C6" w:rsidRDefault="007C61C6" w:rsidP="00E90F26">
      <w:pPr>
        <w:pStyle w:val="BayerBodyTextFull"/>
      </w:pPr>
      <w:r>
        <w:rPr>
          <w:noProof/>
        </w:rPr>
        <w:t>XARELTO</w:t>
      </w:r>
      <w:r w:rsidR="00C24974">
        <w:rPr>
          <w:noProof/>
        </w:rPr>
        <w:t xml:space="preserve"> 2.5 mg tablets and</w:t>
      </w:r>
      <w:r>
        <w:rPr>
          <w:noProof/>
        </w:rPr>
        <w:t xml:space="preserve"> 10 mg</w:t>
      </w:r>
      <w:r w:rsidRPr="002742BE">
        <w:rPr>
          <w:noProof/>
        </w:rPr>
        <w:t xml:space="preserve"> </w:t>
      </w:r>
      <w:r>
        <w:rPr>
          <w:noProof/>
        </w:rPr>
        <w:t xml:space="preserve">tablets </w:t>
      </w:r>
      <w:r w:rsidRPr="002742BE">
        <w:rPr>
          <w:noProof/>
        </w:rPr>
        <w:t>may be taken with or without food</w:t>
      </w:r>
      <w:r>
        <w:rPr>
          <w:noProof/>
        </w:rPr>
        <w:t xml:space="preserve"> </w:t>
      </w:r>
      <w:r>
        <w:t>(see</w:t>
      </w:r>
      <w:r w:rsidR="00E67857">
        <w:t xml:space="preserve"> Section 5.2</w:t>
      </w:r>
      <w:r>
        <w:t xml:space="preserve"> </w:t>
      </w:r>
      <w:r w:rsidR="00A810D1">
        <w:fldChar w:fldCharType="begin"/>
      </w:r>
      <w:r w:rsidR="00A810D1">
        <w:instrText xml:space="preserve"> REF _Ref522882073 \h </w:instrText>
      </w:r>
      <w:r w:rsidR="00A810D1">
        <w:fldChar w:fldCharType="separate"/>
      </w:r>
      <w:r w:rsidR="00C51DA4" w:rsidRPr="000202B5">
        <w:t>PHARMACOKINETIC PROPERTIES</w:t>
      </w:r>
      <w:r w:rsidR="00A810D1">
        <w:fldChar w:fldCharType="end"/>
      </w:r>
      <w:r w:rsidRPr="00792CC7">
        <w:t>)</w:t>
      </w:r>
      <w:r w:rsidRPr="00792CC7">
        <w:rPr>
          <w:noProof/>
        </w:rPr>
        <w:t xml:space="preserve">.  </w:t>
      </w:r>
      <w:r w:rsidRPr="00792CC7">
        <w:t>XARELTO 15 mg tablets and XARELTO 20 mg tablets should be taken with food (see</w:t>
      </w:r>
      <w:r w:rsidR="00E67857" w:rsidRPr="00792CC7">
        <w:t xml:space="preserve"> Section 5.2</w:t>
      </w:r>
      <w:r w:rsidR="00DA2FE4">
        <w:t xml:space="preserve"> </w:t>
      </w:r>
      <w:r w:rsidR="00A810D1">
        <w:fldChar w:fldCharType="begin"/>
      </w:r>
      <w:r w:rsidR="00A810D1">
        <w:instrText xml:space="preserve"> REF _Ref522882073 \h </w:instrText>
      </w:r>
      <w:r w:rsidR="00A810D1">
        <w:fldChar w:fldCharType="separate"/>
      </w:r>
      <w:r w:rsidR="00C51DA4" w:rsidRPr="000202B5">
        <w:t>PHARMACOKINETIC PROPERTIES</w:t>
      </w:r>
      <w:r w:rsidR="00A810D1">
        <w:fldChar w:fldCharType="end"/>
      </w:r>
      <w:r w:rsidRPr="00792CC7">
        <w:t>).</w:t>
      </w:r>
    </w:p>
    <w:p w14:paraId="002D9154" w14:textId="77777777" w:rsidR="007C61C6" w:rsidRDefault="007C61C6" w:rsidP="00E90F26">
      <w:pPr>
        <w:pStyle w:val="BayerBodyTextFull"/>
      </w:pPr>
      <w:r w:rsidRPr="00CF7A84">
        <w:t>For patients who are unable to swallow whole tablets</w:t>
      </w:r>
      <w:r>
        <w:t>;</w:t>
      </w:r>
      <w:r w:rsidRPr="00CF7A84">
        <w:t xml:space="preserve"> </w:t>
      </w:r>
      <w:r>
        <w:t>XARELTO</w:t>
      </w:r>
      <w:r w:rsidR="00C24974">
        <w:t xml:space="preserve"> 2.5 mg</w:t>
      </w:r>
      <w:r>
        <w:t>, 10 mg, 15 mg, or 20 mg</w:t>
      </w:r>
      <w:r w:rsidRPr="00CF7A84">
        <w:t xml:space="preserve"> tablet</w:t>
      </w:r>
      <w:r>
        <w:t>s</w:t>
      </w:r>
      <w:r w:rsidRPr="00CF7A84">
        <w:t xml:space="preserve"> may be crushed and mixed with water </w:t>
      </w:r>
      <w:r>
        <w:t xml:space="preserve">or </w:t>
      </w:r>
      <w:r w:rsidRPr="00CF7A84">
        <w:t>apple</w:t>
      </w:r>
      <w:r>
        <w:t xml:space="preserve"> </w:t>
      </w:r>
      <w:r w:rsidRPr="00CF7A84">
        <w:t>sauce immediately prior to use and administered orally.</w:t>
      </w:r>
      <w:r>
        <w:t xml:space="preserve"> </w:t>
      </w:r>
      <w:r w:rsidRPr="00CF7A84">
        <w:t xml:space="preserve"> After the administration of crushed </w:t>
      </w:r>
      <w:r>
        <w:t>XARELTO</w:t>
      </w:r>
      <w:r w:rsidRPr="00CF7A84">
        <w:t xml:space="preserve"> 15 mg or 20 mg tablets, the dose should be immediately followed by food.</w:t>
      </w:r>
    </w:p>
    <w:p w14:paraId="6F2CE3A8" w14:textId="77777777" w:rsidR="007C61C6" w:rsidRPr="00792CC7" w:rsidRDefault="007C61C6" w:rsidP="00E90F26">
      <w:pPr>
        <w:pStyle w:val="BayerBodyTextFull"/>
      </w:pPr>
      <w:r w:rsidRPr="00CF7A84">
        <w:t xml:space="preserve">The crushed </w:t>
      </w:r>
      <w:r>
        <w:t>XARELTO</w:t>
      </w:r>
      <w:r w:rsidR="00C24974">
        <w:t xml:space="preserve"> 2.5 mg</w:t>
      </w:r>
      <w:r>
        <w:t xml:space="preserve">, 10 mg, 15 mg, or 20 mg </w:t>
      </w:r>
      <w:r w:rsidRPr="00CF7A84">
        <w:t>tablet may be given through gastric tubes.</w:t>
      </w:r>
      <w:r>
        <w:t xml:space="preserve"> </w:t>
      </w:r>
      <w:r w:rsidRPr="00CF7A84">
        <w:t xml:space="preserve"> Gastric placement of the tube should be confirmed before administering </w:t>
      </w:r>
      <w:r>
        <w:t>XARELTO</w:t>
      </w:r>
      <w:r w:rsidRPr="00CF7A84">
        <w:t>.</w:t>
      </w:r>
      <w:r>
        <w:t xml:space="preserve"> </w:t>
      </w:r>
      <w:r w:rsidRPr="00CF7A84">
        <w:t xml:space="preserve"> The crushed tablet should be administered in a small </w:t>
      </w:r>
      <w:r w:rsidRPr="00CF7A84">
        <w:lastRenderedPageBreak/>
        <w:t xml:space="preserve">amount of water via a gastric tube after which it should be flushed with water. </w:t>
      </w:r>
      <w:r>
        <w:t xml:space="preserve"> </w:t>
      </w:r>
      <w:r w:rsidRPr="00CF7A84">
        <w:t xml:space="preserve">After the administration of crushed </w:t>
      </w:r>
      <w:r>
        <w:t xml:space="preserve">XARELTO </w:t>
      </w:r>
      <w:r w:rsidRPr="00CF7A84">
        <w:t>15 mg or 20 m</w:t>
      </w:r>
      <w:r>
        <w:t xml:space="preserve">g tablets, the dose should </w:t>
      </w:r>
      <w:r w:rsidRPr="00CF7A84">
        <w:t>be immediately followed b</w:t>
      </w:r>
      <w:r>
        <w:t>y enteral feeding (see</w:t>
      </w:r>
      <w:r w:rsidR="00E67857">
        <w:t xml:space="preserve"> Section 5.2</w:t>
      </w:r>
      <w:r>
        <w:t xml:space="preserve"> </w:t>
      </w:r>
      <w:r w:rsidR="00A810D1">
        <w:fldChar w:fldCharType="begin"/>
      </w:r>
      <w:r w:rsidR="00A810D1">
        <w:instrText xml:space="preserve"> REF _Ref522882073 \h </w:instrText>
      </w:r>
      <w:r w:rsidR="00A810D1">
        <w:fldChar w:fldCharType="separate"/>
      </w:r>
      <w:r w:rsidR="00C51DA4" w:rsidRPr="000202B5">
        <w:t>PHARMACOKINETIC PROPERTIES</w:t>
      </w:r>
      <w:r w:rsidR="00A810D1">
        <w:fldChar w:fldCharType="end"/>
      </w:r>
      <w:r w:rsidR="00A810D1">
        <w:t>).</w:t>
      </w:r>
    </w:p>
    <w:p w14:paraId="2826A151" w14:textId="77777777" w:rsidR="007C61C6" w:rsidRDefault="007C61C6" w:rsidP="00E90F26">
      <w:pPr>
        <w:pStyle w:val="BayerBodyTextFull"/>
      </w:pPr>
      <w:r w:rsidRPr="00792CC7">
        <w:t xml:space="preserve">An </w:t>
      </w:r>
      <w:r w:rsidRPr="00792CC7">
        <w:rPr>
          <w:i/>
        </w:rPr>
        <w:t>in vitro</w:t>
      </w:r>
      <w:r w:rsidRPr="00792CC7">
        <w:t xml:space="preserve"> compatibility study indicated that there is no ads</w:t>
      </w:r>
      <w:r w:rsidRPr="00481EDC">
        <w:t xml:space="preserve">orption of rivaroxaban from a water suspension of a crushed </w:t>
      </w:r>
      <w:r>
        <w:t>XARELTO</w:t>
      </w:r>
      <w:r w:rsidRPr="00481EDC">
        <w:t xml:space="preserve"> tablet to PVC or silicone nasogastric (NG) tubing.</w:t>
      </w:r>
    </w:p>
    <w:p w14:paraId="6D0756E5" w14:textId="77777777" w:rsidR="003344B7" w:rsidRPr="004D7847" w:rsidRDefault="003344B7" w:rsidP="004D7847">
      <w:pPr>
        <w:pStyle w:val="Quote"/>
        <w:ind w:left="630"/>
        <w:rPr>
          <w:b/>
          <w:i w:val="0"/>
          <w:szCs w:val="22"/>
        </w:rPr>
      </w:pPr>
      <w:r w:rsidRPr="004D7847">
        <w:rPr>
          <w:b/>
          <w:i w:val="0"/>
          <w:szCs w:val="22"/>
        </w:rPr>
        <w:t>Specia</w:t>
      </w:r>
      <w:r w:rsidR="00DB7719" w:rsidRPr="004D7847">
        <w:rPr>
          <w:b/>
          <w:i w:val="0"/>
          <w:szCs w:val="22"/>
        </w:rPr>
        <w:t>l Populations</w:t>
      </w:r>
    </w:p>
    <w:p w14:paraId="4D9D916B" w14:textId="77777777" w:rsidR="007D79EA" w:rsidRDefault="007D79EA" w:rsidP="007D79EA">
      <w:pPr>
        <w:pStyle w:val="Quote"/>
        <w:ind w:left="630"/>
      </w:pPr>
    </w:p>
    <w:p w14:paraId="30E08406" w14:textId="77777777" w:rsidR="00CE2271" w:rsidRPr="007D79EA" w:rsidRDefault="00B527C1" w:rsidP="007D79EA">
      <w:pPr>
        <w:pStyle w:val="Quote"/>
        <w:ind w:left="630"/>
        <w:rPr>
          <w:b/>
          <w:szCs w:val="22"/>
        </w:rPr>
      </w:pPr>
      <w:r w:rsidRPr="007D79EA">
        <w:rPr>
          <w:b/>
          <w:szCs w:val="22"/>
        </w:rPr>
        <w:t>Elderly</w:t>
      </w:r>
      <w:r w:rsidR="003904E4" w:rsidRPr="007D79EA">
        <w:rPr>
          <w:b/>
          <w:szCs w:val="22"/>
        </w:rPr>
        <w:t xml:space="preserve"> (Patients above 65 years) </w:t>
      </w:r>
    </w:p>
    <w:p w14:paraId="30359EF7" w14:textId="77777777" w:rsidR="00F24286" w:rsidRDefault="00B527C1" w:rsidP="007D79EA">
      <w:pPr>
        <w:pStyle w:val="BayerBodyTextFull"/>
        <w:spacing w:after="0"/>
        <w:ind w:left="634"/>
      </w:pPr>
      <w:r>
        <w:t>Based on clinical data, no dose adjustment is required for these patient populations (see</w:t>
      </w:r>
      <w:r w:rsidR="00E67857">
        <w:t xml:space="preserve"> Section 5.</w:t>
      </w:r>
      <w:r w:rsidR="00E67857" w:rsidRPr="00792CC7">
        <w:t>2</w:t>
      </w:r>
      <w:r w:rsidR="00FD060F">
        <w:rPr>
          <w:rFonts w:cs="Arial"/>
          <w:szCs w:val="22"/>
        </w:rPr>
        <w:t xml:space="preserve"> </w:t>
      </w:r>
      <w:r w:rsidR="00A810D1">
        <w:rPr>
          <w:rFonts w:cs="Arial"/>
          <w:szCs w:val="22"/>
        </w:rPr>
        <w:fldChar w:fldCharType="begin"/>
      </w:r>
      <w:r w:rsidR="00A810D1">
        <w:rPr>
          <w:rFonts w:cs="Arial"/>
          <w:szCs w:val="22"/>
        </w:rPr>
        <w:instrText xml:space="preserve"> REF _Ref522882073 \h </w:instrText>
      </w:r>
      <w:r w:rsidR="007D79EA">
        <w:rPr>
          <w:rFonts w:cs="Arial"/>
          <w:szCs w:val="22"/>
        </w:rPr>
        <w:instrText xml:space="preserve"> \* MERGEFORMAT </w:instrText>
      </w:r>
      <w:r w:rsidR="00A810D1">
        <w:rPr>
          <w:rFonts w:cs="Arial"/>
          <w:szCs w:val="22"/>
        </w:rPr>
      </w:r>
      <w:r w:rsidR="00A810D1">
        <w:rPr>
          <w:rFonts w:cs="Arial"/>
          <w:szCs w:val="22"/>
        </w:rPr>
        <w:fldChar w:fldCharType="separate"/>
      </w:r>
      <w:r w:rsidR="00C51DA4" w:rsidRPr="000202B5">
        <w:t>PHARMACOKINETIC PROPERTIES</w:t>
      </w:r>
      <w:r w:rsidR="00A810D1">
        <w:rPr>
          <w:rFonts w:cs="Arial"/>
          <w:szCs w:val="22"/>
        </w:rPr>
        <w:fldChar w:fldCharType="end"/>
      </w:r>
      <w:r w:rsidRPr="00792CC7">
        <w:t>)</w:t>
      </w:r>
      <w:r w:rsidR="00F24286">
        <w:t>.</w:t>
      </w:r>
    </w:p>
    <w:p w14:paraId="142039D5" w14:textId="77777777" w:rsidR="00BE7459" w:rsidRDefault="00BE7459" w:rsidP="007D79EA">
      <w:pPr>
        <w:pStyle w:val="BayerBodyTextFull"/>
        <w:spacing w:after="0"/>
        <w:ind w:left="634"/>
      </w:pPr>
      <w:r w:rsidRPr="00BE7459">
        <w:t xml:space="preserve">Increasing age </w:t>
      </w:r>
      <w:r w:rsidR="009308EB" w:rsidRPr="00BE7459">
        <w:t>is associated</w:t>
      </w:r>
      <w:r w:rsidRPr="00BE7459">
        <w:t xml:space="preserve"> with declining renal function.</w:t>
      </w:r>
    </w:p>
    <w:p w14:paraId="33575A86" w14:textId="180FBD0C" w:rsidR="00D15987" w:rsidRDefault="00F24286" w:rsidP="007D79EA">
      <w:pPr>
        <w:pStyle w:val="Heading4"/>
        <w:spacing w:after="0"/>
        <w:ind w:left="634"/>
      </w:pPr>
      <w:r w:rsidRPr="00F24286">
        <w:t>The risk of bleeding increases with increasing age (</w:t>
      </w:r>
      <w:r w:rsidRPr="00120D4F">
        <w:t xml:space="preserve">see </w:t>
      </w:r>
      <w:r w:rsidR="006E368E" w:rsidRPr="00120D4F">
        <w:t>S</w:t>
      </w:r>
      <w:r w:rsidRPr="00120D4F">
        <w:t>ection 4.4</w:t>
      </w:r>
      <w:r w:rsidR="006E368E">
        <w:rPr>
          <w:i w:val="0"/>
        </w:rPr>
        <w:t xml:space="preserve"> </w:t>
      </w:r>
      <w:r w:rsidR="006E368E">
        <w:rPr>
          <w:i w:val="0"/>
        </w:rPr>
        <w:fldChar w:fldCharType="begin"/>
      </w:r>
      <w:r w:rsidR="006E368E">
        <w:rPr>
          <w:i w:val="0"/>
        </w:rPr>
        <w:instrText xml:space="preserve"> REF _Ref522882516 \h </w:instrText>
      </w:r>
      <w:r w:rsidR="006E368E">
        <w:rPr>
          <w:i w:val="0"/>
        </w:rPr>
      </w:r>
      <w:r w:rsidR="006E368E">
        <w:rPr>
          <w:i w:val="0"/>
        </w:rPr>
        <w:fldChar w:fldCharType="separate"/>
      </w:r>
      <w:r w:rsidR="00C51DA4" w:rsidRPr="00AC51A2">
        <w:t>SPECIAL WARNINGS AND PRECAUTIONS FOR USE</w:t>
      </w:r>
      <w:r w:rsidR="006E368E">
        <w:rPr>
          <w:i w:val="0"/>
        </w:rPr>
        <w:fldChar w:fldCharType="end"/>
      </w:r>
      <w:r w:rsidRPr="00F24286">
        <w:t>).</w:t>
      </w:r>
      <w:r w:rsidRPr="00F24286" w:rsidDel="00F24286">
        <w:t xml:space="preserve"> </w:t>
      </w:r>
    </w:p>
    <w:p w14:paraId="39389EB9" w14:textId="77777777" w:rsidR="007D79EA" w:rsidRDefault="007D79EA" w:rsidP="007D79EA">
      <w:pPr>
        <w:pStyle w:val="Quote"/>
        <w:rPr>
          <w:b/>
          <w:szCs w:val="22"/>
        </w:rPr>
      </w:pPr>
    </w:p>
    <w:p w14:paraId="176DD8ED" w14:textId="77777777" w:rsidR="00CE2271" w:rsidRPr="007D79EA" w:rsidRDefault="00DB7719" w:rsidP="007D79EA">
      <w:pPr>
        <w:pStyle w:val="Quote"/>
        <w:ind w:left="630"/>
        <w:rPr>
          <w:b/>
          <w:szCs w:val="22"/>
        </w:rPr>
      </w:pPr>
      <w:r w:rsidRPr="007D79EA">
        <w:rPr>
          <w:b/>
          <w:szCs w:val="22"/>
        </w:rPr>
        <w:t>Renal impairment</w:t>
      </w:r>
    </w:p>
    <w:p w14:paraId="6C27C154" w14:textId="77777777" w:rsidR="00DB7719" w:rsidRPr="00792CC7" w:rsidRDefault="00DB7719" w:rsidP="003F1D52">
      <w:pPr>
        <w:pStyle w:val="BayerBodyText-left"/>
        <w:ind w:left="630"/>
        <w:jc w:val="left"/>
        <w:rPr>
          <w:noProof/>
        </w:rPr>
      </w:pPr>
      <w:r w:rsidRPr="002742BE">
        <w:rPr>
          <w:noProof/>
        </w:rPr>
        <w:t xml:space="preserve">Prior to commencing treatment with </w:t>
      </w:r>
      <w:r w:rsidR="005F6704">
        <w:rPr>
          <w:noProof/>
        </w:rPr>
        <w:t>XARELTO</w:t>
      </w:r>
      <w:r w:rsidRPr="002742BE">
        <w:rPr>
          <w:noProof/>
        </w:rPr>
        <w:t>, an accurate assessment of renal function should be undertaken, especially if there is any suspicion that the person may ha</w:t>
      </w:r>
      <w:r w:rsidR="00144771">
        <w:rPr>
          <w:noProof/>
        </w:rPr>
        <w:t>ve a degree of renal impairment (s</w:t>
      </w:r>
      <w:r w:rsidRPr="002742BE">
        <w:rPr>
          <w:noProof/>
        </w:rPr>
        <w:t>ee</w:t>
      </w:r>
      <w:r w:rsidR="00E67857">
        <w:rPr>
          <w:noProof/>
        </w:rPr>
        <w:t xml:space="preserve"> Section 5.</w:t>
      </w:r>
      <w:r w:rsidR="00E67857" w:rsidRPr="00792CC7">
        <w:rPr>
          <w:noProof/>
        </w:rPr>
        <w:t>2</w:t>
      </w:r>
      <w:r w:rsidRPr="00792CC7">
        <w:rPr>
          <w:noProof/>
        </w:rPr>
        <w:t xml:space="preserve"> </w:t>
      </w:r>
      <w:r w:rsidR="00A810D1">
        <w:rPr>
          <w:noProof/>
        </w:rPr>
        <w:fldChar w:fldCharType="begin"/>
      </w:r>
      <w:r w:rsidR="00A810D1">
        <w:rPr>
          <w:noProof/>
        </w:rPr>
        <w:instrText xml:space="preserve"> REF _Ref522882073 \h  \* MERGEFORMAT </w:instrText>
      </w:r>
      <w:r w:rsidR="00A810D1">
        <w:rPr>
          <w:noProof/>
        </w:rPr>
      </w:r>
      <w:r w:rsidR="00A810D1">
        <w:rPr>
          <w:noProof/>
        </w:rPr>
        <w:fldChar w:fldCharType="separate"/>
      </w:r>
      <w:r w:rsidR="00C51DA4" w:rsidRPr="000202B5">
        <w:t>PHARMACOKINETIC PROPERTIES</w:t>
      </w:r>
      <w:r w:rsidR="00A810D1">
        <w:rPr>
          <w:noProof/>
        </w:rPr>
        <w:fldChar w:fldCharType="end"/>
      </w:r>
      <w:r w:rsidRPr="00792CC7">
        <w:rPr>
          <w:noProof/>
        </w:rPr>
        <w:t>)</w:t>
      </w:r>
      <w:r w:rsidR="00144771" w:rsidRPr="00792CC7">
        <w:rPr>
          <w:noProof/>
        </w:rPr>
        <w:t>.</w:t>
      </w:r>
    </w:p>
    <w:p w14:paraId="29FA54A9" w14:textId="291EF356" w:rsidR="00C51DA4" w:rsidRPr="00C51DA4" w:rsidRDefault="00DB7719" w:rsidP="009E2AFE">
      <w:pPr>
        <w:pStyle w:val="BayerBodyText-left"/>
        <w:ind w:left="630"/>
        <w:jc w:val="left"/>
      </w:pPr>
      <w:r w:rsidRPr="002742BE">
        <w:t>No clinical data are availab</w:t>
      </w:r>
      <w:r w:rsidR="00144771">
        <w:t xml:space="preserve">le for patients with (CrCl &lt; 15 </w:t>
      </w:r>
      <w:r w:rsidRPr="002742BE">
        <w:t>mL/min)</w:t>
      </w:r>
      <w:r>
        <w:t xml:space="preserve"> or patients on dialysis</w:t>
      </w:r>
      <w:r w:rsidRPr="002742BE">
        <w:t>.</w:t>
      </w:r>
      <w:r w:rsidR="005C669E">
        <w:t xml:space="preserve"> </w:t>
      </w:r>
      <w:r w:rsidRPr="002742BE">
        <w:t xml:space="preserve"> Therefore, </w:t>
      </w:r>
      <w:r w:rsidRPr="002742BE">
        <w:rPr>
          <w:noProof/>
        </w:rPr>
        <w:t xml:space="preserve">use of </w:t>
      </w:r>
      <w:r w:rsidR="005F6704">
        <w:rPr>
          <w:noProof/>
        </w:rPr>
        <w:t>XARELTO</w:t>
      </w:r>
      <w:r w:rsidRPr="002742BE">
        <w:rPr>
          <w:noProof/>
        </w:rPr>
        <w:t xml:space="preserve"> is contraindicated in </w:t>
      </w:r>
      <w:r>
        <w:rPr>
          <w:noProof/>
        </w:rPr>
        <w:t xml:space="preserve">this </w:t>
      </w:r>
      <w:r w:rsidRPr="002742BE">
        <w:rPr>
          <w:noProof/>
        </w:rPr>
        <w:t>patient</w:t>
      </w:r>
      <w:r>
        <w:rPr>
          <w:noProof/>
        </w:rPr>
        <w:t xml:space="preserve"> population</w:t>
      </w:r>
      <w:r w:rsidRPr="002742BE">
        <w:rPr>
          <w:noProof/>
        </w:rPr>
        <w:t xml:space="preserve"> (see</w:t>
      </w:r>
      <w:r w:rsidR="00E67857">
        <w:rPr>
          <w:noProof/>
        </w:rPr>
        <w:t xml:space="preserve"> Section 4.3</w:t>
      </w:r>
      <w:r w:rsidR="00FD060F">
        <w:rPr>
          <w:noProof/>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Pr="00792CC7">
        <w:rPr>
          <w:noProof/>
        </w:rPr>
        <w:t>)</w:t>
      </w:r>
      <w:r w:rsidRPr="002742BE">
        <w:rPr>
          <w:noProof/>
        </w:rPr>
        <w:t>.</w:t>
      </w:r>
      <w:r w:rsidR="00C50387" w:rsidRPr="005403C3">
        <w:rPr>
          <w:noProof/>
        </w:rPr>
        <w:fldChar w:fldCharType="begin"/>
      </w:r>
      <w:r w:rsidR="00C50387" w:rsidRPr="005403C3">
        <w:rPr>
          <w:noProof/>
        </w:rPr>
        <w:instrText xml:space="preserve"> REF _Ref318989890 \h </w:instrText>
      </w:r>
      <w:r w:rsidR="00100151" w:rsidRPr="005403C3">
        <w:rPr>
          <w:noProof/>
        </w:rPr>
        <w:instrText xml:space="preserve"> \* MERGEFORMAT </w:instrText>
      </w:r>
      <w:r w:rsidR="00C50387" w:rsidRPr="005403C3">
        <w:rPr>
          <w:noProof/>
        </w:rPr>
      </w:r>
      <w:r w:rsidR="00C50387" w:rsidRPr="005403C3">
        <w:rPr>
          <w:noProof/>
        </w:rPr>
        <w:fldChar w:fldCharType="separate"/>
      </w:r>
    </w:p>
    <w:p w14:paraId="796C970D" w14:textId="1EE24BC4" w:rsidR="00830A86" w:rsidRDefault="00C51DA4" w:rsidP="0083716A">
      <w:pPr>
        <w:tabs>
          <w:tab w:val="left" w:pos="630"/>
        </w:tabs>
        <w:spacing w:before="120" w:after="120"/>
        <w:ind w:left="630" w:right="45"/>
        <w:rPr>
          <w:rFonts w:cs="Arial"/>
          <w:b/>
          <w:szCs w:val="22"/>
        </w:rPr>
      </w:pPr>
      <w:r w:rsidRPr="00FE6E8F">
        <w:rPr>
          <w:rFonts w:cs="Arial"/>
        </w:rPr>
        <w:t xml:space="preserve">Table </w:t>
      </w:r>
      <w:r>
        <w:rPr>
          <w:rFonts w:cs="Arial"/>
        </w:rPr>
        <w:t>1</w:t>
      </w:r>
      <w:r w:rsidR="00C50387" w:rsidRPr="005403C3">
        <w:rPr>
          <w:rFonts w:cs="Arial"/>
          <w:noProof/>
          <w:szCs w:val="22"/>
        </w:rPr>
        <w:fldChar w:fldCharType="end"/>
      </w:r>
      <w:r w:rsidR="00C50387" w:rsidRPr="005403C3">
        <w:rPr>
          <w:rFonts w:cs="Arial"/>
          <w:noProof/>
          <w:szCs w:val="22"/>
        </w:rPr>
        <w:t xml:space="preserve"> </w:t>
      </w:r>
      <w:r w:rsidR="00DB7719" w:rsidRPr="005403C3">
        <w:rPr>
          <w:rFonts w:cs="Arial"/>
          <w:noProof/>
          <w:szCs w:val="22"/>
        </w:rPr>
        <w:t>below</w:t>
      </w:r>
      <w:r w:rsidR="00DB7719" w:rsidRPr="002742BE">
        <w:rPr>
          <w:rFonts w:cs="Arial"/>
          <w:noProof/>
          <w:szCs w:val="22"/>
        </w:rPr>
        <w:t xml:space="preserve"> for dosing instructions for patients with renal impairment by indications.</w:t>
      </w:r>
      <w:bookmarkStart w:id="4" w:name="_Ref318989890"/>
    </w:p>
    <w:p w14:paraId="55EBCC20" w14:textId="06FFACBE" w:rsidR="00DB7719" w:rsidRPr="00FE6E8F" w:rsidRDefault="00DB7719" w:rsidP="005506A5">
      <w:pPr>
        <w:pStyle w:val="Caption"/>
        <w:ind w:left="630" w:right="46"/>
        <w:rPr>
          <w:rFonts w:cs="Arial"/>
        </w:rPr>
      </w:pPr>
      <w:bookmarkStart w:id="5" w:name="_Ref505603678"/>
      <w:r w:rsidRPr="00FE6E8F">
        <w:rPr>
          <w:rFonts w:cs="Arial"/>
        </w:rPr>
        <w:t xml:space="preserve">Table </w:t>
      </w:r>
      <w:r w:rsidRPr="00FE6E8F">
        <w:rPr>
          <w:rFonts w:cs="Arial"/>
        </w:rPr>
        <w:fldChar w:fldCharType="begin"/>
      </w:r>
      <w:r w:rsidRPr="00FE6E8F">
        <w:rPr>
          <w:rFonts w:cs="Arial"/>
        </w:rPr>
        <w:instrText xml:space="preserve"> SEQ Table \* ARABIC </w:instrText>
      </w:r>
      <w:r w:rsidRPr="00FE6E8F">
        <w:rPr>
          <w:rFonts w:cs="Arial"/>
        </w:rPr>
        <w:fldChar w:fldCharType="separate"/>
      </w:r>
      <w:r w:rsidR="00C51DA4">
        <w:rPr>
          <w:rFonts w:cs="Arial"/>
          <w:noProof/>
        </w:rPr>
        <w:t>1</w:t>
      </w:r>
      <w:r w:rsidRPr="00FE6E8F">
        <w:rPr>
          <w:rFonts w:cs="Arial"/>
        </w:rPr>
        <w:fldChar w:fldCharType="end"/>
      </w:r>
      <w:bookmarkEnd w:id="4"/>
      <w:bookmarkEnd w:id="5"/>
      <w:r w:rsidRPr="00FE6E8F">
        <w:rPr>
          <w:rFonts w:cs="Arial"/>
        </w:rPr>
        <w:t>: Dosage and administration advice for patients with reduced renal function</w:t>
      </w:r>
    </w:p>
    <w:tbl>
      <w:tblPr>
        <w:tblW w:w="891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440"/>
        <w:gridCol w:w="1530"/>
        <w:gridCol w:w="1710"/>
        <w:gridCol w:w="1710"/>
      </w:tblGrid>
      <w:tr w:rsidR="00C24974" w:rsidRPr="00830A86" w14:paraId="61CA0DE1" w14:textId="77777777" w:rsidTr="008F47DC">
        <w:trPr>
          <w:cantSplit/>
          <w:trHeight w:val="1030"/>
          <w:tblHeader/>
        </w:trPr>
        <w:tc>
          <w:tcPr>
            <w:tcW w:w="2520" w:type="dxa"/>
            <w:tcBorders>
              <w:tl2br w:val="single" w:sz="4" w:space="0" w:color="auto"/>
            </w:tcBorders>
            <w:shd w:val="clear" w:color="auto" w:fill="D9D9D9" w:themeFill="background1" w:themeFillShade="D9"/>
            <w:vAlign w:val="center"/>
          </w:tcPr>
          <w:p w14:paraId="5202D1F3" w14:textId="77777777" w:rsidR="00C24974" w:rsidRPr="00830A86" w:rsidRDefault="00C24974" w:rsidP="00830A86">
            <w:pPr>
              <w:spacing w:before="60" w:after="60"/>
              <w:ind w:right="46"/>
              <w:jc w:val="center"/>
              <w:rPr>
                <w:rFonts w:cs="Arial"/>
                <w:b/>
                <w:sz w:val="18"/>
              </w:rPr>
            </w:pPr>
            <w:r w:rsidRPr="00830A86">
              <w:rPr>
                <w:rFonts w:cs="Arial"/>
                <w:b/>
                <w:sz w:val="18"/>
              </w:rPr>
              <w:t>Indication</w:t>
            </w:r>
          </w:p>
          <w:p w14:paraId="513D2773" w14:textId="77777777" w:rsidR="00C24974" w:rsidRDefault="00C24974" w:rsidP="00830A86">
            <w:pPr>
              <w:spacing w:before="60" w:after="60"/>
              <w:ind w:right="46"/>
              <w:jc w:val="center"/>
              <w:rPr>
                <w:rFonts w:cs="Arial"/>
                <w:b/>
                <w:sz w:val="18"/>
              </w:rPr>
            </w:pPr>
          </w:p>
          <w:p w14:paraId="321F4E41" w14:textId="77777777" w:rsidR="00C24974" w:rsidRPr="00830A86" w:rsidRDefault="00C24974" w:rsidP="00830A86">
            <w:pPr>
              <w:spacing w:before="60" w:after="60"/>
              <w:ind w:right="46"/>
              <w:rPr>
                <w:rFonts w:cs="Arial"/>
                <w:b/>
                <w:sz w:val="18"/>
              </w:rPr>
            </w:pPr>
            <w:r w:rsidRPr="00830A86">
              <w:rPr>
                <w:rFonts w:cs="Arial"/>
                <w:b/>
                <w:sz w:val="18"/>
              </w:rPr>
              <w:t>Creatinine</w:t>
            </w:r>
          </w:p>
          <w:p w14:paraId="7609E788" w14:textId="77777777" w:rsidR="00C24974" w:rsidRPr="00830A86" w:rsidRDefault="00C24974" w:rsidP="00830A86">
            <w:pPr>
              <w:spacing w:before="60" w:after="60"/>
              <w:ind w:right="46"/>
              <w:rPr>
                <w:rFonts w:cs="Arial"/>
                <w:b/>
                <w:sz w:val="18"/>
              </w:rPr>
            </w:pPr>
            <w:r w:rsidRPr="00830A86">
              <w:rPr>
                <w:rFonts w:cs="Arial"/>
                <w:b/>
                <w:sz w:val="18"/>
              </w:rPr>
              <w:t>Clearance (CrCl)</w:t>
            </w:r>
          </w:p>
        </w:tc>
        <w:tc>
          <w:tcPr>
            <w:tcW w:w="1440" w:type="dxa"/>
            <w:shd w:val="clear" w:color="auto" w:fill="D9D9D9" w:themeFill="background1" w:themeFillShade="D9"/>
            <w:vAlign w:val="center"/>
          </w:tcPr>
          <w:p w14:paraId="75043707" w14:textId="77777777" w:rsidR="00C24974" w:rsidRPr="00830A86" w:rsidRDefault="00C24974" w:rsidP="00830A86">
            <w:pPr>
              <w:spacing w:before="60" w:after="60"/>
              <w:ind w:right="46"/>
              <w:jc w:val="center"/>
              <w:rPr>
                <w:rFonts w:cs="Arial"/>
                <w:sz w:val="18"/>
              </w:rPr>
            </w:pPr>
            <w:r w:rsidRPr="00830A86">
              <w:rPr>
                <w:rFonts w:cs="Arial"/>
                <w:b/>
                <w:i/>
                <w:sz w:val="18"/>
              </w:rPr>
              <w:t>VTE Prevention in total hip and knee replacement</w:t>
            </w:r>
          </w:p>
        </w:tc>
        <w:tc>
          <w:tcPr>
            <w:tcW w:w="1530" w:type="dxa"/>
            <w:shd w:val="clear" w:color="auto" w:fill="D9D9D9" w:themeFill="background1" w:themeFillShade="D9"/>
            <w:vAlign w:val="center"/>
          </w:tcPr>
          <w:p w14:paraId="3DBFF3AA" w14:textId="77777777" w:rsidR="00C24974" w:rsidRPr="00830A86" w:rsidRDefault="00C24974" w:rsidP="00830A86">
            <w:pPr>
              <w:spacing w:before="60" w:after="60"/>
              <w:ind w:right="46"/>
              <w:jc w:val="center"/>
              <w:rPr>
                <w:rFonts w:cs="Arial"/>
                <w:sz w:val="18"/>
              </w:rPr>
            </w:pPr>
            <w:r w:rsidRPr="00830A86">
              <w:rPr>
                <w:rFonts w:cs="Arial"/>
                <w:b/>
                <w:i/>
                <w:sz w:val="18"/>
              </w:rPr>
              <w:t>Stroke Prevention in Atrial Fibrillation</w:t>
            </w:r>
          </w:p>
        </w:tc>
        <w:tc>
          <w:tcPr>
            <w:tcW w:w="1710" w:type="dxa"/>
            <w:shd w:val="clear" w:color="auto" w:fill="D9D9D9" w:themeFill="background1" w:themeFillShade="D9"/>
            <w:vAlign w:val="center"/>
          </w:tcPr>
          <w:p w14:paraId="07F39ECC" w14:textId="77777777" w:rsidR="00C24974" w:rsidRPr="00830A86" w:rsidRDefault="00C24974" w:rsidP="00830A86">
            <w:pPr>
              <w:spacing w:before="60" w:after="60"/>
              <w:ind w:right="46"/>
              <w:jc w:val="center"/>
              <w:rPr>
                <w:rFonts w:cs="Arial"/>
                <w:sz w:val="18"/>
              </w:rPr>
            </w:pPr>
            <w:r w:rsidRPr="00830A86">
              <w:rPr>
                <w:rFonts w:cs="Arial"/>
                <w:b/>
                <w:i/>
                <w:sz w:val="18"/>
              </w:rPr>
              <w:t>Treatment of DVT and PE and prevention of recurrent DVT and PE</w:t>
            </w:r>
          </w:p>
        </w:tc>
        <w:tc>
          <w:tcPr>
            <w:tcW w:w="1710" w:type="dxa"/>
            <w:shd w:val="clear" w:color="auto" w:fill="D9D9D9" w:themeFill="background1" w:themeFillShade="D9"/>
          </w:tcPr>
          <w:p w14:paraId="281FAA03" w14:textId="77777777" w:rsidR="00C24974" w:rsidRPr="00830A86" w:rsidRDefault="00C24974" w:rsidP="00830A86">
            <w:pPr>
              <w:spacing w:before="60" w:after="60"/>
              <w:ind w:right="46"/>
              <w:jc w:val="center"/>
              <w:rPr>
                <w:rFonts w:cs="Arial"/>
                <w:b/>
                <w:i/>
                <w:sz w:val="18"/>
              </w:rPr>
            </w:pPr>
            <w:r>
              <w:rPr>
                <w:rFonts w:cs="Arial"/>
                <w:b/>
                <w:i/>
                <w:sz w:val="18"/>
              </w:rPr>
              <w:t>Treatment of CAD and/or PAD</w:t>
            </w:r>
          </w:p>
        </w:tc>
      </w:tr>
      <w:tr w:rsidR="008946EE" w:rsidRPr="00830A86" w14:paraId="426C4B66" w14:textId="77777777" w:rsidTr="00323ED1">
        <w:trPr>
          <w:cantSplit/>
          <w:trHeight w:val="671"/>
        </w:trPr>
        <w:tc>
          <w:tcPr>
            <w:tcW w:w="2520" w:type="dxa"/>
            <w:shd w:val="clear" w:color="auto" w:fill="auto"/>
            <w:vAlign w:val="center"/>
          </w:tcPr>
          <w:p w14:paraId="1F8353F2" w14:textId="77777777" w:rsidR="008946EE" w:rsidRPr="00830A86" w:rsidRDefault="008946EE" w:rsidP="00737211">
            <w:pPr>
              <w:spacing w:before="60" w:after="60"/>
              <w:ind w:right="46"/>
              <w:rPr>
                <w:rFonts w:cs="Arial"/>
                <w:b/>
                <w:sz w:val="18"/>
              </w:rPr>
            </w:pPr>
            <w:r w:rsidRPr="00830A86">
              <w:rPr>
                <w:rFonts w:cs="Arial"/>
                <w:b/>
                <w:sz w:val="18"/>
              </w:rPr>
              <w:t>Normal</w:t>
            </w:r>
          </w:p>
          <w:p w14:paraId="0C383146" w14:textId="77777777" w:rsidR="008946EE" w:rsidRPr="00830A86" w:rsidRDefault="008946EE" w:rsidP="00737211">
            <w:pPr>
              <w:spacing w:before="60" w:after="60"/>
              <w:ind w:right="46"/>
              <w:rPr>
                <w:rFonts w:cs="Arial"/>
                <w:b/>
                <w:sz w:val="18"/>
              </w:rPr>
            </w:pPr>
            <w:r w:rsidRPr="00830A86">
              <w:rPr>
                <w:rFonts w:cs="Arial"/>
                <w:b/>
                <w:sz w:val="18"/>
              </w:rPr>
              <w:t>&gt; 80 mL/min</w:t>
            </w:r>
          </w:p>
        </w:tc>
        <w:tc>
          <w:tcPr>
            <w:tcW w:w="1440" w:type="dxa"/>
            <w:vMerge w:val="restart"/>
            <w:shd w:val="clear" w:color="auto" w:fill="auto"/>
            <w:vAlign w:val="center"/>
          </w:tcPr>
          <w:p w14:paraId="62C71368" w14:textId="77777777" w:rsidR="008946EE" w:rsidRPr="00830A86" w:rsidRDefault="008946EE" w:rsidP="00737211">
            <w:pPr>
              <w:spacing w:before="60" w:after="60"/>
              <w:ind w:right="46"/>
              <w:rPr>
                <w:rFonts w:cs="Arial"/>
                <w:sz w:val="18"/>
              </w:rPr>
            </w:pPr>
            <w:r w:rsidRPr="00830A86">
              <w:rPr>
                <w:rFonts w:cs="Arial"/>
                <w:sz w:val="18"/>
              </w:rPr>
              <w:t>10 mg once daily</w:t>
            </w:r>
          </w:p>
          <w:p w14:paraId="0A4079D7" w14:textId="77777777" w:rsidR="008946EE" w:rsidRPr="00830A86" w:rsidRDefault="008946EE" w:rsidP="00737211">
            <w:pPr>
              <w:spacing w:before="60" w:after="60"/>
              <w:ind w:right="46"/>
              <w:rPr>
                <w:rFonts w:cs="Arial"/>
                <w:sz w:val="18"/>
              </w:rPr>
            </w:pPr>
          </w:p>
        </w:tc>
        <w:tc>
          <w:tcPr>
            <w:tcW w:w="1530" w:type="dxa"/>
            <w:vMerge w:val="restart"/>
            <w:shd w:val="clear" w:color="auto" w:fill="auto"/>
            <w:vAlign w:val="center"/>
          </w:tcPr>
          <w:p w14:paraId="668EE6A6" w14:textId="77777777" w:rsidR="008946EE" w:rsidRPr="00830A86" w:rsidRDefault="008946EE" w:rsidP="00737211">
            <w:pPr>
              <w:spacing w:before="60" w:after="60"/>
              <w:ind w:right="46"/>
              <w:rPr>
                <w:rFonts w:cs="Arial"/>
                <w:sz w:val="18"/>
              </w:rPr>
            </w:pPr>
            <w:r w:rsidRPr="00830A86">
              <w:rPr>
                <w:rFonts w:cs="Arial"/>
                <w:sz w:val="18"/>
              </w:rPr>
              <w:t>20 mg once daily</w:t>
            </w:r>
          </w:p>
        </w:tc>
        <w:tc>
          <w:tcPr>
            <w:tcW w:w="1710" w:type="dxa"/>
            <w:vMerge w:val="restart"/>
            <w:shd w:val="clear" w:color="auto" w:fill="auto"/>
            <w:vAlign w:val="center"/>
          </w:tcPr>
          <w:p w14:paraId="13335B54" w14:textId="77777777" w:rsidR="008946EE" w:rsidRDefault="008946EE" w:rsidP="00737211">
            <w:pPr>
              <w:spacing w:before="60" w:after="60"/>
              <w:ind w:right="46"/>
              <w:rPr>
                <w:rFonts w:cs="Arial"/>
                <w:sz w:val="18"/>
              </w:rPr>
            </w:pPr>
            <w:r w:rsidRPr="0068724E">
              <w:rPr>
                <w:rFonts w:cs="Arial"/>
                <w:sz w:val="18"/>
              </w:rPr>
              <w:t>15 mg twice daily for 3 weeks, followed by 20 mg once daily for 6 to 12 months, then maintain 20 mg once daily or consider* 10 mg once daily</w:t>
            </w:r>
          </w:p>
          <w:p w14:paraId="186066F0" w14:textId="7FE21E94" w:rsidR="008946EE" w:rsidRPr="00830A86" w:rsidRDefault="008946EE" w:rsidP="00737211">
            <w:pPr>
              <w:spacing w:before="60" w:after="60"/>
              <w:ind w:right="46"/>
              <w:rPr>
                <w:rFonts w:cs="Arial"/>
                <w:sz w:val="18"/>
              </w:rPr>
            </w:pPr>
          </w:p>
        </w:tc>
        <w:tc>
          <w:tcPr>
            <w:tcW w:w="1710" w:type="dxa"/>
            <w:vMerge w:val="restart"/>
          </w:tcPr>
          <w:p w14:paraId="4559C03B" w14:textId="20BC1E03" w:rsidR="008946EE" w:rsidRPr="00830A86" w:rsidRDefault="008946EE" w:rsidP="00C40275">
            <w:pPr>
              <w:spacing w:before="60" w:after="60"/>
              <w:ind w:right="46"/>
              <w:rPr>
                <w:rFonts w:cs="Arial"/>
                <w:sz w:val="18"/>
              </w:rPr>
            </w:pPr>
            <w:r>
              <w:rPr>
                <w:rFonts w:cs="Arial"/>
                <w:sz w:val="18"/>
              </w:rPr>
              <w:t>2.5 mg XARELTO twice daily</w:t>
            </w:r>
            <w:r w:rsidR="00C40275">
              <w:rPr>
                <w:rFonts w:cs="Arial"/>
                <w:sz w:val="18"/>
              </w:rPr>
              <w:t xml:space="preserve"> with 100 </w:t>
            </w:r>
            <w:r w:rsidR="00C40275" w:rsidRPr="00C40275">
              <w:rPr>
                <w:rFonts w:cs="Arial"/>
                <w:sz w:val="18"/>
              </w:rPr>
              <w:t>mg aspirin once daily</w:t>
            </w:r>
            <w:r w:rsidR="00C40275">
              <w:rPr>
                <w:rFonts w:cs="Arial"/>
                <w:sz w:val="18"/>
              </w:rPr>
              <w:t>.</w:t>
            </w:r>
          </w:p>
          <w:p w14:paraId="2139D34F" w14:textId="5E94383D" w:rsidR="008946EE" w:rsidRPr="00830A86" w:rsidRDefault="008946EE" w:rsidP="00737211">
            <w:pPr>
              <w:spacing w:before="60" w:after="60"/>
              <w:ind w:right="46"/>
              <w:rPr>
                <w:rFonts w:cs="Arial"/>
                <w:sz w:val="18"/>
              </w:rPr>
            </w:pPr>
          </w:p>
        </w:tc>
      </w:tr>
      <w:tr w:rsidR="008946EE" w:rsidRPr="00830A86" w14:paraId="1AEB8430" w14:textId="77777777" w:rsidTr="00323ED1">
        <w:trPr>
          <w:cantSplit/>
          <w:trHeight w:val="733"/>
        </w:trPr>
        <w:tc>
          <w:tcPr>
            <w:tcW w:w="2520" w:type="dxa"/>
            <w:shd w:val="clear" w:color="auto" w:fill="auto"/>
            <w:vAlign w:val="center"/>
          </w:tcPr>
          <w:p w14:paraId="4F956FC1" w14:textId="77777777" w:rsidR="008946EE" w:rsidRPr="00830A86" w:rsidRDefault="008946EE" w:rsidP="00737211">
            <w:pPr>
              <w:spacing w:before="60" w:after="60"/>
              <w:ind w:right="46"/>
              <w:rPr>
                <w:rFonts w:cs="Arial"/>
                <w:b/>
                <w:sz w:val="18"/>
              </w:rPr>
            </w:pPr>
            <w:r w:rsidRPr="00830A86">
              <w:rPr>
                <w:rFonts w:cs="Arial"/>
                <w:b/>
                <w:sz w:val="18"/>
              </w:rPr>
              <w:t xml:space="preserve">Mild </w:t>
            </w:r>
          </w:p>
          <w:p w14:paraId="32ED27F0" w14:textId="77777777" w:rsidR="008946EE" w:rsidRPr="00830A86" w:rsidRDefault="008946EE" w:rsidP="00737211">
            <w:pPr>
              <w:spacing w:before="60" w:after="60"/>
              <w:ind w:right="46"/>
              <w:rPr>
                <w:rFonts w:cs="Arial"/>
                <w:b/>
                <w:sz w:val="18"/>
              </w:rPr>
            </w:pPr>
            <w:r w:rsidRPr="00830A86">
              <w:rPr>
                <w:rFonts w:cs="Arial"/>
                <w:b/>
                <w:sz w:val="18"/>
              </w:rPr>
              <w:t>50 – 80 mL/min</w:t>
            </w:r>
          </w:p>
        </w:tc>
        <w:tc>
          <w:tcPr>
            <w:tcW w:w="1440" w:type="dxa"/>
            <w:vMerge/>
            <w:shd w:val="clear" w:color="auto" w:fill="auto"/>
          </w:tcPr>
          <w:p w14:paraId="4F220072" w14:textId="77777777" w:rsidR="008946EE" w:rsidRPr="00830A86" w:rsidRDefault="008946EE" w:rsidP="00737211">
            <w:pPr>
              <w:spacing w:before="60" w:after="60"/>
              <w:ind w:right="46"/>
              <w:rPr>
                <w:rFonts w:cs="Arial"/>
                <w:sz w:val="18"/>
              </w:rPr>
            </w:pPr>
          </w:p>
        </w:tc>
        <w:tc>
          <w:tcPr>
            <w:tcW w:w="1530" w:type="dxa"/>
            <w:vMerge/>
            <w:shd w:val="clear" w:color="auto" w:fill="auto"/>
          </w:tcPr>
          <w:p w14:paraId="66780295" w14:textId="77777777" w:rsidR="008946EE" w:rsidRPr="00830A86" w:rsidRDefault="008946EE" w:rsidP="00737211">
            <w:pPr>
              <w:spacing w:before="60" w:after="60"/>
              <w:ind w:right="46"/>
              <w:jc w:val="both"/>
              <w:rPr>
                <w:rFonts w:cs="Arial"/>
                <w:sz w:val="18"/>
              </w:rPr>
            </w:pPr>
          </w:p>
        </w:tc>
        <w:tc>
          <w:tcPr>
            <w:tcW w:w="1710" w:type="dxa"/>
            <w:vMerge/>
            <w:shd w:val="clear" w:color="auto" w:fill="auto"/>
          </w:tcPr>
          <w:p w14:paraId="250800EC" w14:textId="77777777" w:rsidR="008946EE" w:rsidRPr="00830A86" w:rsidRDefault="008946EE" w:rsidP="00737211">
            <w:pPr>
              <w:spacing w:before="60" w:after="60"/>
              <w:ind w:right="46"/>
              <w:rPr>
                <w:rFonts w:cs="Arial"/>
                <w:sz w:val="18"/>
              </w:rPr>
            </w:pPr>
          </w:p>
        </w:tc>
        <w:tc>
          <w:tcPr>
            <w:tcW w:w="1710" w:type="dxa"/>
            <w:vMerge/>
          </w:tcPr>
          <w:p w14:paraId="3F181BB3" w14:textId="77777777" w:rsidR="008946EE" w:rsidRPr="00830A86" w:rsidRDefault="008946EE" w:rsidP="00737211">
            <w:pPr>
              <w:spacing w:before="60" w:after="60"/>
              <w:ind w:right="46"/>
              <w:rPr>
                <w:rFonts w:cs="Arial"/>
                <w:sz w:val="18"/>
              </w:rPr>
            </w:pPr>
          </w:p>
        </w:tc>
      </w:tr>
      <w:tr w:rsidR="008946EE" w:rsidRPr="00830A86" w14:paraId="4349B2F4" w14:textId="77777777" w:rsidTr="00323ED1">
        <w:trPr>
          <w:cantSplit/>
        </w:trPr>
        <w:tc>
          <w:tcPr>
            <w:tcW w:w="2520" w:type="dxa"/>
            <w:shd w:val="clear" w:color="auto" w:fill="auto"/>
            <w:vAlign w:val="center"/>
          </w:tcPr>
          <w:p w14:paraId="583AD6F7" w14:textId="77777777" w:rsidR="008946EE" w:rsidRPr="00830A86" w:rsidRDefault="008946EE" w:rsidP="00737211">
            <w:pPr>
              <w:spacing w:before="60" w:after="60"/>
              <w:ind w:right="46"/>
              <w:rPr>
                <w:rFonts w:cs="Arial"/>
                <w:b/>
                <w:sz w:val="18"/>
              </w:rPr>
            </w:pPr>
            <w:r w:rsidRPr="00830A86">
              <w:rPr>
                <w:rFonts w:cs="Arial"/>
                <w:b/>
                <w:sz w:val="18"/>
              </w:rPr>
              <w:t xml:space="preserve">Moderate </w:t>
            </w:r>
          </w:p>
          <w:p w14:paraId="64559E0A" w14:textId="77777777" w:rsidR="008946EE" w:rsidRPr="00830A86" w:rsidRDefault="008946EE" w:rsidP="00737211">
            <w:pPr>
              <w:spacing w:before="60" w:after="60"/>
              <w:ind w:right="46"/>
              <w:rPr>
                <w:rFonts w:cs="Arial"/>
                <w:b/>
                <w:sz w:val="18"/>
              </w:rPr>
            </w:pPr>
            <w:r w:rsidRPr="00830A86">
              <w:rPr>
                <w:rFonts w:cs="Arial"/>
                <w:b/>
                <w:sz w:val="18"/>
              </w:rPr>
              <w:t>30 – 49 mL/min</w:t>
            </w:r>
          </w:p>
        </w:tc>
        <w:tc>
          <w:tcPr>
            <w:tcW w:w="1440" w:type="dxa"/>
            <w:vMerge/>
            <w:shd w:val="clear" w:color="auto" w:fill="auto"/>
            <w:vAlign w:val="center"/>
          </w:tcPr>
          <w:p w14:paraId="439CDD71" w14:textId="77777777" w:rsidR="008946EE" w:rsidRPr="00830A86" w:rsidRDefault="008946EE" w:rsidP="00737211">
            <w:pPr>
              <w:spacing w:before="60" w:after="60"/>
              <w:ind w:right="46"/>
              <w:rPr>
                <w:rFonts w:cs="Arial"/>
                <w:sz w:val="18"/>
              </w:rPr>
            </w:pPr>
          </w:p>
        </w:tc>
        <w:tc>
          <w:tcPr>
            <w:tcW w:w="1530" w:type="dxa"/>
            <w:shd w:val="clear" w:color="auto" w:fill="auto"/>
            <w:vAlign w:val="center"/>
          </w:tcPr>
          <w:p w14:paraId="73E822E5" w14:textId="77777777" w:rsidR="008946EE" w:rsidRPr="00830A86" w:rsidRDefault="008946EE" w:rsidP="00737211">
            <w:pPr>
              <w:spacing w:before="60" w:after="60"/>
              <w:ind w:right="46"/>
              <w:rPr>
                <w:rFonts w:cs="Arial"/>
                <w:sz w:val="18"/>
              </w:rPr>
            </w:pPr>
            <w:r w:rsidRPr="00830A86">
              <w:rPr>
                <w:rFonts w:cs="Arial"/>
                <w:sz w:val="18"/>
              </w:rPr>
              <w:t>15 mg once daily</w:t>
            </w:r>
          </w:p>
        </w:tc>
        <w:tc>
          <w:tcPr>
            <w:tcW w:w="1710" w:type="dxa"/>
            <w:vMerge/>
            <w:shd w:val="clear" w:color="auto" w:fill="auto"/>
            <w:vAlign w:val="center"/>
          </w:tcPr>
          <w:p w14:paraId="2B8FAC25" w14:textId="77777777" w:rsidR="008946EE" w:rsidRPr="00830A86" w:rsidRDefault="008946EE" w:rsidP="00737211">
            <w:pPr>
              <w:spacing w:before="60" w:after="60"/>
              <w:ind w:right="46"/>
              <w:rPr>
                <w:rFonts w:cs="Arial"/>
                <w:sz w:val="18"/>
              </w:rPr>
            </w:pPr>
          </w:p>
        </w:tc>
        <w:tc>
          <w:tcPr>
            <w:tcW w:w="1710" w:type="dxa"/>
            <w:vMerge/>
          </w:tcPr>
          <w:p w14:paraId="41CBD225" w14:textId="77777777" w:rsidR="008946EE" w:rsidRPr="00830A86" w:rsidRDefault="008946EE" w:rsidP="00737211">
            <w:pPr>
              <w:spacing w:before="60" w:after="60"/>
              <w:ind w:right="46"/>
              <w:rPr>
                <w:rFonts w:cs="Arial"/>
                <w:sz w:val="18"/>
              </w:rPr>
            </w:pPr>
          </w:p>
        </w:tc>
      </w:tr>
      <w:tr w:rsidR="00C24974" w:rsidRPr="00830A86" w14:paraId="22690E41" w14:textId="77777777" w:rsidTr="00323ED1">
        <w:trPr>
          <w:cantSplit/>
        </w:trPr>
        <w:tc>
          <w:tcPr>
            <w:tcW w:w="2520" w:type="dxa"/>
            <w:shd w:val="clear" w:color="auto" w:fill="auto"/>
            <w:vAlign w:val="center"/>
          </w:tcPr>
          <w:p w14:paraId="7D63087D" w14:textId="77777777" w:rsidR="00C24974" w:rsidRPr="00830A86" w:rsidRDefault="00C24974" w:rsidP="00737211">
            <w:pPr>
              <w:spacing w:before="60" w:after="60"/>
              <w:ind w:right="46"/>
              <w:rPr>
                <w:rFonts w:cs="Arial"/>
                <w:b/>
                <w:sz w:val="18"/>
              </w:rPr>
            </w:pPr>
            <w:r w:rsidRPr="00830A86">
              <w:rPr>
                <w:rFonts w:cs="Arial"/>
                <w:b/>
                <w:sz w:val="18"/>
              </w:rPr>
              <w:t>Severe</w:t>
            </w:r>
          </w:p>
          <w:p w14:paraId="5B49990C" w14:textId="77777777" w:rsidR="00C24974" w:rsidRPr="00830A86" w:rsidRDefault="00C24974" w:rsidP="00737211">
            <w:pPr>
              <w:spacing w:before="60" w:after="60"/>
              <w:ind w:right="46"/>
              <w:rPr>
                <w:rFonts w:cs="Arial"/>
                <w:b/>
                <w:sz w:val="18"/>
              </w:rPr>
            </w:pPr>
            <w:r w:rsidRPr="00830A86">
              <w:rPr>
                <w:rFonts w:cs="Arial"/>
                <w:b/>
                <w:sz w:val="18"/>
              </w:rPr>
              <w:t>15 – 29 mL/min</w:t>
            </w:r>
          </w:p>
        </w:tc>
        <w:tc>
          <w:tcPr>
            <w:tcW w:w="1440" w:type="dxa"/>
            <w:shd w:val="clear" w:color="auto" w:fill="auto"/>
            <w:vAlign w:val="center"/>
          </w:tcPr>
          <w:p w14:paraId="31814218" w14:textId="77777777" w:rsidR="00C24974" w:rsidRPr="00830A86" w:rsidRDefault="00C24974" w:rsidP="00737211">
            <w:pPr>
              <w:spacing w:before="60" w:after="60"/>
              <w:ind w:right="46"/>
              <w:rPr>
                <w:rFonts w:cs="Arial"/>
                <w:sz w:val="18"/>
              </w:rPr>
            </w:pPr>
            <w:r w:rsidRPr="00830A86">
              <w:rPr>
                <w:rFonts w:cs="Arial"/>
                <w:sz w:val="18"/>
              </w:rPr>
              <w:t>10 mg once daily  (Use with caution)</w:t>
            </w:r>
          </w:p>
        </w:tc>
        <w:tc>
          <w:tcPr>
            <w:tcW w:w="3240" w:type="dxa"/>
            <w:gridSpan w:val="2"/>
            <w:shd w:val="clear" w:color="auto" w:fill="auto"/>
            <w:vAlign w:val="center"/>
          </w:tcPr>
          <w:p w14:paraId="46D1594D" w14:textId="77777777" w:rsidR="00C24974" w:rsidRPr="00830A86" w:rsidRDefault="00C24974" w:rsidP="00737211">
            <w:pPr>
              <w:spacing w:before="60" w:after="60"/>
              <w:ind w:right="46"/>
              <w:jc w:val="center"/>
              <w:rPr>
                <w:rFonts w:cs="Arial"/>
                <w:sz w:val="18"/>
              </w:rPr>
            </w:pPr>
            <w:r w:rsidRPr="00830A86">
              <w:rPr>
                <w:rFonts w:cs="Arial"/>
                <w:sz w:val="18"/>
              </w:rPr>
              <w:t>XARELTO is contraindicated</w:t>
            </w:r>
          </w:p>
        </w:tc>
        <w:tc>
          <w:tcPr>
            <w:tcW w:w="1710" w:type="dxa"/>
          </w:tcPr>
          <w:p w14:paraId="685BBCDB" w14:textId="773E570C" w:rsidR="00C24974" w:rsidRPr="00830A86" w:rsidRDefault="00C24974" w:rsidP="00C40275">
            <w:pPr>
              <w:spacing w:before="60" w:after="60"/>
              <w:ind w:right="46"/>
              <w:jc w:val="center"/>
              <w:rPr>
                <w:rFonts w:cs="Arial"/>
                <w:sz w:val="18"/>
              </w:rPr>
            </w:pPr>
            <w:r>
              <w:rPr>
                <w:rFonts w:cs="Arial"/>
                <w:sz w:val="18"/>
              </w:rPr>
              <w:t>2.5 mg XARELTO twice daily</w:t>
            </w:r>
            <w:r w:rsidR="00C40275">
              <w:rPr>
                <w:rFonts w:cs="Arial"/>
                <w:sz w:val="18"/>
              </w:rPr>
              <w:t xml:space="preserve"> </w:t>
            </w:r>
            <w:r w:rsidR="00C40275" w:rsidRPr="00C40275">
              <w:rPr>
                <w:rFonts w:cs="Arial"/>
                <w:sz w:val="18"/>
              </w:rPr>
              <w:t>with 100</w:t>
            </w:r>
            <w:r w:rsidR="00C40275">
              <w:rPr>
                <w:rFonts w:cs="Arial"/>
                <w:sz w:val="18"/>
              </w:rPr>
              <w:t xml:space="preserve"> </w:t>
            </w:r>
            <w:r w:rsidR="00C40275" w:rsidRPr="00C40275">
              <w:rPr>
                <w:rFonts w:cs="Arial"/>
                <w:sz w:val="18"/>
              </w:rPr>
              <w:t>mg aspirin once daily</w:t>
            </w:r>
            <w:r w:rsidR="00C40275">
              <w:rPr>
                <w:rFonts w:cs="Arial"/>
                <w:sz w:val="18"/>
              </w:rPr>
              <w:t xml:space="preserve"> </w:t>
            </w:r>
            <w:r>
              <w:rPr>
                <w:rFonts w:cs="Arial"/>
                <w:sz w:val="18"/>
              </w:rPr>
              <w:t>(Use with caution)</w:t>
            </w:r>
            <w:r w:rsidR="00C40275">
              <w:rPr>
                <w:rFonts w:cs="Arial"/>
                <w:sz w:val="18"/>
              </w:rPr>
              <w:t>.</w:t>
            </w:r>
          </w:p>
        </w:tc>
      </w:tr>
      <w:tr w:rsidR="00C24974" w:rsidRPr="00830A86" w14:paraId="08F0EA85" w14:textId="77777777" w:rsidTr="00323ED1">
        <w:trPr>
          <w:cantSplit/>
        </w:trPr>
        <w:tc>
          <w:tcPr>
            <w:tcW w:w="2520" w:type="dxa"/>
            <w:shd w:val="clear" w:color="auto" w:fill="auto"/>
            <w:vAlign w:val="center"/>
          </w:tcPr>
          <w:p w14:paraId="33548E49" w14:textId="77777777" w:rsidR="00C24974" w:rsidRPr="00830A86" w:rsidRDefault="00C24974" w:rsidP="00737211">
            <w:pPr>
              <w:spacing w:before="60" w:after="60"/>
              <w:ind w:right="46"/>
              <w:rPr>
                <w:rFonts w:cs="Arial"/>
                <w:b/>
                <w:sz w:val="18"/>
              </w:rPr>
            </w:pPr>
            <w:r w:rsidRPr="00830A86">
              <w:rPr>
                <w:rFonts w:cs="Arial"/>
                <w:b/>
                <w:sz w:val="18"/>
              </w:rPr>
              <w:lastRenderedPageBreak/>
              <w:t xml:space="preserve">Severe </w:t>
            </w:r>
          </w:p>
          <w:p w14:paraId="4DE3429D" w14:textId="77777777" w:rsidR="00C24974" w:rsidRPr="00830A86" w:rsidRDefault="00C24974" w:rsidP="00737211">
            <w:pPr>
              <w:spacing w:before="60" w:after="60"/>
              <w:ind w:right="46"/>
              <w:rPr>
                <w:rFonts w:cs="Arial"/>
                <w:b/>
                <w:sz w:val="18"/>
              </w:rPr>
            </w:pPr>
            <w:r w:rsidRPr="00830A86">
              <w:rPr>
                <w:rFonts w:cs="Arial"/>
                <w:b/>
                <w:sz w:val="18"/>
              </w:rPr>
              <w:t>&lt; 15 mL/min</w:t>
            </w:r>
          </w:p>
        </w:tc>
        <w:tc>
          <w:tcPr>
            <w:tcW w:w="6390" w:type="dxa"/>
            <w:gridSpan w:val="4"/>
            <w:shd w:val="clear" w:color="auto" w:fill="auto"/>
            <w:vAlign w:val="center"/>
          </w:tcPr>
          <w:p w14:paraId="227F4E70" w14:textId="77777777" w:rsidR="00C24974" w:rsidRPr="00830A86" w:rsidRDefault="00C24974" w:rsidP="00D95ADF">
            <w:pPr>
              <w:tabs>
                <w:tab w:val="left" w:pos="567"/>
              </w:tabs>
              <w:spacing w:before="60" w:after="60"/>
              <w:ind w:right="46"/>
              <w:rPr>
                <w:rFonts w:cs="Arial"/>
                <w:sz w:val="18"/>
              </w:rPr>
            </w:pPr>
            <w:r w:rsidRPr="00830A86">
              <w:rPr>
                <w:rFonts w:cs="Arial"/>
                <w:sz w:val="18"/>
              </w:rPr>
              <w:t>XARELTO is contraindicated</w:t>
            </w:r>
          </w:p>
        </w:tc>
      </w:tr>
    </w:tbl>
    <w:p w14:paraId="1D619CE7" w14:textId="77777777" w:rsidR="008946EE" w:rsidRPr="008946EE" w:rsidRDefault="008946EE" w:rsidP="00323ED1">
      <w:pPr>
        <w:spacing w:before="120" w:after="120"/>
        <w:ind w:left="630" w:right="45"/>
        <w:jc w:val="both"/>
        <w:rPr>
          <w:rFonts w:cs="Arial"/>
          <w:color w:val="000000" w:themeColor="text1"/>
          <w:sz w:val="16"/>
          <w:szCs w:val="16"/>
          <w:lang w:eastAsia="en-US"/>
        </w:rPr>
      </w:pPr>
      <w:r w:rsidRPr="008946EE">
        <w:rPr>
          <w:rFonts w:cs="Arial"/>
          <w:noProof/>
          <w:sz w:val="16"/>
          <w:szCs w:val="16"/>
          <w:lang w:eastAsia="en-US"/>
        </w:rPr>
        <w:t xml:space="preserve">* </w:t>
      </w:r>
      <w:r w:rsidRPr="008946EE">
        <w:rPr>
          <w:rFonts w:cs="Arial"/>
          <w:color w:val="000000" w:themeColor="text1"/>
          <w:sz w:val="16"/>
          <w:szCs w:val="16"/>
          <w:lang w:eastAsia="en-US"/>
        </w:rPr>
        <w:t>Based on an individual assessment of the risk of recurrent DVT or PE against the risk for bleeding, dose reduction to 10 mg Xarelto once daily may be considered.</w:t>
      </w:r>
    </w:p>
    <w:p w14:paraId="0791F853" w14:textId="77777777" w:rsidR="00C24974" w:rsidRPr="00100151" w:rsidRDefault="00C24974" w:rsidP="008F643B">
      <w:pPr>
        <w:pStyle w:val="BayerBodyTextFull"/>
      </w:pPr>
    </w:p>
    <w:p w14:paraId="05F033EA" w14:textId="77777777" w:rsidR="00CE2271" w:rsidRPr="007D79EA" w:rsidRDefault="00DB7719" w:rsidP="007D79EA">
      <w:pPr>
        <w:pStyle w:val="Quote"/>
        <w:ind w:left="630"/>
        <w:rPr>
          <w:b/>
          <w:szCs w:val="22"/>
        </w:rPr>
      </w:pPr>
      <w:r w:rsidRPr="007D79EA">
        <w:rPr>
          <w:b/>
          <w:szCs w:val="22"/>
        </w:rPr>
        <w:t>Hepatic impairment</w:t>
      </w:r>
    </w:p>
    <w:p w14:paraId="6B044E7A" w14:textId="77777777" w:rsidR="00DB7719" w:rsidRPr="002742BE" w:rsidRDefault="00830A86" w:rsidP="00265264">
      <w:pPr>
        <w:pStyle w:val="BayerBodyText-left"/>
        <w:ind w:left="630"/>
        <w:jc w:val="left"/>
      </w:pPr>
      <w:r>
        <w:t>XARELTO</w:t>
      </w:r>
      <w:r w:rsidRPr="002742BE">
        <w:t xml:space="preserve"> </w:t>
      </w:r>
      <w:r w:rsidR="00DB7719" w:rsidRPr="002742BE">
        <w:t>is contraindicated in patients with significant hepatic disease (including moderate to severe hepatic impairment, i.e. Child-Pugh B and C) which is associated with coagulopathy leading to a clinically relevant bleeding risk (see</w:t>
      </w:r>
      <w:r w:rsidR="00E67857">
        <w:t xml:space="preserve"> Section 4.3</w:t>
      </w:r>
      <w:r w:rsidR="00DB7719" w:rsidRPr="002742BE">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00DB7719" w:rsidRPr="002742BE">
        <w:t xml:space="preserve">). </w:t>
      </w:r>
      <w:r w:rsidR="00144771">
        <w:t xml:space="preserve"> </w:t>
      </w:r>
      <w:r w:rsidR="00DB7719" w:rsidRPr="002742BE">
        <w:t>No dose adjustment is necessary in patients with other hepatic diseases (see</w:t>
      </w:r>
      <w:r w:rsidR="00E67857">
        <w:t xml:space="preserve"> Section 5.2</w:t>
      </w:r>
      <w:r w:rsidR="00DB7719" w:rsidRPr="002742BE">
        <w:t xml:space="preserve"> </w:t>
      </w:r>
      <w:r w:rsidR="00A019A2">
        <w:fldChar w:fldCharType="begin"/>
      </w:r>
      <w:r w:rsidR="00A019A2">
        <w:instrText xml:space="preserve"> REF _Ref522882073 \h </w:instrText>
      </w:r>
      <w:r w:rsidR="00A019A2">
        <w:fldChar w:fldCharType="separate"/>
      </w:r>
      <w:r w:rsidR="00C51DA4" w:rsidRPr="000202B5">
        <w:t>PHARMACOKINETIC PROPERTIES</w:t>
      </w:r>
      <w:r w:rsidR="00A019A2">
        <w:fldChar w:fldCharType="end"/>
      </w:r>
      <w:r w:rsidR="00A84FCE">
        <w:t>).</w:t>
      </w:r>
    </w:p>
    <w:p w14:paraId="1F43A08C" w14:textId="77777777" w:rsidR="00DB7719" w:rsidRPr="002742BE" w:rsidRDefault="00DB7719" w:rsidP="00265264">
      <w:pPr>
        <w:pStyle w:val="BayerBodyText-left"/>
        <w:ind w:left="630"/>
        <w:jc w:val="left"/>
      </w:pPr>
      <w:r w:rsidRPr="002742BE">
        <w:t>Limited clinical data in patients with moderate hepatic impairment (Child</w:t>
      </w:r>
      <w:r>
        <w:t>-</w:t>
      </w:r>
      <w:r w:rsidRPr="002742BE">
        <w:t xml:space="preserve">Pugh B) indicate a significant increase in the pharmacological activity. </w:t>
      </w:r>
      <w:r w:rsidR="00144771">
        <w:t xml:space="preserve"> </w:t>
      </w:r>
      <w:r w:rsidRPr="002742BE">
        <w:t>No clinical data are available for patients with severe hepatic impairment (Child</w:t>
      </w:r>
      <w:r>
        <w:t>-</w:t>
      </w:r>
      <w:r w:rsidRPr="002742BE">
        <w:t>Pugh C) (see</w:t>
      </w:r>
      <w:r w:rsidR="00E67857">
        <w:t xml:space="preserve"> Section 4.3</w:t>
      </w:r>
      <w:r w:rsidRPr="002742BE">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00FD060F">
        <w:t xml:space="preserve"> </w:t>
      </w:r>
      <w:r w:rsidRPr="00792CC7">
        <w:t>and</w:t>
      </w:r>
      <w:r w:rsidR="00E67857" w:rsidRPr="00792CC7">
        <w:t xml:space="preserve"> Section 5.2</w:t>
      </w:r>
      <w:r w:rsidR="00FD060F">
        <w:t xml:space="preserve"> </w:t>
      </w:r>
      <w:r w:rsidR="00A810D1">
        <w:fldChar w:fldCharType="begin"/>
      </w:r>
      <w:r w:rsidR="00A810D1">
        <w:instrText xml:space="preserve"> REF _Ref522882073 \h </w:instrText>
      </w:r>
      <w:r w:rsidR="00A810D1">
        <w:fldChar w:fldCharType="separate"/>
      </w:r>
      <w:r w:rsidR="00C51DA4" w:rsidRPr="000202B5">
        <w:t>PHARMACOKINETIC PROPERTIES</w:t>
      </w:r>
      <w:r w:rsidR="00A810D1">
        <w:fldChar w:fldCharType="end"/>
      </w:r>
      <w:r w:rsidRPr="002742BE">
        <w:t>).</w:t>
      </w:r>
    </w:p>
    <w:p w14:paraId="0072E904" w14:textId="77777777" w:rsidR="00CE2271" w:rsidRPr="007D79EA" w:rsidRDefault="00DB7719" w:rsidP="007D79EA">
      <w:pPr>
        <w:pStyle w:val="Quote"/>
        <w:ind w:left="630"/>
        <w:rPr>
          <w:b/>
          <w:szCs w:val="22"/>
        </w:rPr>
      </w:pPr>
      <w:r w:rsidRPr="007D79EA">
        <w:rPr>
          <w:b/>
          <w:szCs w:val="22"/>
        </w:rPr>
        <w:t>Paediatric population</w:t>
      </w:r>
    </w:p>
    <w:p w14:paraId="5361DCE0" w14:textId="77777777" w:rsidR="00B527C1" w:rsidRDefault="00830A86" w:rsidP="007C61C6">
      <w:pPr>
        <w:tabs>
          <w:tab w:val="left" w:pos="630"/>
        </w:tabs>
        <w:spacing w:before="120" w:after="120"/>
        <w:ind w:left="630" w:right="45"/>
        <w:rPr>
          <w:rFonts w:cs="Arial"/>
          <w:szCs w:val="22"/>
        </w:rPr>
      </w:pPr>
      <w:r>
        <w:rPr>
          <w:rFonts w:cs="Arial"/>
          <w:szCs w:val="22"/>
        </w:rPr>
        <w:t>XARELTO</w:t>
      </w:r>
      <w:r w:rsidRPr="002742BE">
        <w:rPr>
          <w:rFonts w:cs="Arial"/>
          <w:szCs w:val="22"/>
        </w:rPr>
        <w:t xml:space="preserve"> </w:t>
      </w:r>
      <w:r w:rsidR="00B527C1" w:rsidRPr="002742BE">
        <w:rPr>
          <w:rFonts w:cs="Arial"/>
          <w:szCs w:val="22"/>
        </w:rPr>
        <w:t>is not recommended for use in c</w:t>
      </w:r>
      <w:r w:rsidR="00144771">
        <w:rPr>
          <w:rFonts w:cs="Arial"/>
          <w:szCs w:val="22"/>
        </w:rPr>
        <w:t xml:space="preserve">hildren or adolescents below 18 </w:t>
      </w:r>
      <w:r w:rsidR="00B527C1" w:rsidRPr="002742BE">
        <w:rPr>
          <w:rFonts w:cs="Arial"/>
          <w:szCs w:val="22"/>
        </w:rPr>
        <w:t>years of age due to a lack of data on safety and efficacy.</w:t>
      </w:r>
    </w:p>
    <w:p w14:paraId="6C634D79" w14:textId="77777777" w:rsidR="00B527C1" w:rsidRPr="007D79EA" w:rsidRDefault="00B527C1" w:rsidP="007D79EA">
      <w:pPr>
        <w:pStyle w:val="Quote"/>
        <w:ind w:left="630"/>
        <w:rPr>
          <w:b/>
          <w:szCs w:val="22"/>
        </w:rPr>
      </w:pPr>
      <w:r w:rsidRPr="007D79EA">
        <w:rPr>
          <w:b/>
          <w:szCs w:val="22"/>
        </w:rPr>
        <w:t>Body Weight</w:t>
      </w:r>
    </w:p>
    <w:p w14:paraId="38A006EE" w14:textId="2D1DDD58" w:rsidR="00B527C1" w:rsidRPr="00792CC7" w:rsidRDefault="00F0746C" w:rsidP="00E90F26">
      <w:pPr>
        <w:pStyle w:val="BayerBodyTextFull"/>
      </w:pPr>
      <w:r>
        <w:t>N</w:t>
      </w:r>
      <w:r w:rsidR="00B527C1" w:rsidRPr="00792CC7">
        <w:t>o dose adjustment is required for these patient populations (see</w:t>
      </w:r>
      <w:r w:rsidR="00E67857" w:rsidRPr="00792CC7">
        <w:t xml:space="preserve"> Section 5.2</w:t>
      </w:r>
      <w:r w:rsidR="00B527C1" w:rsidRPr="00792CC7">
        <w:t xml:space="preserve"> </w:t>
      </w:r>
      <w:r w:rsidR="00A810D1">
        <w:fldChar w:fldCharType="begin"/>
      </w:r>
      <w:r w:rsidR="00A810D1">
        <w:instrText xml:space="preserve"> REF _Ref522882073 \h </w:instrText>
      </w:r>
      <w:r w:rsidR="00A810D1">
        <w:fldChar w:fldCharType="separate"/>
      </w:r>
      <w:r w:rsidR="00C51DA4" w:rsidRPr="000202B5">
        <w:t>PHARMACOKINETIC PROPERTIES</w:t>
      </w:r>
      <w:r w:rsidR="00A810D1">
        <w:fldChar w:fldCharType="end"/>
      </w:r>
      <w:r w:rsidR="00A84FCE">
        <w:rPr>
          <w:rFonts w:cs="Arial"/>
          <w:szCs w:val="22"/>
        </w:rPr>
        <w:t>).</w:t>
      </w:r>
    </w:p>
    <w:p w14:paraId="6E36A88F" w14:textId="77777777" w:rsidR="00B527C1" w:rsidRPr="007D79EA" w:rsidRDefault="00B527C1" w:rsidP="007D79EA">
      <w:pPr>
        <w:pStyle w:val="Quote"/>
        <w:ind w:left="630"/>
        <w:rPr>
          <w:b/>
          <w:szCs w:val="22"/>
        </w:rPr>
      </w:pPr>
      <w:r w:rsidRPr="007D79EA">
        <w:rPr>
          <w:b/>
          <w:szCs w:val="22"/>
        </w:rPr>
        <w:t>Gender</w:t>
      </w:r>
    </w:p>
    <w:p w14:paraId="41ED5675" w14:textId="77777777" w:rsidR="00B527C1" w:rsidRPr="00792CC7" w:rsidRDefault="00B527C1" w:rsidP="007D79EA">
      <w:pPr>
        <w:pStyle w:val="Quote"/>
        <w:ind w:left="630"/>
      </w:pPr>
      <w:r w:rsidRPr="00792CC7">
        <w:t>No dose adjustment is required for theses patient populations (see</w:t>
      </w:r>
      <w:r w:rsidR="00E67857" w:rsidRPr="00792CC7">
        <w:t xml:space="preserve"> Section 5.2</w:t>
      </w:r>
      <w:r w:rsidR="00BA1597">
        <w:t xml:space="preserve"> </w:t>
      </w:r>
      <w:r w:rsidR="00A810D1">
        <w:fldChar w:fldCharType="begin"/>
      </w:r>
      <w:r w:rsidR="00A810D1">
        <w:instrText xml:space="preserve"> REF _Ref522882073 \h </w:instrText>
      </w:r>
      <w:r w:rsidR="00A810D1">
        <w:fldChar w:fldCharType="separate"/>
      </w:r>
      <w:r w:rsidR="00C51DA4" w:rsidRPr="000202B5">
        <w:t>PHARMACOKINETIC PROPERTIES</w:t>
      </w:r>
      <w:r w:rsidR="00A810D1">
        <w:fldChar w:fldCharType="end"/>
      </w:r>
      <w:r w:rsidRPr="00792CC7">
        <w:t>).</w:t>
      </w:r>
    </w:p>
    <w:p w14:paraId="491A9E8B" w14:textId="77777777" w:rsidR="007D79EA" w:rsidRDefault="007D79EA" w:rsidP="007D79EA">
      <w:pPr>
        <w:pStyle w:val="Quote"/>
        <w:ind w:left="630"/>
        <w:rPr>
          <w:b/>
          <w:szCs w:val="22"/>
        </w:rPr>
      </w:pPr>
    </w:p>
    <w:p w14:paraId="1D4124BF" w14:textId="77777777" w:rsidR="00B527C1" w:rsidRPr="007D79EA" w:rsidRDefault="00B527C1" w:rsidP="007D79EA">
      <w:pPr>
        <w:pStyle w:val="Quote"/>
        <w:ind w:left="630"/>
        <w:rPr>
          <w:b/>
          <w:szCs w:val="22"/>
        </w:rPr>
      </w:pPr>
      <w:r w:rsidRPr="007D79EA">
        <w:rPr>
          <w:b/>
          <w:szCs w:val="22"/>
        </w:rPr>
        <w:t>Ethnic differences</w:t>
      </w:r>
    </w:p>
    <w:p w14:paraId="672B7C97" w14:textId="6DC14C70" w:rsidR="00B527C1" w:rsidRPr="00792CC7" w:rsidRDefault="00B527C1" w:rsidP="00265264">
      <w:pPr>
        <w:pStyle w:val="BayerBodyText-left"/>
        <w:ind w:left="630"/>
        <w:jc w:val="left"/>
      </w:pPr>
      <w:r w:rsidRPr="00792CC7">
        <w:t>No dose adjustment is required based on ethnic differences (see</w:t>
      </w:r>
      <w:r w:rsidR="00E67857" w:rsidRPr="00792CC7">
        <w:t xml:space="preserve"> </w:t>
      </w:r>
      <w:r w:rsidR="00BA1597">
        <w:t>Se</w:t>
      </w:r>
      <w:r w:rsidR="00E67857" w:rsidRPr="00792CC7">
        <w:t>ction 5.2</w:t>
      </w:r>
      <w:r w:rsidR="00265264">
        <w:t xml:space="preserve"> </w:t>
      </w:r>
      <w:r w:rsidR="00A810D1">
        <w:fldChar w:fldCharType="begin"/>
      </w:r>
      <w:r w:rsidR="00A810D1">
        <w:instrText xml:space="preserve"> REF _Ref522882073 \h  \* MERGEFORMAT </w:instrText>
      </w:r>
      <w:r w:rsidR="00A810D1">
        <w:fldChar w:fldCharType="separate"/>
      </w:r>
      <w:r w:rsidR="00C51DA4" w:rsidRPr="000202B5">
        <w:t>PHARMACOKINETIC PROPERTIES</w:t>
      </w:r>
      <w:r w:rsidR="00A810D1">
        <w:fldChar w:fldCharType="end"/>
      </w:r>
      <w:r w:rsidRPr="00792CC7">
        <w:t xml:space="preserve">). </w:t>
      </w:r>
    </w:p>
    <w:p w14:paraId="5D806DAF" w14:textId="2B9E4BDE" w:rsidR="00FE6E8F" w:rsidRDefault="00B527C1" w:rsidP="00900E05">
      <w:pPr>
        <w:pStyle w:val="Title"/>
        <w:ind w:left="630"/>
      </w:pPr>
      <w:r w:rsidRPr="00004191">
        <w:rPr>
          <w:sz w:val="22"/>
          <w:szCs w:val="24"/>
        </w:rPr>
        <w:t>Transition</w:t>
      </w:r>
      <w:r w:rsidR="00D2311E" w:rsidRPr="00004191">
        <w:rPr>
          <w:sz w:val="22"/>
          <w:szCs w:val="24"/>
        </w:rPr>
        <w:t xml:space="preserve"> </w:t>
      </w:r>
      <w:r w:rsidR="005F6704" w:rsidRPr="00004191">
        <w:rPr>
          <w:sz w:val="22"/>
          <w:szCs w:val="24"/>
        </w:rPr>
        <w:t>XARELTO</w:t>
      </w:r>
      <w:r w:rsidR="00D2311E" w:rsidRPr="00004191">
        <w:rPr>
          <w:sz w:val="22"/>
          <w:szCs w:val="24"/>
        </w:rPr>
        <w:t xml:space="preserve"> from and to vitamin K a</w:t>
      </w:r>
      <w:r w:rsidRPr="00004191">
        <w:rPr>
          <w:sz w:val="22"/>
          <w:szCs w:val="24"/>
        </w:rPr>
        <w:t>ntagonists (VKA</w:t>
      </w:r>
      <w:r w:rsidR="00D2311E" w:rsidRPr="00004191">
        <w:rPr>
          <w:sz w:val="22"/>
          <w:szCs w:val="24"/>
        </w:rPr>
        <w:t>) or parenteral</w:t>
      </w:r>
      <w:r w:rsidR="00AC51A2" w:rsidRPr="00004191">
        <w:rPr>
          <w:sz w:val="22"/>
          <w:szCs w:val="24"/>
        </w:rPr>
        <w:t xml:space="preserve"> </w:t>
      </w:r>
      <w:r w:rsidR="00D2311E" w:rsidRPr="00004191">
        <w:rPr>
          <w:sz w:val="22"/>
          <w:szCs w:val="24"/>
        </w:rPr>
        <w:t>a</w:t>
      </w:r>
      <w:r w:rsidRPr="00004191">
        <w:rPr>
          <w:sz w:val="22"/>
          <w:szCs w:val="24"/>
        </w:rPr>
        <w:t>nticoagulants</w:t>
      </w:r>
    </w:p>
    <w:tbl>
      <w:tblPr>
        <w:tblW w:w="87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498"/>
        <w:gridCol w:w="3811"/>
      </w:tblGrid>
      <w:tr w:rsidR="00B527C1" w:rsidRPr="00B527C1" w14:paraId="7CF6509E" w14:textId="77777777" w:rsidTr="008F47DC">
        <w:trPr>
          <w:trHeight w:val="415"/>
          <w:tblHeader/>
        </w:trPr>
        <w:tc>
          <w:tcPr>
            <w:tcW w:w="1440" w:type="dxa"/>
            <w:tcBorders>
              <w:tl2br w:val="nil"/>
            </w:tcBorders>
            <w:shd w:val="clear" w:color="auto" w:fill="D9D9D9" w:themeFill="background1" w:themeFillShade="D9"/>
            <w:vAlign w:val="center"/>
          </w:tcPr>
          <w:p w14:paraId="22FCC0B9" w14:textId="77777777" w:rsidR="00B527C1" w:rsidRPr="00830A86" w:rsidRDefault="00B527C1" w:rsidP="00B527C1">
            <w:pPr>
              <w:autoSpaceDE w:val="0"/>
              <w:autoSpaceDN w:val="0"/>
              <w:spacing w:before="60" w:after="60"/>
              <w:ind w:right="-108"/>
              <w:jc w:val="center"/>
              <w:rPr>
                <w:rFonts w:cs="Arial"/>
                <w:b/>
                <w:sz w:val="18"/>
                <w:szCs w:val="18"/>
                <w:lang w:eastAsia="en-US"/>
              </w:rPr>
            </w:pPr>
            <w:r w:rsidRPr="00830A86">
              <w:rPr>
                <w:rFonts w:cs="Arial"/>
                <w:b/>
                <w:sz w:val="18"/>
                <w:szCs w:val="18"/>
                <w:lang w:eastAsia="en-US"/>
              </w:rPr>
              <w:t>Anticoagulant</w:t>
            </w:r>
          </w:p>
        </w:tc>
        <w:tc>
          <w:tcPr>
            <w:tcW w:w="3498" w:type="dxa"/>
            <w:shd w:val="clear" w:color="auto" w:fill="D9D9D9" w:themeFill="background1" w:themeFillShade="D9"/>
            <w:vAlign w:val="center"/>
          </w:tcPr>
          <w:p w14:paraId="557A2D22" w14:textId="77777777" w:rsidR="00B527C1" w:rsidRPr="00830A86" w:rsidRDefault="00B527C1" w:rsidP="00B527C1">
            <w:pPr>
              <w:autoSpaceDE w:val="0"/>
              <w:autoSpaceDN w:val="0"/>
              <w:spacing w:before="60" w:after="60"/>
              <w:ind w:right="45"/>
              <w:jc w:val="center"/>
              <w:rPr>
                <w:rFonts w:cs="Arial"/>
                <w:b/>
                <w:sz w:val="18"/>
                <w:szCs w:val="18"/>
                <w:lang w:eastAsia="en-US"/>
              </w:rPr>
            </w:pPr>
            <w:r w:rsidRPr="00830A86">
              <w:rPr>
                <w:rFonts w:cs="Arial"/>
                <w:b/>
                <w:sz w:val="18"/>
                <w:szCs w:val="18"/>
                <w:lang w:eastAsia="en-US"/>
              </w:rPr>
              <w:t xml:space="preserve">Transition From </w:t>
            </w:r>
            <w:r w:rsidR="005F6704" w:rsidRPr="00830A86">
              <w:rPr>
                <w:rFonts w:cs="Arial"/>
                <w:b/>
                <w:sz w:val="18"/>
                <w:szCs w:val="18"/>
                <w:lang w:eastAsia="en-US"/>
              </w:rPr>
              <w:t>XARELTO</w:t>
            </w:r>
          </w:p>
        </w:tc>
        <w:tc>
          <w:tcPr>
            <w:tcW w:w="3811" w:type="dxa"/>
            <w:shd w:val="clear" w:color="auto" w:fill="D9D9D9" w:themeFill="background1" w:themeFillShade="D9"/>
            <w:vAlign w:val="center"/>
          </w:tcPr>
          <w:p w14:paraId="4B224678" w14:textId="77777777" w:rsidR="00B527C1" w:rsidRPr="00830A86" w:rsidRDefault="00B527C1" w:rsidP="00B527C1">
            <w:pPr>
              <w:autoSpaceDE w:val="0"/>
              <w:autoSpaceDN w:val="0"/>
              <w:spacing w:before="60" w:after="60"/>
              <w:ind w:right="45"/>
              <w:jc w:val="center"/>
              <w:rPr>
                <w:rFonts w:cs="Arial"/>
                <w:b/>
                <w:sz w:val="18"/>
                <w:szCs w:val="18"/>
                <w:lang w:eastAsia="en-US"/>
              </w:rPr>
            </w:pPr>
            <w:r w:rsidRPr="00830A86">
              <w:rPr>
                <w:rFonts w:cs="Arial"/>
                <w:b/>
                <w:sz w:val="18"/>
                <w:szCs w:val="18"/>
                <w:lang w:eastAsia="en-US"/>
              </w:rPr>
              <w:t xml:space="preserve">Transition To </w:t>
            </w:r>
            <w:r w:rsidR="005F6704" w:rsidRPr="00830A86">
              <w:rPr>
                <w:rFonts w:cs="Arial"/>
                <w:b/>
                <w:sz w:val="18"/>
                <w:szCs w:val="18"/>
                <w:lang w:eastAsia="en-US"/>
              </w:rPr>
              <w:t>XARELTO</w:t>
            </w:r>
          </w:p>
        </w:tc>
      </w:tr>
      <w:tr w:rsidR="00B527C1" w:rsidRPr="00B527C1" w14:paraId="0874C5F7" w14:textId="77777777" w:rsidTr="008F47DC">
        <w:tc>
          <w:tcPr>
            <w:tcW w:w="1440" w:type="dxa"/>
            <w:shd w:val="clear" w:color="auto" w:fill="auto"/>
          </w:tcPr>
          <w:p w14:paraId="107FB43D" w14:textId="77777777" w:rsidR="00B527C1" w:rsidRPr="00830A86" w:rsidRDefault="00B527C1" w:rsidP="00B527C1">
            <w:pPr>
              <w:autoSpaceDE w:val="0"/>
              <w:autoSpaceDN w:val="0"/>
              <w:spacing w:before="120" w:after="240" w:line="260" w:lineRule="exact"/>
              <w:ind w:right="45"/>
              <w:rPr>
                <w:rFonts w:cs="Arial"/>
                <w:b/>
                <w:sz w:val="18"/>
                <w:szCs w:val="18"/>
                <w:lang w:eastAsia="en-US"/>
              </w:rPr>
            </w:pPr>
            <w:r w:rsidRPr="00830A86">
              <w:rPr>
                <w:rFonts w:cs="Arial"/>
                <w:b/>
                <w:sz w:val="18"/>
                <w:szCs w:val="18"/>
                <w:lang w:eastAsia="en-US"/>
              </w:rPr>
              <w:t>Vitamin K Antagonists (VKA)</w:t>
            </w:r>
          </w:p>
        </w:tc>
        <w:tc>
          <w:tcPr>
            <w:tcW w:w="3498" w:type="dxa"/>
            <w:shd w:val="clear" w:color="auto" w:fill="auto"/>
          </w:tcPr>
          <w:p w14:paraId="0E323EF0" w14:textId="77777777" w:rsidR="00B527C1" w:rsidRPr="00830A86" w:rsidRDefault="00B527C1" w:rsidP="00830A86">
            <w:pPr>
              <w:autoSpaceDE w:val="0"/>
              <w:autoSpaceDN w:val="0"/>
              <w:spacing w:before="120" w:after="240" w:line="260" w:lineRule="exact"/>
              <w:ind w:right="45"/>
              <w:rPr>
                <w:rFonts w:cs="Arial"/>
                <w:b/>
                <w:bCs/>
                <w:sz w:val="18"/>
                <w:szCs w:val="18"/>
                <w:lang w:val="en-GB"/>
              </w:rPr>
            </w:pPr>
            <w:r w:rsidRPr="00830A86">
              <w:rPr>
                <w:rFonts w:cs="Arial"/>
                <w:b/>
                <w:bCs/>
                <w:sz w:val="18"/>
                <w:szCs w:val="18"/>
                <w:lang w:val="en-GB" w:eastAsia="en-US"/>
              </w:rPr>
              <w:t xml:space="preserve">Transition from </w:t>
            </w:r>
            <w:r w:rsidR="005F6704" w:rsidRPr="00830A86">
              <w:rPr>
                <w:rFonts w:cs="Arial"/>
                <w:b/>
                <w:bCs/>
                <w:sz w:val="18"/>
                <w:szCs w:val="18"/>
                <w:lang w:val="en-GB" w:eastAsia="en-US"/>
              </w:rPr>
              <w:t>XARELTO</w:t>
            </w:r>
            <w:r w:rsidRPr="00830A86">
              <w:rPr>
                <w:rFonts w:cs="Arial"/>
                <w:b/>
                <w:bCs/>
                <w:sz w:val="18"/>
                <w:szCs w:val="18"/>
                <w:lang w:val="en-GB" w:eastAsia="en-US"/>
              </w:rPr>
              <w:t xml:space="preserve"> to VKAs:</w:t>
            </w:r>
          </w:p>
          <w:p w14:paraId="38A52832" w14:textId="77777777" w:rsidR="00B527C1" w:rsidRPr="00830A86" w:rsidRDefault="00B527C1" w:rsidP="00830A86">
            <w:pPr>
              <w:autoSpaceDE w:val="0"/>
              <w:autoSpaceDN w:val="0"/>
              <w:spacing w:before="120" w:after="120" w:line="260" w:lineRule="exact"/>
              <w:ind w:right="45"/>
              <w:rPr>
                <w:rFonts w:cs="Arial"/>
                <w:sz w:val="18"/>
                <w:szCs w:val="18"/>
                <w:lang w:val="en-GB" w:eastAsia="en-US"/>
              </w:rPr>
            </w:pPr>
            <w:r w:rsidRPr="00830A86">
              <w:rPr>
                <w:rFonts w:cs="Arial"/>
                <w:sz w:val="18"/>
                <w:szCs w:val="18"/>
                <w:lang w:val="en-GB" w:eastAsia="en-US"/>
              </w:rPr>
              <w:t xml:space="preserve">There is a potential for inadequate anticoagulation during the transition from </w:t>
            </w:r>
            <w:r w:rsidR="005F6704" w:rsidRPr="00830A86">
              <w:rPr>
                <w:rFonts w:cs="Arial"/>
                <w:sz w:val="18"/>
                <w:szCs w:val="18"/>
                <w:lang w:val="en-GB" w:eastAsia="en-US"/>
              </w:rPr>
              <w:t>XARELTO</w:t>
            </w:r>
            <w:r w:rsidRPr="00830A86">
              <w:rPr>
                <w:rFonts w:cs="Arial"/>
                <w:sz w:val="18"/>
                <w:szCs w:val="18"/>
                <w:lang w:val="en-GB" w:eastAsia="en-US"/>
              </w:rPr>
              <w:t xml:space="preserve"> to VKA. </w:t>
            </w:r>
            <w:r w:rsidR="00144771" w:rsidRPr="00830A86">
              <w:rPr>
                <w:rFonts w:cs="Arial"/>
                <w:sz w:val="18"/>
                <w:szCs w:val="18"/>
                <w:lang w:val="en-GB" w:eastAsia="en-US"/>
              </w:rPr>
              <w:t xml:space="preserve"> </w:t>
            </w:r>
            <w:r w:rsidRPr="00830A86">
              <w:rPr>
                <w:rFonts w:cs="Arial"/>
                <w:sz w:val="18"/>
                <w:szCs w:val="18"/>
                <w:lang w:val="en-GB" w:eastAsia="en-US"/>
              </w:rPr>
              <w:t xml:space="preserve">Limited clinical trial data is available to guide the process whereby patients are converted from </w:t>
            </w:r>
            <w:r w:rsidR="005F6704" w:rsidRPr="00830A86">
              <w:rPr>
                <w:rFonts w:cs="Arial"/>
                <w:sz w:val="18"/>
                <w:szCs w:val="18"/>
                <w:lang w:val="en-GB" w:eastAsia="en-US"/>
              </w:rPr>
              <w:t>XARELTO</w:t>
            </w:r>
            <w:r w:rsidRPr="00830A86">
              <w:rPr>
                <w:rFonts w:cs="Arial"/>
                <w:sz w:val="18"/>
                <w:szCs w:val="18"/>
                <w:lang w:val="en-GB" w:eastAsia="en-US"/>
              </w:rPr>
              <w:t xml:space="preserve"> to VKAs.</w:t>
            </w:r>
          </w:p>
          <w:p w14:paraId="3303EA0B" w14:textId="77777777" w:rsidR="00B527C1" w:rsidRPr="00830A86" w:rsidRDefault="00B527C1" w:rsidP="00830A86">
            <w:pPr>
              <w:autoSpaceDE w:val="0"/>
              <w:autoSpaceDN w:val="0"/>
              <w:spacing w:before="120" w:after="120" w:line="260" w:lineRule="exact"/>
              <w:ind w:right="45"/>
              <w:rPr>
                <w:rFonts w:cs="Arial"/>
                <w:color w:val="1F497D"/>
                <w:sz w:val="18"/>
                <w:szCs w:val="18"/>
                <w:lang w:val="en-GB" w:eastAsia="en-US"/>
              </w:rPr>
            </w:pPr>
            <w:r w:rsidRPr="00830A86">
              <w:rPr>
                <w:rFonts w:cs="Arial"/>
                <w:sz w:val="18"/>
                <w:szCs w:val="18"/>
                <w:lang w:val="en-GB" w:eastAsia="en-US"/>
              </w:rPr>
              <w:lastRenderedPageBreak/>
              <w:t>Continuous adequate anticoagulation should be ensured during transition</w:t>
            </w:r>
            <w:r w:rsidR="009C3810" w:rsidRPr="00830A86">
              <w:rPr>
                <w:rFonts w:cs="Arial"/>
                <w:sz w:val="18"/>
                <w:szCs w:val="18"/>
                <w:lang w:val="en-GB" w:eastAsia="en-US"/>
              </w:rPr>
              <w:t xml:space="preserve"> to an alternate anticoagulant.</w:t>
            </w:r>
          </w:p>
          <w:p w14:paraId="383686B5" w14:textId="77777777" w:rsidR="00B527C1" w:rsidRPr="00830A86" w:rsidRDefault="00B527C1" w:rsidP="00830A86">
            <w:pPr>
              <w:autoSpaceDE w:val="0"/>
              <w:autoSpaceDN w:val="0"/>
              <w:spacing w:before="120" w:after="120" w:line="260" w:lineRule="exact"/>
              <w:ind w:right="45"/>
              <w:rPr>
                <w:rFonts w:cs="Arial"/>
                <w:sz w:val="18"/>
                <w:szCs w:val="18"/>
                <w:lang w:val="en-GB" w:eastAsia="en-US"/>
              </w:rPr>
            </w:pPr>
            <w:r w:rsidRPr="00830A86">
              <w:rPr>
                <w:rFonts w:cs="Arial"/>
                <w:sz w:val="18"/>
                <w:szCs w:val="18"/>
                <w:lang w:val="en-GB" w:eastAsia="en-US"/>
              </w:rPr>
              <w:t xml:space="preserve">In patients converting from </w:t>
            </w:r>
            <w:r w:rsidR="005F6704" w:rsidRPr="00830A86">
              <w:rPr>
                <w:rFonts w:cs="Arial"/>
                <w:sz w:val="18"/>
                <w:szCs w:val="18"/>
                <w:lang w:val="en-GB" w:eastAsia="en-US"/>
              </w:rPr>
              <w:t>XARELTO</w:t>
            </w:r>
            <w:r w:rsidRPr="00830A86">
              <w:rPr>
                <w:rFonts w:cs="Arial"/>
                <w:sz w:val="18"/>
                <w:szCs w:val="18"/>
                <w:lang w:val="en-GB" w:eastAsia="en-US"/>
              </w:rPr>
              <w:t xml:space="preserve"> to VKA, VKA should be given concurrently until the INR is ≥ 2.0. It should be noted that </w:t>
            </w:r>
            <w:r w:rsidR="005F6704" w:rsidRPr="00830A86">
              <w:rPr>
                <w:rFonts w:cs="Arial"/>
                <w:sz w:val="18"/>
                <w:szCs w:val="18"/>
                <w:lang w:val="en-GB" w:eastAsia="en-US"/>
              </w:rPr>
              <w:t>XARELTO</w:t>
            </w:r>
            <w:r w:rsidRPr="00830A86">
              <w:rPr>
                <w:rFonts w:cs="Arial"/>
                <w:sz w:val="18"/>
                <w:szCs w:val="18"/>
                <w:lang w:val="en-GB" w:eastAsia="en-US"/>
              </w:rPr>
              <w:t xml:space="preserve"> can contribute to an elevated INR</w:t>
            </w:r>
            <w:r w:rsidRPr="00830A86">
              <w:rPr>
                <w:rFonts w:cs="Arial"/>
                <w:color w:val="1F497D"/>
                <w:sz w:val="18"/>
                <w:szCs w:val="18"/>
                <w:lang w:val="en-GB" w:eastAsia="en-US"/>
              </w:rPr>
              <w:t xml:space="preserve"> </w:t>
            </w:r>
            <w:r w:rsidRPr="00830A86">
              <w:rPr>
                <w:rFonts w:cs="Arial"/>
                <w:sz w:val="18"/>
                <w:szCs w:val="18"/>
                <w:lang w:val="en-GB" w:eastAsia="en-US"/>
              </w:rPr>
              <w:t xml:space="preserve">and so INR measurements made during co-administration with warfarin may not be useful for determining the appropriate dose of VKA. </w:t>
            </w:r>
            <w:r w:rsidR="00144771" w:rsidRPr="00830A86">
              <w:rPr>
                <w:rFonts w:cs="Arial"/>
                <w:sz w:val="18"/>
                <w:szCs w:val="18"/>
                <w:lang w:val="en-GB" w:eastAsia="en-US"/>
              </w:rPr>
              <w:t xml:space="preserve"> </w:t>
            </w:r>
            <w:r w:rsidRPr="00830A86">
              <w:rPr>
                <w:rFonts w:cs="Arial"/>
                <w:sz w:val="18"/>
                <w:szCs w:val="18"/>
                <w:lang w:val="en-GB" w:eastAsia="en-US"/>
              </w:rPr>
              <w:t xml:space="preserve">Therefore, INR measurements should be made in accordance with the following guidance during the transition from </w:t>
            </w:r>
            <w:r w:rsidR="005F6704" w:rsidRPr="00830A86">
              <w:rPr>
                <w:rFonts w:cs="Arial"/>
                <w:sz w:val="18"/>
                <w:szCs w:val="18"/>
                <w:lang w:val="en-GB" w:eastAsia="en-US"/>
              </w:rPr>
              <w:t>XARELTO</w:t>
            </w:r>
            <w:r w:rsidRPr="00830A86">
              <w:rPr>
                <w:rFonts w:cs="Arial"/>
                <w:sz w:val="18"/>
                <w:szCs w:val="18"/>
                <w:lang w:val="en-GB" w:eastAsia="en-US"/>
              </w:rPr>
              <w:t xml:space="preserve"> to VKA: </w:t>
            </w:r>
          </w:p>
          <w:p w14:paraId="1EDA9803" w14:textId="77777777" w:rsidR="00B527C1" w:rsidRPr="00830A86" w:rsidRDefault="00B527C1" w:rsidP="00830A86">
            <w:pPr>
              <w:autoSpaceDE w:val="0"/>
              <w:autoSpaceDN w:val="0"/>
              <w:spacing w:before="120" w:after="120" w:line="260" w:lineRule="exact"/>
              <w:ind w:right="45"/>
              <w:rPr>
                <w:rFonts w:cs="Arial"/>
                <w:b/>
                <w:sz w:val="18"/>
                <w:szCs w:val="18"/>
                <w:lang w:eastAsia="en-US"/>
              </w:rPr>
            </w:pPr>
            <w:r w:rsidRPr="00830A86">
              <w:rPr>
                <w:rFonts w:cs="Arial"/>
                <w:sz w:val="18"/>
                <w:szCs w:val="18"/>
                <w:lang w:val="en-GB" w:eastAsia="en-US"/>
              </w:rPr>
              <w:t xml:space="preserve">For the first two days of the conversion period, standard initial dosing of VKA should be used and, after the first two days, VKA dosing should be guided by INR testing. </w:t>
            </w:r>
            <w:r w:rsidR="00144771" w:rsidRPr="00830A86">
              <w:rPr>
                <w:rFonts w:cs="Arial"/>
                <w:sz w:val="18"/>
                <w:szCs w:val="18"/>
                <w:lang w:val="en-GB" w:eastAsia="en-US"/>
              </w:rPr>
              <w:t xml:space="preserve"> </w:t>
            </w:r>
            <w:r w:rsidRPr="00830A86">
              <w:rPr>
                <w:rFonts w:cs="Arial"/>
                <w:sz w:val="18"/>
                <w:szCs w:val="18"/>
                <w:lang w:val="en-GB" w:eastAsia="en-US"/>
              </w:rPr>
              <w:t xml:space="preserve">While patients are on both </w:t>
            </w:r>
            <w:r w:rsidR="005F6704" w:rsidRPr="00830A86">
              <w:rPr>
                <w:rFonts w:cs="Arial"/>
                <w:sz w:val="18"/>
                <w:szCs w:val="18"/>
                <w:lang w:val="en-GB" w:eastAsia="en-US"/>
              </w:rPr>
              <w:t>XARELTO</w:t>
            </w:r>
            <w:r w:rsidRPr="00830A86">
              <w:rPr>
                <w:rFonts w:cs="Arial"/>
                <w:sz w:val="18"/>
                <w:szCs w:val="18"/>
                <w:lang w:val="en-GB" w:eastAsia="en-US"/>
              </w:rPr>
              <w:t xml:space="preserve"> and VKA, INR should be tested just prior to the next dose of </w:t>
            </w:r>
            <w:r w:rsidR="005F6704" w:rsidRPr="00830A86">
              <w:rPr>
                <w:rFonts w:cs="Arial"/>
                <w:sz w:val="18"/>
                <w:szCs w:val="18"/>
                <w:lang w:val="en-GB" w:eastAsia="en-US"/>
              </w:rPr>
              <w:t>XARELTO</w:t>
            </w:r>
            <w:r w:rsidRPr="00830A86">
              <w:rPr>
                <w:rFonts w:cs="Arial"/>
                <w:sz w:val="18"/>
                <w:szCs w:val="18"/>
                <w:lang w:val="en-GB" w:eastAsia="en-US"/>
              </w:rPr>
              <w:t xml:space="preserve"> (not earlier than 24 hours after the previous dose). </w:t>
            </w:r>
            <w:r w:rsidR="00144771" w:rsidRPr="00830A86">
              <w:rPr>
                <w:rFonts w:cs="Arial"/>
                <w:sz w:val="18"/>
                <w:szCs w:val="18"/>
                <w:lang w:val="en-GB" w:eastAsia="en-US"/>
              </w:rPr>
              <w:t xml:space="preserve"> </w:t>
            </w:r>
            <w:r w:rsidRPr="00830A86">
              <w:rPr>
                <w:rFonts w:cs="Arial"/>
                <w:sz w:val="18"/>
                <w:szCs w:val="18"/>
                <w:lang w:val="en-GB" w:eastAsia="en-US"/>
              </w:rPr>
              <w:t xml:space="preserve">Once </w:t>
            </w:r>
            <w:r w:rsidR="005F6704" w:rsidRPr="00830A86">
              <w:rPr>
                <w:rFonts w:cs="Arial"/>
                <w:sz w:val="18"/>
                <w:szCs w:val="18"/>
                <w:lang w:val="en-GB" w:eastAsia="en-US"/>
              </w:rPr>
              <w:t>XARELTO</w:t>
            </w:r>
            <w:r w:rsidRPr="00830A86">
              <w:rPr>
                <w:rFonts w:cs="Arial"/>
                <w:sz w:val="18"/>
                <w:szCs w:val="18"/>
                <w:lang w:val="en-GB" w:eastAsia="en-US"/>
              </w:rPr>
              <w:t xml:space="preserve"> is discontinued INR testing may be done reliably at least 24 hours after the last dose.</w:t>
            </w:r>
          </w:p>
        </w:tc>
        <w:tc>
          <w:tcPr>
            <w:tcW w:w="3811" w:type="dxa"/>
            <w:shd w:val="clear" w:color="auto" w:fill="auto"/>
          </w:tcPr>
          <w:p w14:paraId="43065ECA" w14:textId="77777777" w:rsidR="00B527C1" w:rsidRPr="00830A86" w:rsidRDefault="00B527C1" w:rsidP="00830A86">
            <w:pPr>
              <w:autoSpaceDE w:val="0"/>
              <w:autoSpaceDN w:val="0"/>
              <w:spacing w:before="120" w:after="240" w:line="260" w:lineRule="exact"/>
              <w:ind w:right="45"/>
              <w:rPr>
                <w:rFonts w:cs="Arial"/>
                <w:b/>
                <w:bCs/>
                <w:sz w:val="18"/>
                <w:szCs w:val="18"/>
                <w:lang w:val="en-GB"/>
              </w:rPr>
            </w:pPr>
            <w:r w:rsidRPr="00830A86">
              <w:rPr>
                <w:rFonts w:cs="Arial"/>
                <w:b/>
                <w:bCs/>
                <w:sz w:val="18"/>
                <w:szCs w:val="18"/>
                <w:lang w:val="en-GB" w:eastAsia="en-US"/>
              </w:rPr>
              <w:lastRenderedPageBreak/>
              <w:t xml:space="preserve">Transition from VKA to </w:t>
            </w:r>
            <w:r w:rsidR="005F6704" w:rsidRPr="00830A86">
              <w:rPr>
                <w:rFonts w:cs="Arial"/>
                <w:b/>
                <w:bCs/>
                <w:sz w:val="18"/>
                <w:szCs w:val="18"/>
                <w:lang w:val="en-GB" w:eastAsia="en-US"/>
              </w:rPr>
              <w:t>XARELTO</w:t>
            </w:r>
            <w:r w:rsidRPr="00830A86">
              <w:rPr>
                <w:rFonts w:cs="Arial"/>
                <w:b/>
                <w:bCs/>
                <w:sz w:val="18"/>
                <w:szCs w:val="18"/>
                <w:lang w:val="en-GB" w:eastAsia="en-US"/>
              </w:rPr>
              <w:t>:</w:t>
            </w:r>
          </w:p>
          <w:p w14:paraId="666F51F5" w14:textId="77777777" w:rsidR="00B527C1" w:rsidRPr="00830A86" w:rsidRDefault="00B527C1" w:rsidP="00830A86">
            <w:pPr>
              <w:autoSpaceDE w:val="0"/>
              <w:autoSpaceDN w:val="0"/>
              <w:spacing w:before="120" w:after="240" w:line="260" w:lineRule="exact"/>
              <w:ind w:right="46"/>
              <w:rPr>
                <w:rFonts w:cs="Arial"/>
                <w:sz w:val="18"/>
                <w:szCs w:val="18"/>
                <w:lang w:val="en-GB" w:eastAsia="zh-CN"/>
              </w:rPr>
            </w:pPr>
            <w:r w:rsidRPr="00830A86">
              <w:rPr>
                <w:rFonts w:cs="Arial"/>
                <w:sz w:val="18"/>
                <w:szCs w:val="18"/>
                <w:lang w:val="en-GB" w:eastAsia="en-US"/>
              </w:rPr>
              <w:t xml:space="preserve">For patients treated for prevention of stroke and systemic embolism, VKA treatment should be stopped and </w:t>
            </w:r>
            <w:r w:rsidR="005F6704" w:rsidRPr="00830A86">
              <w:rPr>
                <w:rFonts w:cs="Arial"/>
                <w:sz w:val="18"/>
                <w:szCs w:val="18"/>
                <w:lang w:val="en-GB" w:eastAsia="en-US"/>
              </w:rPr>
              <w:t>XARELTO</w:t>
            </w:r>
            <w:r w:rsidRPr="00830A86">
              <w:rPr>
                <w:rFonts w:cs="Arial"/>
                <w:sz w:val="18"/>
                <w:szCs w:val="18"/>
                <w:lang w:val="en-GB" w:eastAsia="en-US"/>
              </w:rPr>
              <w:t xml:space="preserve"> therapy should be initiated once the INR is ≤ 3.0.</w:t>
            </w:r>
          </w:p>
          <w:p w14:paraId="57A81764" w14:textId="77777777" w:rsidR="00B527C1" w:rsidRPr="00830A86" w:rsidRDefault="00B527C1" w:rsidP="00830A86">
            <w:pPr>
              <w:autoSpaceDE w:val="0"/>
              <w:autoSpaceDN w:val="0"/>
              <w:spacing w:before="120" w:after="240" w:line="260" w:lineRule="exact"/>
              <w:ind w:right="46"/>
              <w:rPr>
                <w:rFonts w:cs="Arial"/>
                <w:color w:val="1F497D"/>
                <w:sz w:val="18"/>
                <w:szCs w:val="18"/>
                <w:lang w:val="en-GB" w:eastAsia="en-US"/>
              </w:rPr>
            </w:pPr>
            <w:r w:rsidRPr="00830A86">
              <w:rPr>
                <w:rFonts w:cs="Arial"/>
                <w:sz w:val="18"/>
                <w:szCs w:val="18"/>
                <w:lang w:val="en-GB" w:eastAsia="en-US"/>
              </w:rPr>
              <w:t xml:space="preserve">For patients treated for DVT and prevention of recurrent DVT and PE, VKA treatment </w:t>
            </w:r>
            <w:r w:rsidRPr="00830A86">
              <w:rPr>
                <w:rFonts w:cs="Arial"/>
                <w:sz w:val="18"/>
                <w:szCs w:val="18"/>
                <w:lang w:val="en-GB" w:eastAsia="en-US"/>
              </w:rPr>
              <w:lastRenderedPageBreak/>
              <w:t xml:space="preserve">should be stopped and </w:t>
            </w:r>
            <w:r w:rsidR="005F6704" w:rsidRPr="00830A86">
              <w:rPr>
                <w:rFonts w:cs="Arial"/>
                <w:sz w:val="18"/>
                <w:szCs w:val="18"/>
                <w:lang w:val="en-GB" w:eastAsia="en-US"/>
              </w:rPr>
              <w:t>XARELTO</w:t>
            </w:r>
            <w:r w:rsidRPr="00830A86">
              <w:rPr>
                <w:rFonts w:cs="Arial"/>
                <w:sz w:val="18"/>
                <w:szCs w:val="18"/>
                <w:lang w:val="en-GB" w:eastAsia="en-US"/>
              </w:rPr>
              <w:t xml:space="preserve"> therapy should be initiated once the INR is ≤ 2.5.</w:t>
            </w:r>
          </w:p>
          <w:p w14:paraId="66964D0A" w14:textId="77777777" w:rsidR="00B527C1" w:rsidRPr="00830A86" w:rsidRDefault="00B527C1" w:rsidP="00830A86">
            <w:pPr>
              <w:autoSpaceDE w:val="0"/>
              <w:autoSpaceDN w:val="0"/>
              <w:spacing w:before="120" w:after="240" w:line="260" w:lineRule="exact"/>
              <w:ind w:right="46"/>
              <w:rPr>
                <w:rFonts w:cs="Arial"/>
                <w:sz w:val="18"/>
                <w:szCs w:val="18"/>
                <w:lang w:val="en-GB" w:eastAsia="en-US"/>
              </w:rPr>
            </w:pPr>
            <w:r w:rsidRPr="00830A86">
              <w:rPr>
                <w:rFonts w:cs="Arial"/>
                <w:sz w:val="18"/>
                <w:szCs w:val="18"/>
                <w:lang w:val="en-GB" w:eastAsia="en-US"/>
              </w:rPr>
              <w:t xml:space="preserve">The INR is not a valid measure for the anticoagulant activity of </w:t>
            </w:r>
            <w:r w:rsidR="005F6704" w:rsidRPr="00830A86">
              <w:rPr>
                <w:rFonts w:cs="Arial"/>
                <w:sz w:val="18"/>
                <w:szCs w:val="18"/>
                <w:lang w:val="en-GB" w:eastAsia="en-US"/>
              </w:rPr>
              <w:t>XARELTO</w:t>
            </w:r>
            <w:r w:rsidRPr="00830A86">
              <w:rPr>
                <w:rFonts w:cs="Arial"/>
                <w:sz w:val="18"/>
                <w:szCs w:val="18"/>
                <w:lang w:val="en-GB" w:eastAsia="en-US"/>
              </w:rPr>
              <w:t>, and therefore should not be used.</w:t>
            </w:r>
            <w:r w:rsidR="00144771" w:rsidRPr="00830A86">
              <w:rPr>
                <w:rFonts w:cs="Arial"/>
                <w:sz w:val="18"/>
                <w:szCs w:val="18"/>
                <w:lang w:val="en-GB" w:eastAsia="en-US"/>
              </w:rPr>
              <w:t xml:space="preserve"> </w:t>
            </w:r>
            <w:r w:rsidRPr="00830A86">
              <w:rPr>
                <w:rFonts w:cs="Arial"/>
                <w:sz w:val="18"/>
                <w:szCs w:val="18"/>
                <w:lang w:val="en-GB" w:eastAsia="en-US"/>
              </w:rPr>
              <w:t xml:space="preserve"> The INR is only calibrated and validated for VKAs and cannot be used for any other anticoagulant. </w:t>
            </w:r>
            <w:r w:rsidR="00144771" w:rsidRPr="00830A86">
              <w:rPr>
                <w:rFonts w:cs="Arial"/>
                <w:sz w:val="18"/>
                <w:szCs w:val="18"/>
                <w:lang w:val="en-GB" w:eastAsia="en-US"/>
              </w:rPr>
              <w:t xml:space="preserve"> </w:t>
            </w:r>
            <w:r w:rsidRPr="00830A86">
              <w:rPr>
                <w:rFonts w:cs="Arial"/>
                <w:sz w:val="18"/>
                <w:szCs w:val="18"/>
                <w:lang w:val="en-GB" w:eastAsia="en-US"/>
              </w:rPr>
              <w:t xml:space="preserve">When switching patients from VKAs to </w:t>
            </w:r>
            <w:r w:rsidR="005F6704" w:rsidRPr="00830A86">
              <w:rPr>
                <w:rFonts w:cs="Arial"/>
                <w:sz w:val="18"/>
                <w:szCs w:val="18"/>
                <w:lang w:val="en-GB" w:eastAsia="en-US"/>
              </w:rPr>
              <w:t>XARELTO</w:t>
            </w:r>
            <w:r w:rsidRPr="00830A86">
              <w:rPr>
                <w:rFonts w:cs="Arial"/>
                <w:sz w:val="18"/>
                <w:szCs w:val="18"/>
                <w:lang w:val="en-GB" w:eastAsia="en-US"/>
              </w:rPr>
              <w:t xml:space="preserve">, INR values will be elevated after the intake of </w:t>
            </w:r>
            <w:r w:rsidR="005F6704" w:rsidRPr="00830A86">
              <w:rPr>
                <w:rFonts w:cs="Arial"/>
                <w:sz w:val="18"/>
                <w:szCs w:val="18"/>
                <w:lang w:val="en-GB" w:eastAsia="en-US"/>
              </w:rPr>
              <w:t>XARELTO</w:t>
            </w:r>
            <w:r w:rsidRPr="00830A86">
              <w:rPr>
                <w:rFonts w:cs="Arial"/>
                <w:sz w:val="18"/>
                <w:szCs w:val="18"/>
                <w:lang w:val="en-GB" w:eastAsia="en-US"/>
              </w:rPr>
              <w:t xml:space="preserve"> but this is not indicative of the anticoagulant effect of </w:t>
            </w:r>
            <w:r w:rsidR="005F6704" w:rsidRPr="00792CC7">
              <w:rPr>
                <w:rFonts w:cs="Arial"/>
                <w:sz w:val="18"/>
                <w:szCs w:val="18"/>
                <w:lang w:val="en-GB" w:eastAsia="en-US"/>
              </w:rPr>
              <w:t>XARELTO</w:t>
            </w:r>
            <w:r w:rsidRPr="00792CC7">
              <w:rPr>
                <w:rFonts w:cs="Arial"/>
                <w:sz w:val="18"/>
                <w:szCs w:val="18"/>
                <w:lang w:val="en-GB" w:eastAsia="en-US"/>
              </w:rPr>
              <w:t xml:space="preserve"> (see</w:t>
            </w:r>
            <w:r w:rsidR="00E67857" w:rsidRPr="00792CC7">
              <w:rPr>
                <w:rFonts w:cs="Arial"/>
                <w:sz w:val="18"/>
                <w:szCs w:val="18"/>
                <w:lang w:val="en-GB" w:eastAsia="en-US"/>
              </w:rPr>
              <w:t xml:space="preserve"> Section 4.5</w:t>
            </w:r>
            <w:r w:rsidRPr="00792CC7">
              <w:rPr>
                <w:rFonts w:cs="Arial"/>
                <w:sz w:val="18"/>
                <w:szCs w:val="18"/>
                <w:lang w:val="en-GB" w:eastAsia="en-US"/>
              </w:rPr>
              <w:t xml:space="preserve"> </w:t>
            </w:r>
            <w:r w:rsidR="00A810D1" w:rsidRPr="00A810D1">
              <w:rPr>
                <w:rFonts w:cs="Arial"/>
                <w:sz w:val="14"/>
                <w:szCs w:val="18"/>
                <w:lang w:val="en-GB" w:eastAsia="en-US"/>
              </w:rPr>
              <w:fldChar w:fldCharType="begin"/>
            </w:r>
            <w:r w:rsidR="00A810D1" w:rsidRPr="00A810D1">
              <w:rPr>
                <w:rFonts w:cs="Arial"/>
                <w:sz w:val="14"/>
                <w:szCs w:val="18"/>
                <w:lang w:val="en-GB" w:eastAsia="en-US"/>
              </w:rPr>
              <w:instrText xml:space="preserve"> REF _Ref522882463 \h  \* MERGEFORMAT </w:instrText>
            </w:r>
            <w:r w:rsidR="00A810D1" w:rsidRPr="00A810D1">
              <w:rPr>
                <w:rFonts w:cs="Arial"/>
                <w:sz w:val="14"/>
                <w:szCs w:val="18"/>
                <w:lang w:val="en-GB" w:eastAsia="en-US"/>
              </w:rPr>
            </w:r>
            <w:r w:rsidR="00A810D1" w:rsidRPr="00A810D1">
              <w:rPr>
                <w:rFonts w:cs="Arial"/>
                <w:sz w:val="14"/>
                <w:szCs w:val="18"/>
                <w:lang w:val="en-GB" w:eastAsia="en-US"/>
              </w:rPr>
              <w:fldChar w:fldCharType="separate"/>
            </w:r>
            <w:r w:rsidR="00C51DA4" w:rsidRPr="00C51DA4">
              <w:rPr>
                <w:sz w:val="18"/>
              </w:rPr>
              <w:t>INTERACTIONS WITH OTHER MEDICINES AND OTHER FORMS OF INTERACTIONS</w:t>
            </w:r>
            <w:r w:rsidR="00A810D1" w:rsidRPr="00A810D1">
              <w:rPr>
                <w:rFonts w:cs="Arial"/>
                <w:sz w:val="14"/>
                <w:szCs w:val="18"/>
                <w:lang w:val="en-GB" w:eastAsia="en-US"/>
              </w:rPr>
              <w:fldChar w:fldCharType="end"/>
            </w:r>
            <w:r w:rsidRPr="00830A86">
              <w:rPr>
                <w:rFonts w:cs="Arial"/>
                <w:sz w:val="18"/>
                <w:szCs w:val="18"/>
                <w:lang w:val="en-GB" w:eastAsia="en-US"/>
              </w:rPr>
              <w:t>).</w:t>
            </w:r>
          </w:p>
          <w:p w14:paraId="2F16602F" w14:textId="77777777" w:rsidR="00B527C1" w:rsidRPr="00830A86" w:rsidRDefault="00B527C1" w:rsidP="00830A86">
            <w:pPr>
              <w:autoSpaceDE w:val="0"/>
              <w:autoSpaceDN w:val="0"/>
              <w:spacing w:before="120" w:after="240" w:line="260" w:lineRule="exact"/>
              <w:ind w:right="45"/>
              <w:rPr>
                <w:rFonts w:cs="Arial"/>
                <w:b/>
                <w:sz w:val="18"/>
                <w:szCs w:val="18"/>
                <w:lang w:eastAsia="en-US"/>
              </w:rPr>
            </w:pPr>
          </w:p>
        </w:tc>
      </w:tr>
      <w:tr w:rsidR="00B527C1" w:rsidRPr="00B527C1" w14:paraId="1E5DE1B2" w14:textId="77777777" w:rsidTr="008F47DC">
        <w:tc>
          <w:tcPr>
            <w:tcW w:w="1440" w:type="dxa"/>
            <w:shd w:val="clear" w:color="auto" w:fill="auto"/>
          </w:tcPr>
          <w:p w14:paraId="02DB54E0" w14:textId="77777777" w:rsidR="00B527C1" w:rsidRPr="00830A86" w:rsidRDefault="00B527C1" w:rsidP="00B527C1">
            <w:pPr>
              <w:autoSpaceDE w:val="0"/>
              <w:autoSpaceDN w:val="0"/>
              <w:spacing w:before="120" w:after="240" w:line="260" w:lineRule="exact"/>
              <w:ind w:right="-108"/>
              <w:rPr>
                <w:rFonts w:cs="Arial"/>
                <w:b/>
                <w:sz w:val="18"/>
                <w:szCs w:val="18"/>
                <w:lang w:eastAsia="en-US"/>
              </w:rPr>
            </w:pPr>
            <w:r w:rsidRPr="00830A86">
              <w:rPr>
                <w:rFonts w:cs="Arial"/>
                <w:b/>
                <w:sz w:val="18"/>
                <w:szCs w:val="18"/>
                <w:lang w:eastAsia="en-US"/>
              </w:rPr>
              <w:lastRenderedPageBreak/>
              <w:t>Parenteral Anticoagulants</w:t>
            </w:r>
          </w:p>
        </w:tc>
        <w:tc>
          <w:tcPr>
            <w:tcW w:w="3498" w:type="dxa"/>
            <w:shd w:val="clear" w:color="auto" w:fill="auto"/>
          </w:tcPr>
          <w:p w14:paraId="3353B512" w14:textId="77777777" w:rsidR="00B527C1" w:rsidRPr="00830A86" w:rsidRDefault="00B527C1" w:rsidP="00830A86">
            <w:pPr>
              <w:autoSpaceDE w:val="0"/>
              <w:autoSpaceDN w:val="0"/>
              <w:spacing w:before="120" w:after="240" w:line="260" w:lineRule="exact"/>
              <w:ind w:right="45"/>
              <w:rPr>
                <w:rFonts w:cs="Arial"/>
                <w:b/>
                <w:sz w:val="18"/>
                <w:szCs w:val="18"/>
                <w:lang w:val="en-GB" w:eastAsia="en-US"/>
              </w:rPr>
            </w:pPr>
            <w:r w:rsidRPr="00830A86">
              <w:rPr>
                <w:rFonts w:cs="Arial"/>
                <w:b/>
                <w:sz w:val="18"/>
                <w:szCs w:val="18"/>
                <w:lang w:val="en-GB" w:eastAsia="en-US"/>
              </w:rPr>
              <w:t xml:space="preserve">Transition from </w:t>
            </w:r>
            <w:r w:rsidR="005F6704" w:rsidRPr="00830A86">
              <w:rPr>
                <w:rFonts w:cs="Arial"/>
                <w:b/>
                <w:sz w:val="18"/>
                <w:szCs w:val="18"/>
                <w:lang w:val="en-GB" w:eastAsia="en-US"/>
              </w:rPr>
              <w:t>XARELTO</w:t>
            </w:r>
            <w:r w:rsidRPr="00830A86">
              <w:rPr>
                <w:rFonts w:cs="Arial"/>
                <w:b/>
                <w:sz w:val="18"/>
                <w:szCs w:val="18"/>
                <w:lang w:val="en-GB" w:eastAsia="en-US"/>
              </w:rPr>
              <w:t xml:space="preserve"> to Parenteral Anticoagulants:</w:t>
            </w:r>
          </w:p>
          <w:p w14:paraId="2D564703" w14:textId="77777777" w:rsidR="00B527C1" w:rsidRPr="00830A86" w:rsidRDefault="00B527C1" w:rsidP="00830A86">
            <w:pPr>
              <w:autoSpaceDE w:val="0"/>
              <w:autoSpaceDN w:val="0"/>
              <w:spacing w:before="120" w:after="240" w:line="260" w:lineRule="exact"/>
              <w:ind w:right="45"/>
              <w:rPr>
                <w:rFonts w:cs="Arial"/>
                <w:b/>
                <w:sz w:val="18"/>
                <w:szCs w:val="18"/>
                <w:lang w:eastAsia="en-US"/>
              </w:rPr>
            </w:pPr>
            <w:r w:rsidRPr="00830A86">
              <w:rPr>
                <w:rFonts w:cs="Arial"/>
                <w:sz w:val="18"/>
                <w:szCs w:val="18"/>
                <w:lang w:val="en-GB" w:eastAsia="en-US"/>
              </w:rPr>
              <w:t xml:space="preserve">Discontinue </w:t>
            </w:r>
            <w:r w:rsidR="005F6704" w:rsidRPr="00830A86">
              <w:rPr>
                <w:rFonts w:cs="Arial"/>
                <w:sz w:val="18"/>
                <w:szCs w:val="18"/>
                <w:lang w:val="en-GB" w:eastAsia="en-US"/>
              </w:rPr>
              <w:t>XARELTO</w:t>
            </w:r>
            <w:r w:rsidRPr="00830A86">
              <w:rPr>
                <w:rFonts w:cs="Arial"/>
                <w:sz w:val="18"/>
                <w:szCs w:val="18"/>
                <w:lang w:val="en-GB" w:eastAsia="en-US"/>
              </w:rPr>
              <w:t xml:space="preserve"> and give the first dose of parenteral anticoagulant at the time that the next </w:t>
            </w:r>
            <w:r w:rsidR="005F6704" w:rsidRPr="00830A86">
              <w:rPr>
                <w:rFonts w:cs="Arial"/>
                <w:sz w:val="18"/>
                <w:szCs w:val="18"/>
                <w:lang w:val="en-GB" w:eastAsia="en-US"/>
              </w:rPr>
              <w:t>XARELTO</w:t>
            </w:r>
            <w:r w:rsidRPr="00830A86">
              <w:rPr>
                <w:rFonts w:cs="Arial"/>
                <w:sz w:val="18"/>
                <w:szCs w:val="18"/>
                <w:lang w:val="en-GB" w:eastAsia="en-US"/>
              </w:rPr>
              <w:t xml:space="preserve"> dose would be taken.</w:t>
            </w:r>
          </w:p>
        </w:tc>
        <w:tc>
          <w:tcPr>
            <w:tcW w:w="3811" w:type="dxa"/>
            <w:shd w:val="clear" w:color="auto" w:fill="auto"/>
          </w:tcPr>
          <w:p w14:paraId="61EF15E7" w14:textId="77777777" w:rsidR="00B527C1" w:rsidRPr="00830A86" w:rsidRDefault="00B527C1" w:rsidP="00830A86">
            <w:pPr>
              <w:autoSpaceDE w:val="0"/>
              <w:autoSpaceDN w:val="0"/>
              <w:spacing w:before="120" w:after="240" w:line="260" w:lineRule="exact"/>
              <w:ind w:right="45"/>
              <w:rPr>
                <w:rFonts w:cs="Arial"/>
                <w:b/>
                <w:bCs/>
                <w:sz w:val="18"/>
                <w:szCs w:val="18"/>
                <w:lang w:val="en-GB"/>
              </w:rPr>
            </w:pPr>
            <w:r w:rsidRPr="00830A86">
              <w:rPr>
                <w:rFonts w:cs="Arial"/>
                <w:b/>
                <w:bCs/>
                <w:sz w:val="18"/>
                <w:szCs w:val="18"/>
                <w:lang w:val="en-GB" w:eastAsia="en-US"/>
              </w:rPr>
              <w:t xml:space="preserve">Transition from Parenteral Anticoagulants to </w:t>
            </w:r>
            <w:r w:rsidR="005F6704" w:rsidRPr="00830A86">
              <w:rPr>
                <w:rFonts w:cs="Arial"/>
                <w:b/>
                <w:bCs/>
                <w:sz w:val="18"/>
                <w:szCs w:val="18"/>
                <w:lang w:val="en-GB" w:eastAsia="en-US"/>
              </w:rPr>
              <w:t>XARELTO</w:t>
            </w:r>
            <w:r w:rsidRPr="00830A86">
              <w:rPr>
                <w:rFonts w:cs="Arial"/>
                <w:b/>
                <w:bCs/>
                <w:sz w:val="18"/>
                <w:szCs w:val="18"/>
                <w:lang w:val="en-GB" w:eastAsia="en-US"/>
              </w:rPr>
              <w:t>:</w:t>
            </w:r>
          </w:p>
          <w:p w14:paraId="2C283AA0" w14:textId="77777777" w:rsidR="00B527C1" w:rsidRPr="00830A86" w:rsidRDefault="00B527C1" w:rsidP="00830A86">
            <w:pPr>
              <w:autoSpaceDE w:val="0"/>
              <w:autoSpaceDN w:val="0"/>
              <w:spacing w:before="120" w:after="240" w:line="260" w:lineRule="exact"/>
              <w:ind w:right="45"/>
              <w:rPr>
                <w:rFonts w:cs="Arial"/>
                <w:b/>
                <w:sz w:val="18"/>
                <w:szCs w:val="18"/>
                <w:lang w:eastAsia="en-US"/>
              </w:rPr>
            </w:pPr>
            <w:r w:rsidRPr="00830A86">
              <w:rPr>
                <w:rFonts w:cs="Arial"/>
                <w:sz w:val="18"/>
                <w:szCs w:val="18"/>
                <w:lang w:val="en-GB" w:eastAsia="en-US"/>
              </w:rPr>
              <w:t xml:space="preserve">For patients currently receiving a parenteral anticoagulant, start </w:t>
            </w:r>
            <w:r w:rsidR="005F6704" w:rsidRPr="00830A86">
              <w:rPr>
                <w:rFonts w:cs="Arial"/>
                <w:sz w:val="18"/>
                <w:szCs w:val="18"/>
                <w:lang w:val="en-GB" w:eastAsia="en-US"/>
              </w:rPr>
              <w:t>XARELTO</w:t>
            </w:r>
            <w:r w:rsidRPr="00830A86">
              <w:rPr>
                <w:rFonts w:cs="Arial"/>
                <w:sz w:val="18"/>
                <w:szCs w:val="18"/>
                <w:lang w:val="en-GB" w:eastAsia="en-US"/>
              </w:rPr>
              <w:t xml:space="preserve"> </w:t>
            </w:r>
            <w:r w:rsidR="005F6704" w:rsidRPr="00830A86">
              <w:rPr>
                <w:rFonts w:cs="Arial"/>
                <w:sz w:val="18"/>
                <w:szCs w:val="18"/>
                <w:lang w:val="en-GB" w:eastAsia="en-US"/>
              </w:rPr>
              <w:t xml:space="preserve">zero </w:t>
            </w:r>
            <w:r w:rsidRPr="00830A86">
              <w:rPr>
                <w:rFonts w:cs="Arial"/>
                <w:sz w:val="18"/>
                <w:szCs w:val="18"/>
                <w:lang w:val="en-GB" w:eastAsia="en-US"/>
              </w:rPr>
              <w:t xml:space="preserve">to </w:t>
            </w:r>
            <w:r w:rsidR="005F6704" w:rsidRPr="00830A86">
              <w:rPr>
                <w:rFonts w:cs="Arial"/>
                <w:sz w:val="18"/>
                <w:szCs w:val="18"/>
                <w:lang w:val="en-GB" w:eastAsia="en-US"/>
              </w:rPr>
              <w:t xml:space="preserve">Two </w:t>
            </w:r>
            <w:r w:rsidRPr="00830A86">
              <w:rPr>
                <w:rFonts w:cs="Arial"/>
                <w:sz w:val="18"/>
                <w:szCs w:val="18"/>
                <w:lang w:val="en-GB" w:eastAsia="en-US"/>
              </w:rPr>
              <w:t>hours before the time of the next scheduled administration of the parenteral drug (e.g., LMWH) or at the time of discontinuation of a continuously administered parenteral drug (e.g., intravenous unfractionated heparin).</w:t>
            </w:r>
          </w:p>
        </w:tc>
      </w:tr>
    </w:tbl>
    <w:p w14:paraId="12A82DC7" w14:textId="77777777" w:rsidR="007D79EA" w:rsidRDefault="007D79EA" w:rsidP="007D79EA">
      <w:pPr>
        <w:pStyle w:val="Quote"/>
        <w:ind w:left="630"/>
        <w:rPr>
          <w:b/>
          <w:i w:val="0"/>
          <w:szCs w:val="22"/>
        </w:rPr>
      </w:pPr>
    </w:p>
    <w:p w14:paraId="259DC30D" w14:textId="77777777" w:rsidR="008B106A" w:rsidRPr="007D79EA" w:rsidRDefault="00D2311E" w:rsidP="007D79EA">
      <w:pPr>
        <w:pStyle w:val="Quote"/>
        <w:ind w:left="630"/>
        <w:rPr>
          <w:b/>
          <w:i w:val="0"/>
          <w:szCs w:val="22"/>
        </w:rPr>
      </w:pPr>
      <w:r w:rsidRPr="007D79EA">
        <w:rPr>
          <w:b/>
          <w:i w:val="0"/>
          <w:szCs w:val="22"/>
        </w:rPr>
        <w:t>Missed d</w:t>
      </w:r>
      <w:r w:rsidR="008B106A" w:rsidRPr="007D79EA">
        <w:rPr>
          <w:b/>
          <w:i w:val="0"/>
          <w:szCs w:val="22"/>
        </w:rPr>
        <w:t>ose</w:t>
      </w:r>
    </w:p>
    <w:p w14:paraId="3050A24A" w14:textId="77777777" w:rsidR="008B106A" w:rsidRDefault="008B106A" w:rsidP="007C61C6">
      <w:pPr>
        <w:tabs>
          <w:tab w:val="left" w:pos="630"/>
        </w:tabs>
        <w:spacing w:before="120" w:after="120"/>
        <w:ind w:left="630" w:right="45"/>
        <w:rPr>
          <w:rFonts w:cs="Arial"/>
          <w:szCs w:val="22"/>
        </w:rPr>
      </w:pPr>
      <w:r w:rsidRPr="002742BE">
        <w:rPr>
          <w:rFonts w:cs="Arial"/>
          <w:szCs w:val="22"/>
        </w:rPr>
        <w:t>It is essential to adhere to the dosage schedule provided.</w:t>
      </w:r>
    </w:p>
    <w:p w14:paraId="206EBF2F" w14:textId="77777777" w:rsidR="00C24974" w:rsidRPr="00C24974" w:rsidRDefault="00C24974" w:rsidP="0043158B">
      <w:pPr>
        <w:pStyle w:val="ListParagraph"/>
        <w:numPr>
          <w:ilvl w:val="0"/>
          <w:numId w:val="18"/>
        </w:numPr>
        <w:autoSpaceDE w:val="0"/>
        <w:autoSpaceDN w:val="0"/>
        <w:spacing w:before="120" w:after="120"/>
        <w:ind w:right="45"/>
        <w:jc w:val="both"/>
        <w:rPr>
          <w:rFonts w:ascii="Arial" w:hAnsi="Arial" w:cs="Arial"/>
        </w:rPr>
      </w:pPr>
      <w:r w:rsidRPr="00C24974">
        <w:rPr>
          <w:rFonts w:ascii="Arial" w:hAnsi="Arial" w:cs="Arial"/>
        </w:rPr>
        <w:t xml:space="preserve">XARELTO 2.5 mg tablets taken </w:t>
      </w:r>
      <w:r w:rsidRPr="00C24974">
        <w:rPr>
          <w:rFonts w:ascii="Arial" w:hAnsi="Arial" w:cs="Arial"/>
          <w:b/>
          <w:bCs/>
        </w:rPr>
        <w:t xml:space="preserve">twice </w:t>
      </w:r>
      <w:r w:rsidRPr="00C24974">
        <w:rPr>
          <w:rFonts w:ascii="Arial" w:hAnsi="Arial" w:cs="Arial"/>
        </w:rPr>
        <w:t>a day:</w:t>
      </w:r>
    </w:p>
    <w:p w14:paraId="53A940CB" w14:textId="77777777" w:rsidR="00C24974" w:rsidRPr="002742BE" w:rsidRDefault="00C24974" w:rsidP="00C24974">
      <w:pPr>
        <w:autoSpaceDE w:val="0"/>
        <w:autoSpaceDN w:val="0"/>
        <w:spacing w:before="120" w:after="120"/>
        <w:ind w:left="990" w:right="45"/>
        <w:jc w:val="both"/>
        <w:rPr>
          <w:rFonts w:cs="Arial"/>
          <w:szCs w:val="22"/>
        </w:rPr>
      </w:pPr>
      <w:r w:rsidRPr="003F10C2">
        <w:rPr>
          <w:rFonts w:cs="Arial"/>
          <w:szCs w:val="22"/>
        </w:rPr>
        <w:t xml:space="preserve">If a dose is missed the patient should continue with the regular </w:t>
      </w:r>
      <w:r>
        <w:rPr>
          <w:rFonts w:cs="Arial"/>
          <w:szCs w:val="22"/>
        </w:rPr>
        <w:t xml:space="preserve">dose as recommended at the next </w:t>
      </w:r>
      <w:r w:rsidRPr="003F10C2">
        <w:rPr>
          <w:rFonts w:cs="Arial"/>
          <w:szCs w:val="22"/>
        </w:rPr>
        <w:t>scheduled time.</w:t>
      </w:r>
      <w:r w:rsidR="00A55575" w:rsidRPr="00A55575">
        <w:t xml:space="preserve"> </w:t>
      </w:r>
      <w:r w:rsidR="00A55575" w:rsidRPr="00A55575">
        <w:rPr>
          <w:rFonts w:cs="Arial"/>
          <w:szCs w:val="22"/>
        </w:rPr>
        <w:t>The dose should not be doubled to make up for a missed dose.</w:t>
      </w:r>
    </w:p>
    <w:p w14:paraId="1F2799F8" w14:textId="77777777" w:rsidR="007C61C6" w:rsidRPr="007C61C6" w:rsidRDefault="007C61C6" w:rsidP="0043158B">
      <w:pPr>
        <w:pStyle w:val="ListParagraph"/>
        <w:numPr>
          <w:ilvl w:val="0"/>
          <w:numId w:val="16"/>
        </w:numPr>
        <w:tabs>
          <w:tab w:val="left" w:pos="630"/>
        </w:tabs>
        <w:spacing w:before="120" w:after="120"/>
        <w:ind w:right="45"/>
        <w:rPr>
          <w:rFonts w:ascii="Arial" w:hAnsi="Arial" w:cs="Arial"/>
        </w:rPr>
      </w:pPr>
      <w:r w:rsidRPr="007C61C6">
        <w:rPr>
          <w:rFonts w:ascii="Arial" w:hAnsi="Arial" w:cs="Arial"/>
        </w:rPr>
        <w:t>XARELTO 10 mg, 15 mg or 20 mg tablets taken once a day:</w:t>
      </w:r>
    </w:p>
    <w:p w14:paraId="4D4A79FD" w14:textId="77777777" w:rsidR="008B106A" w:rsidRPr="002742BE" w:rsidRDefault="008B106A" w:rsidP="007C61C6">
      <w:pPr>
        <w:autoSpaceDE w:val="0"/>
        <w:autoSpaceDN w:val="0"/>
        <w:spacing w:before="120" w:after="120"/>
        <w:ind w:left="1080" w:right="45"/>
        <w:rPr>
          <w:rFonts w:cs="Arial"/>
          <w:szCs w:val="22"/>
        </w:rPr>
      </w:pPr>
      <w:r w:rsidRPr="002742BE">
        <w:rPr>
          <w:rFonts w:cs="Arial"/>
          <w:szCs w:val="22"/>
        </w:rPr>
        <w:lastRenderedPageBreak/>
        <w:t xml:space="preserve">If a dose is missed, the patient should take </w:t>
      </w:r>
      <w:r w:rsidR="005F6704">
        <w:rPr>
          <w:rFonts w:cs="Arial"/>
          <w:szCs w:val="22"/>
        </w:rPr>
        <w:t>XARELTO</w:t>
      </w:r>
      <w:r w:rsidRPr="002742BE">
        <w:rPr>
          <w:rFonts w:cs="Arial"/>
          <w:szCs w:val="22"/>
        </w:rPr>
        <w:t xml:space="preserve"> immediately on the same day and continue on the following day with the once daily intake as before. </w:t>
      </w:r>
      <w:r w:rsidR="0050491F">
        <w:rPr>
          <w:rFonts w:cs="Arial"/>
          <w:szCs w:val="22"/>
        </w:rPr>
        <w:t xml:space="preserve"> </w:t>
      </w:r>
      <w:r w:rsidRPr="002742BE">
        <w:rPr>
          <w:rFonts w:cs="Arial"/>
          <w:szCs w:val="22"/>
        </w:rPr>
        <w:t xml:space="preserve">A double dose should not be taken to make up for a missed tablet. </w:t>
      </w:r>
    </w:p>
    <w:p w14:paraId="3D36AFE8" w14:textId="77777777" w:rsidR="008B106A" w:rsidRPr="007C61C6" w:rsidRDefault="005F6704" w:rsidP="0043158B">
      <w:pPr>
        <w:pStyle w:val="ListParagraph"/>
        <w:numPr>
          <w:ilvl w:val="0"/>
          <w:numId w:val="16"/>
        </w:numPr>
        <w:autoSpaceDE w:val="0"/>
        <w:autoSpaceDN w:val="0"/>
        <w:spacing w:before="120" w:after="120"/>
        <w:ind w:right="45"/>
        <w:rPr>
          <w:rFonts w:ascii="Arial" w:hAnsi="Arial" w:cs="Arial"/>
        </w:rPr>
      </w:pPr>
      <w:r w:rsidRPr="007C61C6">
        <w:rPr>
          <w:rFonts w:ascii="Arial" w:hAnsi="Arial" w:cs="Arial"/>
        </w:rPr>
        <w:t>XARELTO</w:t>
      </w:r>
      <w:r w:rsidR="008B106A" w:rsidRPr="007C61C6">
        <w:rPr>
          <w:rFonts w:ascii="Arial" w:hAnsi="Arial" w:cs="Arial"/>
        </w:rPr>
        <w:t xml:space="preserve"> 15 mg tablets taken </w:t>
      </w:r>
      <w:r w:rsidR="008B106A" w:rsidRPr="007C61C6">
        <w:rPr>
          <w:rFonts w:ascii="Arial" w:hAnsi="Arial" w:cs="Arial"/>
          <w:b/>
          <w:bCs/>
        </w:rPr>
        <w:t xml:space="preserve">twice </w:t>
      </w:r>
      <w:r w:rsidR="008B106A" w:rsidRPr="007C61C6">
        <w:rPr>
          <w:rFonts w:ascii="Arial" w:hAnsi="Arial" w:cs="Arial"/>
        </w:rPr>
        <w:t>a day:</w:t>
      </w:r>
    </w:p>
    <w:p w14:paraId="76073EAE" w14:textId="77777777" w:rsidR="008B106A" w:rsidRPr="002742BE" w:rsidRDefault="008B106A" w:rsidP="007C61C6">
      <w:pPr>
        <w:autoSpaceDE w:val="0"/>
        <w:autoSpaceDN w:val="0"/>
        <w:spacing w:before="120" w:after="120"/>
        <w:ind w:left="1080" w:right="45"/>
        <w:rPr>
          <w:rFonts w:cs="Arial"/>
          <w:szCs w:val="22"/>
        </w:rPr>
      </w:pPr>
      <w:r w:rsidRPr="002742BE">
        <w:rPr>
          <w:rFonts w:cs="Arial"/>
          <w:szCs w:val="22"/>
        </w:rPr>
        <w:t xml:space="preserve">If a dose is missed during the 15 mg twice daily treatment phase the patient should take the next dose immediately to ensure the intake of 30 mg total dose per day. </w:t>
      </w:r>
      <w:r w:rsidR="00144771">
        <w:rPr>
          <w:rFonts w:cs="Arial"/>
          <w:szCs w:val="22"/>
        </w:rPr>
        <w:t xml:space="preserve"> </w:t>
      </w:r>
      <w:r w:rsidRPr="002742BE">
        <w:rPr>
          <w:rFonts w:cs="Arial"/>
          <w:szCs w:val="22"/>
        </w:rPr>
        <w:t xml:space="preserve">In this case two 15 mg tablets may be taken at once. </w:t>
      </w:r>
      <w:r>
        <w:rPr>
          <w:rFonts w:cs="Arial"/>
          <w:szCs w:val="22"/>
        </w:rPr>
        <w:t xml:space="preserve"> </w:t>
      </w:r>
      <w:r w:rsidRPr="002742BE">
        <w:rPr>
          <w:rFonts w:cs="Arial"/>
          <w:szCs w:val="22"/>
        </w:rPr>
        <w:t>The following day the patient should continue with the regular 15 mg twice daily intake schedule as recommended.</w:t>
      </w:r>
    </w:p>
    <w:p w14:paraId="0EFC8C87" w14:textId="77777777" w:rsidR="008B106A" w:rsidRPr="00B527C1" w:rsidRDefault="008B106A" w:rsidP="00E90F26">
      <w:pPr>
        <w:pStyle w:val="BayerBodyTextFull"/>
      </w:pPr>
    </w:p>
    <w:p w14:paraId="09A7DF81" w14:textId="77777777" w:rsidR="000548F3" w:rsidRPr="00AC51A2" w:rsidRDefault="00792CC7" w:rsidP="00AC51A2">
      <w:pPr>
        <w:pStyle w:val="Heading2"/>
      </w:pPr>
      <w:bookmarkStart w:id="6" w:name="_Ref522882247"/>
      <w:r w:rsidRPr="00AC51A2">
        <w:t>CONTRAINDICATIONS</w:t>
      </w:r>
      <w:bookmarkEnd w:id="6"/>
    </w:p>
    <w:p w14:paraId="0835FDC8" w14:textId="77777777" w:rsidR="008B106A" w:rsidRPr="002742BE" w:rsidRDefault="005F6704" w:rsidP="007C61C6">
      <w:pPr>
        <w:keepNext/>
        <w:spacing w:before="120" w:after="240"/>
        <w:ind w:right="46" w:firstLine="567"/>
        <w:rPr>
          <w:rFonts w:cs="Arial"/>
          <w:szCs w:val="22"/>
        </w:rPr>
      </w:pPr>
      <w:r>
        <w:rPr>
          <w:rFonts w:cs="Arial"/>
          <w:szCs w:val="22"/>
        </w:rPr>
        <w:t>XARELTO</w:t>
      </w:r>
      <w:r w:rsidR="008B106A" w:rsidRPr="002742BE">
        <w:rPr>
          <w:rFonts w:cs="Arial"/>
          <w:szCs w:val="22"/>
        </w:rPr>
        <w:t xml:space="preserve"> is contraindicated in patients:</w:t>
      </w:r>
    </w:p>
    <w:p w14:paraId="1A5591B0" w14:textId="77777777" w:rsidR="008B106A" w:rsidRPr="002742BE" w:rsidRDefault="008B106A" w:rsidP="00DA6D02">
      <w:pPr>
        <w:pStyle w:val="BulletIndent1"/>
        <w:spacing w:before="120" w:after="240" w:line="240" w:lineRule="auto"/>
        <w:ind w:right="46"/>
        <w:rPr>
          <w:rFonts w:ascii="Arial" w:hAnsi="Arial" w:cs="Arial"/>
          <w:szCs w:val="22"/>
          <w:lang w:val="en-AU"/>
        </w:rPr>
      </w:pPr>
      <w:r w:rsidRPr="002742BE">
        <w:rPr>
          <w:rFonts w:ascii="Arial" w:hAnsi="Arial" w:cs="Arial"/>
          <w:szCs w:val="22"/>
          <w:lang w:val="en-AU"/>
        </w:rPr>
        <w:t>who are hypersensitive to the active substa</w:t>
      </w:r>
      <w:r w:rsidR="009C3810">
        <w:rPr>
          <w:rFonts w:ascii="Arial" w:hAnsi="Arial" w:cs="Arial"/>
          <w:szCs w:val="22"/>
          <w:lang w:val="en-AU"/>
        </w:rPr>
        <w:t>nce or to any of the excipients</w:t>
      </w:r>
      <w:r w:rsidR="00B717CF">
        <w:rPr>
          <w:rFonts w:ascii="Arial" w:hAnsi="Arial" w:cs="Arial"/>
          <w:szCs w:val="22"/>
          <w:lang w:val="en-AU"/>
        </w:rPr>
        <w:t xml:space="preserve"> listed in section 6.1.</w:t>
      </w:r>
    </w:p>
    <w:p w14:paraId="5FC2D0F9" w14:textId="77777777" w:rsidR="008B106A" w:rsidRPr="002742BE" w:rsidRDefault="008B106A" w:rsidP="00DA6D02">
      <w:pPr>
        <w:pStyle w:val="BulletIndent1"/>
        <w:spacing w:before="120" w:after="240" w:line="240" w:lineRule="auto"/>
        <w:ind w:right="46"/>
        <w:rPr>
          <w:rFonts w:ascii="Arial" w:hAnsi="Arial" w:cs="Arial"/>
          <w:szCs w:val="22"/>
          <w:lang w:val="en-AU"/>
        </w:rPr>
      </w:pPr>
      <w:r w:rsidRPr="002742BE">
        <w:rPr>
          <w:rFonts w:ascii="Arial" w:hAnsi="Arial" w:cs="Arial"/>
          <w:szCs w:val="22"/>
          <w:lang w:val="en-AU"/>
        </w:rPr>
        <w:t>with clinically significant active bleeding (e.g. intracranial bleed</w:t>
      </w:r>
      <w:r w:rsidR="009C3810">
        <w:rPr>
          <w:rFonts w:ascii="Arial" w:hAnsi="Arial" w:cs="Arial"/>
          <w:szCs w:val="22"/>
          <w:lang w:val="en-AU"/>
        </w:rPr>
        <w:t>ing, gastrointestinal bleeding)</w:t>
      </w:r>
    </w:p>
    <w:p w14:paraId="4FD7B799" w14:textId="77777777" w:rsidR="008B106A" w:rsidRPr="002742BE" w:rsidRDefault="008B106A" w:rsidP="00DA6D02">
      <w:pPr>
        <w:pStyle w:val="BulletIndent1"/>
        <w:spacing w:before="120" w:after="240" w:line="240" w:lineRule="auto"/>
        <w:ind w:right="46"/>
        <w:rPr>
          <w:rFonts w:ascii="Arial" w:hAnsi="Arial" w:cs="Arial"/>
          <w:szCs w:val="22"/>
          <w:lang w:val="en-AU"/>
        </w:rPr>
      </w:pPr>
      <w:r w:rsidRPr="002742BE">
        <w:rPr>
          <w:rFonts w:ascii="Arial" w:hAnsi="Arial" w:cs="Arial"/>
          <w:szCs w:val="22"/>
          <w:lang w:val="en-AU"/>
        </w:rPr>
        <w:t>with lesions at increased risk of clinically significant bleeding and patients with sponta</w:t>
      </w:r>
      <w:r w:rsidR="009C3810">
        <w:rPr>
          <w:rFonts w:ascii="Arial" w:hAnsi="Arial" w:cs="Arial"/>
          <w:szCs w:val="22"/>
          <w:lang w:val="en-AU"/>
        </w:rPr>
        <w:t>neous impairment of haemostasis</w:t>
      </w:r>
    </w:p>
    <w:p w14:paraId="21AB4BF0" w14:textId="77777777" w:rsidR="008B106A" w:rsidRPr="00792CC7" w:rsidRDefault="008B106A" w:rsidP="00DA6D02">
      <w:pPr>
        <w:pStyle w:val="BulletIndent1"/>
        <w:spacing w:before="120" w:after="240" w:line="240" w:lineRule="auto"/>
        <w:ind w:right="46"/>
        <w:rPr>
          <w:rFonts w:ascii="Arial" w:hAnsi="Arial" w:cs="Arial"/>
          <w:szCs w:val="22"/>
          <w:lang w:val="en-AU"/>
        </w:rPr>
      </w:pPr>
      <w:r w:rsidRPr="002742BE">
        <w:rPr>
          <w:rFonts w:ascii="Arial" w:hAnsi="Arial" w:cs="Arial"/>
          <w:szCs w:val="22"/>
          <w:lang w:val="en-AU"/>
        </w:rPr>
        <w:t xml:space="preserve">with significant hepatic disease (including moderate to severe hepatic impairment, i.e. Child-Pugh B and C) which is associated </w:t>
      </w:r>
      <w:r w:rsidRPr="002742BE">
        <w:rPr>
          <w:rFonts w:ascii="Arial" w:hAnsi="Arial" w:cs="Arial"/>
          <w:noProof/>
          <w:szCs w:val="22"/>
          <w:lang w:val="en-AU"/>
        </w:rPr>
        <w:t xml:space="preserve">with coagulopathy leading to a </w:t>
      </w:r>
      <w:r w:rsidRPr="00A810D1">
        <w:rPr>
          <w:rFonts w:ascii="Arial" w:hAnsi="Arial" w:cs="Arial"/>
          <w:noProof/>
          <w:szCs w:val="22"/>
          <w:lang w:val="en-AU"/>
        </w:rPr>
        <w:t>clinically relevant bleeding risk</w:t>
      </w:r>
      <w:r w:rsidRPr="00A810D1">
        <w:rPr>
          <w:rFonts w:ascii="Arial" w:hAnsi="Arial" w:cs="Arial"/>
          <w:szCs w:val="22"/>
          <w:lang w:val="en-AU"/>
        </w:rPr>
        <w:t xml:space="preserve"> (see</w:t>
      </w:r>
      <w:r w:rsidR="00E67857" w:rsidRPr="00A810D1">
        <w:rPr>
          <w:rFonts w:ascii="Arial" w:hAnsi="Arial" w:cs="Arial"/>
          <w:szCs w:val="22"/>
          <w:lang w:val="en-AU"/>
        </w:rPr>
        <w:t xml:space="preserve"> Section 4.4</w:t>
      </w:r>
      <w:r w:rsidR="006946BB" w:rsidRPr="00A810D1">
        <w:rPr>
          <w:rFonts w:ascii="Arial" w:hAnsi="Arial" w:cs="Arial"/>
          <w:szCs w:val="22"/>
          <w:lang w:val="en-AU"/>
        </w:rPr>
        <w:t xml:space="preserve"> </w:t>
      </w:r>
      <w:r w:rsidR="00A810D1" w:rsidRPr="00A810D1">
        <w:rPr>
          <w:rFonts w:ascii="Arial" w:hAnsi="Arial" w:cs="Arial"/>
          <w:szCs w:val="22"/>
          <w:lang w:val="en-AU"/>
        </w:rPr>
        <w:fldChar w:fldCharType="begin"/>
      </w:r>
      <w:r w:rsidR="00A810D1" w:rsidRPr="00A810D1">
        <w:rPr>
          <w:rFonts w:ascii="Arial" w:hAnsi="Arial" w:cs="Arial"/>
          <w:szCs w:val="22"/>
          <w:lang w:val="en-AU"/>
        </w:rPr>
        <w:instrText xml:space="preserve"> REF _Ref522882516 \h </w:instrText>
      </w:r>
      <w:r w:rsidR="00A810D1">
        <w:rPr>
          <w:rFonts w:ascii="Arial" w:hAnsi="Arial" w:cs="Arial"/>
          <w:szCs w:val="22"/>
          <w:lang w:val="en-AU"/>
        </w:rPr>
        <w:instrText xml:space="preserve"> \* MERGEFORMAT </w:instrText>
      </w:r>
      <w:r w:rsidR="00A810D1" w:rsidRPr="00A810D1">
        <w:rPr>
          <w:rFonts w:ascii="Arial" w:hAnsi="Arial" w:cs="Arial"/>
          <w:szCs w:val="22"/>
          <w:lang w:val="en-AU"/>
        </w:rPr>
      </w:r>
      <w:r w:rsidR="00A810D1" w:rsidRPr="00A810D1">
        <w:rPr>
          <w:rFonts w:ascii="Arial" w:hAnsi="Arial" w:cs="Arial"/>
          <w:szCs w:val="22"/>
          <w:lang w:val="en-AU"/>
        </w:rPr>
        <w:fldChar w:fldCharType="separate"/>
      </w:r>
      <w:r w:rsidR="00C51DA4" w:rsidRPr="00C51DA4">
        <w:rPr>
          <w:rFonts w:ascii="Arial" w:hAnsi="Arial" w:cs="Arial"/>
        </w:rPr>
        <w:t>SPECIAL WARNINGS AND PRECAUTIONS FOR USE</w:t>
      </w:r>
      <w:r w:rsidR="00A810D1" w:rsidRPr="00A810D1">
        <w:rPr>
          <w:rFonts w:ascii="Arial" w:hAnsi="Arial" w:cs="Arial"/>
          <w:szCs w:val="22"/>
          <w:lang w:val="en-AU"/>
        </w:rPr>
        <w:fldChar w:fldCharType="end"/>
      </w:r>
      <w:r w:rsidR="00A810D1">
        <w:rPr>
          <w:rFonts w:ascii="Arial" w:hAnsi="Arial" w:cs="Arial"/>
          <w:szCs w:val="22"/>
          <w:lang w:val="en-AU"/>
        </w:rPr>
        <w:t xml:space="preserve"> </w:t>
      </w:r>
      <w:r w:rsidR="006946BB" w:rsidRPr="00A810D1">
        <w:rPr>
          <w:rFonts w:ascii="Arial" w:hAnsi="Arial" w:cs="Arial"/>
          <w:szCs w:val="22"/>
          <w:lang w:val="en-AU"/>
        </w:rPr>
        <w:t>a</w:t>
      </w:r>
      <w:r w:rsidR="009C3810" w:rsidRPr="00A810D1">
        <w:rPr>
          <w:rFonts w:ascii="Arial" w:hAnsi="Arial" w:cs="Arial"/>
          <w:szCs w:val="22"/>
          <w:lang w:val="en-AU"/>
        </w:rPr>
        <w:t>nd</w:t>
      </w:r>
      <w:r w:rsidR="00E67857" w:rsidRPr="00A810D1">
        <w:rPr>
          <w:rFonts w:ascii="Arial" w:hAnsi="Arial" w:cs="Arial"/>
          <w:szCs w:val="22"/>
          <w:lang w:val="en-AU"/>
        </w:rPr>
        <w:t xml:space="preserve"> Section 5.2</w:t>
      </w:r>
      <w:r w:rsidR="009C3810" w:rsidRPr="00A810D1">
        <w:rPr>
          <w:rFonts w:ascii="Arial" w:hAnsi="Arial" w:cs="Arial"/>
          <w:szCs w:val="22"/>
          <w:lang w:val="en-AU"/>
        </w:rPr>
        <w:t xml:space="preserve"> </w:t>
      </w:r>
      <w:r w:rsidR="00A810D1" w:rsidRPr="00A810D1">
        <w:rPr>
          <w:rFonts w:ascii="Arial" w:hAnsi="Arial" w:cs="Arial"/>
          <w:szCs w:val="22"/>
          <w:lang w:val="en-AU"/>
        </w:rPr>
        <w:fldChar w:fldCharType="begin"/>
      </w:r>
      <w:r w:rsidR="00A810D1" w:rsidRPr="00A810D1">
        <w:rPr>
          <w:rFonts w:ascii="Arial" w:hAnsi="Arial" w:cs="Arial"/>
          <w:szCs w:val="22"/>
          <w:lang w:val="en-AU"/>
        </w:rPr>
        <w:instrText xml:space="preserve"> REF _Ref522882073 \h </w:instrText>
      </w:r>
      <w:r w:rsidR="00A810D1">
        <w:rPr>
          <w:rFonts w:ascii="Arial" w:hAnsi="Arial" w:cs="Arial"/>
          <w:szCs w:val="22"/>
          <w:lang w:val="en-AU"/>
        </w:rPr>
        <w:instrText xml:space="preserve"> \* MERGEFORMAT </w:instrText>
      </w:r>
      <w:r w:rsidR="00A810D1" w:rsidRPr="00A810D1">
        <w:rPr>
          <w:rFonts w:ascii="Arial" w:hAnsi="Arial" w:cs="Arial"/>
          <w:szCs w:val="22"/>
          <w:lang w:val="en-AU"/>
        </w:rPr>
      </w:r>
      <w:r w:rsidR="00A810D1" w:rsidRPr="00A810D1">
        <w:rPr>
          <w:rFonts w:ascii="Arial" w:hAnsi="Arial" w:cs="Arial"/>
          <w:szCs w:val="22"/>
          <w:lang w:val="en-AU"/>
        </w:rPr>
        <w:fldChar w:fldCharType="separate"/>
      </w:r>
      <w:r w:rsidR="00C51DA4" w:rsidRPr="00C51DA4">
        <w:rPr>
          <w:rFonts w:ascii="Arial" w:hAnsi="Arial" w:cs="Arial"/>
        </w:rPr>
        <w:t>PHARMACOKINETIC PROPERTIES</w:t>
      </w:r>
      <w:r w:rsidR="00A810D1" w:rsidRPr="00A810D1">
        <w:rPr>
          <w:rFonts w:ascii="Arial" w:hAnsi="Arial" w:cs="Arial"/>
          <w:szCs w:val="22"/>
          <w:lang w:val="en-AU"/>
        </w:rPr>
        <w:fldChar w:fldCharType="end"/>
      </w:r>
      <w:r w:rsidR="009C3810" w:rsidRPr="00A810D1">
        <w:rPr>
          <w:rFonts w:ascii="Arial" w:hAnsi="Arial" w:cs="Arial"/>
          <w:szCs w:val="22"/>
          <w:lang w:val="en-AU"/>
        </w:rPr>
        <w:t>)</w:t>
      </w:r>
      <w:r w:rsidR="00A810D1" w:rsidRPr="00A810D1">
        <w:rPr>
          <w:rFonts w:ascii="Arial" w:hAnsi="Arial" w:cs="Arial"/>
          <w:szCs w:val="22"/>
          <w:lang w:val="en-AU"/>
        </w:rPr>
        <w:t>.</w:t>
      </w:r>
    </w:p>
    <w:p w14:paraId="438D0A7B" w14:textId="77777777" w:rsidR="008B106A" w:rsidRPr="00792CC7" w:rsidRDefault="008B106A" w:rsidP="00DA6D02">
      <w:pPr>
        <w:pStyle w:val="BulletIndent1"/>
        <w:spacing w:before="120" w:after="240" w:line="240" w:lineRule="auto"/>
        <w:ind w:right="46"/>
        <w:rPr>
          <w:rFonts w:ascii="Arial" w:hAnsi="Arial" w:cs="Arial"/>
          <w:szCs w:val="22"/>
          <w:lang w:val="en-AU"/>
        </w:rPr>
      </w:pPr>
      <w:r w:rsidRPr="00792CC7">
        <w:rPr>
          <w:rFonts w:ascii="Arial" w:hAnsi="Arial" w:cs="Arial"/>
          <w:szCs w:val="22"/>
          <w:lang w:val="en-AU"/>
        </w:rPr>
        <w:t xml:space="preserve">undergoing dialysis or patients with severe renal impairment with a creatinine clearance &lt; 30 mL/min for </w:t>
      </w:r>
      <w:r w:rsidR="005F6704" w:rsidRPr="00792CC7">
        <w:rPr>
          <w:rFonts w:ascii="Arial" w:hAnsi="Arial" w:cs="Arial"/>
          <w:szCs w:val="22"/>
          <w:lang w:val="en-AU"/>
        </w:rPr>
        <w:t>XARELTO</w:t>
      </w:r>
      <w:r w:rsidRPr="00792CC7">
        <w:rPr>
          <w:rFonts w:ascii="Arial" w:hAnsi="Arial" w:cs="Arial"/>
          <w:szCs w:val="22"/>
          <w:lang w:val="en-AU"/>
        </w:rPr>
        <w:t xml:space="preserve"> 15 mg and 20 mg tablets, (CrCl &lt; 15 mL/min for </w:t>
      </w:r>
      <w:r w:rsidR="005F6704" w:rsidRPr="00792CC7">
        <w:rPr>
          <w:rFonts w:ascii="Arial" w:hAnsi="Arial" w:cs="Arial"/>
          <w:szCs w:val="22"/>
          <w:lang w:val="en-AU"/>
        </w:rPr>
        <w:t>XARELTO</w:t>
      </w:r>
      <w:r w:rsidRPr="00792CC7">
        <w:rPr>
          <w:rFonts w:ascii="Arial" w:hAnsi="Arial" w:cs="Arial"/>
          <w:szCs w:val="22"/>
          <w:lang w:val="en-AU"/>
        </w:rPr>
        <w:t xml:space="preserve"> </w:t>
      </w:r>
      <w:r w:rsidR="0062108D">
        <w:rPr>
          <w:rFonts w:ascii="Arial" w:hAnsi="Arial" w:cs="Arial"/>
          <w:szCs w:val="22"/>
          <w:lang w:val="en-AU"/>
        </w:rPr>
        <w:t xml:space="preserve">2.5 mg and </w:t>
      </w:r>
      <w:r w:rsidRPr="00792CC7">
        <w:rPr>
          <w:rFonts w:ascii="Arial" w:hAnsi="Arial" w:cs="Arial"/>
          <w:szCs w:val="22"/>
          <w:lang w:val="en-AU"/>
        </w:rPr>
        <w:t>10 mg) due to increased plasma levels which may lead to an increased risk of  bleeding (see</w:t>
      </w:r>
      <w:r w:rsidR="00E67857" w:rsidRPr="00792CC7">
        <w:rPr>
          <w:rFonts w:ascii="Arial" w:hAnsi="Arial" w:cs="Arial"/>
          <w:szCs w:val="22"/>
          <w:lang w:val="en-AU"/>
        </w:rPr>
        <w:t xml:space="preserve"> </w:t>
      </w:r>
      <w:r w:rsidR="00A810D1" w:rsidRPr="00A810D1">
        <w:rPr>
          <w:rFonts w:ascii="Arial" w:hAnsi="Arial" w:cs="Arial"/>
          <w:szCs w:val="22"/>
          <w:lang w:val="en-AU"/>
        </w:rPr>
        <w:t xml:space="preserve">Section 4.4 </w:t>
      </w:r>
      <w:r w:rsidR="00A810D1" w:rsidRPr="00A810D1">
        <w:rPr>
          <w:rFonts w:ascii="Arial" w:hAnsi="Arial" w:cs="Arial"/>
          <w:szCs w:val="22"/>
          <w:lang w:val="en-AU"/>
        </w:rPr>
        <w:fldChar w:fldCharType="begin"/>
      </w:r>
      <w:r w:rsidR="00A810D1" w:rsidRPr="00A810D1">
        <w:rPr>
          <w:rFonts w:ascii="Arial" w:hAnsi="Arial" w:cs="Arial"/>
          <w:szCs w:val="22"/>
          <w:lang w:val="en-AU"/>
        </w:rPr>
        <w:instrText xml:space="preserve"> REF _Ref522882516 \h </w:instrText>
      </w:r>
      <w:r w:rsidR="00A810D1">
        <w:rPr>
          <w:rFonts w:ascii="Arial" w:hAnsi="Arial" w:cs="Arial"/>
          <w:szCs w:val="22"/>
          <w:lang w:val="en-AU"/>
        </w:rPr>
        <w:instrText xml:space="preserve"> \* MERGEFORMAT </w:instrText>
      </w:r>
      <w:r w:rsidR="00A810D1" w:rsidRPr="00A810D1">
        <w:rPr>
          <w:rFonts w:ascii="Arial" w:hAnsi="Arial" w:cs="Arial"/>
          <w:szCs w:val="22"/>
          <w:lang w:val="en-AU"/>
        </w:rPr>
      </w:r>
      <w:r w:rsidR="00A810D1" w:rsidRPr="00A810D1">
        <w:rPr>
          <w:rFonts w:ascii="Arial" w:hAnsi="Arial" w:cs="Arial"/>
          <w:szCs w:val="22"/>
          <w:lang w:val="en-AU"/>
        </w:rPr>
        <w:fldChar w:fldCharType="separate"/>
      </w:r>
      <w:r w:rsidR="00C51DA4" w:rsidRPr="00C51DA4">
        <w:rPr>
          <w:rFonts w:ascii="Arial" w:hAnsi="Arial" w:cs="Arial"/>
        </w:rPr>
        <w:t>SPECIAL WARNINGS AND PRECAUTIONS FOR USE</w:t>
      </w:r>
      <w:r w:rsidR="00A810D1" w:rsidRPr="00A810D1">
        <w:rPr>
          <w:rFonts w:ascii="Arial" w:hAnsi="Arial" w:cs="Arial"/>
          <w:szCs w:val="22"/>
          <w:lang w:val="en-AU"/>
        </w:rPr>
        <w:fldChar w:fldCharType="end"/>
      </w:r>
      <w:r w:rsidR="00A810D1">
        <w:rPr>
          <w:rFonts w:ascii="Arial" w:hAnsi="Arial" w:cs="Arial"/>
          <w:szCs w:val="22"/>
          <w:lang w:val="en-AU"/>
        </w:rPr>
        <w:t xml:space="preserve"> </w:t>
      </w:r>
      <w:r w:rsidR="00A810D1" w:rsidRPr="00A810D1">
        <w:rPr>
          <w:rFonts w:ascii="Arial" w:hAnsi="Arial" w:cs="Arial"/>
          <w:szCs w:val="22"/>
          <w:lang w:val="en-AU"/>
        </w:rPr>
        <w:t xml:space="preserve">and Section 5.2 </w:t>
      </w:r>
      <w:r w:rsidR="00A810D1" w:rsidRPr="00A810D1">
        <w:rPr>
          <w:rFonts w:ascii="Arial" w:hAnsi="Arial" w:cs="Arial"/>
          <w:szCs w:val="22"/>
          <w:lang w:val="en-AU"/>
        </w:rPr>
        <w:fldChar w:fldCharType="begin"/>
      </w:r>
      <w:r w:rsidR="00A810D1" w:rsidRPr="00A810D1">
        <w:rPr>
          <w:rFonts w:ascii="Arial" w:hAnsi="Arial" w:cs="Arial"/>
          <w:szCs w:val="22"/>
          <w:lang w:val="en-AU"/>
        </w:rPr>
        <w:instrText xml:space="preserve"> REF _Ref522882073 \h </w:instrText>
      </w:r>
      <w:r w:rsidR="00A810D1">
        <w:rPr>
          <w:rFonts w:ascii="Arial" w:hAnsi="Arial" w:cs="Arial"/>
          <w:szCs w:val="22"/>
          <w:lang w:val="en-AU"/>
        </w:rPr>
        <w:instrText xml:space="preserve"> \* MERGEFORMAT </w:instrText>
      </w:r>
      <w:r w:rsidR="00A810D1" w:rsidRPr="00A810D1">
        <w:rPr>
          <w:rFonts w:ascii="Arial" w:hAnsi="Arial" w:cs="Arial"/>
          <w:szCs w:val="22"/>
          <w:lang w:val="en-AU"/>
        </w:rPr>
      </w:r>
      <w:r w:rsidR="00A810D1" w:rsidRPr="00A810D1">
        <w:rPr>
          <w:rFonts w:ascii="Arial" w:hAnsi="Arial" w:cs="Arial"/>
          <w:szCs w:val="22"/>
          <w:lang w:val="en-AU"/>
        </w:rPr>
        <w:fldChar w:fldCharType="separate"/>
      </w:r>
      <w:r w:rsidR="00C51DA4" w:rsidRPr="00C51DA4">
        <w:rPr>
          <w:rFonts w:ascii="Arial" w:hAnsi="Arial" w:cs="Arial"/>
        </w:rPr>
        <w:t>PHARMACOKINETIC PROPERTIES</w:t>
      </w:r>
      <w:r w:rsidR="00A810D1" w:rsidRPr="00A810D1">
        <w:rPr>
          <w:rFonts w:ascii="Arial" w:hAnsi="Arial" w:cs="Arial"/>
          <w:szCs w:val="22"/>
          <w:lang w:val="en-AU"/>
        </w:rPr>
        <w:fldChar w:fldCharType="end"/>
      </w:r>
      <w:r w:rsidR="009C3810" w:rsidRPr="00792CC7">
        <w:rPr>
          <w:rFonts w:ascii="Arial" w:hAnsi="Arial" w:cs="Arial"/>
          <w:lang w:val="en-AU"/>
        </w:rPr>
        <w:t>)</w:t>
      </w:r>
    </w:p>
    <w:p w14:paraId="3C49B176" w14:textId="77C35438" w:rsidR="00F83EB7" w:rsidRPr="00792CC7" w:rsidRDefault="008B106A" w:rsidP="00DA6D02">
      <w:pPr>
        <w:pStyle w:val="BulletIndent1"/>
        <w:spacing w:before="120" w:after="240" w:line="240" w:lineRule="auto"/>
        <w:ind w:right="46"/>
        <w:rPr>
          <w:rFonts w:ascii="Arial" w:hAnsi="Arial" w:cs="Arial"/>
          <w:szCs w:val="22"/>
          <w:lang w:val="en-AU"/>
        </w:rPr>
      </w:pPr>
      <w:r w:rsidRPr="00792CC7">
        <w:rPr>
          <w:rFonts w:ascii="Arial" w:hAnsi="Arial" w:cs="Arial"/>
          <w:szCs w:val="22"/>
          <w:lang w:val="en-AU"/>
        </w:rPr>
        <w:t xml:space="preserve">concomitantly treated with strong inhibitors of both CYP 3A4 and P-glycoprotein such as HIV protease inhibitors (e.g. ritonavir) or systemically administered azole anti-mycotics (e.g. </w:t>
      </w:r>
      <w:r w:rsidRPr="00A810D1">
        <w:rPr>
          <w:rFonts w:ascii="Arial" w:hAnsi="Arial" w:cs="Arial"/>
          <w:szCs w:val="22"/>
          <w:lang w:val="en-AU"/>
        </w:rPr>
        <w:t>ketoconazole) (see</w:t>
      </w:r>
      <w:r w:rsidR="00E67857" w:rsidRPr="00A810D1">
        <w:rPr>
          <w:rFonts w:ascii="Arial" w:hAnsi="Arial" w:cs="Arial"/>
          <w:szCs w:val="22"/>
          <w:lang w:val="en-AU"/>
        </w:rPr>
        <w:t xml:space="preserve"> Section 4.5</w:t>
      </w:r>
      <w:r w:rsidRPr="00A810D1">
        <w:rPr>
          <w:rFonts w:ascii="Arial" w:hAnsi="Arial" w:cs="Arial"/>
          <w:szCs w:val="22"/>
          <w:lang w:val="en-AU"/>
        </w:rPr>
        <w:t xml:space="preserve"> </w:t>
      </w:r>
      <w:r w:rsidR="00A810D1" w:rsidRPr="00A810D1">
        <w:rPr>
          <w:rFonts w:cs="Arial"/>
          <w:szCs w:val="22"/>
        </w:rPr>
        <w:fldChar w:fldCharType="begin"/>
      </w:r>
      <w:r w:rsidR="00A810D1" w:rsidRPr="00A810D1">
        <w:rPr>
          <w:rFonts w:ascii="Arial" w:hAnsi="Arial" w:cs="Arial"/>
          <w:szCs w:val="22"/>
          <w:lang w:val="en-AU"/>
        </w:rPr>
        <w:instrText xml:space="preserve"> REF _Ref522882463 \h </w:instrText>
      </w:r>
      <w:r w:rsidR="00A810D1">
        <w:rPr>
          <w:rFonts w:ascii="Arial" w:hAnsi="Arial" w:cs="Arial"/>
          <w:szCs w:val="22"/>
          <w:lang w:val="en-AU"/>
        </w:rPr>
        <w:instrText xml:space="preserve"> \* MERGEFORMAT </w:instrText>
      </w:r>
      <w:r w:rsidR="00A810D1" w:rsidRPr="00A810D1">
        <w:rPr>
          <w:rFonts w:cs="Arial"/>
          <w:szCs w:val="22"/>
        </w:rPr>
      </w:r>
      <w:r w:rsidR="00A810D1" w:rsidRPr="00A810D1">
        <w:rPr>
          <w:rFonts w:cs="Arial"/>
          <w:szCs w:val="22"/>
        </w:rPr>
        <w:fldChar w:fldCharType="separate"/>
      </w:r>
      <w:r w:rsidR="00C51DA4" w:rsidRPr="00C51DA4">
        <w:rPr>
          <w:rFonts w:ascii="Arial" w:hAnsi="Arial" w:cs="Arial"/>
        </w:rPr>
        <w:t>INTERACTIONS WITH OTHER MEDICINES AND OTHER FORMS OF INTERACTIONS</w:t>
      </w:r>
      <w:r w:rsidR="00A810D1" w:rsidRPr="00A810D1">
        <w:rPr>
          <w:rFonts w:cs="Arial"/>
          <w:szCs w:val="22"/>
        </w:rPr>
        <w:fldChar w:fldCharType="end"/>
      </w:r>
      <w:r w:rsidR="009C3810" w:rsidRPr="00A810D1">
        <w:rPr>
          <w:rFonts w:ascii="Arial" w:hAnsi="Arial" w:cs="Arial"/>
          <w:szCs w:val="22"/>
          <w:lang w:val="en-AU"/>
        </w:rPr>
        <w:t>)</w:t>
      </w:r>
      <w:r w:rsidR="00F83EB7">
        <w:rPr>
          <w:rFonts w:ascii="Arial" w:hAnsi="Arial" w:cs="Arial"/>
          <w:szCs w:val="22"/>
        </w:rPr>
        <w:t>.</w:t>
      </w:r>
    </w:p>
    <w:p w14:paraId="49D2F41B" w14:textId="7C347279" w:rsidR="0043158B" w:rsidRPr="005223D1" w:rsidRDefault="00BC600F" w:rsidP="005223D1">
      <w:pPr>
        <w:pStyle w:val="BulletIndent1"/>
        <w:rPr>
          <w:rFonts w:ascii="Arial" w:hAnsi="Arial" w:cs="Arial"/>
          <w:noProof/>
          <w:szCs w:val="22"/>
          <w:lang w:val="en-AU"/>
        </w:rPr>
      </w:pPr>
      <w:r w:rsidRPr="00BC600F">
        <w:rPr>
          <w:rFonts w:ascii="Arial" w:hAnsi="Arial" w:cs="Arial"/>
          <w:noProof/>
          <w:szCs w:val="22"/>
          <w:lang w:val="en-AU"/>
        </w:rPr>
        <w:t>who are pregnant</w:t>
      </w:r>
      <w:r w:rsidR="00A15D15" w:rsidRPr="00BC600F">
        <w:rPr>
          <w:rFonts w:ascii="Arial" w:hAnsi="Arial" w:cs="Arial"/>
          <w:noProof/>
          <w:szCs w:val="22"/>
          <w:lang w:val="en-AU"/>
        </w:rPr>
        <w:t xml:space="preserve"> </w:t>
      </w:r>
      <w:r w:rsidR="00210E53" w:rsidRPr="00BC600F">
        <w:rPr>
          <w:rFonts w:ascii="Arial" w:hAnsi="Arial" w:cs="Arial"/>
          <w:noProof/>
          <w:szCs w:val="22"/>
          <w:lang w:val="en-AU"/>
        </w:rPr>
        <w:t>or</w:t>
      </w:r>
      <w:r w:rsidR="00A15D15" w:rsidRPr="00BC600F">
        <w:rPr>
          <w:rFonts w:ascii="Arial" w:hAnsi="Arial" w:cs="Arial"/>
          <w:noProof/>
          <w:szCs w:val="22"/>
          <w:lang w:val="en-AU"/>
        </w:rPr>
        <w:t xml:space="preserve"> breast-feeding (see </w:t>
      </w:r>
      <w:r w:rsidR="005223D1">
        <w:rPr>
          <w:rFonts w:ascii="Arial" w:hAnsi="Arial" w:cs="Arial"/>
          <w:noProof/>
          <w:szCs w:val="22"/>
          <w:lang w:val="en-AU"/>
        </w:rPr>
        <w:t>S</w:t>
      </w:r>
      <w:r w:rsidR="00A15D15" w:rsidRPr="00BC600F">
        <w:rPr>
          <w:rFonts w:ascii="Arial" w:hAnsi="Arial" w:cs="Arial"/>
          <w:noProof/>
          <w:szCs w:val="22"/>
          <w:lang w:val="en-AU"/>
        </w:rPr>
        <w:t>ection 4.6</w:t>
      </w:r>
      <w:r w:rsidR="005223D1">
        <w:rPr>
          <w:rFonts w:ascii="Arial" w:hAnsi="Arial" w:cs="Arial"/>
          <w:noProof/>
          <w:szCs w:val="22"/>
          <w:lang w:val="en-AU"/>
        </w:rPr>
        <w:t xml:space="preserve"> </w:t>
      </w:r>
      <w:r w:rsidR="005223D1">
        <w:rPr>
          <w:rFonts w:cs="Arial"/>
          <w:noProof/>
          <w:szCs w:val="22"/>
        </w:rPr>
        <w:fldChar w:fldCharType="begin"/>
      </w:r>
      <w:r w:rsidR="005223D1">
        <w:rPr>
          <w:rFonts w:ascii="Arial" w:hAnsi="Arial" w:cs="Arial"/>
          <w:noProof/>
          <w:szCs w:val="22"/>
          <w:lang w:val="en-AU"/>
        </w:rPr>
        <w:instrText xml:space="preserve"> REF _Ref522882657 \h  \* MERGEFORMAT </w:instrText>
      </w:r>
      <w:r w:rsidR="005223D1">
        <w:rPr>
          <w:rFonts w:cs="Arial"/>
          <w:noProof/>
          <w:szCs w:val="22"/>
        </w:rPr>
      </w:r>
      <w:r w:rsidR="005223D1">
        <w:rPr>
          <w:rFonts w:cs="Arial"/>
          <w:noProof/>
          <w:szCs w:val="22"/>
        </w:rPr>
        <w:fldChar w:fldCharType="separate"/>
      </w:r>
      <w:r w:rsidR="00C51DA4" w:rsidRPr="00C51DA4">
        <w:rPr>
          <w:rFonts w:ascii="Arial" w:hAnsi="Arial" w:cs="Arial"/>
          <w:noProof/>
          <w:szCs w:val="22"/>
          <w:lang w:val="en-AU"/>
        </w:rPr>
        <w:t>FERTILITY, PREGNANCY AND LACTATION</w:t>
      </w:r>
      <w:r w:rsidR="005223D1">
        <w:rPr>
          <w:rFonts w:cs="Arial"/>
          <w:noProof/>
          <w:szCs w:val="22"/>
        </w:rPr>
        <w:fldChar w:fldCharType="end"/>
      </w:r>
      <w:r w:rsidR="00A15D15" w:rsidRPr="00BC600F">
        <w:rPr>
          <w:rFonts w:ascii="Arial" w:hAnsi="Arial" w:cs="Arial"/>
          <w:noProof/>
          <w:szCs w:val="22"/>
          <w:lang w:val="en-AU"/>
        </w:rPr>
        <w:t>).</w:t>
      </w:r>
    </w:p>
    <w:p w14:paraId="3CEB987C" w14:textId="77777777" w:rsidR="0043158B" w:rsidRDefault="0043158B" w:rsidP="0043158B">
      <w:pPr>
        <w:pStyle w:val="BulletIndent1"/>
        <w:numPr>
          <w:ilvl w:val="0"/>
          <w:numId w:val="0"/>
        </w:numPr>
        <w:ind w:left="1134" w:hanging="567"/>
        <w:rPr>
          <w:noProof/>
        </w:rPr>
      </w:pPr>
    </w:p>
    <w:p w14:paraId="59280C48" w14:textId="77777777" w:rsidR="000548F3" w:rsidRPr="00AC51A2" w:rsidRDefault="005D5622" w:rsidP="00AC51A2">
      <w:pPr>
        <w:pStyle w:val="Heading2"/>
      </w:pPr>
      <w:bookmarkStart w:id="7" w:name="_Ref522882516"/>
      <w:r w:rsidRPr="00AC51A2">
        <w:t>SPECIAL WARNINGS A</w:t>
      </w:r>
      <w:r w:rsidR="00792CC7" w:rsidRPr="00AC51A2">
        <w:t>ND PRECAUTIONS FOR USE</w:t>
      </w:r>
      <w:bookmarkEnd w:id="7"/>
    </w:p>
    <w:p w14:paraId="706C0B28" w14:textId="77777777" w:rsidR="003B25EB" w:rsidRPr="007D79EA" w:rsidRDefault="003B25EB" w:rsidP="007D79EA">
      <w:pPr>
        <w:pStyle w:val="Quote"/>
        <w:ind w:left="630"/>
        <w:rPr>
          <w:b/>
          <w:szCs w:val="22"/>
        </w:rPr>
      </w:pPr>
      <w:r w:rsidRPr="007D79EA">
        <w:rPr>
          <w:b/>
          <w:szCs w:val="22"/>
        </w:rPr>
        <w:t>Use in hepatic impairment</w:t>
      </w:r>
    </w:p>
    <w:p w14:paraId="7BF4F809" w14:textId="77777777" w:rsidR="00F2131B" w:rsidRPr="00BA01EB" w:rsidRDefault="005F6704" w:rsidP="007C61C6">
      <w:pPr>
        <w:spacing w:before="120" w:after="240"/>
        <w:ind w:left="630" w:right="46"/>
        <w:rPr>
          <w:rFonts w:cs="Arial"/>
          <w:noProof/>
          <w:szCs w:val="22"/>
        </w:rPr>
      </w:pPr>
      <w:r>
        <w:rPr>
          <w:rFonts w:cs="Arial"/>
          <w:noProof/>
          <w:szCs w:val="22"/>
        </w:rPr>
        <w:t>XARELTO</w:t>
      </w:r>
      <w:r w:rsidR="00F2131B" w:rsidRPr="002742BE">
        <w:rPr>
          <w:rFonts w:cs="Arial"/>
          <w:noProof/>
          <w:szCs w:val="22"/>
        </w:rPr>
        <w:t xml:space="preserve"> is contraindicated in patients with significant hepatic disease (including moderate to severe hepatic impairment, i.e. Child-Pugh B and C) which is associated with coagulopathy leading to a clinically relevant bleeding risk.</w:t>
      </w:r>
      <w:r w:rsidR="00144771">
        <w:rPr>
          <w:rFonts w:cs="Arial"/>
          <w:noProof/>
          <w:szCs w:val="22"/>
        </w:rPr>
        <w:t xml:space="preserve"> </w:t>
      </w:r>
      <w:r w:rsidR="00F2131B" w:rsidRPr="002742BE">
        <w:rPr>
          <w:rFonts w:cs="Arial"/>
          <w:noProof/>
          <w:szCs w:val="22"/>
        </w:rPr>
        <w:t xml:space="preserve"> Limited clinical data in </w:t>
      </w:r>
      <w:r w:rsidR="00F2131B" w:rsidRPr="002742BE">
        <w:rPr>
          <w:rFonts w:cs="Arial"/>
          <w:noProof/>
          <w:szCs w:val="22"/>
        </w:rPr>
        <w:lastRenderedPageBreak/>
        <w:t>patients with moderate hepatic impairment (Child</w:t>
      </w:r>
      <w:r w:rsidR="00F2131B">
        <w:rPr>
          <w:rFonts w:cs="Arial"/>
          <w:noProof/>
          <w:szCs w:val="22"/>
        </w:rPr>
        <w:t>-</w:t>
      </w:r>
      <w:r w:rsidR="00F2131B" w:rsidRPr="002742BE">
        <w:rPr>
          <w:rFonts w:cs="Arial"/>
          <w:noProof/>
          <w:szCs w:val="22"/>
        </w:rPr>
        <w:t>Pugh B) indicate a significant increase in the pharmacological activity.</w:t>
      </w:r>
      <w:r w:rsidR="00144771">
        <w:rPr>
          <w:rFonts w:cs="Arial"/>
          <w:noProof/>
          <w:szCs w:val="22"/>
        </w:rPr>
        <w:t xml:space="preserve"> </w:t>
      </w:r>
      <w:r w:rsidR="00F2131B" w:rsidRPr="002742BE">
        <w:rPr>
          <w:rFonts w:cs="Arial"/>
          <w:noProof/>
          <w:szCs w:val="22"/>
        </w:rPr>
        <w:t xml:space="preserve"> </w:t>
      </w:r>
      <w:r>
        <w:rPr>
          <w:rFonts w:cs="Arial"/>
          <w:szCs w:val="22"/>
        </w:rPr>
        <w:t>XARELTO</w:t>
      </w:r>
      <w:r w:rsidR="00F2131B" w:rsidRPr="002742BE">
        <w:rPr>
          <w:rFonts w:cs="Arial"/>
          <w:szCs w:val="22"/>
        </w:rPr>
        <w:t xml:space="preserve"> may be used in cirrhotic patients with moderate hepatic (Child</w:t>
      </w:r>
      <w:r w:rsidR="00F2131B">
        <w:rPr>
          <w:rFonts w:cs="Arial"/>
          <w:szCs w:val="22"/>
        </w:rPr>
        <w:t>-</w:t>
      </w:r>
      <w:r w:rsidR="00F2131B" w:rsidRPr="002742BE">
        <w:rPr>
          <w:rFonts w:cs="Arial"/>
          <w:szCs w:val="22"/>
        </w:rPr>
        <w:t>Pugh B) impairment if it is not associated with coagulopathy (see</w:t>
      </w:r>
      <w:r w:rsidR="00D4100E">
        <w:rPr>
          <w:rFonts w:cs="Arial"/>
          <w:szCs w:val="22"/>
        </w:rPr>
        <w:t xml:space="preserve"> Section 5</w:t>
      </w:r>
      <w:r w:rsidR="00F2131B" w:rsidRPr="002742BE">
        <w:rPr>
          <w:rFonts w:cs="Arial"/>
          <w:szCs w:val="22"/>
        </w:rPr>
        <w:t xml:space="preserve"> </w:t>
      </w:r>
      <w:r w:rsidR="00A019A2">
        <w:rPr>
          <w:rFonts w:cs="Arial"/>
          <w:szCs w:val="22"/>
        </w:rPr>
        <w:fldChar w:fldCharType="begin"/>
      </w:r>
      <w:r w:rsidR="00A019A2">
        <w:rPr>
          <w:rFonts w:cs="Arial"/>
          <w:szCs w:val="22"/>
        </w:rPr>
        <w:instrText xml:space="preserve"> REF _Ref522884309 \h </w:instrText>
      </w:r>
      <w:r w:rsidR="00A019A2">
        <w:rPr>
          <w:rFonts w:cs="Arial"/>
          <w:szCs w:val="22"/>
        </w:rPr>
      </w:r>
      <w:r w:rsidR="00A019A2">
        <w:rPr>
          <w:rFonts w:cs="Arial"/>
          <w:szCs w:val="22"/>
        </w:rPr>
        <w:fldChar w:fldCharType="separate"/>
      </w:r>
      <w:r w:rsidR="00C51DA4" w:rsidRPr="000202B5">
        <w:t>PHARMACOLOGICAL PROPERTIES</w:t>
      </w:r>
      <w:r w:rsidR="00A019A2">
        <w:rPr>
          <w:rFonts w:cs="Arial"/>
          <w:szCs w:val="22"/>
        </w:rPr>
        <w:fldChar w:fldCharType="end"/>
      </w:r>
      <w:r w:rsidR="006946BB">
        <w:rPr>
          <w:rFonts w:cs="Arial"/>
          <w:szCs w:val="22"/>
        </w:rPr>
        <w:t xml:space="preserve"> </w:t>
      </w:r>
      <w:r w:rsidR="00F2131B" w:rsidRPr="00BA01EB">
        <w:rPr>
          <w:rFonts w:cs="Arial"/>
          <w:szCs w:val="22"/>
        </w:rPr>
        <w:t>and</w:t>
      </w:r>
      <w:r w:rsidR="00D4100E" w:rsidRPr="00BA01EB">
        <w:rPr>
          <w:rFonts w:cs="Arial"/>
          <w:szCs w:val="22"/>
        </w:rPr>
        <w:t xml:space="preserve"> Section 4.3</w:t>
      </w:r>
      <w:r w:rsidR="00F2131B" w:rsidRPr="00BA01EB">
        <w:rPr>
          <w:rFonts w:cs="Arial"/>
          <w:szCs w:val="22"/>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00F2131B" w:rsidRPr="00BA01EB">
        <w:rPr>
          <w:rFonts w:cs="Arial"/>
          <w:szCs w:val="22"/>
        </w:rPr>
        <w:t>).</w:t>
      </w:r>
    </w:p>
    <w:p w14:paraId="7FDC70DE" w14:textId="77777777" w:rsidR="003B25EB" w:rsidRPr="007D79EA" w:rsidRDefault="003B25EB" w:rsidP="007D79EA">
      <w:pPr>
        <w:pStyle w:val="Quote"/>
        <w:ind w:left="630"/>
        <w:rPr>
          <w:b/>
          <w:szCs w:val="22"/>
        </w:rPr>
      </w:pPr>
      <w:r w:rsidRPr="007D79EA">
        <w:rPr>
          <w:b/>
          <w:szCs w:val="22"/>
        </w:rPr>
        <w:t>Use in renal impairment</w:t>
      </w:r>
    </w:p>
    <w:p w14:paraId="46E301BD" w14:textId="77777777" w:rsidR="00F2131B" w:rsidRPr="00792CC7" w:rsidRDefault="005F6704" w:rsidP="007C61C6">
      <w:pPr>
        <w:spacing w:before="120" w:after="240"/>
        <w:ind w:left="630" w:right="46"/>
        <w:rPr>
          <w:rFonts w:cs="Arial"/>
          <w:szCs w:val="22"/>
        </w:rPr>
      </w:pPr>
      <w:r>
        <w:rPr>
          <w:rFonts w:cs="Arial"/>
          <w:szCs w:val="22"/>
        </w:rPr>
        <w:t>XARELTO</w:t>
      </w:r>
      <w:r w:rsidR="00F2131B" w:rsidRPr="002742BE">
        <w:rPr>
          <w:rFonts w:cs="Arial"/>
          <w:szCs w:val="22"/>
        </w:rPr>
        <w:t xml:space="preserve"> is to be used with caution in patients with moderate renal impa</w:t>
      </w:r>
      <w:r w:rsidR="00144771">
        <w:rPr>
          <w:rFonts w:cs="Arial"/>
          <w:szCs w:val="22"/>
        </w:rPr>
        <w:t xml:space="preserve">irment (creatinine clearance 30 – 49 </w:t>
      </w:r>
      <w:r w:rsidR="00F2131B" w:rsidRPr="002742BE">
        <w:rPr>
          <w:rFonts w:cs="Arial"/>
          <w:szCs w:val="22"/>
        </w:rPr>
        <w:t>mL/min) receiving co-medications</w:t>
      </w:r>
      <w:r w:rsidR="00F2131B">
        <w:rPr>
          <w:rFonts w:cs="Arial"/>
          <w:szCs w:val="22"/>
        </w:rPr>
        <w:t xml:space="preserve"> (including moderate inhibitors of CYP3A4 or P-gp)</w:t>
      </w:r>
      <w:r w:rsidR="00F2131B" w:rsidRPr="002742BE">
        <w:rPr>
          <w:rFonts w:cs="Arial"/>
          <w:szCs w:val="22"/>
        </w:rPr>
        <w:t xml:space="preserve"> leading to increased rivaroxaban plasma concentrations (</w:t>
      </w:r>
      <w:r w:rsidR="00F2131B" w:rsidRPr="007D2437">
        <w:rPr>
          <w:rFonts w:cs="Arial"/>
          <w:szCs w:val="22"/>
        </w:rPr>
        <w:t>see</w:t>
      </w:r>
      <w:r w:rsidR="00D4100E">
        <w:rPr>
          <w:rFonts w:cs="Arial"/>
          <w:szCs w:val="22"/>
        </w:rPr>
        <w:t xml:space="preserve"> Section </w:t>
      </w:r>
      <w:r w:rsidR="00D4100E" w:rsidRPr="00792CC7">
        <w:rPr>
          <w:rFonts w:cs="Arial"/>
          <w:szCs w:val="22"/>
        </w:rPr>
        <w:t>4.5</w:t>
      </w:r>
      <w:r w:rsidR="006946BB">
        <w:rPr>
          <w:rFonts w:cs="Arial"/>
          <w:szCs w:val="22"/>
        </w:rPr>
        <w:t xml:space="preserve"> </w:t>
      </w:r>
      <w:r w:rsidR="00A810D1" w:rsidRPr="00A810D1">
        <w:rPr>
          <w:rFonts w:cs="Arial"/>
          <w:szCs w:val="22"/>
        </w:rPr>
        <w:fldChar w:fldCharType="begin"/>
      </w:r>
      <w:r w:rsidR="00A810D1" w:rsidRPr="00A810D1">
        <w:rPr>
          <w:rFonts w:cs="Arial"/>
          <w:szCs w:val="22"/>
        </w:rPr>
        <w:instrText xml:space="preserve"> REF _Ref522882463 \h </w:instrText>
      </w:r>
      <w:r w:rsidR="00A810D1">
        <w:rPr>
          <w:rFonts w:cs="Arial"/>
          <w:szCs w:val="22"/>
        </w:rPr>
        <w:instrText xml:space="preserve"> \* MERGEFORMAT </w:instrText>
      </w:r>
      <w:r w:rsidR="00A810D1" w:rsidRPr="00A810D1">
        <w:rPr>
          <w:rFonts w:cs="Arial"/>
          <w:szCs w:val="22"/>
        </w:rPr>
      </w:r>
      <w:r w:rsidR="00A810D1" w:rsidRPr="00A810D1">
        <w:rPr>
          <w:rFonts w:cs="Arial"/>
          <w:szCs w:val="22"/>
        </w:rPr>
        <w:fldChar w:fldCharType="separate"/>
      </w:r>
      <w:r w:rsidR="00C51DA4" w:rsidRPr="00C51DA4">
        <w:rPr>
          <w:rFonts w:cs="Arial"/>
        </w:rPr>
        <w:t>INTERACTIONS WITH OTHER MEDICINES AND OTHER FORMS OF INTERACTIONS</w:t>
      </w:r>
      <w:r w:rsidR="00A810D1" w:rsidRPr="00A810D1">
        <w:rPr>
          <w:rFonts w:cs="Arial"/>
          <w:szCs w:val="22"/>
        </w:rPr>
        <w:fldChar w:fldCharType="end"/>
      </w:r>
      <w:r w:rsidR="00F2131B" w:rsidRPr="00792CC7">
        <w:rPr>
          <w:rFonts w:cs="Arial"/>
          <w:szCs w:val="22"/>
        </w:rPr>
        <w:t xml:space="preserve">). </w:t>
      </w:r>
      <w:r w:rsidR="00144771" w:rsidRPr="00792CC7">
        <w:rPr>
          <w:rFonts w:cs="Arial"/>
          <w:szCs w:val="22"/>
        </w:rPr>
        <w:t xml:space="preserve"> </w:t>
      </w:r>
      <w:r w:rsidR="00F2131B" w:rsidRPr="00792CC7">
        <w:rPr>
          <w:rFonts w:cs="Arial"/>
          <w:szCs w:val="22"/>
        </w:rPr>
        <w:t>In patients with severe renal impairment (</w:t>
      </w:r>
      <w:r w:rsidR="00F2131B" w:rsidRPr="00792CC7">
        <w:rPr>
          <w:rFonts w:cs="Arial"/>
          <w:noProof/>
          <w:szCs w:val="22"/>
        </w:rPr>
        <w:t>creatinine clearance</w:t>
      </w:r>
      <w:r w:rsidR="00144771" w:rsidRPr="00792CC7">
        <w:rPr>
          <w:rFonts w:eastAsia="SimSun" w:cs="Arial"/>
          <w:iCs/>
          <w:snapToGrid w:val="0"/>
          <w:szCs w:val="22"/>
          <w:lang w:eastAsia="zh-CN"/>
        </w:rPr>
        <w:t xml:space="preserve"> &lt; 30 </w:t>
      </w:r>
      <w:r w:rsidR="00F2131B" w:rsidRPr="00792CC7">
        <w:rPr>
          <w:rFonts w:eastAsia="SimSun" w:cs="Arial"/>
          <w:iCs/>
          <w:snapToGrid w:val="0"/>
          <w:szCs w:val="22"/>
          <w:lang w:eastAsia="zh-CN"/>
        </w:rPr>
        <w:t>mL/min</w:t>
      </w:r>
      <w:r w:rsidR="00F2131B" w:rsidRPr="00792CC7">
        <w:rPr>
          <w:rFonts w:cs="Arial"/>
          <w:szCs w:val="22"/>
        </w:rPr>
        <w:t xml:space="preserve">) rivaroxaban plasma levels may be significantly increased, which may lead to an increased bleeding risk. </w:t>
      </w:r>
      <w:r w:rsidR="00144771" w:rsidRPr="00792CC7">
        <w:rPr>
          <w:rFonts w:cs="Arial"/>
          <w:szCs w:val="22"/>
        </w:rPr>
        <w:t xml:space="preserve"> </w:t>
      </w:r>
      <w:r w:rsidR="00F2131B" w:rsidRPr="00792CC7">
        <w:rPr>
          <w:rFonts w:cs="Arial"/>
          <w:szCs w:val="22"/>
        </w:rPr>
        <w:t xml:space="preserve">Due to the underlying disease these patients are also at an increased risk of both bleeding and thrombosis. </w:t>
      </w:r>
      <w:r w:rsidR="00144771" w:rsidRPr="00792CC7">
        <w:rPr>
          <w:rFonts w:cs="Arial"/>
          <w:szCs w:val="22"/>
        </w:rPr>
        <w:t xml:space="preserve"> </w:t>
      </w:r>
      <w:r w:rsidR="00F2131B" w:rsidRPr="00792CC7">
        <w:rPr>
          <w:rFonts w:cs="Arial"/>
          <w:szCs w:val="22"/>
        </w:rPr>
        <w:t xml:space="preserve">Due to limited clinical data </w:t>
      </w:r>
      <w:r w:rsidRPr="00792CC7">
        <w:rPr>
          <w:rFonts w:cs="Arial"/>
          <w:szCs w:val="22"/>
        </w:rPr>
        <w:t>XARELTO</w:t>
      </w:r>
      <w:r w:rsidR="00F2131B" w:rsidRPr="00792CC7">
        <w:rPr>
          <w:rFonts w:cs="Arial"/>
          <w:szCs w:val="22"/>
        </w:rPr>
        <w:t xml:space="preserve"> </w:t>
      </w:r>
      <w:r w:rsidR="00F66998">
        <w:rPr>
          <w:rFonts w:cs="Arial"/>
          <w:szCs w:val="22"/>
        </w:rPr>
        <w:t xml:space="preserve">2.5 mg and </w:t>
      </w:r>
      <w:r w:rsidR="00F2131B" w:rsidRPr="00792CC7">
        <w:rPr>
          <w:rFonts w:cs="Arial"/>
          <w:szCs w:val="22"/>
        </w:rPr>
        <w:t>10 mg should be used with c</w:t>
      </w:r>
      <w:r w:rsidR="00144771" w:rsidRPr="00792CC7">
        <w:rPr>
          <w:rFonts w:cs="Arial"/>
          <w:szCs w:val="22"/>
        </w:rPr>
        <w:t xml:space="preserve">aution in patients with CrCl 15 – 29 </w:t>
      </w:r>
      <w:r w:rsidR="00F2131B" w:rsidRPr="00792CC7">
        <w:rPr>
          <w:rFonts w:cs="Arial"/>
          <w:szCs w:val="22"/>
        </w:rPr>
        <w:t>mL/min.</w:t>
      </w:r>
      <w:r w:rsidR="00144771" w:rsidRPr="00792CC7">
        <w:rPr>
          <w:rFonts w:cs="Arial"/>
          <w:szCs w:val="22"/>
        </w:rPr>
        <w:t xml:space="preserve"> </w:t>
      </w:r>
      <w:r w:rsidR="00F2131B" w:rsidRPr="00792CC7">
        <w:rPr>
          <w:rFonts w:cs="Arial"/>
          <w:szCs w:val="22"/>
        </w:rPr>
        <w:t xml:space="preserve"> </w:t>
      </w:r>
      <w:r w:rsidRPr="00792CC7">
        <w:rPr>
          <w:rFonts w:cs="Arial"/>
          <w:szCs w:val="22"/>
        </w:rPr>
        <w:t>XARELTO</w:t>
      </w:r>
      <w:r w:rsidR="00F2131B" w:rsidRPr="00792CC7">
        <w:rPr>
          <w:rFonts w:cs="Arial"/>
          <w:szCs w:val="22"/>
        </w:rPr>
        <w:t xml:space="preserve"> 15 mg and 20 mg should not be used in patients with CrCl &lt; 30 mL/min. </w:t>
      </w:r>
      <w:r w:rsidR="009C3810" w:rsidRPr="00792CC7">
        <w:rPr>
          <w:rFonts w:cs="Arial"/>
          <w:szCs w:val="22"/>
        </w:rPr>
        <w:t xml:space="preserve"> </w:t>
      </w:r>
      <w:r w:rsidR="00F2131B" w:rsidRPr="00792CC7">
        <w:rPr>
          <w:rFonts w:cs="Arial"/>
          <w:szCs w:val="22"/>
        </w:rPr>
        <w:t>Patients on dialysis have not been studied</w:t>
      </w:r>
      <w:r w:rsidR="00307980" w:rsidRPr="00792CC7">
        <w:rPr>
          <w:rFonts w:cs="Arial"/>
          <w:szCs w:val="22"/>
        </w:rPr>
        <w:t>.</w:t>
      </w:r>
      <w:r w:rsidR="00144771" w:rsidRPr="00792CC7">
        <w:rPr>
          <w:rFonts w:cs="Arial"/>
          <w:szCs w:val="22"/>
        </w:rPr>
        <w:t xml:space="preserve"> </w:t>
      </w:r>
      <w:r w:rsidR="00F2131B" w:rsidRPr="00792CC7">
        <w:rPr>
          <w:rFonts w:cs="Arial"/>
          <w:szCs w:val="22"/>
        </w:rPr>
        <w:t xml:space="preserve"> </w:t>
      </w:r>
      <w:r w:rsidRPr="00792CC7">
        <w:rPr>
          <w:rFonts w:cs="Arial"/>
          <w:szCs w:val="22"/>
        </w:rPr>
        <w:t>XARELTO</w:t>
      </w:r>
      <w:r w:rsidR="00F2131B" w:rsidRPr="00792CC7">
        <w:rPr>
          <w:rFonts w:cs="Arial"/>
          <w:szCs w:val="22"/>
        </w:rPr>
        <w:t xml:space="preserve"> should not be used in this population (see </w:t>
      </w:r>
      <w:r w:rsidR="00C50B2C" w:rsidRPr="00792CC7">
        <w:rPr>
          <w:rFonts w:cs="Arial"/>
          <w:szCs w:val="22"/>
        </w:rPr>
        <w:t>Section 4.3</w:t>
      </w:r>
      <w:r w:rsidR="006946BB">
        <w:rPr>
          <w:rFonts w:cs="Arial"/>
          <w:szCs w:val="22"/>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00F2131B" w:rsidRPr="00792CC7">
        <w:rPr>
          <w:rFonts w:cs="Arial"/>
          <w:szCs w:val="22"/>
        </w:rPr>
        <w:t>,</w:t>
      </w:r>
      <w:r w:rsidR="00C50B2C" w:rsidRPr="00792CC7">
        <w:rPr>
          <w:rFonts w:cs="Arial"/>
          <w:szCs w:val="22"/>
        </w:rPr>
        <w:t xml:space="preserve"> Section 4.2</w:t>
      </w:r>
      <w:r w:rsidR="00F2131B" w:rsidRPr="00792CC7">
        <w:rPr>
          <w:rFonts w:cs="Arial"/>
          <w:szCs w:val="22"/>
        </w:rPr>
        <w:t xml:space="preserve"> </w:t>
      </w:r>
      <w:r w:rsidR="00A810D1">
        <w:rPr>
          <w:rFonts w:cs="Arial"/>
          <w:szCs w:val="22"/>
        </w:rPr>
        <w:fldChar w:fldCharType="begin"/>
      </w:r>
      <w:r w:rsidR="00A810D1">
        <w:rPr>
          <w:rFonts w:cs="Arial"/>
          <w:szCs w:val="22"/>
        </w:rPr>
        <w:instrText xml:space="preserve"> REF _Ref501602701 \h </w:instrText>
      </w:r>
      <w:r w:rsidR="00A810D1">
        <w:rPr>
          <w:rFonts w:cs="Arial"/>
          <w:szCs w:val="22"/>
        </w:rPr>
      </w:r>
      <w:r w:rsidR="00A810D1">
        <w:rPr>
          <w:rFonts w:cs="Arial"/>
          <w:szCs w:val="22"/>
        </w:rPr>
        <w:fldChar w:fldCharType="separate"/>
      </w:r>
      <w:r w:rsidR="00C51DA4" w:rsidRPr="00AC51A2">
        <w:t>DOSE AND METHOD OF ADMINISTRATION</w:t>
      </w:r>
      <w:r w:rsidR="00A810D1">
        <w:rPr>
          <w:rFonts w:cs="Arial"/>
          <w:szCs w:val="22"/>
        </w:rPr>
        <w:fldChar w:fldCharType="end"/>
      </w:r>
      <w:r w:rsidR="00A810D1">
        <w:rPr>
          <w:rFonts w:cs="Arial"/>
          <w:szCs w:val="22"/>
        </w:rPr>
        <w:t xml:space="preserve"> </w:t>
      </w:r>
      <w:r w:rsidR="00C50B2C" w:rsidRPr="00792CC7">
        <w:rPr>
          <w:rFonts w:cs="Arial"/>
          <w:szCs w:val="22"/>
        </w:rPr>
        <w:t>and Section 5</w:t>
      </w:r>
      <w:r w:rsidR="000F03B3" w:rsidRPr="00792CC7">
        <w:rPr>
          <w:rFonts w:cs="Arial"/>
          <w:szCs w:val="22"/>
        </w:rPr>
        <w:t xml:space="preserve"> </w:t>
      </w:r>
      <w:r w:rsidR="00A019A2">
        <w:rPr>
          <w:rFonts w:cs="Arial"/>
          <w:szCs w:val="22"/>
        </w:rPr>
        <w:fldChar w:fldCharType="begin"/>
      </w:r>
      <w:r w:rsidR="00A019A2">
        <w:rPr>
          <w:rFonts w:cs="Arial"/>
          <w:szCs w:val="22"/>
        </w:rPr>
        <w:instrText xml:space="preserve"> REF _Ref522884309 \h </w:instrText>
      </w:r>
      <w:r w:rsidR="00A019A2">
        <w:rPr>
          <w:rFonts w:cs="Arial"/>
          <w:szCs w:val="22"/>
        </w:rPr>
      </w:r>
      <w:r w:rsidR="00A019A2">
        <w:rPr>
          <w:rFonts w:cs="Arial"/>
          <w:szCs w:val="22"/>
        </w:rPr>
        <w:fldChar w:fldCharType="separate"/>
      </w:r>
      <w:r w:rsidR="00C51DA4" w:rsidRPr="000202B5">
        <w:t>PHARMACOLOGICAL PROPERTIES</w:t>
      </w:r>
      <w:r w:rsidR="00A019A2">
        <w:rPr>
          <w:rFonts w:cs="Arial"/>
          <w:szCs w:val="22"/>
        </w:rPr>
        <w:fldChar w:fldCharType="end"/>
      </w:r>
      <w:r w:rsidR="00F2131B" w:rsidRPr="00792CC7">
        <w:rPr>
          <w:rFonts w:cs="Arial"/>
          <w:szCs w:val="22"/>
        </w:rPr>
        <w:t>).</w:t>
      </w:r>
    </w:p>
    <w:p w14:paraId="0DC68AB4" w14:textId="77777777" w:rsidR="00F2131B" w:rsidRDefault="00F2131B" w:rsidP="007C61C6">
      <w:pPr>
        <w:spacing w:before="120" w:after="240"/>
        <w:ind w:left="630" w:right="46"/>
        <w:rPr>
          <w:rFonts w:cs="Arial"/>
          <w:szCs w:val="22"/>
        </w:rPr>
      </w:pPr>
      <w:r w:rsidRPr="00792CC7">
        <w:rPr>
          <w:rFonts w:cs="Arial"/>
          <w:szCs w:val="22"/>
        </w:rPr>
        <w:t xml:space="preserve">No clinical data are available for patients with creatinine clearance less than 15 mL/min. </w:t>
      </w:r>
      <w:r w:rsidR="009C3810" w:rsidRPr="00792CC7">
        <w:rPr>
          <w:rFonts w:cs="Arial"/>
          <w:szCs w:val="22"/>
        </w:rPr>
        <w:t xml:space="preserve"> </w:t>
      </w:r>
      <w:r w:rsidRPr="00792CC7">
        <w:rPr>
          <w:rFonts w:cs="Arial"/>
          <w:szCs w:val="22"/>
        </w:rPr>
        <w:t>Therefore</w:t>
      </w:r>
      <w:r w:rsidR="009C3810" w:rsidRPr="00792CC7">
        <w:rPr>
          <w:rFonts w:cs="Arial"/>
          <w:szCs w:val="22"/>
        </w:rPr>
        <w:t>,</w:t>
      </w:r>
      <w:r w:rsidRPr="00792CC7">
        <w:rPr>
          <w:rFonts w:cs="Arial"/>
          <w:szCs w:val="22"/>
        </w:rPr>
        <w:t xml:space="preserve"> use of </w:t>
      </w:r>
      <w:r w:rsidR="005F6704" w:rsidRPr="00792CC7">
        <w:rPr>
          <w:rFonts w:cs="Arial"/>
          <w:szCs w:val="22"/>
        </w:rPr>
        <w:t>XARELTO</w:t>
      </w:r>
      <w:r w:rsidRPr="00792CC7">
        <w:rPr>
          <w:rFonts w:cs="Arial"/>
          <w:szCs w:val="22"/>
        </w:rPr>
        <w:t xml:space="preserve"> is contraindicated in these patients (see</w:t>
      </w:r>
      <w:r w:rsidR="00C50B2C" w:rsidRPr="00792CC7">
        <w:rPr>
          <w:rFonts w:cs="Arial"/>
          <w:szCs w:val="22"/>
        </w:rPr>
        <w:t xml:space="preserve"> Section 4.3</w:t>
      </w:r>
      <w:r w:rsidR="006946BB">
        <w:rPr>
          <w:rFonts w:cs="Arial"/>
          <w:szCs w:val="22"/>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Pr="002742BE">
        <w:rPr>
          <w:rFonts w:cs="Arial"/>
          <w:szCs w:val="22"/>
        </w:rPr>
        <w:t>).</w:t>
      </w:r>
    </w:p>
    <w:p w14:paraId="14C3C31B" w14:textId="77777777" w:rsidR="00084F46" w:rsidRPr="007D79EA" w:rsidRDefault="00084F46" w:rsidP="007D79EA">
      <w:pPr>
        <w:pStyle w:val="Quote"/>
        <w:ind w:left="630"/>
        <w:rPr>
          <w:b/>
          <w:szCs w:val="22"/>
        </w:rPr>
      </w:pPr>
      <w:r w:rsidRPr="007D79EA">
        <w:rPr>
          <w:b/>
          <w:szCs w:val="22"/>
        </w:rPr>
        <w:t>Use in the elderly</w:t>
      </w:r>
    </w:p>
    <w:p w14:paraId="596B422F" w14:textId="4661B61C" w:rsidR="008F693F" w:rsidRPr="00084F46" w:rsidRDefault="00084F46" w:rsidP="0061235A">
      <w:pPr>
        <w:pStyle w:val="BayerBodyText-left"/>
        <w:ind w:left="630"/>
        <w:jc w:val="left"/>
        <w:rPr>
          <w:rFonts w:cs="Arial"/>
          <w:szCs w:val="22"/>
        </w:rPr>
      </w:pPr>
      <w:r w:rsidRPr="00084F46">
        <w:rPr>
          <w:rFonts w:cs="Arial"/>
          <w:szCs w:val="22"/>
        </w:rPr>
        <w:t xml:space="preserve">No dose adjustment is required for the elderly (&gt; 65 years of age). </w:t>
      </w:r>
      <w:r w:rsidR="00144771">
        <w:rPr>
          <w:rFonts w:cs="Arial"/>
          <w:szCs w:val="22"/>
        </w:rPr>
        <w:t xml:space="preserve"> </w:t>
      </w:r>
      <w:r w:rsidRPr="00084F46">
        <w:rPr>
          <w:rFonts w:cs="Arial"/>
          <w:szCs w:val="22"/>
        </w:rPr>
        <w:t>It should be taken into consideration that increasing age may be associated with declining renal and hepatic f</w:t>
      </w:r>
      <w:r w:rsidR="00E06FBA">
        <w:rPr>
          <w:rFonts w:cs="Arial"/>
          <w:szCs w:val="22"/>
        </w:rPr>
        <w:t>unction (see</w:t>
      </w:r>
      <w:r w:rsidR="00C50B2C">
        <w:rPr>
          <w:rFonts w:cs="Arial"/>
          <w:szCs w:val="22"/>
        </w:rPr>
        <w:t xml:space="preserve"> Section 4.</w:t>
      </w:r>
      <w:r w:rsidR="00C50B2C" w:rsidRPr="00BA01EB">
        <w:rPr>
          <w:rFonts w:cs="Arial"/>
          <w:szCs w:val="22"/>
        </w:rPr>
        <w:t>3</w:t>
      </w:r>
      <w:r w:rsidR="00E06FBA" w:rsidRPr="00BA01EB">
        <w:rPr>
          <w:rFonts w:cs="Arial"/>
          <w:szCs w:val="22"/>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00BC0423">
        <w:rPr>
          <w:rFonts w:cs="Arial"/>
          <w:szCs w:val="22"/>
        </w:rPr>
        <w:t xml:space="preserve"> </w:t>
      </w:r>
      <w:r w:rsidRPr="00BA01EB">
        <w:rPr>
          <w:rFonts w:cs="Arial"/>
          <w:szCs w:val="22"/>
        </w:rPr>
        <w:t>and</w:t>
      </w:r>
      <w:r w:rsidR="00C50B2C" w:rsidRPr="00BA01EB">
        <w:rPr>
          <w:rFonts w:cs="Arial"/>
          <w:szCs w:val="22"/>
        </w:rPr>
        <w:t xml:space="preserve"> Section 5.2</w:t>
      </w:r>
      <w:r w:rsidR="00BC0423">
        <w:rPr>
          <w:rFonts w:cs="Arial"/>
          <w:szCs w:val="22"/>
        </w:rPr>
        <w:t xml:space="preserve"> </w:t>
      </w:r>
      <w:r w:rsidR="00A810D1">
        <w:fldChar w:fldCharType="begin"/>
      </w:r>
      <w:r w:rsidR="00A810D1">
        <w:instrText xml:space="preserve"> REF _Ref522882073 \h  \* MERGEFORMAT </w:instrText>
      </w:r>
      <w:r w:rsidR="00A810D1">
        <w:fldChar w:fldCharType="separate"/>
      </w:r>
      <w:r w:rsidR="00C51DA4" w:rsidRPr="000202B5">
        <w:t>PHARMACOKINETIC PROPERTIES</w:t>
      </w:r>
      <w:r w:rsidR="00A810D1">
        <w:fldChar w:fldCharType="end"/>
      </w:r>
      <w:r w:rsidRPr="00084F46">
        <w:rPr>
          <w:rFonts w:cs="Arial"/>
          <w:szCs w:val="22"/>
        </w:rPr>
        <w:t>).</w:t>
      </w:r>
    </w:p>
    <w:p w14:paraId="3FBEEE58" w14:textId="77777777" w:rsidR="00732DE1" w:rsidRPr="00921056" w:rsidRDefault="00732DE1" w:rsidP="00732DE1">
      <w:pPr>
        <w:pStyle w:val="BodyText2"/>
        <w:adjustRightInd w:val="0"/>
        <w:spacing w:line="240" w:lineRule="auto"/>
        <w:ind w:left="630" w:right="46"/>
        <w:textAlignment w:val="baseline"/>
        <w:rPr>
          <w:rFonts w:cs="Arial"/>
          <w:szCs w:val="22"/>
        </w:rPr>
      </w:pPr>
      <w:r w:rsidRPr="00921056">
        <w:rPr>
          <w:rFonts w:cs="Arial"/>
          <w:szCs w:val="22"/>
        </w:rPr>
        <w:t>For prevention of major cardiovascular events in patients with CAD and /or PAD ≥ 75 years of age in combination with aspirin 100 mg once daily</w:t>
      </w:r>
      <w:r>
        <w:rPr>
          <w:rFonts w:cs="Arial"/>
          <w:szCs w:val="22"/>
        </w:rPr>
        <w:t>:</w:t>
      </w:r>
    </w:p>
    <w:p w14:paraId="1ACA861B" w14:textId="149899D0" w:rsidR="00732DE1" w:rsidRPr="00732DE1" w:rsidRDefault="00732DE1" w:rsidP="008F693F">
      <w:pPr>
        <w:pStyle w:val="Heading3"/>
        <w:numPr>
          <w:ilvl w:val="0"/>
          <w:numId w:val="24"/>
        </w:numPr>
        <w:rPr>
          <w:rFonts w:cs="Arial"/>
          <w:b w:val="0"/>
          <w:szCs w:val="22"/>
        </w:rPr>
      </w:pPr>
      <w:r w:rsidRPr="00732DE1">
        <w:rPr>
          <w:rFonts w:cs="Arial"/>
          <w:b w:val="0"/>
          <w:szCs w:val="22"/>
        </w:rPr>
        <w:t xml:space="preserve">Caution should be used in these patients due to their higher bleeding risk. The benefit-risk of the treatment should be individually assessed on a regular basis. (see </w:t>
      </w:r>
      <w:r w:rsidR="00E3704C">
        <w:rPr>
          <w:rFonts w:cs="Arial"/>
          <w:b w:val="0"/>
          <w:szCs w:val="22"/>
        </w:rPr>
        <w:t>S</w:t>
      </w:r>
      <w:r w:rsidRPr="00732DE1">
        <w:rPr>
          <w:rFonts w:cs="Arial"/>
          <w:b w:val="0"/>
          <w:szCs w:val="22"/>
        </w:rPr>
        <w:t>ection 5.1</w:t>
      </w:r>
      <w:r w:rsidR="00E3704C">
        <w:rPr>
          <w:rFonts w:cs="Arial"/>
          <w:b w:val="0"/>
          <w:szCs w:val="22"/>
        </w:rPr>
        <w:t xml:space="preserve"> </w:t>
      </w:r>
      <w:r w:rsidR="00E3704C" w:rsidRPr="00E3704C">
        <w:rPr>
          <w:rFonts w:cs="Arial"/>
          <w:b w:val="0"/>
          <w:szCs w:val="22"/>
        </w:rPr>
        <w:fldChar w:fldCharType="begin"/>
      </w:r>
      <w:r w:rsidR="00E3704C" w:rsidRPr="00E3704C">
        <w:rPr>
          <w:rFonts w:cs="Arial"/>
          <w:b w:val="0"/>
          <w:szCs w:val="22"/>
        </w:rPr>
        <w:instrText xml:space="preserve"> REF _Ref522882098 \h  \* MERGEFORMAT </w:instrText>
      </w:r>
      <w:r w:rsidR="00E3704C" w:rsidRPr="00E3704C">
        <w:rPr>
          <w:rFonts w:cs="Arial"/>
          <w:b w:val="0"/>
          <w:szCs w:val="22"/>
        </w:rPr>
      </w:r>
      <w:r w:rsidR="00E3704C" w:rsidRPr="00E3704C">
        <w:rPr>
          <w:rFonts w:cs="Arial"/>
          <w:b w:val="0"/>
          <w:szCs w:val="22"/>
        </w:rPr>
        <w:fldChar w:fldCharType="separate"/>
      </w:r>
      <w:r w:rsidR="00C51DA4" w:rsidRPr="00C51DA4">
        <w:rPr>
          <w:rFonts w:cs="Arial"/>
          <w:b w:val="0"/>
          <w:szCs w:val="22"/>
        </w:rPr>
        <w:t>PHARMACODYNAMIC PROPERTIES</w:t>
      </w:r>
      <w:r w:rsidR="00E3704C" w:rsidRPr="00E3704C">
        <w:rPr>
          <w:rFonts w:cs="Arial"/>
          <w:b w:val="0"/>
          <w:szCs w:val="22"/>
        </w:rPr>
        <w:fldChar w:fldCharType="end"/>
      </w:r>
      <w:r w:rsidRPr="00732DE1">
        <w:rPr>
          <w:rFonts w:cs="Arial"/>
          <w:b w:val="0"/>
          <w:szCs w:val="22"/>
        </w:rPr>
        <w:t xml:space="preserve">). </w:t>
      </w:r>
    </w:p>
    <w:p w14:paraId="66876F01" w14:textId="77777777" w:rsidR="00084F46" w:rsidRPr="007D79EA" w:rsidRDefault="00084F46" w:rsidP="007D79EA">
      <w:pPr>
        <w:pStyle w:val="Quote"/>
        <w:ind w:left="630"/>
        <w:rPr>
          <w:b/>
          <w:szCs w:val="22"/>
        </w:rPr>
      </w:pPr>
      <w:r w:rsidRPr="007D79EA">
        <w:rPr>
          <w:b/>
          <w:szCs w:val="22"/>
        </w:rPr>
        <w:t>Paediatric use</w:t>
      </w:r>
    </w:p>
    <w:p w14:paraId="74BA7837" w14:textId="77777777" w:rsidR="00084F46" w:rsidRPr="002742BE" w:rsidRDefault="005F6704" w:rsidP="00004191">
      <w:pPr>
        <w:pStyle w:val="BayerBodyText-left"/>
        <w:ind w:left="630"/>
        <w:jc w:val="left"/>
        <w:rPr>
          <w:rFonts w:cs="Arial"/>
          <w:noProof/>
          <w:szCs w:val="22"/>
        </w:rPr>
      </w:pPr>
      <w:r>
        <w:rPr>
          <w:rFonts w:cs="Arial"/>
          <w:noProof/>
          <w:szCs w:val="22"/>
        </w:rPr>
        <w:t>XARELTO</w:t>
      </w:r>
      <w:r w:rsidR="00084F46" w:rsidRPr="002742BE">
        <w:rPr>
          <w:rFonts w:cs="Arial"/>
          <w:noProof/>
          <w:szCs w:val="22"/>
        </w:rPr>
        <w:t xml:space="preserve"> is not recommended for use in c</w:t>
      </w:r>
      <w:r w:rsidR="00144771">
        <w:rPr>
          <w:rFonts w:cs="Arial"/>
          <w:noProof/>
          <w:szCs w:val="22"/>
        </w:rPr>
        <w:t xml:space="preserve">hildren or adolescents below 18 </w:t>
      </w:r>
      <w:r w:rsidR="00084F46" w:rsidRPr="002742BE">
        <w:rPr>
          <w:rFonts w:cs="Arial"/>
          <w:noProof/>
          <w:szCs w:val="22"/>
        </w:rPr>
        <w:t>years of age due to a lack of data on safety and efficacy (see</w:t>
      </w:r>
      <w:r w:rsidR="00C50B2C">
        <w:rPr>
          <w:rFonts w:cs="Arial"/>
          <w:noProof/>
          <w:szCs w:val="22"/>
        </w:rPr>
        <w:t xml:space="preserve"> Section 4.</w:t>
      </w:r>
      <w:r w:rsidR="00C50B2C" w:rsidRPr="00BA01EB">
        <w:rPr>
          <w:rFonts w:cs="Arial"/>
          <w:noProof/>
          <w:szCs w:val="22"/>
        </w:rPr>
        <w:t>2</w:t>
      </w:r>
      <w:r w:rsidR="00084F46" w:rsidRPr="00BA01EB">
        <w:rPr>
          <w:rFonts w:cs="Arial"/>
          <w:noProof/>
          <w:szCs w:val="22"/>
        </w:rPr>
        <w:t xml:space="preserve"> </w:t>
      </w:r>
      <w:r w:rsidR="00A810D1">
        <w:rPr>
          <w:rFonts w:cs="Arial"/>
          <w:szCs w:val="22"/>
        </w:rPr>
        <w:fldChar w:fldCharType="begin"/>
      </w:r>
      <w:r w:rsidR="00A810D1">
        <w:rPr>
          <w:rFonts w:cs="Arial"/>
          <w:szCs w:val="22"/>
        </w:rPr>
        <w:instrText xml:space="preserve"> REF _Ref501602701 \h </w:instrText>
      </w:r>
      <w:r w:rsidR="00004191">
        <w:rPr>
          <w:rFonts w:cs="Arial"/>
          <w:szCs w:val="22"/>
        </w:rPr>
        <w:instrText xml:space="preserve"> \* MERGEFORMAT </w:instrText>
      </w:r>
      <w:r w:rsidR="00A810D1">
        <w:rPr>
          <w:rFonts w:cs="Arial"/>
          <w:szCs w:val="22"/>
        </w:rPr>
      </w:r>
      <w:r w:rsidR="00A810D1">
        <w:rPr>
          <w:rFonts w:cs="Arial"/>
          <w:szCs w:val="22"/>
        </w:rPr>
        <w:fldChar w:fldCharType="separate"/>
      </w:r>
      <w:r w:rsidR="00C51DA4" w:rsidRPr="00AC51A2">
        <w:t>DOSE AND METHOD OF ADMINISTRATION</w:t>
      </w:r>
      <w:r w:rsidR="00A810D1">
        <w:rPr>
          <w:rFonts w:cs="Arial"/>
          <w:szCs w:val="22"/>
        </w:rPr>
        <w:fldChar w:fldCharType="end"/>
      </w:r>
      <w:r w:rsidR="000F03B3" w:rsidRPr="00BA01EB">
        <w:rPr>
          <w:rFonts w:cs="Arial"/>
          <w:szCs w:val="22"/>
        </w:rPr>
        <w:t xml:space="preserve"> </w:t>
      </w:r>
      <w:r w:rsidR="00084F46" w:rsidRPr="00BA01EB">
        <w:rPr>
          <w:rFonts w:cs="Arial"/>
          <w:noProof/>
          <w:szCs w:val="22"/>
        </w:rPr>
        <w:t>and</w:t>
      </w:r>
      <w:r w:rsidR="00C50B2C" w:rsidRPr="00BA01EB">
        <w:rPr>
          <w:rFonts w:cs="Arial"/>
          <w:noProof/>
          <w:szCs w:val="22"/>
        </w:rPr>
        <w:t xml:space="preserve"> Section 5.2</w:t>
      </w:r>
      <w:r w:rsidR="00BC0423">
        <w:rPr>
          <w:rFonts w:cs="Arial"/>
          <w:noProof/>
          <w:szCs w:val="22"/>
        </w:rPr>
        <w:t xml:space="preserve"> </w:t>
      </w:r>
      <w:r w:rsidR="00A810D1">
        <w:fldChar w:fldCharType="begin"/>
      </w:r>
      <w:r w:rsidR="00A810D1">
        <w:instrText xml:space="preserve"> REF _Ref522882073 \h  \* MERGEFORMAT </w:instrText>
      </w:r>
      <w:r w:rsidR="00A810D1">
        <w:fldChar w:fldCharType="separate"/>
      </w:r>
      <w:r w:rsidR="00C51DA4" w:rsidRPr="000202B5">
        <w:t>PHARMACOKINETIC PROPERTIES</w:t>
      </w:r>
      <w:r w:rsidR="00A810D1">
        <w:fldChar w:fldCharType="end"/>
      </w:r>
      <w:r w:rsidR="00084F46" w:rsidRPr="002742BE">
        <w:rPr>
          <w:rFonts w:cs="Arial"/>
          <w:noProof/>
          <w:szCs w:val="22"/>
        </w:rPr>
        <w:t>).</w:t>
      </w:r>
    </w:p>
    <w:p w14:paraId="30A2C3AD" w14:textId="77777777" w:rsidR="00084F46" w:rsidRPr="007D79EA" w:rsidRDefault="00084F46" w:rsidP="007D79EA">
      <w:pPr>
        <w:pStyle w:val="Quote"/>
        <w:ind w:left="630"/>
        <w:rPr>
          <w:b/>
          <w:szCs w:val="22"/>
        </w:rPr>
      </w:pPr>
      <w:bookmarkStart w:id="8" w:name="_Ref501602454"/>
      <w:r w:rsidRPr="007D79EA">
        <w:rPr>
          <w:b/>
          <w:szCs w:val="22"/>
        </w:rPr>
        <w:t>Effects on laboratory tests</w:t>
      </w:r>
      <w:bookmarkEnd w:id="8"/>
    </w:p>
    <w:p w14:paraId="6F399AB0" w14:textId="059F99AC" w:rsidR="00084F46" w:rsidRPr="00C74555" w:rsidRDefault="005F6704" w:rsidP="00651F16">
      <w:pPr>
        <w:ind w:left="630" w:right="46"/>
        <w:rPr>
          <w:szCs w:val="22"/>
        </w:rPr>
      </w:pPr>
      <w:r>
        <w:rPr>
          <w:rFonts w:cs="Arial"/>
          <w:szCs w:val="22"/>
        </w:rPr>
        <w:t>XARELTO</w:t>
      </w:r>
      <w:r w:rsidR="00084F46" w:rsidRPr="002742BE">
        <w:rPr>
          <w:rFonts w:cs="Arial"/>
          <w:szCs w:val="22"/>
        </w:rPr>
        <w:t xml:space="preserve"> at recommended doses prolongs the global clotting tests prothrombin time (PT), activated partial thromboplastin time (aPTT), HepTest, as well as the specific clotting test, anti-Factor Xa activity.</w:t>
      </w:r>
      <w:r w:rsidR="00144771">
        <w:rPr>
          <w:rFonts w:cs="Arial"/>
          <w:szCs w:val="22"/>
        </w:rPr>
        <w:t xml:space="preserve"> </w:t>
      </w:r>
      <w:r w:rsidR="00084F46" w:rsidRPr="002742BE">
        <w:rPr>
          <w:rFonts w:cs="Arial"/>
          <w:szCs w:val="22"/>
        </w:rPr>
        <w:t xml:space="preserve"> PT is influenced by </w:t>
      </w:r>
      <w:r>
        <w:rPr>
          <w:rFonts w:cs="Arial"/>
          <w:szCs w:val="22"/>
        </w:rPr>
        <w:t>XARELTO</w:t>
      </w:r>
      <w:r w:rsidR="00084F46" w:rsidRPr="002742BE">
        <w:rPr>
          <w:rFonts w:cs="Arial"/>
          <w:szCs w:val="22"/>
        </w:rPr>
        <w:t xml:space="preserve"> in a dose-dependent manner if Neoplastin is used for the assay. </w:t>
      </w:r>
      <w:r w:rsidR="00144771">
        <w:rPr>
          <w:rFonts w:cs="Arial"/>
          <w:szCs w:val="22"/>
        </w:rPr>
        <w:t xml:space="preserve"> </w:t>
      </w:r>
      <w:r w:rsidR="00084F46" w:rsidRPr="002742BE">
        <w:rPr>
          <w:rFonts w:cs="Arial"/>
          <w:szCs w:val="22"/>
        </w:rPr>
        <w:t>The 5/95 percentiles of PT (</w:t>
      </w:r>
      <w:r w:rsidR="00084F46" w:rsidRPr="005403C3">
        <w:rPr>
          <w:rFonts w:cs="Arial"/>
          <w:szCs w:val="22"/>
        </w:rPr>
        <w:t>Neoplastin</w:t>
      </w:r>
      <w:r w:rsidR="001B0DB2" w:rsidRPr="001B0DB2">
        <w:rPr>
          <w:rFonts w:cs="Arial"/>
          <w:szCs w:val="22"/>
          <w:vertAlign w:val="superscript"/>
        </w:rPr>
        <w:t>®</w:t>
      </w:r>
      <w:r w:rsidR="00084F46" w:rsidRPr="005403C3">
        <w:rPr>
          <w:rFonts w:cs="Arial"/>
          <w:szCs w:val="22"/>
        </w:rPr>
        <w:t xml:space="preserve">) 2 to 4 hours after tablet intake (i.e. at the time of maximum effect) is described in </w:t>
      </w:r>
      <w:r w:rsidR="003860D3" w:rsidRPr="005403C3">
        <w:rPr>
          <w:rFonts w:cs="Arial"/>
          <w:szCs w:val="22"/>
        </w:rPr>
        <w:fldChar w:fldCharType="begin"/>
      </w:r>
      <w:r w:rsidR="003860D3" w:rsidRPr="005403C3">
        <w:rPr>
          <w:rFonts w:cs="Arial"/>
          <w:szCs w:val="22"/>
        </w:rPr>
        <w:instrText xml:space="preserve"> REF _Ref498338600 \h </w:instrText>
      </w:r>
      <w:r w:rsidR="00DA6D02" w:rsidRPr="005403C3">
        <w:rPr>
          <w:rFonts w:cs="Arial"/>
          <w:szCs w:val="22"/>
        </w:rPr>
        <w:instrText xml:space="preserve"> \* MERGEFORMAT </w:instrText>
      </w:r>
      <w:r w:rsidR="003860D3" w:rsidRPr="005403C3">
        <w:rPr>
          <w:rFonts w:cs="Arial"/>
          <w:szCs w:val="22"/>
        </w:rPr>
      </w:r>
      <w:r w:rsidR="003860D3" w:rsidRPr="005403C3">
        <w:rPr>
          <w:rFonts w:cs="Arial"/>
          <w:szCs w:val="22"/>
        </w:rPr>
        <w:fldChar w:fldCharType="separate"/>
      </w:r>
      <w:r w:rsidR="00651F16">
        <w:rPr>
          <w:szCs w:val="22"/>
        </w:rPr>
        <w:t xml:space="preserve"> </w:t>
      </w:r>
      <w:r w:rsidR="00C51DA4" w:rsidRPr="00C51DA4">
        <w:rPr>
          <w:noProof/>
          <w:szCs w:val="22"/>
        </w:rPr>
        <w:t>Table</w:t>
      </w:r>
      <w:r w:rsidR="00C51DA4" w:rsidRPr="00C51DA4">
        <w:rPr>
          <w:szCs w:val="22"/>
        </w:rPr>
        <w:t xml:space="preserve"> </w:t>
      </w:r>
      <w:r w:rsidR="00C51DA4" w:rsidRPr="00C51DA4">
        <w:rPr>
          <w:noProof/>
          <w:szCs w:val="22"/>
        </w:rPr>
        <w:t>9</w:t>
      </w:r>
      <w:r w:rsidR="003860D3" w:rsidRPr="005403C3">
        <w:rPr>
          <w:rFonts w:cs="Arial"/>
          <w:szCs w:val="22"/>
        </w:rPr>
        <w:fldChar w:fldCharType="end"/>
      </w:r>
      <w:r w:rsidR="00084F46" w:rsidRPr="002742BE">
        <w:rPr>
          <w:rFonts w:cs="Arial"/>
          <w:szCs w:val="22"/>
        </w:rPr>
        <w:t xml:space="preserve"> (see</w:t>
      </w:r>
      <w:r w:rsidR="00C50B2C">
        <w:rPr>
          <w:rFonts w:cs="Arial"/>
          <w:szCs w:val="22"/>
        </w:rPr>
        <w:t xml:space="preserve"> Section 5.</w:t>
      </w:r>
      <w:r w:rsidR="00C50B2C" w:rsidRPr="00BA01EB">
        <w:rPr>
          <w:rFonts w:cs="Arial"/>
          <w:szCs w:val="22"/>
        </w:rPr>
        <w:t>1</w:t>
      </w:r>
      <w:r w:rsidR="00BC0423">
        <w:rPr>
          <w:rFonts w:cs="Arial"/>
          <w:szCs w:val="22"/>
        </w:rPr>
        <w:t xml:space="preserve"> </w:t>
      </w:r>
      <w:r w:rsidR="00A810D1">
        <w:fldChar w:fldCharType="begin"/>
      </w:r>
      <w:r w:rsidR="00A810D1">
        <w:instrText xml:space="preserve"> REF _Ref522882098 \h  \* MERGEFORMAT </w:instrText>
      </w:r>
      <w:r w:rsidR="00A810D1">
        <w:fldChar w:fldCharType="separate"/>
      </w:r>
      <w:r w:rsidR="00C51DA4" w:rsidRPr="000202B5">
        <w:t>PHARMACODYNAMIC PROPERTIES</w:t>
      </w:r>
      <w:r w:rsidR="00A810D1">
        <w:fldChar w:fldCharType="end"/>
      </w:r>
      <w:r w:rsidR="00084F46" w:rsidRPr="00BA01EB">
        <w:rPr>
          <w:rFonts w:cs="Arial"/>
          <w:szCs w:val="22"/>
        </w:rPr>
        <w:t xml:space="preserve">). </w:t>
      </w:r>
      <w:r w:rsidR="00144771" w:rsidRPr="00BA01EB">
        <w:rPr>
          <w:rFonts w:cs="Arial"/>
          <w:szCs w:val="22"/>
        </w:rPr>
        <w:t xml:space="preserve"> </w:t>
      </w:r>
      <w:r w:rsidR="00084F46" w:rsidRPr="00BA01EB">
        <w:rPr>
          <w:rFonts w:cs="Arial"/>
          <w:szCs w:val="22"/>
        </w:rPr>
        <w:t>In case of excessive doses, the PT is expected to be outside of this range.</w:t>
      </w:r>
      <w:r w:rsidR="00144771" w:rsidRPr="00BA01EB">
        <w:rPr>
          <w:rFonts w:cs="Arial"/>
          <w:szCs w:val="22"/>
        </w:rPr>
        <w:t xml:space="preserve"> </w:t>
      </w:r>
      <w:r w:rsidR="00084F46" w:rsidRPr="00BA01EB">
        <w:rPr>
          <w:rFonts w:cs="Arial"/>
          <w:szCs w:val="22"/>
        </w:rPr>
        <w:t xml:space="preserve"> Although </w:t>
      </w:r>
      <w:r w:rsidR="00084F46" w:rsidRPr="00BA01EB">
        <w:rPr>
          <w:rFonts w:cs="Arial"/>
          <w:szCs w:val="22"/>
        </w:rPr>
        <w:lastRenderedPageBreak/>
        <w:t>aPTT, anti-Factor Xa activity and HepTes</w:t>
      </w:r>
      <w:r w:rsidR="00144771" w:rsidRPr="00BA01EB">
        <w:rPr>
          <w:rFonts w:cs="Arial"/>
          <w:szCs w:val="22"/>
        </w:rPr>
        <w:t>t</w:t>
      </w:r>
      <w:r w:rsidR="00084F46" w:rsidRPr="00BA01EB">
        <w:rPr>
          <w:rFonts w:cs="Arial"/>
          <w:szCs w:val="22"/>
        </w:rPr>
        <w:t xml:space="preserve"> are also prolonged dose-dependently, none of these reliably assesses the phar</w:t>
      </w:r>
      <w:r w:rsidR="00D3465F" w:rsidRPr="00BA01EB">
        <w:rPr>
          <w:rFonts w:cs="Arial"/>
          <w:szCs w:val="22"/>
        </w:rPr>
        <w:t xml:space="preserve">macodynamic effects of </w:t>
      </w:r>
      <w:r w:rsidRPr="00BA01EB">
        <w:rPr>
          <w:rFonts w:cs="Arial"/>
          <w:szCs w:val="22"/>
        </w:rPr>
        <w:t>XARELTO</w:t>
      </w:r>
      <w:r w:rsidR="00D3465F" w:rsidRPr="00BA01EB">
        <w:rPr>
          <w:rFonts w:cs="Arial"/>
          <w:szCs w:val="22"/>
        </w:rPr>
        <w:t>.</w:t>
      </w:r>
    </w:p>
    <w:p w14:paraId="0FF03FC9" w14:textId="77777777" w:rsidR="00084F46" w:rsidRPr="002742BE" w:rsidRDefault="00084F46" w:rsidP="00004191">
      <w:pPr>
        <w:pStyle w:val="BayerBodyText-left"/>
        <w:ind w:left="630"/>
        <w:jc w:val="left"/>
        <w:rPr>
          <w:rFonts w:cs="Arial"/>
          <w:szCs w:val="22"/>
        </w:rPr>
      </w:pPr>
      <w:r w:rsidRPr="00BA01EB">
        <w:rPr>
          <w:rFonts w:cs="Arial"/>
          <w:szCs w:val="22"/>
        </w:rPr>
        <w:t xml:space="preserve">During any conversion period when warfarin and </w:t>
      </w:r>
      <w:r w:rsidR="005F6704" w:rsidRPr="00BA01EB">
        <w:rPr>
          <w:rFonts w:cs="Arial"/>
          <w:szCs w:val="22"/>
        </w:rPr>
        <w:t>XARELTO</w:t>
      </w:r>
      <w:r w:rsidRPr="00BA01EB">
        <w:rPr>
          <w:rFonts w:cs="Arial"/>
          <w:szCs w:val="22"/>
        </w:rPr>
        <w:t xml:space="preserve"> are overlapped, the pharmacodynamic effects of rivaroxaban can be tested with the anti-Factor Xa activity, PiCT (Prothrombinase</w:t>
      </w:r>
      <w:r w:rsidR="009C3810" w:rsidRPr="00BA01EB">
        <w:rPr>
          <w:rFonts w:cs="Arial"/>
          <w:szCs w:val="22"/>
        </w:rPr>
        <w:t>-induced Clotting Time)</w:t>
      </w:r>
      <w:r w:rsidRPr="00BA01EB">
        <w:rPr>
          <w:rFonts w:cs="Arial"/>
          <w:szCs w:val="22"/>
        </w:rPr>
        <w:t xml:space="preserve"> and HepTest assays, as these tests were not affected by warfarin. </w:t>
      </w:r>
      <w:r w:rsidR="009F6B61" w:rsidRPr="00BA01EB">
        <w:rPr>
          <w:rFonts w:cs="Arial"/>
          <w:szCs w:val="22"/>
        </w:rPr>
        <w:t xml:space="preserve"> </w:t>
      </w:r>
      <w:r w:rsidRPr="00BA01EB">
        <w:rPr>
          <w:rFonts w:cs="Arial"/>
          <w:szCs w:val="22"/>
        </w:rPr>
        <w:t>Four days after cessation of warfarin and onwards, all tests (including PT, aPTT, anti-Factor Xa activity and ETP) only reflected the effect of rivaroxaban (</w:t>
      </w:r>
      <w:r w:rsidR="000F03B3" w:rsidRPr="00BA01EB">
        <w:rPr>
          <w:rFonts w:cs="Arial"/>
          <w:noProof/>
          <w:szCs w:val="22"/>
        </w:rPr>
        <w:t>see</w:t>
      </w:r>
      <w:r w:rsidR="00C50B2C" w:rsidRPr="00BA01EB">
        <w:rPr>
          <w:rFonts w:cs="Arial"/>
          <w:noProof/>
          <w:szCs w:val="22"/>
        </w:rPr>
        <w:t xml:space="preserve"> Section 4.</w:t>
      </w:r>
      <w:r w:rsidR="00A019A2">
        <w:rPr>
          <w:rFonts w:cs="Arial"/>
          <w:noProof/>
          <w:szCs w:val="22"/>
        </w:rPr>
        <w:t xml:space="preserve">2 </w:t>
      </w:r>
      <w:r w:rsidR="00A019A2">
        <w:rPr>
          <w:rFonts w:cs="Arial"/>
          <w:szCs w:val="22"/>
        </w:rPr>
        <w:fldChar w:fldCharType="begin"/>
      </w:r>
      <w:r w:rsidR="00A019A2">
        <w:rPr>
          <w:rFonts w:cs="Arial"/>
          <w:szCs w:val="22"/>
        </w:rPr>
        <w:instrText xml:space="preserve"> REF _Ref501602701 \h </w:instrText>
      </w:r>
      <w:r w:rsidR="00004191">
        <w:rPr>
          <w:rFonts w:cs="Arial"/>
          <w:szCs w:val="22"/>
        </w:rPr>
        <w:instrText xml:space="preserve"> \* MERGEFORMAT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000F03B3" w:rsidRPr="00BA01EB">
        <w:rPr>
          <w:rFonts w:cs="Arial"/>
          <w:szCs w:val="22"/>
        </w:rPr>
        <w:t xml:space="preserve"> </w:t>
      </w:r>
      <w:r w:rsidR="000F03B3" w:rsidRPr="00BA01EB">
        <w:rPr>
          <w:rFonts w:cs="Arial"/>
          <w:noProof/>
          <w:szCs w:val="22"/>
        </w:rPr>
        <w:t>and</w:t>
      </w:r>
      <w:r w:rsidR="00C50B2C" w:rsidRPr="00BA01EB">
        <w:rPr>
          <w:rFonts w:cs="Arial"/>
          <w:noProof/>
          <w:szCs w:val="22"/>
        </w:rPr>
        <w:t xml:space="preserve"> Section 5.2</w:t>
      </w:r>
      <w:r w:rsidR="00BC0423">
        <w:rPr>
          <w:rFonts w:cs="Arial"/>
          <w:noProof/>
          <w:szCs w:val="22"/>
        </w:rPr>
        <w:t xml:space="preserve"> </w:t>
      </w:r>
      <w:r w:rsidR="00A810D1">
        <w:fldChar w:fldCharType="begin"/>
      </w:r>
      <w:r w:rsidR="00A810D1">
        <w:instrText xml:space="preserve"> REF _Ref522882073 \h  \* MERGEFORMAT </w:instrText>
      </w:r>
      <w:r w:rsidR="00A810D1">
        <w:fldChar w:fldCharType="separate"/>
      </w:r>
      <w:r w:rsidR="00C51DA4" w:rsidRPr="000202B5">
        <w:t>PHARMACOKINETIC PROPERTIES</w:t>
      </w:r>
      <w:r w:rsidR="00A810D1">
        <w:fldChar w:fldCharType="end"/>
      </w:r>
      <w:r w:rsidRPr="002742BE">
        <w:rPr>
          <w:rFonts w:cs="Arial"/>
          <w:szCs w:val="22"/>
        </w:rPr>
        <w:t>).</w:t>
      </w:r>
    </w:p>
    <w:p w14:paraId="0ECBC097" w14:textId="77777777" w:rsidR="00084F46" w:rsidRPr="002742BE" w:rsidRDefault="00084F46" w:rsidP="007361CE">
      <w:pPr>
        <w:spacing w:before="120" w:after="240"/>
        <w:ind w:left="630" w:right="46"/>
        <w:rPr>
          <w:rFonts w:cs="Arial"/>
          <w:szCs w:val="22"/>
        </w:rPr>
      </w:pPr>
      <w:r w:rsidRPr="002742BE">
        <w:rPr>
          <w:rFonts w:cs="Arial"/>
          <w:szCs w:val="22"/>
        </w:rPr>
        <w:t xml:space="preserve">INR is not </w:t>
      </w:r>
      <w:r>
        <w:rPr>
          <w:rFonts w:cs="Arial"/>
          <w:szCs w:val="22"/>
        </w:rPr>
        <w:t xml:space="preserve">a </w:t>
      </w:r>
      <w:r w:rsidRPr="002742BE">
        <w:rPr>
          <w:rFonts w:cs="Arial"/>
          <w:szCs w:val="22"/>
        </w:rPr>
        <w:t>valid measure</w:t>
      </w:r>
      <w:r>
        <w:rPr>
          <w:rFonts w:cs="Arial"/>
          <w:szCs w:val="22"/>
        </w:rPr>
        <w:t xml:space="preserve"> for</w:t>
      </w:r>
      <w:r w:rsidRPr="002742BE">
        <w:rPr>
          <w:rFonts w:cs="Arial"/>
          <w:szCs w:val="22"/>
        </w:rPr>
        <w:t xml:space="preserve"> the anticoagulant activity of </w:t>
      </w:r>
      <w:r>
        <w:rPr>
          <w:rFonts w:cs="Arial"/>
          <w:szCs w:val="22"/>
        </w:rPr>
        <w:t>rivaroxaban</w:t>
      </w:r>
      <w:r w:rsidRPr="002742BE">
        <w:rPr>
          <w:rFonts w:cs="Arial"/>
          <w:szCs w:val="22"/>
        </w:rPr>
        <w:t>, and</w:t>
      </w:r>
      <w:r w:rsidR="009F6B61">
        <w:rPr>
          <w:rFonts w:cs="Arial"/>
          <w:szCs w:val="22"/>
        </w:rPr>
        <w:t xml:space="preserve"> therefore should not be used.  </w:t>
      </w:r>
      <w:r w:rsidRPr="002742BE">
        <w:rPr>
          <w:rFonts w:cs="Arial"/>
          <w:szCs w:val="22"/>
        </w:rPr>
        <w:t xml:space="preserve">If measurement of rivaroxaban exposure is required in special clinical situations (such as suspected overdose, or emergency settings), both prothrombin time </w:t>
      </w:r>
      <w:r w:rsidR="009F6B61">
        <w:rPr>
          <w:rFonts w:cs="Arial"/>
          <w:szCs w:val="22"/>
        </w:rPr>
        <w:t xml:space="preserve">and chromogenic anti-Factor Xa </w:t>
      </w:r>
      <w:r w:rsidRPr="002742BE">
        <w:rPr>
          <w:rFonts w:cs="Arial"/>
          <w:szCs w:val="22"/>
        </w:rPr>
        <w:t xml:space="preserve">assays using validated rivaroxaban calibrators and controls have the potential to assess rivaroxaban plasma concentrations gravimetrically (ng/mL or µg/L). </w:t>
      </w:r>
      <w:r w:rsidR="009F6B61">
        <w:rPr>
          <w:rFonts w:cs="Arial"/>
          <w:szCs w:val="22"/>
        </w:rPr>
        <w:t xml:space="preserve"> </w:t>
      </w:r>
      <w:r w:rsidRPr="002742BE">
        <w:rPr>
          <w:rFonts w:cs="Arial"/>
          <w:szCs w:val="22"/>
        </w:rPr>
        <w:t>The pharmacokinetic profile of rivaroxaban has to be taken into account when inter</w:t>
      </w:r>
      <w:r w:rsidR="009C3810">
        <w:rPr>
          <w:rFonts w:cs="Arial"/>
          <w:szCs w:val="22"/>
        </w:rPr>
        <w:t>preting results of these tests.</w:t>
      </w:r>
    </w:p>
    <w:p w14:paraId="39A807AB" w14:textId="77777777" w:rsidR="003C49A5" w:rsidRPr="007D79EA" w:rsidRDefault="00815CF0" w:rsidP="007D79EA">
      <w:pPr>
        <w:pStyle w:val="Quote"/>
        <w:ind w:left="630"/>
        <w:rPr>
          <w:b/>
          <w:szCs w:val="22"/>
        </w:rPr>
      </w:pPr>
      <w:r w:rsidRPr="007D79EA">
        <w:rPr>
          <w:b/>
          <w:szCs w:val="22"/>
        </w:rPr>
        <w:t>Haemorrhagic risk</w:t>
      </w:r>
    </w:p>
    <w:p w14:paraId="7E3B0867" w14:textId="77777777" w:rsidR="003B25EB" w:rsidRDefault="003B25EB" w:rsidP="007361CE">
      <w:pPr>
        <w:ind w:left="630" w:right="46"/>
        <w:rPr>
          <w:rFonts w:cs="Arial"/>
          <w:szCs w:val="22"/>
        </w:rPr>
      </w:pPr>
      <w:r w:rsidRPr="002742BE">
        <w:rPr>
          <w:rFonts w:cs="Arial"/>
          <w:noProof/>
          <w:szCs w:val="22"/>
        </w:rPr>
        <w:t xml:space="preserve">Like other anticoagulants, </w:t>
      </w:r>
      <w:r w:rsidR="005F6704">
        <w:rPr>
          <w:rFonts w:cs="Arial"/>
          <w:noProof/>
          <w:szCs w:val="22"/>
        </w:rPr>
        <w:t>XARELTO</w:t>
      </w:r>
      <w:r w:rsidRPr="002742BE">
        <w:rPr>
          <w:rFonts w:cs="Arial"/>
          <w:noProof/>
          <w:szCs w:val="22"/>
        </w:rPr>
        <w:t xml:space="preserve"> increases the risk of bleeding and can cause serious or fatal bleeding. </w:t>
      </w:r>
      <w:r w:rsidR="00D3465F">
        <w:rPr>
          <w:rFonts w:cs="Arial"/>
          <w:noProof/>
          <w:szCs w:val="22"/>
        </w:rPr>
        <w:t xml:space="preserve"> </w:t>
      </w:r>
      <w:r w:rsidRPr="002742BE">
        <w:rPr>
          <w:rFonts w:cs="Arial"/>
          <w:noProof/>
          <w:szCs w:val="22"/>
        </w:rPr>
        <w:t xml:space="preserve">In deciding whether to prescribe </w:t>
      </w:r>
      <w:r w:rsidR="005F6704">
        <w:rPr>
          <w:rFonts w:cs="Arial"/>
          <w:noProof/>
          <w:szCs w:val="22"/>
        </w:rPr>
        <w:t>XARELTO</w:t>
      </w:r>
      <w:r w:rsidRPr="002742BE">
        <w:rPr>
          <w:rFonts w:cs="Arial"/>
          <w:noProof/>
          <w:szCs w:val="22"/>
        </w:rPr>
        <w:t xml:space="preserve"> to patients at increased risk of bleeding, the risk of thrombotic events should be weighed against the risk of bleeding. </w:t>
      </w:r>
      <w:r w:rsidR="00D3465F">
        <w:rPr>
          <w:rFonts w:cs="Arial"/>
          <w:noProof/>
          <w:szCs w:val="22"/>
        </w:rPr>
        <w:t xml:space="preserve"> </w:t>
      </w:r>
      <w:r w:rsidRPr="002742BE">
        <w:rPr>
          <w:rFonts w:cs="Arial"/>
          <w:noProof/>
          <w:szCs w:val="22"/>
        </w:rPr>
        <w:t xml:space="preserve">Due to the pharmacological mode of action, the use of </w:t>
      </w:r>
      <w:r w:rsidR="005F6704">
        <w:rPr>
          <w:rFonts w:cs="Arial"/>
          <w:noProof/>
          <w:szCs w:val="22"/>
        </w:rPr>
        <w:t>XARELTO</w:t>
      </w:r>
      <w:r w:rsidRPr="002742BE">
        <w:rPr>
          <w:rFonts w:cs="Arial"/>
          <w:noProof/>
          <w:szCs w:val="22"/>
        </w:rPr>
        <w:t xml:space="preserve"> may be associated with an increased risk of occult or overt bleeding which may result in posthaemorrhagic anaemia (see</w:t>
      </w:r>
      <w:r w:rsidR="00C50B2C">
        <w:rPr>
          <w:rFonts w:cs="Arial"/>
          <w:noProof/>
          <w:szCs w:val="22"/>
        </w:rPr>
        <w:t xml:space="preserve"> Section 4.</w:t>
      </w:r>
      <w:r w:rsidR="00C50B2C" w:rsidRPr="00BA01EB">
        <w:rPr>
          <w:rFonts w:cs="Arial"/>
          <w:noProof/>
          <w:szCs w:val="22"/>
        </w:rPr>
        <w:t>8</w:t>
      </w:r>
      <w:r w:rsidR="00BC0423">
        <w:rPr>
          <w:rFonts w:cs="Arial"/>
          <w:noProof/>
          <w:szCs w:val="22"/>
        </w:rPr>
        <w:t xml:space="preserve"> </w:t>
      </w:r>
      <w:r w:rsidR="00A019A2">
        <w:rPr>
          <w:rFonts w:cs="Arial"/>
          <w:noProof/>
          <w:szCs w:val="22"/>
        </w:rPr>
        <w:fldChar w:fldCharType="begin"/>
      </w:r>
      <w:r w:rsidR="00A019A2">
        <w:rPr>
          <w:rFonts w:cs="Arial"/>
          <w:noProof/>
          <w:szCs w:val="22"/>
        </w:rPr>
        <w:instrText xml:space="preserve"> REF _Ref522884000 \h </w:instrText>
      </w:r>
      <w:r w:rsidR="00A019A2">
        <w:rPr>
          <w:rFonts w:cs="Arial"/>
          <w:noProof/>
          <w:szCs w:val="22"/>
        </w:rPr>
      </w:r>
      <w:r w:rsidR="00A019A2">
        <w:rPr>
          <w:rFonts w:cs="Arial"/>
          <w:noProof/>
          <w:szCs w:val="22"/>
        </w:rPr>
        <w:fldChar w:fldCharType="separate"/>
      </w:r>
      <w:r w:rsidR="00C51DA4" w:rsidRPr="000202B5">
        <w:t>ADVERSE EFFECTS (UNDESIRABLE EFFECTS)</w:t>
      </w:r>
      <w:r w:rsidR="00A019A2">
        <w:rPr>
          <w:rFonts w:cs="Arial"/>
          <w:noProof/>
          <w:szCs w:val="22"/>
        </w:rPr>
        <w:fldChar w:fldCharType="end"/>
      </w:r>
      <w:r w:rsidR="00BC0423">
        <w:rPr>
          <w:rFonts w:cs="Arial"/>
          <w:noProof/>
          <w:szCs w:val="22"/>
        </w:rPr>
        <w:t>)</w:t>
      </w:r>
      <w:r w:rsidRPr="00BA01EB">
        <w:rPr>
          <w:rFonts w:cs="Arial"/>
          <w:noProof/>
          <w:szCs w:val="22"/>
        </w:rPr>
        <w:t>.</w:t>
      </w:r>
      <w:r w:rsidR="00D3465F" w:rsidRPr="00BA01EB">
        <w:rPr>
          <w:rFonts w:cs="Arial"/>
          <w:noProof/>
          <w:szCs w:val="22"/>
        </w:rPr>
        <w:t xml:space="preserve"> </w:t>
      </w:r>
      <w:r w:rsidRPr="00BA01EB">
        <w:rPr>
          <w:rFonts w:cs="Arial"/>
          <w:szCs w:val="22"/>
        </w:rPr>
        <w:t xml:space="preserve"> Several sub-g</w:t>
      </w:r>
      <w:r w:rsidRPr="002742BE">
        <w:rPr>
          <w:rFonts w:cs="Arial"/>
          <w:szCs w:val="22"/>
        </w:rPr>
        <w:t xml:space="preserve">roups of patients as detailed below are at increased risk of bleeding. </w:t>
      </w:r>
      <w:r w:rsidR="00D3465F">
        <w:rPr>
          <w:rFonts w:cs="Arial"/>
          <w:szCs w:val="22"/>
        </w:rPr>
        <w:t xml:space="preserve"> </w:t>
      </w:r>
      <w:r w:rsidRPr="002742BE">
        <w:rPr>
          <w:rFonts w:cs="Arial"/>
          <w:szCs w:val="22"/>
        </w:rPr>
        <w:t xml:space="preserve">These patients are to be carefully monitored for signs of bleeding complications after initiation of treatment. </w:t>
      </w:r>
      <w:r w:rsidR="00D3465F">
        <w:rPr>
          <w:rFonts w:cs="Arial"/>
          <w:szCs w:val="22"/>
        </w:rPr>
        <w:t xml:space="preserve"> </w:t>
      </w:r>
      <w:r w:rsidRPr="002742BE">
        <w:rPr>
          <w:rFonts w:cs="Arial"/>
          <w:szCs w:val="22"/>
        </w:rPr>
        <w:t>Any unexplained fall in haemoglobin or blood pressure should lead t</w:t>
      </w:r>
      <w:r w:rsidR="00D3465F">
        <w:rPr>
          <w:rFonts w:cs="Arial"/>
          <w:szCs w:val="22"/>
        </w:rPr>
        <w:t>o a search for a bleeding site.</w:t>
      </w:r>
    </w:p>
    <w:p w14:paraId="39BE5D17" w14:textId="77777777" w:rsidR="00D3465F" w:rsidRPr="002742BE" w:rsidRDefault="00D3465F" w:rsidP="00DA6D02">
      <w:pPr>
        <w:ind w:right="46"/>
        <w:rPr>
          <w:rFonts w:cs="Arial"/>
          <w:szCs w:val="22"/>
        </w:rPr>
      </w:pPr>
    </w:p>
    <w:p w14:paraId="570616FE" w14:textId="77777777" w:rsidR="003B25EB" w:rsidRDefault="003B25EB" w:rsidP="007361CE">
      <w:pPr>
        <w:pStyle w:val="BodyText2"/>
        <w:adjustRightInd w:val="0"/>
        <w:spacing w:after="0" w:line="240" w:lineRule="auto"/>
        <w:ind w:left="630" w:right="43"/>
        <w:textAlignment w:val="baseline"/>
        <w:rPr>
          <w:rFonts w:cs="Arial"/>
          <w:szCs w:val="22"/>
        </w:rPr>
      </w:pPr>
      <w:r w:rsidRPr="002742BE">
        <w:rPr>
          <w:rFonts w:cs="Arial"/>
          <w:szCs w:val="22"/>
        </w:rPr>
        <w:t>Haemorrhagic complications may present as weakness</w:t>
      </w:r>
      <w:r w:rsidR="009C3810">
        <w:rPr>
          <w:rFonts w:cs="Arial"/>
          <w:szCs w:val="22"/>
        </w:rPr>
        <w:t>, paleness, dizziness, headache</w:t>
      </w:r>
      <w:r w:rsidRPr="002742BE">
        <w:rPr>
          <w:rFonts w:cs="Arial"/>
          <w:szCs w:val="22"/>
        </w:rPr>
        <w:t xml:space="preserve"> or unexplained swelling, dyspnoea and unexplained shock.</w:t>
      </w:r>
    </w:p>
    <w:p w14:paraId="1FACEDBC" w14:textId="77777777" w:rsidR="00D3465F" w:rsidRPr="002742BE" w:rsidRDefault="00D3465F" w:rsidP="00D3465F">
      <w:pPr>
        <w:pStyle w:val="BodyText2"/>
        <w:adjustRightInd w:val="0"/>
        <w:spacing w:after="0" w:line="240" w:lineRule="auto"/>
        <w:ind w:right="43"/>
        <w:textAlignment w:val="baseline"/>
        <w:rPr>
          <w:rFonts w:cs="Arial"/>
          <w:b/>
          <w:szCs w:val="22"/>
        </w:rPr>
      </w:pPr>
    </w:p>
    <w:p w14:paraId="48290882" w14:textId="77777777" w:rsidR="003B25EB" w:rsidRDefault="003B25EB" w:rsidP="007361CE">
      <w:pPr>
        <w:pStyle w:val="BodyText2"/>
        <w:adjustRightInd w:val="0"/>
        <w:spacing w:after="0" w:line="240" w:lineRule="auto"/>
        <w:ind w:left="630" w:right="46"/>
        <w:textAlignment w:val="baseline"/>
        <w:rPr>
          <w:rFonts w:cs="Arial"/>
          <w:szCs w:val="22"/>
        </w:rPr>
      </w:pPr>
      <w:r w:rsidRPr="002742BE">
        <w:rPr>
          <w:rFonts w:cs="Arial"/>
          <w:szCs w:val="22"/>
        </w:rPr>
        <w:t xml:space="preserve">Patients at high risk of bleeding should not be prescribed </w:t>
      </w:r>
      <w:r w:rsidR="005F6704">
        <w:rPr>
          <w:rFonts w:cs="Arial"/>
          <w:szCs w:val="22"/>
        </w:rPr>
        <w:t>XARELTO</w:t>
      </w:r>
      <w:r w:rsidRPr="002742BE">
        <w:rPr>
          <w:rFonts w:cs="Arial"/>
          <w:szCs w:val="22"/>
        </w:rPr>
        <w:t xml:space="preserve"> (see</w:t>
      </w:r>
      <w:r w:rsidR="00C50B2C">
        <w:rPr>
          <w:rFonts w:cs="Arial"/>
          <w:szCs w:val="22"/>
        </w:rPr>
        <w:t xml:space="preserve"> Section 4.3</w:t>
      </w:r>
      <w:r w:rsidR="00BC0423">
        <w:rPr>
          <w:rFonts w:cs="Arial"/>
          <w:szCs w:val="22"/>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Pr="002742BE">
        <w:rPr>
          <w:rFonts w:cs="Arial"/>
          <w:szCs w:val="22"/>
        </w:rPr>
        <w:t>).</w:t>
      </w:r>
    </w:p>
    <w:p w14:paraId="69383A71" w14:textId="77777777" w:rsidR="00D3465F" w:rsidRPr="002742BE" w:rsidRDefault="00D3465F" w:rsidP="00DA6D02">
      <w:pPr>
        <w:pStyle w:val="BodyText2"/>
        <w:adjustRightInd w:val="0"/>
        <w:spacing w:after="0" w:line="240" w:lineRule="auto"/>
        <w:ind w:right="46"/>
        <w:textAlignment w:val="baseline"/>
        <w:rPr>
          <w:rFonts w:cs="Arial"/>
          <w:b/>
          <w:szCs w:val="22"/>
        </w:rPr>
      </w:pPr>
    </w:p>
    <w:p w14:paraId="2D26EB60" w14:textId="77777777" w:rsidR="003B25EB" w:rsidRPr="002742BE" w:rsidRDefault="003B25EB" w:rsidP="007361CE">
      <w:pPr>
        <w:pStyle w:val="BodyText2"/>
        <w:adjustRightInd w:val="0"/>
        <w:spacing w:after="0" w:line="240" w:lineRule="auto"/>
        <w:ind w:left="630" w:right="46"/>
        <w:textAlignment w:val="baseline"/>
        <w:rPr>
          <w:rFonts w:cs="Arial"/>
          <w:b/>
          <w:szCs w:val="22"/>
        </w:rPr>
      </w:pPr>
      <w:r w:rsidRPr="002742BE">
        <w:rPr>
          <w:rFonts w:cs="Arial"/>
          <w:szCs w:val="22"/>
        </w:rPr>
        <w:t>Close clinical surveillance is recommended in presence of multiple risk factors for bleeding including pharmacokinetic factors (renal impairment, hepatic impairment, drug interactions), pharmacodynamic interactions (NSAIDs, p</w:t>
      </w:r>
      <w:r w:rsidR="009C3810">
        <w:rPr>
          <w:rFonts w:cs="Arial"/>
          <w:szCs w:val="22"/>
        </w:rPr>
        <w:t>latelet aggregation inhibitors)</w:t>
      </w:r>
      <w:r w:rsidRPr="002742BE">
        <w:rPr>
          <w:rFonts w:cs="Arial"/>
          <w:szCs w:val="22"/>
        </w:rPr>
        <w:t xml:space="preserve"> and general haemorrhagic risk factors (see below).</w:t>
      </w:r>
    </w:p>
    <w:p w14:paraId="4920920C" w14:textId="77777777" w:rsidR="003B25EB" w:rsidRPr="002742BE" w:rsidRDefault="003B25EB" w:rsidP="007361CE">
      <w:pPr>
        <w:pStyle w:val="BodyText2"/>
        <w:adjustRightInd w:val="0"/>
        <w:spacing w:before="240" w:line="240" w:lineRule="auto"/>
        <w:ind w:right="43" w:firstLine="630"/>
        <w:textAlignment w:val="baseline"/>
        <w:rPr>
          <w:rFonts w:cs="Arial"/>
          <w:b/>
          <w:i/>
          <w:szCs w:val="22"/>
        </w:rPr>
      </w:pPr>
      <w:r w:rsidRPr="002742BE">
        <w:rPr>
          <w:rFonts w:cs="Arial"/>
          <w:i/>
          <w:szCs w:val="22"/>
        </w:rPr>
        <w:t>General haemorrhagic risk factors</w:t>
      </w:r>
    </w:p>
    <w:p w14:paraId="018FBDD7" w14:textId="77777777" w:rsidR="003B25EB" w:rsidRDefault="005F6704" w:rsidP="007361CE">
      <w:pPr>
        <w:pStyle w:val="BodyText2"/>
        <w:adjustRightInd w:val="0"/>
        <w:spacing w:after="0" w:line="240" w:lineRule="auto"/>
        <w:ind w:left="630" w:right="43"/>
        <w:textAlignment w:val="baseline"/>
        <w:rPr>
          <w:rFonts w:cs="Arial"/>
          <w:szCs w:val="22"/>
        </w:rPr>
      </w:pPr>
      <w:r>
        <w:rPr>
          <w:rFonts w:cs="Arial"/>
          <w:szCs w:val="22"/>
        </w:rPr>
        <w:t>XARELTO</w:t>
      </w:r>
      <w:r w:rsidR="003B25EB" w:rsidRPr="002742BE">
        <w:rPr>
          <w:rFonts w:cs="Arial"/>
          <w:szCs w:val="22"/>
        </w:rPr>
        <w:t xml:space="preserve"> like other antithrombotics should be used with caution in patients with an increased bleeding risk such as:</w:t>
      </w:r>
    </w:p>
    <w:p w14:paraId="02728EAA" w14:textId="77777777" w:rsidR="00D3465F" w:rsidRPr="002742BE" w:rsidRDefault="00D3465F" w:rsidP="00DA6D02">
      <w:pPr>
        <w:pStyle w:val="BodyText2"/>
        <w:keepNext/>
        <w:spacing w:after="0" w:line="240" w:lineRule="auto"/>
        <w:ind w:right="43"/>
        <w:rPr>
          <w:rFonts w:cs="Arial"/>
          <w:b/>
          <w:szCs w:val="22"/>
        </w:rPr>
      </w:pPr>
    </w:p>
    <w:p w14:paraId="7FD7D404" w14:textId="77777777" w:rsidR="003B25EB" w:rsidRPr="002742BE" w:rsidRDefault="003B25EB" w:rsidP="0043158B">
      <w:pPr>
        <w:pStyle w:val="BodyText2"/>
        <w:numPr>
          <w:ilvl w:val="0"/>
          <w:numId w:val="16"/>
        </w:numPr>
        <w:adjustRightInd w:val="0"/>
        <w:spacing w:line="240" w:lineRule="auto"/>
        <w:ind w:right="46"/>
        <w:textAlignment w:val="baseline"/>
        <w:rPr>
          <w:rFonts w:cs="Arial"/>
          <w:b/>
          <w:szCs w:val="22"/>
        </w:rPr>
      </w:pPr>
      <w:r w:rsidRPr="002742BE">
        <w:rPr>
          <w:rFonts w:cs="Arial"/>
          <w:szCs w:val="22"/>
        </w:rPr>
        <w:t>congenital or acquired bleeding disorders</w:t>
      </w:r>
    </w:p>
    <w:p w14:paraId="15ED9500" w14:textId="77777777" w:rsidR="003B25EB" w:rsidRPr="002742BE" w:rsidRDefault="003B25EB" w:rsidP="0043158B">
      <w:pPr>
        <w:pStyle w:val="BodyText2"/>
        <w:numPr>
          <w:ilvl w:val="0"/>
          <w:numId w:val="16"/>
        </w:numPr>
        <w:adjustRightInd w:val="0"/>
        <w:spacing w:line="240" w:lineRule="auto"/>
        <w:ind w:right="46"/>
        <w:textAlignment w:val="baseline"/>
        <w:rPr>
          <w:rFonts w:cs="Arial"/>
          <w:b/>
          <w:szCs w:val="22"/>
        </w:rPr>
      </w:pPr>
      <w:r w:rsidRPr="002742BE">
        <w:rPr>
          <w:rFonts w:cs="Arial"/>
          <w:szCs w:val="22"/>
        </w:rPr>
        <w:t>uncontrolled severe arterial hypertension</w:t>
      </w:r>
    </w:p>
    <w:p w14:paraId="5679EFC0" w14:textId="77777777" w:rsidR="003B25EB" w:rsidRPr="002742BE" w:rsidRDefault="003B25EB" w:rsidP="0043158B">
      <w:pPr>
        <w:pStyle w:val="BodyText2"/>
        <w:numPr>
          <w:ilvl w:val="0"/>
          <w:numId w:val="16"/>
        </w:numPr>
        <w:adjustRightInd w:val="0"/>
        <w:spacing w:line="240" w:lineRule="auto"/>
        <w:ind w:right="46"/>
        <w:textAlignment w:val="baseline"/>
        <w:rPr>
          <w:rFonts w:cs="Arial"/>
          <w:b/>
          <w:szCs w:val="22"/>
        </w:rPr>
      </w:pPr>
      <w:r w:rsidRPr="002742BE">
        <w:rPr>
          <w:rFonts w:cs="Arial"/>
          <w:szCs w:val="22"/>
        </w:rPr>
        <w:t>active ulcerative gastrointestinal disease</w:t>
      </w:r>
    </w:p>
    <w:p w14:paraId="1EEF6EEB" w14:textId="77777777" w:rsidR="003B25EB" w:rsidRPr="002742BE" w:rsidRDefault="003B25EB" w:rsidP="0043158B">
      <w:pPr>
        <w:pStyle w:val="BodyText2"/>
        <w:numPr>
          <w:ilvl w:val="0"/>
          <w:numId w:val="16"/>
        </w:numPr>
        <w:adjustRightInd w:val="0"/>
        <w:spacing w:line="240" w:lineRule="auto"/>
        <w:ind w:right="46"/>
        <w:textAlignment w:val="baseline"/>
        <w:rPr>
          <w:rFonts w:cs="Arial"/>
          <w:b/>
          <w:szCs w:val="22"/>
        </w:rPr>
      </w:pPr>
      <w:r w:rsidRPr="002742BE">
        <w:rPr>
          <w:rFonts w:cs="Arial"/>
          <w:szCs w:val="22"/>
        </w:rPr>
        <w:t>recent gastrointestinal ulcerations</w:t>
      </w:r>
    </w:p>
    <w:p w14:paraId="627F02DD" w14:textId="77777777" w:rsidR="003B25EB" w:rsidRPr="002742BE" w:rsidRDefault="003B25EB" w:rsidP="0043158B">
      <w:pPr>
        <w:pStyle w:val="BodyText2"/>
        <w:numPr>
          <w:ilvl w:val="0"/>
          <w:numId w:val="16"/>
        </w:numPr>
        <w:adjustRightInd w:val="0"/>
        <w:spacing w:line="240" w:lineRule="auto"/>
        <w:ind w:right="46"/>
        <w:textAlignment w:val="baseline"/>
        <w:rPr>
          <w:rFonts w:cs="Arial"/>
          <w:b/>
          <w:szCs w:val="22"/>
        </w:rPr>
      </w:pPr>
      <w:r w:rsidRPr="002742BE">
        <w:rPr>
          <w:rFonts w:cs="Arial"/>
          <w:szCs w:val="22"/>
        </w:rPr>
        <w:t>vascular retinopathy</w:t>
      </w:r>
    </w:p>
    <w:p w14:paraId="3D9DBBCA" w14:textId="77777777" w:rsidR="003B25EB" w:rsidRPr="002742BE" w:rsidRDefault="003B25EB" w:rsidP="0043158B">
      <w:pPr>
        <w:pStyle w:val="BodyText2"/>
        <w:numPr>
          <w:ilvl w:val="0"/>
          <w:numId w:val="16"/>
        </w:numPr>
        <w:adjustRightInd w:val="0"/>
        <w:spacing w:line="240" w:lineRule="auto"/>
        <w:ind w:right="46"/>
        <w:textAlignment w:val="baseline"/>
        <w:rPr>
          <w:rFonts w:cs="Arial"/>
          <w:b/>
          <w:szCs w:val="22"/>
        </w:rPr>
      </w:pPr>
      <w:r w:rsidRPr="002742BE">
        <w:rPr>
          <w:rFonts w:cs="Arial"/>
          <w:szCs w:val="22"/>
        </w:rPr>
        <w:lastRenderedPageBreak/>
        <w:t>recent intracranial or intracerebral haemorrhage</w:t>
      </w:r>
    </w:p>
    <w:p w14:paraId="673A169D" w14:textId="77777777" w:rsidR="003B25EB" w:rsidRPr="002742BE" w:rsidRDefault="003B25EB" w:rsidP="0043158B">
      <w:pPr>
        <w:pStyle w:val="BodyText2"/>
        <w:numPr>
          <w:ilvl w:val="0"/>
          <w:numId w:val="16"/>
        </w:numPr>
        <w:adjustRightInd w:val="0"/>
        <w:spacing w:line="240" w:lineRule="auto"/>
        <w:ind w:right="46"/>
        <w:textAlignment w:val="baseline"/>
        <w:rPr>
          <w:rFonts w:cs="Arial"/>
          <w:b/>
          <w:szCs w:val="22"/>
        </w:rPr>
      </w:pPr>
      <w:r w:rsidRPr="002742BE">
        <w:rPr>
          <w:rFonts w:cs="Arial"/>
          <w:szCs w:val="22"/>
        </w:rPr>
        <w:t>intraspinal or intracerebral vascular abnormalities</w:t>
      </w:r>
    </w:p>
    <w:p w14:paraId="3A8263E5" w14:textId="77777777" w:rsidR="003B25EB" w:rsidRPr="002742BE" w:rsidRDefault="003B25EB" w:rsidP="0043158B">
      <w:pPr>
        <w:pStyle w:val="BodyText2"/>
        <w:numPr>
          <w:ilvl w:val="0"/>
          <w:numId w:val="16"/>
        </w:numPr>
        <w:adjustRightInd w:val="0"/>
        <w:spacing w:line="240" w:lineRule="auto"/>
        <w:ind w:right="46"/>
        <w:textAlignment w:val="baseline"/>
        <w:rPr>
          <w:rFonts w:cs="Arial"/>
          <w:b/>
          <w:szCs w:val="22"/>
        </w:rPr>
      </w:pPr>
      <w:r w:rsidRPr="002742BE">
        <w:rPr>
          <w:rFonts w:cs="Arial"/>
          <w:szCs w:val="22"/>
        </w:rPr>
        <w:t>shortly after brain, spinal or ophthalmological surgery</w:t>
      </w:r>
    </w:p>
    <w:p w14:paraId="373F2062" w14:textId="77777777" w:rsidR="003D3CF3" w:rsidRDefault="003B25EB" w:rsidP="003D3CF3">
      <w:pPr>
        <w:pStyle w:val="BodyText2"/>
        <w:numPr>
          <w:ilvl w:val="0"/>
          <w:numId w:val="16"/>
        </w:numPr>
        <w:adjustRightInd w:val="0"/>
        <w:spacing w:line="240" w:lineRule="auto"/>
        <w:ind w:right="46"/>
        <w:textAlignment w:val="baseline"/>
        <w:rPr>
          <w:rFonts w:cs="Arial"/>
          <w:b/>
          <w:szCs w:val="22"/>
        </w:rPr>
      </w:pPr>
      <w:r w:rsidRPr="00F916B9">
        <w:rPr>
          <w:rFonts w:cs="Arial"/>
          <w:szCs w:val="22"/>
        </w:rPr>
        <w:t>bronchiectasis or history of pulmonary bleeding</w:t>
      </w:r>
      <w:r w:rsidR="0061235A">
        <w:rPr>
          <w:rFonts w:cs="Arial"/>
          <w:szCs w:val="22"/>
        </w:rPr>
        <w:t>.</w:t>
      </w:r>
    </w:p>
    <w:p w14:paraId="6108414B" w14:textId="77777777" w:rsidR="00B9517B" w:rsidRPr="00793D08" w:rsidRDefault="00B9517B" w:rsidP="003B18E3">
      <w:pPr>
        <w:pStyle w:val="ListParagraph"/>
        <w:numPr>
          <w:ilvl w:val="0"/>
          <w:numId w:val="23"/>
        </w:numPr>
        <w:spacing w:before="120" w:after="240"/>
        <w:rPr>
          <w:rFonts w:ascii="Arial" w:eastAsia="Times New Roman" w:hAnsi="Arial" w:cs="Arial"/>
          <w:lang w:eastAsia="en-AU"/>
        </w:rPr>
      </w:pPr>
      <w:r w:rsidRPr="00793D08">
        <w:rPr>
          <w:rFonts w:ascii="Arial" w:eastAsia="Times New Roman" w:hAnsi="Arial" w:cs="Arial"/>
          <w:lang w:eastAsia="en-AU"/>
        </w:rPr>
        <w:t>Patients with haemorrhagic or lacunar stroke</w:t>
      </w:r>
    </w:p>
    <w:p w14:paraId="14BDCD1D" w14:textId="77777777" w:rsidR="00B9517B" w:rsidRPr="00B9517B" w:rsidRDefault="00B9517B" w:rsidP="00793D08">
      <w:pPr>
        <w:spacing w:before="120" w:after="240"/>
        <w:ind w:left="1080"/>
        <w:rPr>
          <w:rFonts w:cs="Arial"/>
          <w:szCs w:val="22"/>
          <w:lang w:eastAsia="en-US"/>
        </w:rPr>
      </w:pPr>
      <w:r w:rsidRPr="00B9517B">
        <w:rPr>
          <w:rFonts w:cs="Arial"/>
          <w:szCs w:val="22"/>
          <w:lang w:eastAsia="en-US"/>
        </w:rPr>
        <w:t>CAD</w:t>
      </w:r>
      <w:r w:rsidR="00251AF6">
        <w:rPr>
          <w:rFonts w:cs="Arial"/>
          <w:szCs w:val="22"/>
          <w:lang w:eastAsia="en-US"/>
        </w:rPr>
        <w:t xml:space="preserve"> and/</w:t>
      </w:r>
      <w:r w:rsidRPr="00B9517B">
        <w:rPr>
          <w:rFonts w:cs="Arial"/>
          <w:szCs w:val="22"/>
          <w:lang w:eastAsia="en-US"/>
        </w:rPr>
        <w:t xml:space="preserve"> or PAD patients with previous haemorrhagic or lacunar stroke were not studied. Treatment with Xarelto 2.5 mg twice daily in combination with </w:t>
      </w:r>
      <w:r>
        <w:rPr>
          <w:rFonts w:cs="Arial"/>
          <w:szCs w:val="22"/>
          <w:lang w:eastAsia="en-US"/>
        </w:rPr>
        <w:t>aspirin 100 mg</w:t>
      </w:r>
      <w:r w:rsidRPr="00B9517B">
        <w:rPr>
          <w:rFonts w:cs="Arial"/>
          <w:szCs w:val="22"/>
          <w:lang w:eastAsia="en-US"/>
        </w:rPr>
        <w:t xml:space="preserve"> </w:t>
      </w:r>
      <w:r>
        <w:rPr>
          <w:rFonts w:cs="Arial"/>
          <w:szCs w:val="22"/>
          <w:lang w:eastAsia="en-US"/>
        </w:rPr>
        <w:t xml:space="preserve">once daily </w:t>
      </w:r>
      <w:r w:rsidRPr="00B9517B">
        <w:rPr>
          <w:rFonts w:cs="Arial"/>
          <w:szCs w:val="22"/>
          <w:lang w:eastAsia="en-US"/>
        </w:rPr>
        <w:t>should be avoided in these patients.</w:t>
      </w:r>
    </w:p>
    <w:p w14:paraId="50729678" w14:textId="77777777" w:rsidR="00B9517B" w:rsidRPr="00793D08" w:rsidRDefault="00B9517B" w:rsidP="003B18E3">
      <w:pPr>
        <w:pStyle w:val="ListParagraph"/>
        <w:numPr>
          <w:ilvl w:val="0"/>
          <w:numId w:val="23"/>
        </w:numPr>
        <w:spacing w:before="120" w:after="240"/>
        <w:rPr>
          <w:rFonts w:ascii="Arial" w:eastAsia="Times New Roman" w:hAnsi="Arial" w:cs="Arial"/>
          <w:lang w:eastAsia="en-AU"/>
        </w:rPr>
      </w:pPr>
      <w:r w:rsidRPr="00793D08">
        <w:rPr>
          <w:rFonts w:ascii="Arial" w:eastAsia="Times New Roman" w:hAnsi="Arial" w:cs="Arial"/>
          <w:lang w:eastAsia="en-AU"/>
        </w:rPr>
        <w:t>Patients with ischemic, non-lacunar stroke</w:t>
      </w:r>
    </w:p>
    <w:p w14:paraId="570357A1" w14:textId="77777777" w:rsidR="00B9517B" w:rsidRDefault="00B9517B" w:rsidP="00793D08">
      <w:pPr>
        <w:spacing w:before="120" w:after="240"/>
        <w:ind w:left="1080"/>
        <w:rPr>
          <w:rFonts w:cs="Arial"/>
          <w:szCs w:val="22"/>
          <w:lang w:eastAsia="en-US"/>
        </w:rPr>
      </w:pPr>
      <w:r w:rsidRPr="00B9517B">
        <w:rPr>
          <w:rFonts w:cs="Arial"/>
          <w:szCs w:val="22"/>
          <w:lang w:eastAsia="en-US"/>
        </w:rPr>
        <w:t xml:space="preserve">CAD </w:t>
      </w:r>
      <w:r w:rsidR="00251AF6">
        <w:rPr>
          <w:rFonts w:cs="Arial"/>
          <w:szCs w:val="22"/>
          <w:lang w:eastAsia="en-US"/>
        </w:rPr>
        <w:t>and/</w:t>
      </w:r>
      <w:r w:rsidRPr="00B9517B">
        <w:rPr>
          <w:rFonts w:cs="Arial"/>
          <w:szCs w:val="22"/>
          <w:lang w:eastAsia="en-US"/>
        </w:rPr>
        <w:t>or PAD patients who have experienced an ischemic, non-lacunar stroke within the previous month were not studied. Treatment with Xarelto 2.5 mg twice daily in combination with aspirin 100 mg once daily should be avoided in the first month after stroke.</w:t>
      </w:r>
    </w:p>
    <w:p w14:paraId="364593C1" w14:textId="77777777" w:rsidR="003B25EB" w:rsidRPr="00793D08" w:rsidRDefault="003B25EB" w:rsidP="003B18E3">
      <w:pPr>
        <w:pStyle w:val="ListParagraph"/>
        <w:numPr>
          <w:ilvl w:val="0"/>
          <w:numId w:val="23"/>
        </w:numPr>
        <w:spacing w:before="120" w:after="240"/>
        <w:rPr>
          <w:rFonts w:ascii="Arial" w:eastAsia="Times New Roman" w:hAnsi="Arial" w:cs="Arial"/>
          <w:lang w:eastAsia="en-AU"/>
        </w:rPr>
      </w:pPr>
      <w:r w:rsidRPr="00793D08">
        <w:rPr>
          <w:rFonts w:ascii="Arial" w:eastAsia="Times New Roman" w:hAnsi="Arial" w:cs="Arial"/>
          <w:lang w:eastAsia="en-AU"/>
        </w:rPr>
        <w:t>Care should be taken if patients are treated concomitantly with drugs affecting h</w:t>
      </w:r>
      <w:r w:rsidR="009C3810" w:rsidRPr="00793D08">
        <w:rPr>
          <w:rFonts w:ascii="Arial" w:eastAsia="Times New Roman" w:hAnsi="Arial" w:cs="Arial"/>
          <w:lang w:eastAsia="en-AU"/>
        </w:rPr>
        <w:t>a</w:t>
      </w:r>
      <w:r w:rsidRPr="00793D08">
        <w:rPr>
          <w:rFonts w:ascii="Arial" w:eastAsia="Times New Roman" w:hAnsi="Arial" w:cs="Arial"/>
          <w:lang w:eastAsia="en-AU"/>
        </w:rPr>
        <w:t>emostasis such as non-steroidal anti-inflammatory drugs (NSAIDs), platelet aggregation inhibitors, other antithrombotics, or selective serotonin reuptake inhibitors (SSRIs), and serotonin norepinephrine reuptake inhibitors (SNRIs), (see</w:t>
      </w:r>
      <w:r w:rsidR="00C50B2C" w:rsidRPr="00793D08">
        <w:rPr>
          <w:rFonts w:ascii="Arial" w:eastAsia="Times New Roman" w:hAnsi="Arial" w:cs="Arial"/>
          <w:lang w:eastAsia="en-AU"/>
        </w:rPr>
        <w:t xml:space="preserve"> Section 4.5</w:t>
      </w:r>
      <w:r w:rsidRPr="00793D08">
        <w:rPr>
          <w:rFonts w:ascii="Arial" w:eastAsia="Times New Roman" w:hAnsi="Arial" w:cs="Arial"/>
          <w:lang w:eastAsia="en-AU"/>
        </w:rPr>
        <w:t xml:space="preserve"> </w:t>
      </w:r>
      <w:r w:rsidR="00A810D1" w:rsidRPr="00793D08">
        <w:rPr>
          <w:rFonts w:ascii="Arial" w:eastAsia="Times New Roman" w:hAnsi="Arial" w:cs="Arial"/>
          <w:lang w:eastAsia="en-AU"/>
        </w:rPr>
        <w:fldChar w:fldCharType="begin"/>
      </w:r>
      <w:r w:rsidR="00A810D1" w:rsidRPr="00793D08">
        <w:rPr>
          <w:rFonts w:ascii="Arial" w:eastAsia="Times New Roman" w:hAnsi="Arial" w:cs="Arial"/>
          <w:lang w:eastAsia="en-AU"/>
        </w:rPr>
        <w:instrText xml:space="preserve"> REF _Ref522882463 \h  \* MERGEFORMAT </w:instrText>
      </w:r>
      <w:r w:rsidR="00A810D1" w:rsidRPr="00793D08">
        <w:rPr>
          <w:rFonts w:ascii="Arial" w:eastAsia="Times New Roman" w:hAnsi="Arial" w:cs="Arial"/>
          <w:lang w:eastAsia="en-AU"/>
        </w:rPr>
      </w:r>
      <w:r w:rsidR="00A810D1" w:rsidRPr="00793D08">
        <w:rPr>
          <w:rFonts w:ascii="Arial" w:eastAsia="Times New Roman" w:hAnsi="Arial" w:cs="Arial"/>
          <w:lang w:eastAsia="en-AU"/>
        </w:rPr>
        <w:fldChar w:fldCharType="separate"/>
      </w:r>
      <w:r w:rsidR="00C51DA4" w:rsidRPr="00C51DA4">
        <w:rPr>
          <w:rFonts w:ascii="Arial" w:eastAsia="Times New Roman" w:hAnsi="Arial" w:cs="Arial"/>
          <w:lang w:eastAsia="en-AU"/>
        </w:rPr>
        <w:t>INTERACTIONS WITH OTHER MEDICINES AND OTHER FORMS OF INTERACTIONS</w:t>
      </w:r>
      <w:r w:rsidR="00A810D1" w:rsidRPr="00793D08">
        <w:rPr>
          <w:rFonts w:ascii="Arial" w:eastAsia="Times New Roman" w:hAnsi="Arial" w:cs="Arial"/>
          <w:lang w:eastAsia="en-AU"/>
        </w:rPr>
        <w:fldChar w:fldCharType="end"/>
      </w:r>
      <w:r w:rsidRPr="00793D08">
        <w:rPr>
          <w:rFonts w:ascii="Arial" w:eastAsia="Times New Roman" w:hAnsi="Arial" w:cs="Arial"/>
          <w:lang w:eastAsia="en-AU"/>
        </w:rPr>
        <w:t>).</w:t>
      </w:r>
    </w:p>
    <w:p w14:paraId="26422BE8" w14:textId="77777777" w:rsidR="003B25EB" w:rsidRPr="00052F2C" w:rsidRDefault="003B25EB" w:rsidP="003B18E3">
      <w:pPr>
        <w:pStyle w:val="BodyText2"/>
        <w:numPr>
          <w:ilvl w:val="0"/>
          <w:numId w:val="23"/>
        </w:numPr>
        <w:adjustRightInd w:val="0"/>
        <w:spacing w:before="120" w:after="0" w:line="240" w:lineRule="auto"/>
        <w:ind w:right="43"/>
        <w:textAlignment w:val="baseline"/>
        <w:rPr>
          <w:rFonts w:cs="Arial"/>
          <w:szCs w:val="22"/>
        </w:rPr>
      </w:pPr>
      <w:r w:rsidRPr="00052F2C">
        <w:rPr>
          <w:rFonts w:cs="Arial"/>
          <w:szCs w:val="22"/>
        </w:rPr>
        <w:t>For patients at risk of ulcerative gastrointestinal disease an appropriate prophylactic treatment may be considered (see</w:t>
      </w:r>
      <w:r w:rsidR="00C50B2C" w:rsidRPr="00052F2C">
        <w:rPr>
          <w:rFonts w:cs="Arial"/>
          <w:szCs w:val="22"/>
        </w:rPr>
        <w:t xml:space="preserve"> Section 4.5</w:t>
      </w:r>
      <w:r w:rsidR="00BC0423" w:rsidRPr="00052F2C">
        <w:rPr>
          <w:rFonts w:cs="Arial"/>
          <w:szCs w:val="22"/>
        </w:rPr>
        <w:t xml:space="preserve"> </w:t>
      </w:r>
      <w:r w:rsidR="00A810D1" w:rsidRPr="00052F2C">
        <w:rPr>
          <w:rFonts w:cs="Arial"/>
          <w:szCs w:val="22"/>
        </w:rPr>
        <w:fldChar w:fldCharType="begin"/>
      </w:r>
      <w:r w:rsidR="00A810D1" w:rsidRPr="00052F2C">
        <w:rPr>
          <w:rFonts w:cs="Arial"/>
          <w:szCs w:val="22"/>
        </w:rPr>
        <w:instrText xml:space="preserve"> REF _Ref522882463 \h  \* MERGEFORMAT </w:instrText>
      </w:r>
      <w:r w:rsidR="00A810D1" w:rsidRPr="00052F2C">
        <w:rPr>
          <w:rFonts w:cs="Arial"/>
          <w:szCs w:val="22"/>
        </w:rPr>
      </w:r>
      <w:r w:rsidR="00A810D1" w:rsidRPr="00052F2C">
        <w:rPr>
          <w:rFonts w:cs="Arial"/>
          <w:szCs w:val="22"/>
        </w:rPr>
        <w:fldChar w:fldCharType="separate"/>
      </w:r>
      <w:r w:rsidR="00C51DA4" w:rsidRPr="00C51DA4">
        <w:rPr>
          <w:rFonts w:cs="Arial"/>
        </w:rPr>
        <w:t>INTERACTIONS WITH OTHER MEDICINES AND OTHER FORMS OF INTERACTIONS</w:t>
      </w:r>
      <w:r w:rsidR="00A810D1" w:rsidRPr="00052F2C">
        <w:rPr>
          <w:rFonts w:cs="Arial"/>
          <w:szCs w:val="22"/>
        </w:rPr>
        <w:fldChar w:fldCharType="end"/>
      </w:r>
      <w:r w:rsidRPr="00052F2C">
        <w:rPr>
          <w:rFonts w:cs="Arial"/>
          <w:szCs w:val="22"/>
        </w:rPr>
        <w:t>).</w:t>
      </w:r>
    </w:p>
    <w:p w14:paraId="539B201F" w14:textId="77777777" w:rsidR="007D79EA" w:rsidRDefault="007D79EA" w:rsidP="007D79EA">
      <w:pPr>
        <w:pStyle w:val="Quote"/>
        <w:ind w:left="630"/>
        <w:rPr>
          <w:b/>
          <w:szCs w:val="22"/>
        </w:rPr>
      </w:pPr>
    </w:p>
    <w:p w14:paraId="012C31FD" w14:textId="77777777" w:rsidR="00E06FBA" w:rsidRPr="007D79EA" w:rsidRDefault="00E06FBA" w:rsidP="007D79EA">
      <w:pPr>
        <w:pStyle w:val="Quote"/>
        <w:ind w:left="630"/>
        <w:rPr>
          <w:b/>
          <w:szCs w:val="22"/>
        </w:rPr>
      </w:pPr>
      <w:r w:rsidRPr="007D79EA">
        <w:rPr>
          <w:b/>
          <w:szCs w:val="22"/>
        </w:rPr>
        <w:t>Different gender and different weight categories</w:t>
      </w:r>
    </w:p>
    <w:p w14:paraId="17865988" w14:textId="77777777" w:rsidR="00E06FBA" w:rsidRPr="00E06FBA" w:rsidRDefault="00E06FBA" w:rsidP="00004191">
      <w:pPr>
        <w:pStyle w:val="BayerBodyText-left"/>
        <w:ind w:left="630"/>
        <w:jc w:val="left"/>
        <w:rPr>
          <w:lang w:eastAsia="en-US"/>
        </w:rPr>
      </w:pPr>
      <w:r w:rsidRPr="00BA01EB">
        <w:rPr>
          <w:lang w:eastAsia="en-US"/>
        </w:rPr>
        <w:t>No dose adjustment is required for these patient populations (see</w:t>
      </w:r>
      <w:r w:rsidR="00C50B2C" w:rsidRPr="00BA01EB">
        <w:rPr>
          <w:lang w:eastAsia="en-US"/>
        </w:rPr>
        <w:t xml:space="preserve"> Section 5.2</w:t>
      </w:r>
      <w:r w:rsidR="00BC0423">
        <w:rPr>
          <w:lang w:eastAsia="en-US"/>
        </w:rPr>
        <w:t xml:space="preserve"> </w:t>
      </w:r>
      <w:r w:rsidR="00A810D1">
        <w:fldChar w:fldCharType="begin"/>
      </w:r>
      <w:r w:rsidR="00A810D1">
        <w:instrText xml:space="preserve"> REF _Ref522882073 \h  \* MERGEFORMAT </w:instrText>
      </w:r>
      <w:r w:rsidR="00A810D1">
        <w:fldChar w:fldCharType="separate"/>
      </w:r>
      <w:r w:rsidR="00C51DA4" w:rsidRPr="000202B5">
        <w:t>PHARMACOKINETIC PROPERTIES</w:t>
      </w:r>
      <w:r w:rsidR="00A810D1">
        <w:fldChar w:fldCharType="end"/>
      </w:r>
      <w:r w:rsidRPr="00E06FBA">
        <w:rPr>
          <w:lang w:eastAsia="en-US"/>
        </w:rPr>
        <w:t>).</w:t>
      </w:r>
    </w:p>
    <w:p w14:paraId="182566BD" w14:textId="77777777" w:rsidR="007D79EA" w:rsidRDefault="007D79EA" w:rsidP="007D79EA">
      <w:pPr>
        <w:pStyle w:val="Quote"/>
        <w:ind w:left="630"/>
        <w:rPr>
          <w:b/>
          <w:szCs w:val="22"/>
        </w:rPr>
      </w:pPr>
    </w:p>
    <w:p w14:paraId="6DE325B4" w14:textId="77777777" w:rsidR="00F2131B" w:rsidRPr="007D79EA" w:rsidRDefault="00F2131B" w:rsidP="007D79EA">
      <w:pPr>
        <w:pStyle w:val="Quote"/>
        <w:ind w:left="630"/>
        <w:rPr>
          <w:b/>
          <w:szCs w:val="22"/>
        </w:rPr>
      </w:pPr>
      <w:r w:rsidRPr="007D79EA">
        <w:rPr>
          <w:b/>
          <w:szCs w:val="22"/>
        </w:rPr>
        <w:t>Strong CYP 3A4 and P-gp inhibitors</w:t>
      </w:r>
    </w:p>
    <w:p w14:paraId="3E2A660F" w14:textId="77777777" w:rsidR="00F2131B" w:rsidRDefault="005F6704" w:rsidP="007361CE">
      <w:pPr>
        <w:spacing w:before="120" w:after="240"/>
        <w:ind w:left="630"/>
        <w:rPr>
          <w:rFonts w:cs="Arial"/>
          <w:szCs w:val="22"/>
          <w:lang w:eastAsia="en-US"/>
        </w:rPr>
      </w:pPr>
      <w:r>
        <w:rPr>
          <w:rFonts w:cs="Arial"/>
          <w:szCs w:val="22"/>
          <w:lang w:eastAsia="en-US"/>
        </w:rPr>
        <w:t>XARELTO</w:t>
      </w:r>
      <w:r w:rsidR="00F2131B" w:rsidRPr="00F2131B">
        <w:rPr>
          <w:rFonts w:cs="Arial"/>
          <w:szCs w:val="22"/>
          <w:lang w:eastAsia="en-US"/>
        </w:rPr>
        <w:t xml:space="preserve"> is contraindicated in patients receiving concomitant systemic treatment with azole-antimycotics (e.g. ketoconazole) or HIV protease inhibitors (e.g. ritonavir). </w:t>
      </w:r>
      <w:r w:rsidR="00D3465F">
        <w:rPr>
          <w:rFonts w:cs="Arial"/>
          <w:szCs w:val="22"/>
          <w:lang w:eastAsia="en-US"/>
        </w:rPr>
        <w:t xml:space="preserve"> </w:t>
      </w:r>
      <w:r w:rsidR="00F2131B" w:rsidRPr="00F2131B">
        <w:rPr>
          <w:rFonts w:cs="Arial"/>
          <w:szCs w:val="22"/>
          <w:lang w:eastAsia="en-US"/>
        </w:rPr>
        <w:t>These active substances are strong inhibitors of both CYP 3A4 and P-gp and therefore may increase rivaroxaban plasma concentrations to a clinically relevant degree which may lead to an increased bleeding risk (see</w:t>
      </w:r>
      <w:r w:rsidR="00C50B2C">
        <w:rPr>
          <w:rFonts w:cs="Arial"/>
          <w:szCs w:val="22"/>
          <w:lang w:eastAsia="en-US"/>
        </w:rPr>
        <w:t xml:space="preserve"> Section 4.</w:t>
      </w:r>
      <w:r w:rsidR="00C50B2C" w:rsidRPr="00BA01EB">
        <w:rPr>
          <w:rFonts w:cs="Arial"/>
          <w:szCs w:val="22"/>
          <w:lang w:eastAsia="en-US"/>
        </w:rPr>
        <w:t>3</w:t>
      </w:r>
      <w:r w:rsidR="00F2131B" w:rsidRPr="00BA01EB">
        <w:rPr>
          <w:rFonts w:cs="Arial"/>
          <w:szCs w:val="22"/>
          <w:lang w:eastAsia="en-US"/>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00BC0423">
        <w:rPr>
          <w:rFonts w:cs="Arial"/>
          <w:szCs w:val="22"/>
          <w:lang w:eastAsia="en-US"/>
        </w:rPr>
        <w:t xml:space="preserve"> </w:t>
      </w:r>
      <w:r w:rsidR="00F2131B" w:rsidRPr="00BA01EB">
        <w:rPr>
          <w:rFonts w:cs="Arial"/>
          <w:szCs w:val="22"/>
          <w:lang w:eastAsia="en-US"/>
        </w:rPr>
        <w:t>and</w:t>
      </w:r>
      <w:r w:rsidR="00BC0423">
        <w:rPr>
          <w:rFonts w:cs="Arial"/>
          <w:szCs w:val="22"/>
          <w:lang w:eastAsia="en-US"/>
        </w:rPr>
        <w:t xml:space="preserve"> Section 4.5 </w:t>
      </w:r>
      <w:r w:rsidR="00A810D1" w:rsidRPr="00A810D1">
        <w:rPr>
          <w:rFonts w:cs="Arial"/>
          <w:szCs w:val="22"/>
        </w:rPr>
        <w:fldChar w:fldCharType="begin"/>
      </w:r>
      <w:r w:rsidR="00A810D1" w:rsidRPr="00A810D1">
        <w:rPr>
          <w:rFonts w:cs="Arial"/>
          <w:szCs w:val="22"/>
        </w:rPr>
        <w:instrText xml:space="preserve"> REF _Ref522882463 \h </w:instrText>
      </w:r>
      <w:r w:rsidR="00A810D1">
        <w:rPr>
          <w:rFonts w:cs="Arial"/>
          <w:szCs w:val="22"/>
        </w:rPr>
        <w:instrText xml:space="preserve"> \* MERGEFORMAT </w:instrText>
      </w:r>
      <w:r w:rsidR="00A810D1" w:rsidRPr="00A810D1">
        <w:rPr>
          <w:rFonts w:cs="Arial"/>
          <w:szCs w:val="22"/>
        </w:rPr>
      </w:r>
      <w:r w:rsidR="00A810D1" w:rsidRPr="00A810D1">
        <w:rPr>
          <w:rFonts w:cs="Arial"/>
          <w:szCs w:val="22"/>
        </w:rPr>
        <w:fldChar w:fldCharType="separate"/>
      </w:r>
      <w:r w:rsidR="00C51DA4" w:rsidRPr="00C51DA4">
        <w:rPr>
          <w:rFonts w:cs="Arial"/>
        </w:rPr>
        <w:t>INTERACTIONS WITH OTHER MEDICINES AND OTHER FORMS OF INTERACTIONS</w:t>
      </w:r>
      <w:r w:rsidR="00A810D1" w:rsidRPr="00A810D1">
        <w:rPr>
          <w:rFonts w:cs="Arial"/>
          <w:szCs w:val="22"/>
        </w:rPr>
        <w:fldChar w:fldCharType="end"/>
      </w:r>
      <w:r w:rsidR="00F2131B" w:rsidRPr="00F2131B">
        <w:rPr>
          <w:rFonts w:cs="Arial"/>
          <w:szCs w:val="22"/>
          <w:lang w:eastAsia="en-US"/>
        </w:rPr>
        <w:t>).</w:t>
      </w:r>
      <w:r w:rsidR="00D3465F">
        <w:rPr>
          <w:rFonts w:cs="Arial"/>
          <w:szCs w:val="22"/>
          <w:lang w:eastAsia="en-US"/>
        </w:rPr>
        <w:t xml:space="preserve"> </w:t>
      </w:r>
      <w:r w:rsidR="00F2131B" w:rsidRPr="00C50B2C">
        <w:rPr>
          <w:rFonts w:cs="Arial"/>
          <w:szCs w:val="22"/>
          <w:lang w:eastAsia="en-US"/>
        </w:rPr>
        <w:t xml:space="preserve"> </w:t>
      </w:r>
      <w:r w:rsidR="00F2131B" w:rsidRPr="00F2131B">
        <w:rPr>
          <w:rFonts w:cs="Arial"/>
          <w:szCs w:val="22"/>
          <w:lang w:eastAsia="en-US"/>
        </w:rPr>
        <w:t>However, fluconazole, a less potent CYP3A4 and P</w:t>
      </w:r>
      <w:r w:rsidR="00F2131B" w:rsidRPr="005403C3">
        <w:rPr>
          <w:rFonts w:cs="Arial"/>
          <w:szCs w:val="22"/>
          <w:lang w:eastAsia="en-US"/>
        </w:rPr>
        <w:t>-gp inhibitor has less effect on rivaroxaban and may be co-administered (</w:t>
      </w:r>
      <w:r w:rsidR="00543868" w:rsidRPr="005403C3">
        <w:rPr>
          <w:rFonts w:cs="Arial"/>
          <w:szCs w:val="22"/>
          <w:lang w:eastAsia="en-US"/>
        </w:rPr>
        <w:fldChar w:fldCharType="begin"/>
      </w:r>
      <w:r w:rsidR="00543868" w:rsidRPr="005403C3">
        <w:rPr>
          <w:rFonts w:cs="Arial"/>
          <w:szCs w:val="22"/>
          <w:lang w:eastAsia="en-US"/>
        </w:rPr>
        <w:instrText xml:space="preserve"> REF _Ref505603746 \h  \* MERGEFORMAT </w:instrText>
      </w:r>
      <w:r w:rsidR="00543868" w:rsidRPr="005403C3">
        <w:rPr>
          <w:rFonts w:cs="Arial"/>
          <w:szCs w:val="22"/>
          <w:lang w:eastAsia="en-US"/>
        </w:rPr>
      </w:r>
      <w:r w:rsidR="00543868" w:rsidRPr="005403C3">
        <w:rPr>
          <w:rFonts w:cs="Arial"/>
          <w:szCs w:val="22"/>
          <w:lang w:eastAsia="en-US"/>
        </w:rPr>
        <w:fldChar w:fldCharType="separate"/>
      </w:r>
      <w:r w:rsidR="00C51DA4" w:rsidRPr="00C51DA4">
        <w:rPr>
          <w:szCs w:val="22"/>
        </w:rPr>
        <w:t xml:space="preserve">Table </w:t>
      </w:r>
      <w:r w:rsidR="00C51DA4" w:rsidRPr="00C51DA4">
        <w:rPr>
          <w:noProof/>
          <w:szCs w:val="22"/>
        </w:rPr>
        <w:t>2</w:t>
      </w:r>
      <w:r w:rsidR="00543868" w:rsidRPr="005403C3">
        <w:rPr>
          <w:rFonts w:cs="Arial"/>
          <w:szCs w:val="22"/>
          <w:lang w:eastAsia="en-US"/>
        </w:rPr>
        <w:fldChar w:fldCharType="end"/>
      </w:r>
      <w:r w:rsidR="00BC0423" w:rsidRPr="005403C3">
        <w:rPr>
          <w:rFonts w:cs="Arial"/>
          <w:szCs w:val="22"/>
          <w:lang w:eastAsia="en-US"/>
        </w:rPr>
        <w:t xml:space="preserve"> </w:t>
      </w:r>
      <w:r w:rsidR="00F2131B" w:rsidRPr="005403C3">
        <w:rPr>
          <w:rFonts w:cs="Arial"/>
          <w:szCs w:val="22"/>
          <w:lang w:eastAsia="en-US"/>
        </w:rPr>
        <w:t xml:space="preserve">and </w:t>
      </w:r>
      <w:r w:rsidR="003860D3" w:rsidRPr="005403C3">
        <w:rPr>
          <w:rFonts w:cs="Arial"/>
          <w:szCs w:val="22"/>
          <w:lang w:eastAsia="en-US"/>
        </w:rPr>
        <w:fldChar w:fldCharType="begin"/>
      </w:r>
      <w:r w:rsidR="003860D3" w:rsidRPr="005403C3">
        <w:rPr>
          <w:rFonts w:cs="Arial"/>
          <w:szCs w:val="22"/>
          <w:lang w:eastAsia="en-US"/>
        </w:rPr>
        <w:instrText xml:space="preserve"> REF _Ref501396299 \h </w:instrText>
      </w:r>
      <w:r w:rsidR="00DA6D02" w:rsidRPr="005403C3">
        <w:rPr>
          <w:rFonts w:cs="Arial"/>
          <w:szCs w:val="22"/>
          <w:lang w:eastAsia="en-US"/>
        </w:rPr>
        <w:instrText xml:space="preserve"> \* MERGEFORMAT </w:instrText>
      </w:r>
      <w:r w:rsidR="003860D3" w:rsidRPr="005403C3">
        <w:rPr>
          <w:rFonts w:cs="Arial"/>
          <w:szCs w:val="22"/>
          <w:lang w:eastAsia="en-US"/>
        </w:rPr>
      </w:r>
      <w:r w:rsidR="003860D3" w:rsidRPr="005403C3">
        <w:rPr>
          <w:rFonts w:cs="Arial"/>
          <w:szCs w:val="22"/>
          <w:lang w:eastAsia="en-US"/>
        </w:rPr>
        <w:fldChar w:fldCharType="separate"/>
      </w:r>
      <w:r w:rsidR="00C51DA4" w:rsidRPr="00C51DA4">
        <w:rPr>
          <w:szCs w:val="22"/>
        </w:rPr>
        <w:t xml:space="preserve">Table </w:t>
      </w:r>
      <w:r w:rsidR="00C51DA4" w:rsidRPr="00C51DA4">
        <w:rPr>
          <w:noProof/>
          <w:szCs w:val="22"/>
        </w:rPr>
        <w:t>3</w:t>
      </w:r>
      <w:r w:rsidR="003860D3" w:rsidRPr="005403C3">
        <w:rPr>
          <w:rFonts w:cs="Arial"/>
          <w:szCs w:val="22"/>
          <w:lang w:eastAsia="en-US"/>
        </w:rPr>
        <w:fldChar w:fldCharType="end"/>
      </w:r>
      <w:r w:rsidR="00F2131B" w:rsidRPr="005403C3">
        <w:rPr>
          <w:rFonts w:cs="Arial"/>
          <w:szCs w:val="22"/>
          <w:lang w:eastAsia="en-US"/>
        </w:rPr>
        <w:t>).</w:t>
      </w:r>
    </w:p>
    <w:p w14:paraId="7B9A32D3" w14:textId="77777777" w:rsidR="00084F46" w:rsidRPr="00951DF8" w:rsidRDefault="00084F46" w:rsidP="00AC51A2">
      <w:pPr>
        <w:pStyle w:val="Heading3"/>
      </w:pPr>
      <w:r w:rsidRPr="00951DF8">
        <w:t>Concomitant medications</w:t>
      </w:r>
    </w:p>
    <w:p w14:paraId="659CBFA3" w14:textId="77777777" w:rsidR="00084F46" w:rsidRPr="007D79EA" w:rsidRDefault="00084F46" w:rsidP="00AC51A2">
      <w:pPr>
        <w:pStyle w:val="Heading4"/>
        <w:rPr>
          <w:b/>
          <w:bCs/>
        </w:rPr>
      </w:pPr>
      <w:r w:rsidRPr="007D79EA">
        <w:rPr>
          <w:b/>
        </w:rPr>
        <w:t>Non-steroidal anti-inflammatory drugs</w:t>
      </w:r>
    </w:p>
    <w:p w14:paraId="4970BB23" w14:textId="77777777" w:rsidR="00084F46" w:rsidRPr="002742BE" w:rsidRDefault="00084F46" w:rsidP="00D345D9">
      <w:pPr>
        <w:spacing w:before="120" w:after="240"/>
        <w:ind w:left="630" w:right="46"/>
        <w:rPr>
          <w:rFonts w:cs="Arial"/>
          <w:szCs w:val="22"/>
        </w:rPr>
      </w:pPr>
      <w:bookmarkStart w:id="9" w:name="OLE_LINK3"/>
      <w:r w:rsidRPr="002742BE">
        <w:rPr>
          <w:rFonts w:cs="Arial"/>
          <w:szCs w:val="22"/>
        </w:rPr>
        <w:t>Care should be taken if patients are treated concomitantly with non-steroidal anti-</w:t>
      </w:r>
      <w:r w:rsidRPr="00BA01EB">
        <w:rPr>
          <w:rFonts w:cs="Arial"/>
          <w:szCs w:val="22"/>
        </w:rPr>
        <w:t>inflammatory drugs (NSAIDs)</w:t>
      </w:r>
      <w:bookmarkEnd w:id="9"/>
      <w:r w:rsidRPr="00BA01EB">
        <w:rPr>
          <w:rFonts w:cs="Arial"/>
          <w:szCs w:val="22"/>
        </w:rPr>
        <w:t xml:space="preserve"> as these drugs may impact haemostasis</w:t>
      </w:r>
      <w:r w:rsidRPr="00BA01EB">
        <w:rPr>
          <w:rFonts w:cs="Arial"/>
          <w:i/>
          <w:iCs/>
          <w:szCs w:val="22"/>
        </w:rPr>
        <w:t xml:space="preserve"> </w:t>
      </w:r>
      <w:r w:rsidRPr="00BA01EB">
        <w:rPr>
          <w:rFonts w:cs="Arial"/>
          <w:szCs w:val="22"/>
        </w:rPr>
        <w:t>(see</w:t>
      </w:r>
      <w:r w:rsidR="00C50B2C" w:rsidRPr="00BA01EB">
        <w:rPr>
          <w:rFonts w:cs="Arial"/>
          <w:szCs w:val="22"/>
        </w:rPr>
        <w:t xml:space="preserve"> Section </w:t>
      </w:r>
      <w:r w:rsidR="00C50B2C" w:rsidRPr="00BA01EB">
        <w:rPr>
          <w:rFonts w:cs="Arial"/>
          <w:szCs w:val="22"/>
        </w:rPr>
        <w:lastRenderedPageBreak/>
        <w:t>4.5</w:t>
      </w:r>
      <w:r w:rsidRPr="00BA01EB">
        <w:rPr>
          <w:rFonts w:cs="Arial"/>
          <w:szCs w:val="22"/>
        </w:rPr>
        <w:t xml:space="preserve"> </w:t>
      </w:r>
      <w:r w:rsidR="00A810D1" w:rsidRPr="00A810D1">
        <w:rPr>
          <w:rFonts w:cs="Arial"/>
          <w:szCs w:val="22"/>
        </w:rPr>
        <w:fldChar w:fldCharType="begin"/>
      </w:r>
      <w:r w:rsidR="00A810D1" w:rsidRPr="00A810D1">
        <w:rPr>
          <w:rFonts w:cs="Arial"/>
          <w:szCs w:val="22"/>
        </w:rPr>
        <w:instrText xml:space="preserve"> REF _Ref522882463 \h </w:instrText>
      </w:r>
      <w:r w:rsidR="00A810D1">
        <w:rPr>
          <w:rFonts w:cs="Arial"/>
          <w:szCs w:val="22"/>
        </w:rPr>
        <w:instrText xml:space="preserve"> \* MERGEFORMAT </w:instrText>
      </w:r>
      <w:r w:rsidR="00A810D1" w:rsidRPr="00A810D1">
        <w:rPr>
          <w:rFonts w:cs="Arial"/>
          <w:szCs w:val="22"/>
        </w:rPr>
      </w:r>
      <w:r w:rsidR="00A810D1" w:rsidRPr="00A810D1">
        <w:rPr>
          <w:rFonts w:cs="Arial"/>
          <w:szCs w:val="22"/>
        </w:rPr>
        <w:fldChar w:fldCharType="separate"/>
      </w:r>
      <w:r w:rsidR="00C51DA4" w:rsidRPr="00C51DA4">
        <w:rPr>
          <w:rFonts w:cs="Arial"/>
        </w:rPr>
        <w:t>INTERACTIONS WITH OTHER MEDICINES AND OTHER FORMS OF INTERACTIONS</w:t>
      </w:r>
      <w:r w:rsidR="00A810D1" w:rsidRPr="00A810D1">
        <w:rPr>
          <w:rFonts w:cs="Arial"/>
          <w:szCs w:val="22"/>
        </w:rPr>
        <w:fldChar w:fldCharType="end"/>
      </w:r>
      <w:r w:rsidR="00D3465F">
        <w:rPr>
          <w:rFonts w:cs="Arial"/>
          <w:szCs w:val="22"/>
        </w:rPr>
        <w:t>).</w:t>
      </w:r>
    </w:p>
    <w:p w14:paraId="04C80F47" w14:textId="77777777" w:rsidR="00084F46" w:rsidRPr="007D79EA" w:rsidRDefault="00084F46" w:rsidP="00AC51A2">
      <w:pPr>
        <w:pStyle w:val="Heading4"/>
        <w:rPr>
          <w:b/>
        </w:rPr>
      </w:pPr>
      <w:r w:rsidRPr="007D79EA">
        <w:rPr>
          <w:b/>
        </w:rPr>
        <w:t>Anticoagulants</w:t>
      </w:r>
    </w:p>
    <w:p w14:paraId="09FEB6F1" w14:textId="77777777" w:rsidR="00084F46" w:rsidRPr="002742BE" w:rsidRDefault="00084F46" w:rsidP="00D345D9">
      <w:pPr>
        <w:spacing w:before="120" w:after="240"/>
        <w:ind w:left="630" w:right="46"/>
        <w:rPr>
          <w:rFonts w:cs="Arial"/>
          <w:szCs w:val="22"/>
        </w:rPr>
      </w:pPr>
      <w:r w:rsidRPr="002742BE">
        <w:rPr>
          <w:rFonts w:cs="Arial"/>
          <w:szCs w:val="22"/>
        </w:rPr>
        <w:t>Co</w:t>
      </w:r>
      <w:r w:rsidR="00BB619B">
        <w:rPr>
          <w:rFonts w:cs="Arial"/>
          <w:szCs w:val="22"/>
        </w:rPr>
        <w:t>-</w:t>
      </w:r>
      <w:r w:rsidRPr="002742BE">
        <w:rPr>
          <w:rFonts w:cs="Arial"/>
          <w:szCs w:val="22"/>
        </w:rPr>
        <w:t xml:space="preserve">administration of </w:t>
      </w:r>
      <w:r w:rsidR="005F6704">
        <w:rPr>
          <w:rFonts w:cs="Arial"/>
          <w:szCs w:val="22"/>
        </w:rPr>
        <w:t>XARELTO</w:t>
      </w:r>
      <w:r w:rsidRPr="002742BE">
        <w:rPr>
          <w:rFonts w:cs="Arial"/>
          <w:szCs w:val="22"/>
        </w:rPr>
        <w:t xml:space="preserve"> with other anticoagulants has not been studied in clinical trials and is not recommended, as it may lead to an increased bleeding risk </w:t>
      </w:r>
      <w:r w:rsidR="00C50B2C">
        <w:rPr>
          <w:rFonts w:cs="Arial"/>
          <w:szCs w:val="22"/>
        </w:rPr>
        <w:t>(see Section 4.</w:t>
      </w:r>
      <w:r w:rsidR="00C50B2C" w:rsidRPr="00BA01EB">
        <w:rPr>
          <w:rFonts w:cs="Arial"/>
          <w:szCs w:val="22"/>
        </w:rPr>
        <w:t>5</w:t>
      </w:r>
      <w:r w:rsidR="00BC0423">
        <w:rPr>
          <w:rFonts w:cs="Arial"/>
          <w:szCs w:val="22"/>
        </w:rPr>
        <w:t xml:space="preserve"> </w:t>
      </w:r>
      <w:r w:rsidR="00A810D1" w:rsidRPr="00A810D1">
        <w:rPr>
          <w:rFonts w:cs="Arial"/>
          <w:szCs w:val="22"/>
        </w:rPr>
        <w:fldChar w:fldCharType="begin"/>
      </w:r>
      <w:r w:rsidR="00A810D1" w:rsidRPr="00A810D1">
        <w:rPr>
          <w:rFonts w:cs="Arial"/>
          <w:szCs w:val="22"/>
        </w:rPr>
        <w:instrText xml:space="preserve"> REF _Ref522882463 \h </w:instrText>
      </w:r>
      <w:r w:rsidR="00A810D1">
        <w:rPr>
          <w:rFonts w:cs="Arial"/>
          <w:szCs w:val="22"/>
        </w:rPr>
        <w:instrText xml:space="preserve"> \* MERGEFORMAT </w:instrText>
      </w:r>
      <w:r w:rsidR="00A810D1" w:rsidRPr="00A810D1">
        <w:rPr>
          <w:rFonts w:cs="Arial"/>
          <w:szCs w:val="22"/>
        </w:rPr>
      </w:r>
      <w:r w:rsidR="00A810D1" w:rsidRPr="00A810D1">
        <w:rPr>
          <w:rFonts w:cs="Arial"/>
          <w:szCs w:val="22"/>
        </w:rPr>
        <w:fldChar w:fldCharType="separate"/>
      </w:r>
      <w:r w:rsidR="00C51DA4" w:rsidRPr="00C51DA4">
        <w:rPr>
          <w:rFonts w:cs="Arial"/>
        </w:rPr>
        <w:t>INTERACTIONS WITH OTHER MEDICINES AND OTHER FORMS OF INTERACTIONS</w:t>
      </w:r>
      <w:r w:rsidR="00A810D1" w:rsidRPr="00A810D1">
        <w:rPr>
          <w:rFonts w:cs="Arial"/>
          <w:szCs w:val="22"/>
        </w:rPr>
        <w:fldChar w:fldCharType="end"/>
      </w:r>
      <w:r w:rsidRPr="002742BE">
        <w:rPr>
          <w:rFonts w:cs="Arial"/>
          <w:szCs w:val="22"/>
        </w:rPr>
        <w:t>).</w:t>
      </w:r>
    </w:p>
    <w:p w14:paraId="0BBCEC1C" w14:textId="77777777" w:rsidR="00084F46" w:rsidRPr="007D79EA" w:rsidRDefault="00084F46" w:rsidP="00AC51A2">
      <w:pPr>
        <w:pStyle w:val="Heading4"/>
        <w:rPr>
          <w:b/>
          <w:bCs/>
        </w:rPr>
      </w:pPr>
      <w:r w:rsidRPr="007D79EA">
        <w:rPr>
          <w:b/>
        </w:rPr>
        <w:t>Platelet aggregation inhibitors</w:t>
      </w:r>
    </w:p>
    <w:p w14:paraId="69BA9642" w14:textId="77777777" w:rsidR="00084F46" w:rsidRPr="002742BE" w:rsidRDefault="00084F46" w:rsidP="00D345D9">
      <w:pPr>
        <w:spacing w:before="120" w:after="240"/>
        <w:ind w:left="630" w:right="46"/>
        <w:rPr>
          <w:rFonts w:cs="Arial"/>
          <w:szCs w:val="22"/>
        </w:rPr>
      </w:pPr>
      <w:r w:rsidRPr="002742BE">
        <w:rPr>
          <w:rFonts w:cs="Arial"/>
          <w:szCs w:val="22"/>
        </w:rPr>
        <w:t>Care should be taken if patients are treated concomitantly with platelet aggregation inhibitors (e.g. clopidogrel and acetylsalicylic acid) as it may lead to an increased bleeding risk (see</w:t>
      </w:r>
      <w:r w:rsidR="00C50B2C">
        <w:rPr>
          <w:rFonts w:cs="Arial"/>
          <w:szCs w:val="22"/>
        </w:rPr>
        <w:t xml:space="preserve"> Section 4</w:t>
      </w:r>
      <w:r w:rsidR="00C50B2C" w:rsidRPr="00BA01EB">
        <w:rPr>
          <w:rFonts w:cs="Arial"/>
          <w:szCs w:val="22"/>
        </w:rPr>
        <w:t>.5</w:t>
      </w:r>
      <w:r w:rsidR="00BC0423">
        <w:rPr>
          <w:rFonts w:cs="Arial"/>
          <w:szCs w:val="22"/>
        </w:rPr>
        <w:t xml:space="preserve"> </w:t>
      </w:r>
      <w:r w:rsidR="00A810D1" w:rsidRPr="00A810D1">
        <w:rPr>
          <w:rFonts w:cs="Arial"/>
          <w:szCs w:val="22"/>
        </w:rPr>
        <w:fldChar w:fldCharType="begin"/>
      </w:r>
      <w:r w:rsidR="00A810D1" w:rsidRPr="00A810D1">
        <w:rPr>
          <w:rFonts w:cs="Arial"/>
          <w:szCs w:val="22"/>
        </w:rPr>
        <w:instrText xml:space="preserve"> REF _Ref522882463 \h </w:instrText>
      </w:r>
      <w:r w:rsidR="00A810D1">
        <w:rPr>
          <w:rFonts w:cs="Arial"/>
          <w:szCs w:val="22"/>
        </w:rPr>
        <w:instrText xml:space="preserve"> \* MERGEFORMAT </w:instrText>
      </w:r>
      <w:r w:rsidR="00A810D1" w:rsidRPr="00A810D1">
        <w:rPr>
          <w:rFonts w:cs="Arial"/>
          <w:szCs w:val="22"/>
        </w:rPr>
      </w:r>
      <w:r w:rsidR="00A810D1" w:rsidRPr="00A810D1">
        <w:rPr>
          <w:rFonts w:cs="Arial"/>
          <w:szCs w:val="22"/>
        </w:rPr>
        <w:fldChar w:fldCharType="separate"/>
      </w:r>
      <w:r w:rsidR="00C51DA4" w:rsidRPr="00C51DA4">
        <w:rPr>
          <w:rFonts w:cs="Arial"/>
        </w:rPr>
        <w:t>INTERACTIONS WITH OTHER MEDICINES AND OTHER FORMS OF INTERACTIONS</w:t>
      </w:r>
      <w:r w:rsidR="00A810D1" w:rsidRPr="00A810D1">
        <w:rPr>
          <w:rFonts w:cs="Arial"/>
          <w:szCs w:val="22"/>
        </w:rPr>
        <w:fldChar w:fldCharType="end"/>
      </w:r>
      <w:r w:rsidRPr="002742BE">
        <w:rPr>
          <w:rFonts w:cs="Arial"/>
          <w:szCs w:val="22"/>
        </w:rPr>
        <w:t>).</w:t>
      </w:r>
      <w:r w:rsidR="00D3465F">
        <w:rPr>
          <w:rFonts w:cs="Arial"/>
          <w:szCs w:val="22"/>
        </w:rPr>
        <w:t xml:space="preserve"> </w:t>
      </w:r>
      <w:r w:rsidRPr="002742BE">
        <w:rPr>
          <w:rFonts w:cs="Arial"/>
          <w:szCs w:val="22"/>
        </w:rPr>
        <w:t xml:space="preserve"> </w:t>
      </w:r>
      <w:bookmarkStart w:id="10" w:name="OLE_LINK4"/>
      <w:r w:rsidRPr="002742BE">
        <w:rPr>
          <w:rFonts w:cs="Arial"/>
          <w:szCs w:val="22"/>
        </w:rPr>
        <w:t>For patients on antiplatelet therapy, a careful individual risk benefit assessment should be performed regarding the additional bleeding risk versus the thrombotic risk associated with the underlying diseases.</w:t>
      </w:r>
      <w:bookmarkEnd w:id="10"/>
    </w:p>
    <w:p w14:paraId="362342A3" w14:textId="77777777" w:rsidR="00F2131B" w:rsidRPr="00AC51A2" w:rsidRDefault="00F2131B" w:rsidP="00AC51A2">
      <w:pPr>
        <w:pStyle w:val="Heading3"/>
      </w:pPr>
      <w:r w:rsidRPr="00AC51A2">
        <w:t>Management of bleeding</w:t>
      </w:r>
    </w:p>
    <w:p w14:paraId="01C026D5" w14:textId="77777777" w:rsidR="00F2131B" w:rsidRPr="00F2131B" w:rsidRDefault="00F2131B" w:rsidP="00D345D9">
      <w:pPr>
        <w:spacing w:before="120" w:after="240"/>
        <w:ind w:left="630" w:right="46"/>
        <w:rPr>
          <w:rFonts w:cs="Arial"/>
          <w:iCs/>
          <w:szCs w:val="22"/>
          <w:lang w:eastAsia="en-US"/>
        </w:rPr>
      </w:pPr>
      <w:r w:rsidRPr="00F2131B">
        <w:rPr>
          <w:rFonts w:cs="Arial"/>
          <w:iCs/>
          <w:szCs w:val="22"/>
          <w:lang w:eastAsia="en-US"/>
        </w:rPr>
        <w:t>Should bleeding occur, management of the haemorrhage may include the following steps:</w:t>
      </w:r>
    </w:p>
    <w:p w14:paraId="439E7506" w14:textId="77777777" w:rsidR="00F2131B" w:rsidRPr="00D345D9" w:rsidRDefault="00F2131B" w:rsidP="0043158B">
      <w:pPr>
        <w:pStyle w:val="ListParagraph"/>
        <w:numPr>
          <w:ilvl w:val="0"/>
          <w:numId w:val="17"/>
        </w:numPr>
        <w:spacing w:after="120"/>
        <w:ind w:left="1080" w:right="43"/>
        <w:rPr>
          <w:rFonts w:ascii="Arial" w:hAnsi="Arial" w:cs="Arial"/>
        </w:rPr>
      </w:pPr>
      <w:r w:rsidRPr="00D345D9">
        <w:rPr>
          <w:rFonts w:ascii="Arial" w:hAnsi="Arial" w:cs="Arial"/>
        </w:rPr>
        <w:t>Identify and treat the underlying cause of the bleeding</w:t>
      </w:r>
      <w:r w:rsidR="00644E89">
        <w:rPr>
          <w:rFonts w:ascii="Arial" w:hAnsi="Arial" w:cs="Arial"/>
        </w:rPr>
        <w:t>.</w:t>
      </w:r>
    </w:p>
    <w:p w14:paraId="30FC3123" w14:textId="77777777" w:rsidR="00F2131B" w:rsidRPr="00D345D9" w:rsidRDefault="00F2131B" w:rsidP="0043158B">
      <w:pPr>
        <w:pStyle w:val="ListParagraph"/>
        <w:numPr>
          <w:ilvl w:val="0"/>
          <w:numId w:val="17"/>
        </w:numPr>
        <w:spacing w:after="120"/>
        <w:ind w:left="1080" w:right="43"/>
        <w:rPr>
          <w:rFonts w:ascii="Arial" w:hAnsi="Arial" w:cs="Arial"/>
        </w:rPr>
      </w:pPr>
      <w:r w:rsidRPr="00D345D9">
        <w:rPr>
          <w:rFonts w:ascii="Arial" w:hAnsi="Arial" w:cs="Arial"/>
        </w:rPr>
        <w:t>Where no source of bleeding can be identified, delay of next rivaroxaban administration or discontinuation of treatment as appropriate.</w:t>
      </w:r>
      <w:r w:rsidR="00D3465F" w:rsidRPr="00D345D9">
        <w:rPr>
          <w:rFonts w:ascii="Arial" w:hAnsi="Arial" w:cs="Arial"/>
        </w:rPr>
        <w:t xml:space="preserve"> </w:t>
      </w:r>
      <w:r w:rsidRPr="00D345D9">
        <w:rPr>
          <w:rFonts w:ascii="Arial" w:hAnsi="Arial" w:cs="Arial"/>
        </w:rPr>
        <w:t xml:space="preserve"> Rivaroxaban has a </w:t>
      </w:r>
      <w:r w:rsidRPr="00A810D1">
        <w:rPr>
          <w:rFonts w:ascii="Arial" w:hAnsi="Arial" w:cs="Arial"/>
        </w:rPr>
        <w:t>terminal half-life between 5 and 13 hours (see</w:t>
      </w:r>
      <w:r w:rsidR="00C50B2C" w:rsidRPr="00A810D1">
        <w:rPr>
          <w:rFonts w:ascii="Arial" w:hAnsi="Arial" w:cs="Arial"/>
        </w:rPr>
        <w:t xml:space="preserve"> Section </w:t>
      </w:r>
      <w:r w:rsidR="000E6CB1" w:rsidRPr="00A810D1">
        <w:rPr>
          <w:rFonts w:ascii="Arial" w:hAnsi="Arial" w:cs="Arial"/>
        </w:rPr>
        <w:t xml:space="preserve">5.2 </w:t>
      </w:r>
      <w:r w:rsidR="00A810D1" w:rsidRPr="00A810D1">
        <w:rPr>
          <w:rFonts w:ascii="Arial" w:hAnsi="Arial" w:cs="Arial"/>
        </w:rPr>
        <w:fldChar w:fldCharType="begin"/>
      </w:r>
      <w:r w:rsidR="00A810D1" w:rsidRPr="00A810D1">
        <w:rPr>
          <w:rFonts w:ascii="Arial" w:hAnsi="Arial" w:cs="Arial"/>
        </w:rPr>
        <w:instrText xml:space="preserve"> REF _Ref522882073 \h  \* MERGEFORMAT </w:instrText>
      </w:r>
      <w:r w:rsidR="00A810D1" w:rsidRPr="00A810D1">
        <w:rPr>
          <w:rFonts w:ascii="Arial" w:hAnsi="Arial" w:cs="Arial"/>
        </w:rPr>
      </w:r>
      <w:r w:rsidR="00A810D1" w:rsidRPr="00A810D1">
        <w:rPr>
          <w:rFonts w:ascii="Arial" w:hAnsi="Arial" w:cs="Arial"/>
        </w:rPr>
        <w:fldChar w:fldCharType="separate"/>
      </w:r>
      <w:r w:rsidR="00C51DA4" w:rsidRPr="00C51DA4">
        <w:rPr>
          <w:rFonts w:ascii="Arial" w:hAnsi="Arial" w:cs="Arial"/>
        </w:rPr>
        <w:t>PHARMACOKINETIC PROPERTIES</w:t>
      </w:r>
      <w:r w:rsidR="00A810D1" w:rsidRPr="00A810D1">
        <w:rPr>
          <w:rFonts w:ascii="Arial" w:hAnsi="Arial" w:cs="Arial"/>
        </w:rPr>
        <w:fldChar w:fldCharType="end"/>
      </w:r>
      <w:r w:rsidRPr="00A810D1">
        <w:rPr>
          <w:rFonts w:ascii="Arial" w:hAnsi="Arial" w:cs="Arial"/>
        </w:rPr>
        <w:t xml:space="preserve">). </w:t>
      </w:r>
      <w:r w:rsidR="00D3465F" w:rsidRPr="00A810D1">
        <w:rPr>
          <w:rFonts w:ascii="Arial" w:hAnsi="Arial" w:cs="Arial"/>
        </w:rPr>
        <w:t xml:space="preserve"> </w:t>
      </w:r>
      <w:r w:rsidRPr="00A810D1">
        <w:rPr>
          <w:rFonts w:ascii="Arial" w:hAnsi="Arial" w:cs="Arial"/>
        </w:rPr>
        <w:t>Management should be individualised according to the severity and</w:t>
      </w:r>
      <w:r w:rsidRPr="00D345D9">
        <w:rPr>
          <w:rFonts w:ascii="Arial" w:hAnsi="Arial" w:cs="Arial"/>
        </w:rPr>
        <w:t xml:space="preserve"> location of the haemorrhage.</w:t>
      </w:r>
      <w:r w:rsidR="00D3465F" w:rsidRPr="00D345D9">
        <w:rPr>
          <w:rFonts w:ascii="Arial" w:hAnsi="Arial" w:cs="Arial"/>
        </w:rPr>
        <w:t xml:space="preserve"> </w:t>
      </w:r>
      <w:r w:rsidRPr="00D345D9">
        <w:rPr>
          <w:rFonts w:ascii="Arial" w:hAnsi="Arial" w:cs="Arial"/>
        </w:rPr>
        <w:t xml:space="preserve"> A specific agent to reverse the anti-coagulant effect of rivaroxaban is not yet available. </w:t>
      </w:r>
      <w:r w:rsidR="00D3465F" w:rsidRPr="00D345D9">
        <w:rPr>
          <w:rFonts w:ascii="Arial" w:hAnsi="Arial" w:cs="Arial"/>
        </w:rPr>
        <w:t xml:space="preserve"> </w:t>
      </w:r>
      <w:r w:rsidRPr="00D345D9">
        <w:rPr>
          <w:rFonts w:ascii="Arial" w:hAnsi="Arial" w:cs="Arial"/>
        </w:rPr>
        <w:t xml:space="preserve">Because of high plasma protein binding, rivaroxaban is not expected to be dialysable. </w:t>
      </w:r>
      <w:r w:rsidR="00D3465F" w:rsidRPr="00D345D9">
        <w:rPr>
          <w:rFonts w:ascii="Arial" w:hAnsi="Arial" w:cs="Arial"/>
        </w:rPr>
        <w:t xml:space="preserve"> </w:t>
      </w:r>
      <w:r w:rsidRPr="00D345D9">
        <w:rPr>
          <w:rFonts w:ascii="Arial" w:hAnsi="Arial" w:cs="Arial"/>
        </w:rPr>
        <w:t>Protamine sulfate and vitamin K are not expected to affect the anticoagulant activity of rivaroxaban.</w:t>
      </w:r>
    </w:p>
    <w:p w14:paraId="55F5E0E8" w14:textId="77777777" w:rsidR="00F2131B" w:rsidRPr="00D345D9" w:rsidRDefault="00BB619B" w:rsidP="0043158B">
      <w:pPr>
        <w:pStyle w:val="ListParagraph"/>
        <w:numPr>
          <w:ilvl w:val="0"/>
          <w:numId w:val="17"/>
        </w:numPr>
        <w:spacing w:after="120"/>
        <w:ind w:left="1080" w:right="43"/>
        <w:rPr>
          <w:rFonts w:ascii="Arial" w:hAnsi="Arial" w:cs="Arial"/>
        </w:rPr>
      </w:pPr>
      <w:r w:rsidRPr="00D345D9">
        <w:rPr>
          <w:rFonts w:ascii="Arial" w:hAnsi="Arial" w:cs="Arial"/>
        </w:rPr>
        <w:t>A</w:t>
      </w:r>
      <w:r w:rsidR="00F2131B" w:rsidRPr="00D345D9">
        <w:rPr>
          <w:rFonts w:ascii="Arial" w:hAnsi="Arial" w:cs="Arial"/>
        </w:rPr>
        <w:t>ppropriate symptomatic treatment, e.g. mechanical compression, surgical interventions, fluid replacement and haemodynamic support, blood product (packed red cells or fresh frozen plasma, depending on associated anaemia or coagulopathy) or platelets.</w:t>
      </w:r>
    </w:p>
    <w:p w14:paraId="54C21246" w14:textId="77777777" w:rsidR="00F2131B" w:rsidRPr="00F2131B" w:rsidRDefault="00F2131B" w:rsidP="00D345D9">
      <w:pPr>
        <w:spacing w:before="120" w:after="240"/>
        <w:ind w:left="630" w:right="46"/>
        <w:rPr>
          <w:rFonts w:cs="Arial"/>
          <w:noProof/>
          <w:szCs w:val="22"/>
          <w:lang w:eastAsia="en-US"/>
        </w:rPr>
      </w:pPr>
      <w:r w:rsidRPr="00F2131B">
        <w:rPr>
          <w:rFonts w:cs="Arial"/>
          <w:noProof/>
          <w:szCs w:val="22"/>
          <w:lang w:eastAsia="en-US"/>
        </w:rPr>
        <w:t>If life threatening bleeding cannot be controlled by the above measures, administration of one of the following procoagulants may be considered:</w:t>
      </w:r>
    </w:p>
    <w:p w14:paraId="3443FA25" w14:textId="77777777" w:rsidR="00F2131B" w:rsidRPr="00F2131B" w:rsidRDefault="00F2131B" w:rsidP="0043158B">
      <w:pPr>
        <w:numPr>
          <w:ilvl w:val="0"/>
          <w:numId w:val="10"/>
        </w:numPr>
        <w:spacing w:after="120"/>
        <w:ind w:right="43"/>
        <w:rPr>
          <w:rFonts w:cs="Arial"/>
          <w:noProof/>
          <w:szCs w:val="22"/>
          <w:lang w:eastAsia="en-US"/>
        </w:rPr>
      </w:pPr>
      <w:r w:rsidRPr="00F2131B">
        <w:rPr>
          <w:rFonts w:cs="Arial"/>
          <w:noProof/>
          <w:szCs w:val="22"/>
          <w:lang w:eastAsia="en-US"/>
        </w:rPr>
        <w:t>activated prothrombin complex concentrate (APCC)</w:t>
      </w:r>
    </w:p>
    <w:p w14:paraId="2EE03ACE" w14:textId="77777777" w:rsidR="00F2131B" w:rsidRPr="00F2131B" w:rsidRDefault="00F2131B" w:rsidP="0043158B">
      <w:pPr>
        <w:numPr>
          <w:ilvl w:val="0"/>
          <w:numId w:val="10"/>
        </w:numPr>
        <w:spacing w:after="120"/>
        <w:ind w:right="43"/>
        <w:rPr>
          <w:rFonts w:cs="Arial"/>
          <w:noProof/>
          <w:szCs w:val="22"/>
          <w:lang w:eastAsia="en-US"/>
        </w:rPr>
      </w:pPr>
      <w:r w:rsidRPr="00F2131B">
        <w:rPr>
          <w:rFonts w:cs="Arial"/>
          <w:noProof/>
          <w:szCs w:val="22"/>
          <w:lang w:eastAsia="en-US"/>
        </w:rPr>
        <w:t>prothrombin complex concentrate (PCC)</w:t>
      </w:r>
    </w:p>
    <w:p w14:paraId="6B3CB0BF" w14:textId="77777777" w:rsidR="00F2131B" w:rsidRPr="00F2131B" w:rsidRDefault="00D3465F" w:rsidP="0043158B">
      <w:pPr>
        <w:numPr>
          <w:ilvl w:val="0"/>
          <w:numId w:val="10"/>
        </w:numPr>
        <w:spacing w:after="120"/>
        <w:ind w:right="43"/>
        <w:rPr>
          <w:rFonts w:cs="Arial"/>
          <w:noProof/>
          <w:szCs w:val="22"/>
          <w:lang w:eastAsia="en-US"/>
        </w:rPr>
      </w:pPr>
      <w:r>
        <w:rPr>
          <w:rFonts w:cs="Arial"/>
          <w:noProof/>
          <w:szCs w:val="22"/>
          <w:lang w:eastAsia="en-US"/>
        </w:rPr>
        <w:t xml:space="preserve">recombinant factor </w:t>
      </w:r>
      <w:r w:rsidR="00785E07">
        <w:rPr>
          <w:rFonts w:cs="Arial"/>
          <w:noProof/>
          <w:szCs w:val="22"/>
          <w:lang w:eastAsia="en-US"/>
        </w:rPr>
        <w:t>VIIa</w:t>
      </w:r>
    </w:p>
    <w:p w14:paraId="12558D45" w14:textId="77777777" w:rsidR="00F2131B" w:rsidRPr="00F2131B" w:rsidRDefault="00F2131B" w:rsidP="00D345D9">
      <w:pPr>
        <w:spacing w:before="120" w:after="240"/>
        <w:ind w:left="630" w:right="46"/>
        <w:rPr>
          <w:rFonts w:cs="Arial"/>
          <w:noProof/>
          <w:szCs w:val="22"/>
          <w:lang w:eastAsia="en-US"/>
        </w:rPr>
      </w:pPr>
      <w:r w:rsidRPr="00F2131B">
        <w:rPr>
          <w:rFonts w:cs="Arial"/>
          <w:noProof/>
          <w:szCs w:val="22"/>
          <w:lang w:eastAsia="en-US"/>
        </w:rPr>
        <w:t xml:space="preserve">While there is currently no experience with the use of these products in individuals receiving </w:t>
      </w:r>
      <w:r w:rsidR="005F6704">
        <w:rPr>
          <w:rFonts w:cs="Arial"/>
          <w:noProof/>
          <w:szCs w:val="22"/>
          <w:lang w:eastAsia="en-US"/>
        </w:rPr>
        <w:t>XARELTO</w:t>
      </w:r>
      <w:r w:rsidRPr="00F2131B">
        <w:rPr>
          <w:rFonts w:cs="Arial"/>
          <w:noProof/>
          <w:szCs w:val="22"/>
          <w:lang w:eastAsia="en-US"/>
        </w:rPr>
        <w:t>, all three procoagulants have demonstrated significant reductions in rivaroxaban-induced bleeding time prolo</w:t>
      </w:r>
      <w:r w:rsidR="00D3465F">
        <w:rPr>
          <w:rFonts w:cs="Arial"/>
          <w:noProof/>
          <w:szCs w:val="22"/>
          <w:lang w:eastAsia="en-US"/>
        </w:rPr>
        <w:t>ngation in nonclinical studies.</w:t>
      </w:r>
    </w:p>
    <w:p w14:paraId="77194989" w14:textId="77777777" w:rsidR="00F2131B" w:rsidRPr="00F2131B" w:rsidRDefault="00F2131B" w:rsidP="00D345D9">
      <w:pPr>
        <w:spacing w:before="120" w:after="240"/>
        <w:ind w:left="630" w:right="46"/>
        <w:rPr>
          <w:rFonts w:cs="Arial"/>
          <w:szCs w:val="22"/>
          <w:lang w:eastAsia="en-US"/>
        </w:rPr>
      </w:pPr>
      <w:r w:rsidRPr="00F2131B">
        <w:rPr>
          <w:rFonts w:cs="Arial"/>
          <w:iCs/>
          <w:szCs w:val="22"/>
          <w:lang w:eastAsia="en-US"/>
        </w:rPr>
        <w:t xml:space="preserve">There is no experience with antifibrinolytic agents (tranexamic acid, aminocaproic acid) in individuals receiving </w:t>
      </w:r>
      <w:r w:rsidR="005F6704">
        <w:rPr>
          <w:rFonts w:cs="Arial"/>
          <w:iCs/>
          <w:szCs w:val="22"/>
          <w:lang w:eastAsia="en-US"/>
        </w:rPr>
        <w:t>XARELTO</w:t>
      </w:r>
      <w:r w:rsidRPr="00F2131B">
        <w:rPr>
          <w:rFonts w:cs="Arial"/>
          <w:iCs/>
          <w:szCs w:val="22"/>
          <w:lang w:eastAsia="en-US"/>
        </w:rPr>
        <w:t xml:space="preserve">. </w:t>
      </w:r>
      <w:r w:rsidR="00D3465F">
        <w:rPr>
          <w:rFonts w:cs="Arial"/>
          <w:iCs/>
          <w:szCs w:val="22"/>
          <w:lang w:eastAsia="en-US"/>
        </w:rPr>
        <w:t xml:space="preserve"> </w:t>
      </w:r>
      <w:r w:rsidRPr="00F2131B">
        <w:rPr>
          <w:rFonts w:cs="Arial"/>
          <w:iCs/>
          <w:szCs w:val="22"/>
          <w:lang w:eastAsia="en-US"/>
        </w:rPr>
        <w:t xml:space="preserve">There is neither scientific rationale for benefit nor experience with the systemic haemostatics desmopressin and aprotinin in individuals receiving </w:t>
      </w:r>
      <w:r w:rsidR="005F6704">
        <w:rPr>
          <w:rFonts w:cs="Arial"/>
          <w:iCs/>
          <w:szCs w:val="22"/>
          <w:lang w:eastAsia="en-US"/>
        </w:rPr>
        <w:t>XARELTO</w:t>
      </w:r>
      <w:r w:rsidRPr="00F2131B">
        <w:rPr>
          <w:rFonts w:cs="Arial"/>
          <w:iCs/>
          <w:szCs w:val="22"/>
          <w:lang w:eastAsia="en-US"/>
        </w:rPr>
        <w:t>.</w:t>
      </w:r>
    </w:p>
    <w:p w14:paraId="2026F2D3" w14:textId="77777777" w:rsidR="00F2131B" w:rsidRPr="00AC51A2" w:rsidRDefault="00F2131B" w:rsidP="00AC51A2">
      <w:pPr>
        <w:pStyle w:val="Heading3"/>
      </w:pPr>
      <w:r w:rsidRPr="00AC51A2">
        <w:lastRenderedPageBreak/>
        <w:t>Surgery and interventions</w:t>
      </w:r>
    </w:p>
    <w:p w14:paraId="113E4B6B" w14:textId="77777777" w:rsidR="00F2131B" w:rsidRPr="00F2131B" w:rsidRDefault="00F2131B" w:rsidP="00D345D9">
      <w:pPr>
        <w:adjustRightInd w:val="0"/>
        <w:spacing w:before="120" w:after="240"/>
        <w:ind w:left="630" w:right="46"/>
        <w:textAlignment w:val="baseline"/>
        <w:rPr>
          <w:rFonts w:cs="Arial"/>
          <w:bCs/>
          <w:szCs w:val="22"/>
          <w:lang w:eastAsia="en-US"/>
        </w:rPr>
      </w:pPr>
      <w:r w:rsidRPr="00F2131B">
        <w:rPr>
          <w:rFonts w:cs="Arial"/>
          <w:bCs/>
          <w:szCs w:val="22"/>
          <w:lang w:eastAsia="en-US"/>
        </w:rPr>
        <w:t xml:space="preserve">If an invasive procedure or surgical intervention is required, based on clinical judgement of the physician, </w:t>
      </w:r>
      <w:r w:rsidR="005F6704">
        <w:rPr>
          <w:rFonts w:cs="Arial"/>
          <w:bCs/>
          <w:szCs w:val="22"/>
          <w:lang w:eastAsia="en-US"/>
        </w:rPr>
        <w:t>XARELTO</w:t>
      </w:r>
      <w:r w:rsidR="00432E06">
        <w:rPr>
          <w:rFonts w:cs="Arial"/>
          <w:bCs/>
          <w:szCs w:val="22"/>
          <w:lang w:eastAsia="en-US"/>
        </w:rPr>
        <w:t xml:space="preserve"> </w:t>
      </w:r>
      <w:r w:rsidR="00C24974">
        <w:rPr>
          <w:rFonts w:cs="Arial"/>
          <w:bCs/>
          <w:szCs w:val="22"/>
          <w:lang w:eastAsia="en-US"/>
        </w:rPr>
        <w:t xml:space="preserve">10 mg, 15 mg and 20 mg </w:t>
      </w:r>
      <w:r w:rsidR="00307980">
        <w:rPr>
          <w:rFonts w:cs="Arial"/>
          <w:bCs/>
          <w:szCs w:val="22"/>
          <w:lang w:eastAsia="en-US"/>
        </w:rPr>
        <w:t xml:space="preserve">should be stopped at least 24 </w:t>
      </w:r>
      <w:r w:rsidRPr="00F2131B">
        <w:rPr>
          <w:rFonts w:cs="Arial"/>
          <w:bCs/>
          <w:szCs w:val="22"/>
          <w:lang w:eastAsia="en-US"/>
        </w:rPr>
        <w:t xml:space="preserve">hours </w:t>
      </w:r>
      <w:r w:rsidR="007D7E75">
        <w:rPr>
          <w:rFonts w:cs="Arial"/>
          <w:bCs/>
          <w:szCs w:val="22"/>
          <w:lang w:eastAsia="en-US"/>
        </w:rPr>
        <w:t xml:space="preserve">and XARELTO 2.5 mg at least 12 hours </w:t>
      </w:r>
      <w:r w:rsidRPr="00F2131B">
        <w:rPr>
          <w:rFonts w:cs="Arial"/>
          <w:bCs/>
          <w:szCs w:val="22"/>
          <w:lang w:eastAsia="en-US"/>
        </w:rPr>
        <w:t>before the intervention if possible.</w:t>
      </w:r>
      <w:r w:rsidR="00307980">
        <w:rPr>
          <w:rFonts w:cs="Arial"/>
          <w:bCs/>
          <w:szCs w:val="22"/>
          <w:lang w:eastAsia="en-US"/>
        </w:rPr>
        <w:t xml:space="preserve"> </w:t>
      </w:r>
      <w:r w:rsidRPr="00F2131B">
        <w:rPr>
          <w:rFonts w:cs="Arial"/>
          <w:bCs/>
          <w:szCs w:val="22"/>
          <w:lang w:eastAsia="en-US"/>
        </w:rPr>
        <w:t xml:space="preserve"> Individual patient factors will need to be taken into account in the decision as to how long </w:t>
      </w:r>
      <w:r w:rsidR="005F6704">
        <w:rPr>
          <w:rFonts w:cs="Arial"/>
          <w:bCs/>
          <w:szCs w:val="22"/>
          <w:lang w:eastAsia="en-US"/>
        </w:rPr>
        <w:t>XARELTO</w:t>
      </w:r>
      <w:r w:rsidRPr="00F2131B">
        <w:rPr>
          <w:rFonts w:cs="Arial"/>
          <w:bCs/>
          <w:szCs w:val="22"/>
          <w:lang w:eastAsia="en-US"/>
        </w:rPr>
        <w:t xml:space="preserve"> should be stopped prior to surgery. </w:t>
      </w:r>
      <w:r w:rsidR="00307980">
        <w:rPr>
          <w:rFonts w:cs="Arial"/>
          <w:bCs/>
          <w:szCs w:val="22"/>
          <w:lang w:eastAsia="en-US"/>
        </w:rPr>
        <w:t xml:space="preserve"> </w:t>
      </w:r>
      <w:r w:rsidRPr="00F2131B">
        <w:rPr>
          <w:rFonts w:cs="Arial"/>
          <w:bCs/>
          <w:szCs w:val="22"/>
          <w:lang w:eastAsia="en-US"/>
        </w:rPr>
        <w:t>Consider longer duration of treatment cessation based on benefit/risk with patients at higher risk of bleeding or in cases of major surgery where complete haemostasis may be required.</w:t>
      </w:r>
    </w:p>
    <w:p w14:paraId="1DDFF548" w14:textId="77777777" w:rsidR="00F2131B" w:rsidRPr="00F2131B" w:rsidRDefault="00F2131B" w:rsidP="00D345D9">
      <w:pPr>
        <w:adjustRightInd w:val="0"/>
        <w:spacing w:before="120" w:after="240"/>
        <w:ind w:left="630" w:right="46"/>
        <w:textAlignment w:val="baseline"/>
        <w:rPr>
          <w:rFonts w:cs="Arial"/>
          <w:bCs/>
          <w:szCs w:val="22"/>
          <w:lang w:eastAsia="en-US"/>
        </w:rPr>
      </w:pPr>
      <w:r w:rsidRPr="00F2131B">
        <w:rPr>
          <w:rFonts w:cs="Arial"/>
          <w:bCs/>
          <w:szCs w:val="22"/>
          <w:lang w:eastAsia="en-US"/>
        </w:rPr>
        <w:t>A specific agent to reverse the anti-coagulant effect of rivaroxaban is not yet available.</w:t>
      </w:r>
      <w:r w:rsidR="00307980">
        <w:rPr>
          <w:rFonts w:cs="Arial"/>
          <w:bCs/>
          <w:szCs w:val="22"/>
          <w:lang w:eastAsia="en-US"/>
        </w:rPr>
        <w:t xml:space="preserve"> </w:t>
      </w:r>
      <w:r w:rsidRPr="00F2131B">
        <w:rPr>
          <w:rFonts w:cs="Arial"/>
          <w:bCs/>
          <w:szCs w:val="22"/>
          <w:lang w:eastAsia="en-US"/>
        </w:rPr>
        <w:t xml:space="preserve"> If the procedure cannot be delayed the increased risk of bleeding should be assessed against t</w:t>
      </w:r>
      <w:r w:rsidR="00785E07">
        <w:rPr>
          <w:rFonts w:cs="Arial"/>
          <w:bCs/>
          <w:szCs w:val="22"/>
          <w:lang w:eastAsia="en-US"/>
        </w:rPr>
        <w:t>he urgency of the intervention.</w:t>
      </w:r>
    </w:p>
    <w:p w14:paraId="33D1817B" w14:textId="77777777" w:rsidR="00F2131B" w:rsidRPr="00F2131B" w:rsidRDefault="005F6704" w:rsidP="00D345D9">
      <w:pPr>
        <w:adjustRightInd w:val="0"/>
        <w:spacing w:before="120" w:after="240"/>
        <w:ind w:left="630" w:right="46"/>
        <w:textAlignment w:val="baseline"/>
        <w:rPr>
          <w:rFonts w:cs="Arial"/>
          <w:bCs/>
          <w:szCs w:val="22"/>
          <w:lang w:eastAsia="en-US"/>
        </w:rPr>
      </w:pPr>
      <w:r>
        <w:rPr>
          <w:rFonts w:cs="Arial"/>
          <w:bCs/>
          <w:szCs w:val="22"/>
          <w:lang w:eastAsia="en-US"/>
        </w:rPr>
        <w:t>XARELTO</w:t>
      </w:r>
      <w:r w:rsidR="00F2131B" w:rsidRPr="00F2131B">
        <w:rPr>
          <w:rFonts w:cs="Arial"/>
          <w:bCs/>
          <w:szCs w:val="22"/>
          <w:lang w:eastAsia="en-US"/>
        </w:rPr>
        <w:t xml:space="preserve"> should be restarted as soon as possible after the invasive procedure or surgical intervention, provided the clinical situation allows and adequate haemostasis </w:t>
      </w:r>
      <w:r w:rsidR="00F2131B" w:rsidRPr="00A810D1">
        <w:rPr>
          <w:rFonts w:cs="Arial"/>
          <w:bCs/>
          <w:szCs w:val="22"/>
          <w:lang w:eastAsia="en-US"/>
        </w:rPr>
        <w:t>has been established (see</w:t>
      </w:r>
      <w:r w:rsidR="00C50B2C" w:rsidRPr="00A810D1">
        <w:rPr>
          <w:rFonts w:cs="Arial"/>
          <w:bCs/>
          <w:szCs w:val="22"/>
          <w:lang w:eastAsia="en-US"/>
        </w:rPr>
        <w:t xml:space="preserve"> Section 5.2 </w:t>
      </w:r>
      <w:r w:rsidR="00A810D1" w:rsidRPr="00A810D1">
        <w:rPr>
          <w:szCs w:val="22"/>
        </w:rPr>
        <w:fldChar w:fldCharType="begin"/>
      </w:r>
      <w:r w:rsidR="00A810D1" w:rsidRPr="00A810D1">
        <w:rPr>
          <w:szCs w:val="22"/>
        </w:rPr>
        <w:instrText xml:space="preserve"> REF _Ref522882073 \h  \* MERGEFORMAT </w:instrText>
      </w:r>
      <w:r w:rsidR="00A810D1" w:rsidRPr="00A810D1">
        <w:rPr>
          <w:szCs w:val="22"/>
        </w:rPr>
      </w:r>
      <w:r w:rsidR="00A810D1" w:rsidRPr="00A810D1">
        <w:rPr>
          <w:szCs w:val="22"/>
        </w:rPr>
        <w:fldChar w:fldCharType="separate"/>
      </w:r>
      <w:r w:rsidR="00C51DA4" w:rsidRPr="00C51DA4">
        <w:rPr>
          <w:szCs w:val="22"/>
        </w:rPr>
        <w:t>PHARMACOKINETIC PROPERTIES</w:t>
      </w:r>
      <w:r w:rsidR="00A810D1" w:rsidRPr="00A810D1">
        <w:rPr>
          <w:szCs w:val="22"/>
        </w:rPr>
        <w:fldChar w:fldCharType="end"/>
      </w:r>
      <w:r w:rsidR="00F2131B" w:rsidRPr="00A810D1">
        <w:rPr>
          <w:rFonts w:cs="Arial"/>
          <w:bCs/>
          <w:szCs w:val="22"/>
          <w:lang w:eastAsia="en-US"/>
        </w:rPr>
        <w:t xml:space="preserve"> and</w:t>
      </w:r>
      <w:r w:rsidR="00C50B2C" w:rsidRPr="00A810D1">
        <w:rPr>
          <w:rFonts w:cs="Arial"/>
          <w:bCs/>
          <w:szCs w:val="22"/>
          <w:lang w:eastAsia="en-US"/>
        </w:rPr>
        <w:t xml:space="preserve"> Section 4.4 </w:t>
      </w:r>
      <w:r w:rsidR="00A019A2" w:rsidRPr="00A810D1">
        <w:rPr>
          <w:rFonts w:cs="Arial"/>
          <w:szCs w:val="22"/>
        </w:rPr>
        <w:fldChar w:fldCharType="begin"/>
      </w:r>
      <w:r w:rsidR="00A019A2" w:rsidRPr="00A810D1">
        <w:rPr>
          <w:rFonts w:cs="Arial"/>
          <w:szCs w:val="22"/>
        </w:rPr>
        <w:instrText xml:space="preserve"> REF _Ref522882516 \h  \* MERGEFORMAT </w:instrText>
      </w:r>
      <w:r w:rsidR="00A019A2" w:rsidRPr="00A810D1">
        <w:rPr>
          <w:rFonts w:cs="Arial"/>
          <w:szCs w:val="22"/>
        </w:rPr>
      </w:r>
      <w:r w:rsidR="00A019A2" w:rsidRPr="00A810D1">
        <w:rPr>
          <w:rFonts w:cs="Arial"/>
          <w:szCs w:val="22"/>
        </w:rPr>
        <w:fldChar w:fldCharType="separate"/>
      </w:r>
      <w:r w:rsidR="00C51DA4" w:rsidRPr="00C51DA4">
        <w:rPr>
          <w:rFonts w:cs="Arial"/>
          <w:szCs w:val="22"/>
        </w:rPr>
        <w:t>SPECIAL WARNINGS AND PRECAUTIONS FOR USE</w:t>
      </w:r>
      <w:r w:rsidR="00A019A2" w:rsidRPr="00A810D1">
        <w:rPr>
          <w:rFonts w:cs="Arial"/>
          <w:szCs w:val="22"/>
        </w:rPr>
        <w:fldChar w:fldCharType="end"/>
      </w:r>
      <w:r w:rsidR="00F2131B" w:rsidRPr="00F2131B">
        <w:rPr>
          <w:rFonts w:cs="Arial"/>
          <w:bCs/>
          <w:szCs w:val="22"/>
          <w:lang w:eastAsia="en-US"/>
        </w:rPr>
        <w:t>).</w:t>
      </w:r>
    </w:p>
    <w:p w14:paraId="0761199D" w14:textId="77777777" w:rsidR="00F2131B" w:rsidRPr="00AC51A2" w:rsidRDefault="00F2131B" w:rsidP="00AC51A2">
      <w:pPr>
        <w:pStyle w:val="Heading3"/>
      </w:pPr>
      <w:r w:rsidRPr="00AC51A2">
        <w:t>P</w:t>
      </w:r>
      <w:r w:rsidR="00307980" w:rsidRPr="00AC51A2">
        <w:t>atients with prosthetic valves</w:t>
      </w:r>
    </w:p>
    <w:p w14:paraId="33204BEA" w14:textId="77777777" w:rsidR="00F2131B" w:rsidRPr="00F2131B" w:rsidRDefault="00F2131B" w:rsidP="00D345D9">
      <w:pPr>
        <w:spacing w:before="120" w:after="240"/>
        <w:ind w:left="630" w:right="46"/>
        <w:rPr>
          <w:rFonts w:cs="Arial"/>
          <w:szCs w:val="22"/>
          <w:lang w:eastAsia="en-US"/>
        </w:rPr>
      </w:pPr>
      <w:r w:rsidRPr="00F2131B">
        <w:rPr>
          <w:rFonts w:cs="Arial"/>
          <w:szCs w:val="22"/>
          <w:lang w:eastAsia="en-US"/>
        </w:rPr>
        <w:t xml:space="preserve">Safety and efficacy of </w:t>
      </w:r>
      <w:r w:rsidR="005F6704">
        <w:rPr>
          <w:rFonts w:cs="Arial"/>
          <w:szCs w:val="22"/>
          <w:lang w:eastAsia="en-US"/>
        </w:rPr>
        <w:t>XARELTO</w:t>
      </w:r>
      <w:r w:rsidRPr="00F2131B">
        <w:rPr>
          <w:rFonts w:cs="Arial"/>
          <w:szCs w:val="22"/>
          <w:lang w:eastAsia="en-US"/>
        </w:rPr>
        <w:t xml:space="preserve"> </w:t>
      </w:r>
      <w:r w:rsidR="00FC70E2">
        <w:rPr>
          <w:rFonts w:cs="Arial"/>
          <w:szCs w:val="22"/>
          <w:lang w:eastAsia="en-US"/>
        </w:rPr>
        <w:t>have</w:t>
      </w:r>
      <w:r w:rsidR="00FC70E2" w:rsidRPr="00F2131B">
        <w:rPr>
          <w:rFonts w:cs="Arial"/>
          <w:szCs w:val="22"/>
          <w:lang w:eastAsia="en-US"/>
        </w:rPr>
        <w:t xml:space="preserve"> </w:t>
      </w:r>
      <w:r w:rsidRPr="00F2131B">
        <w:rPr>
          <w:rFonts w:cs="Arial"/>
          <w:szCs w:val="22"/>
          <w:lang w:eastAsia="en-US"/>
        </w:rPr>
        <w:t xml:space="preserve">not been studied in patients with prosthetic heart valves. </w:t>
      </w:r>
      <w:r w:rsidR="00D3465F">
        <w:rPr>
          <w:rFonts w:cs="Arial"/>
          <w:szCs w:val="22"/>
          <w:lang w:eastAsia="en-US"/>
        </w:rPr>
        <w:t xml:space="preserve"> </w:t>
      </w:r>
      <w:r w:rsidRPr="00F2131B">
        <w:rPr>
          <w:rFonts w:cs="Arial"/>
          <w:szCs w:val="22"/>
          <w:lang w:eastAsia="en-US"/>
        </w:rPr>
        <w:t xml:space="preserve">Therefore, there are no data to support that </w:t>
      </w:r>
      <w:r w:rsidR="005F6704">
        <w:rPr>
          <w:rFonts w:cs="Arial"/>
          <w:szCs w:val="22"/>
          <w:lang w:eastAsia="en-US"/>
        </w:rPr>
        <w:t>XARELTO</w:t>
      </w:r>
      <w:r w:rsidRPr="00F2131B">
        <w:rPr>
          <w:rFonts w:cs="Arial"/>
          <w:szCs w:val="22"/>
          <w:lang w:eastAsia="en-US"/>
        </w:rPr>
        <w:t xml:space="preserve"> 20 mg (15 mg in patients with moderate renal impairment) provides adequate anti-coagulation in this patient population.</w:t>
      </w:r>
    </w:p>
    <w:p w14:paraId="790D2C77" w14:textId="77777777" w:rsidR="00F2131B" w:rsidRPr="00AC51A2" w:rsidRDefault="00F2131B" w:rsidP="00AC51A2">
      <w:pPr>
        <w:pStyle w:val="Heading3"/>
      </w:pPr>
      <w:r w:rsidRPr="00AC51A2">
        <w:t>Spinal / epidural anaesthesia or puncture</w:t>
      </w:r>
    </w:p>
    <w:p w14:paraId="096FD6FB" w14:textId="77777777" w:rsidR="00F2131B" w:rsidRPr="00F2131B" w:rsidRDefault="00F2131B" w:rsidP="00D345D9">
      <w:pPr>
        <w:spacing w:before="120" w:after="240"/>
        <w:ind w:left="630" w:right="46"/>
        <w:rPr>
          <w:rFonts w:cs="Arial"/>
          <w:szCs w:val="22"/>
          <w:lang w:eastAsia="en-US"/>
        </w:rPr>
      </w:pPr>
      <w:r w:rsidRPr="00F2131B">
        <w:rPr>
          <w:rFonts w:cs="Arial"/>
          <w:szCs w:val="22"/>
          <w:lang w:eastAsia="en-US"/>
        </w:rPr>
        <w:t>Whe</w:t>
      </w:r>
      <w:r w:rsidR="00D3465F">
        <w:rPr>
          <w:rFonts w:cs="Arial"/>
          <w:szCs w:val="22"/>
          <w:lang w:eastAsia="en-US"/>
        </w:rPr>
        <w:t xml:space="preserve">n neuraxial anaesthesia (spinal </w:t>
      </w:r>
      <w:r w:rsidRPr="00F2131B">
        <w:rPr>
          <w:rFonts w:cs="Arial"/>
          <w:szCs w:val="22"/>
          <w:lang w:eastAsia="en-US"/>
        </w:rPr>
        <w:t xml:space="preserve">/ </w:t>
      </w:r>
      <w:r w:rsidR="00D3465F">
        <w:rPr>
          <w:rFonts w:cs="Arial"/>
          <w:szCs w:val="22"/>
          <w:lang w:eastAsia="en-US"/>
        </w:rPr>
        <w:t xml:space="preserve">epidural anaesthesia) or spinal </w:t>
      </w:r>
      <w:r w:rsidRPr="00F2131B">
        <w:rPr>
          <w:rFonts w:cs="Arial"/>
          <w:szCs w:val="22"/>
          <w:lang w:eastAsia="en-US"/>
        </w:rPr>
        <w:t xml:space="preserve">/epidural puncture is performed, patients treated with antithrombotic agents for prevention of thromboembolic complications are at risk of developing an epidural or spinal haematoma which can result in long-term or permanent paralysis. </w:t>
      </w:r>
      <w:r w:rsidR="00D3465F">
        <w:rPr>
          <w:rFonts w:cs="Arial"/>
          <w:szCs w:val="22"/>
          <w:lang w:eastAsia="en-US"/>
        </w:rPr>
        <w:t xml:space="preserve"> </w:t>
      </w:r>
      <w:r w:rsidRPr="00F2131B">
        <w:rPr>
          <w:rFonts w:cs="Arial"/>
          <w:szCs w:val="22"/>
          <w:lang w:eastAsia="en-US"/>
        </w:rPr>
        <w:t xml:space="preserve">The risk of these events may be increased by the use of indwelling epidural catheters or the concomitant use of medicinal products affecting haemostasis. </w:t>
      </w:r>
      <w:r w:rsidR="00D3465F">
        <w:rPr>
          <w:rFonts w:cs="Arial"/>
          <w:szCs w:val="22"/>
          <w:lang w:eastAsia="en-US"/>
        </w:rPr>
        <w:t xml:space="preserve"> </w:t>
      </w:r>
      <w:r w:rsidRPr="00F2131B">
        <w:rPr>
          <w:rFonts w:cs="Arial"/>
          <w:szCs w:val="22"/>
          <w:lang w:eastAsia="en-US"/>
        </w:rPr>
        <w:t>The risk may also be increased by traumatic or repeat</w:t>
      </w:r>
      <w:r w:rsidR="00D3465F">
        <w:rPr>
          <w:rFonts w:cs="Arial"/>
          <w:szCs w:val="22"/>
          <w:lang w:eastAsia="en-US"/>
        </w:rPr>
        <w:t>ed epidural or spinal puncture.</w:t>
      </w:r>
    </w:p>
    <w:p w14:paraId="22971781" w14:textId="77777777" w:rsidR="00F2131B" w:rsidRPr="00F2131B" w:rsidRDefault="00F2131B" w:rsidP="00D345D9">
      <w:pPr>
        <w:spacing w:before="120" w:after="240"/>
        <w:ind w:left="630" w:right="46"/>
        <w:rPr>
          <w:rFonts w:cs="Arial"/>
          <w:szCs w:val="22"/>
          <w:lang w:eastAsia="en-US"/>
        </w:rPr>
      </w:pPr>
      <w:r w:rsidRPr="00F2131B">
        <w:rPr>
          <w:rFonts w:cs="Arial"/>
          <w:szCs w:val="22"/>
          <w:lang w:eastAsia="en-US"/>
        </w:rPr>
        <w:t xml:space="preserve">Patients should be frequently monitored for signs and symptoms of neurological impairment (e.g. numbness or weakness of the legs, bowel or bladder dysfunction). </w:t>
      </w:r>
      <w:r w:rsidR="00D3465F">
        <w:rPr>
          <w:rFonts w:cs="Arial"/>
          <w:szCs w:val="22"/>
          <w:lang w:eastAsia="en-US"/>
        </w:rPr>
        <w:t xml:space="preserve"> </w:t>
      </w:r>
      <w:r w:rsidRPr="00F2131B">
        <w:rPr>
          <w:rFonts w:cs="Arial"/>
          <w:szCs w:val="22"/>
          <w:lang w:eastAsia="en-US"/>
        </w:rPr>
        <w:t xml:space="preserve">If neurological compromise is noted, urgent diagnosis and treatment is necessary. </w:t>
      </w:r>
      <w:r w:rsidR="00D3465F">
        <w:rPr>
          <w:rFonts w:cs="Arial"/>
          <w:szCs w:val="22"/>
          <w:lang w:eastAsia="en-US"/>
        </w:rPr>
        <w:t xml:space="preserve"> </w:t>
      </w:r>
      <w:r w:rsidRPr="00F2131B">
        <w:rPr>
          <w:rFonts w:cs="Arial"/>
          <w:szCs w:val="22"/>
          <w:lang w:eastAsia="en-US"/>
        </w:rPr>
        <w:t>Prior to neuraxial intervention, the physician should consider the potential benefit versus the risk in anticoagulated patients or in patients to be anticoagulated for thromboprophylaxis.</w:t>
      </w:r>
    </w:p>
    <w:p w14:paraId="196D6BCF" w14:textId="77777777" w:rsidR="00F2131B" w:rsidRPr="00A810D1" w:rsidRDefault="00F2131B" w:rsidP="00D345D9">
      <w:pPr>
        <w:spacing w:before="120" w:after="240"/>
        <w:ind w:left="630" w:right="46"/>
        <w:rPr>
          <w:rFonts w:cs="Arial"/>
          <w:szCs w:val="22"/>
          <w:lang w:eastAsia="en-US"/>
        </w:rPr>
      </w:pPr>
      <w:r w:rsidRPr="00F2131B">
        <w:rPr>
          <w:rFonts w:cs="Arial"/>
          <w:szCs w:val="22"/>
          <w:lang w:eastAsia="en-US"/>
        </w:rPr>
        <w:t xml:space="preserve">To reduce the potential risk of bleeding associated with the concurrent use of rivaroxaban and neuraxial (epidural/spinal) anaesthesia or spinal puncture, consider the pharmacokinetic profile of rivaroxaban. </w:t>
      </w:r>
      <w:r w:rsidR="00D3465F">
        <w:rPr>
          <w:rFonts w:cs="Arial"/>
          <w:szCs w:val="22"/>
          <w:lang w:eastAsia="en-US"/>
        </w:rPr>
        <w:t xml:space="preserve"> </w:t>
      </w:r>
      <w:r w:rsidRPr="00F2131B">
        <w:rPr>
          <w:rFonts w:cs="Arial"/>
          <w:szCs w:val="22"/>
          <w:lang w:eastAsia="en-US"/>
        </w:rPr>
        <w:t xml:space="preserve">Placement or removal of an epidural catheter or lumbar puncture is best performed when the anticoagulant effect of rivaroxaban is estimated to be low. </w:t>
      </w:r>
      <w:r w:rsidR="00D3465F">
        <w:rPr>
          <w:rFonts w:cs="Arial"/>
          <w:szCs w:val="22"/>
          <w:lang w:eastAsia="en-US"/>
        </w:rPr>
        <w:t xml:space="preserve"> </w:t>
      </w:r>
      <w:r w:rsidRPr="00F2131B">
        <w:rPr>
          <w:rFonts w:cs="Arial"/>
          <w:szCs w:val="22"/>
          <w:lang w:eastAsia="en-US"/>
        </w:rPr>
        <w:t>The exact timing to reach a sufficiently low anticoagulant effect in each patient is not known.</w:t>
      </w:r>
      <w:r w:rsidR="00D3465F">
        <w:rPr>
          <w:rFonts w:cs="Arial"/>
          <w:szCs w:val="22"/>
          <w:lang w:eastAsia="en-US"/>
        </w:rPr>
        <w:t xml:space="preserve"> </w:t>
      </w:r>
      <w:r w:rsidRPr="00F2131B">
        <w:rPr>
          <w:rFonts w:cs="Arial"/>
          <w:szCs w:val="22"/>
          <w:lang w:eastAsia="en-US"/>
        </w:rPr>
        <w:t xml:space="preserve"> An epidural catheter is not to be removed before at least 2 half-lives have elapsed (i.e. at least 18 hours in young patients and 26 hours in elderly patients) after the last administration of </w:t>
      </w:r>
      <w:r w:rsidR="005F6704">
        <w:rPr>
          <w:rFonts w:cs="Arial"/>
          <w:szCs w:val="22"/>
          <w:lang w:eastAsia="en-US"/>
        </w:rPr>
        <w:t>XARELTO</w:t>
      </w:r>
      <w:r w:rsidRPr="00F2131B">
        <w:rPr>
          <w:rFonts w:cs="Arial"/>
          <w:szCs w:val="22"/>
          <w:lang w:eastAsia="en-US"/>
        </w:rPr>
        <w:t xml:space="preserve"> </w:t>
      </w:r>
      <w:r w:rsidRPr="00A810D1">
        <w:rPr>
          <w:rFonts w:cs="Arial"/>
          <w:szCs w:val="22"/>
          <w:lang w:eastAsia="en-US"/>
        </w:rPr>
        <w:t>(see</w:t>
      </w:r>
      <w:r w:rsidR="00C50B2C" w:rsidRPr="00A810D1">
        <w:rPr>
          <w:rFonts w:cs="Arial"/>
          <w:szCs w:val="22"/>
          <w:lang w:eastAsia="en-US"/>
        </w:rPr>
        <w:t xml:space="preserve"> Section 5.2</w:t>
      </w:r>
      <w:r w:rsidRPr="00A810D1">
        <w:rPr>
          <w:rFonts w:cs="Arial"/>
          <w:szCs w:val="22"/>
          <w:lang w:eastAsia="en-US"/>
        </w:rPr>
        <w:t xml:space="preserve"> </w:t>
      </w:r>
      <w:r w:rsidR="00A810D1" w:rsidRPr="00A810D1">
        <w:rPr>
          <w:szCs w:val="22"/>
        </w:rPr>
        <w:fldChar w:fldCharType="begin"/>
      </w:r>
      <w:r w:rsidR="00A810D1" w:rsidRPr="00A810D1">
        <w:rPr>
          <w:szCs w:val="22"/>
        </w:rPr>
        <w:instrText xml:space="preserve"> REF _Ref522882073 \h  \* MERGEFORMAT </w:instrText>
      </w:r>
      <w:r w:rsidR="00A810D1" w:rsidRPr="00A810D1">
        <w:rPr>
          <w:szCs w:val="22"/>
        </w:rPr>
      </w:r>
      <w:r w:rsidR="00A810D1" w:rsidRPr="00A810D1">
        <w:rPr>
          <w:szCs w:val="22"/>
        </w:rPr>
        <w:fldChar w:fldCharType="separate"/>
      </w:r>
      <w:r w:rsidR="00C51DA4" w:rsidRPr="00C51DA4">
        <w:rPr>
          <w:szCs w:val="22"/>
        </w:rPr>
        <w:t>PHARMACOKINETIC PROPERTIES</w:t>
      </w:r>
      <w:r w:rsidR="00A810D1" w:rsidRPr="00A810D1">
        <w:rPr>
          <w:szCs w:val="22"/>
        </w:rPr>
        <w:fldChar w:fldCharType="end"/>
      </w:r>
      <w:r w:rsidR="0008091C" w:rsidRPr="00A810D1">
        <w:rPr>
          <w:rFonts w:cs="Arial"/>
          <w:szCs w:val="22"/>
          <w:lang w:eastAsia="en-US"/>
        </w:rPr>
        <w:t>).</w:t>
      </w:r>
    </w:p>
    <w:p w14:paraId="15CDA3AB" w14:textId="77777777" w:rsidR="00F2131B" w:rsidRPr="00F2131B" w:rsidRDefault="00F2131B" w:rsidP="00D345D9">
      <w:pPr>
        <w:spacing w:before="120" w:after="240"/>
        <w:ind w:left="630" w:right="46"/>
        <w:rPr>
          <w:rFonts w:cs="Arial"/>
          <w:szCs w:val="22"/>
          <w:lang w:eastAsia="en-US"/>
        </w:rPr>
      </w:pPr>
      <w:r w:rsidRPr="00F2131B">
        <w:rPr>
          <w:rFonts w:cs="Arial"/>
          <w:szCs w:val="22"/>
          <w:lang w:eastAsia="en-US"/>
        </w:rPr>
        <w:lastRenderedPageBreak/>
        <w:t xml:space="preserve">The next </w:t>
      </w:r>
      <w:r w:rsidR="005F6704">
        <w:rPr>
          <w:rFonts w:cs="Arial"/>
          <w:szCs w:val="22"/>
          <w:lang w:eastAsia="en-US"/>
        </w:rPr>
        <w:t>XARELTO</w:t>
      </w:r>
      <w:r w:rsidRPr="00F2131B">
        <w:rPr>
          <w:rFonts w:cs="Arial"/>
          <w:szCs w:val="22"/>
          <w:lang w:eastAsia="en-US"/>
        </w:rPr>
        <w:t xml:space="preserve"> dose is to be administered not earlier than 6 hours after the removal of the catheter.</w:t>
      </w:r>
    </w:p>
    <w:p w14:paraId="0D0C84D5" w14:textId="77777777" w:rsidR="00F2131B" w:rsidRDefault="00F2131B" w:rsidP="00D345D9">
      <w:pPr>
        <w:spacing w:before="120" w:after="240"/>
        <w:ind w:left="630" w:right="46"/>
        <w:rPr>
          <w:rFonts w:cs="Arial"/>
          <w:szCs w:val="22"/>
          <w:lang w:eastAsia="en-US"/>
        </w:rPr>
      </w:pPr>
      <w:r w:rsidRPr="00F2131B">
        <w:rPr>
          <w:rFonts w:cs="Arial"/>
          <w:szCs w:val="22"/>
          <w:lang w:eastAsia="en-US"/>
        </w:rPr>
        <w:t xml:space="preserve">If traumatic puncture occurs the administration of </w:t>
      </w:r>
      <w:r w:rsidR="005F6704">
        <w:rPr>
          <w:rFonts w:cs="Arial"/>
          <w:szCs w:val="22"/>
          <w:lang w:eastAsia="en-US"/>
        </w:rPr>
        <w:t>XARELTO</w:t>
      </w:r>
      <w:r w:rsidRPr="00F2131B">
        <w:rPr>
          <w:rFonts w:cs="Arial"/>
          <w:szCs w:val="22"/>
          <w:lang w:eastAsia="en-US"/>
        </w:rPr>
        <w:t xml:space="preserve"> is to be delayed for 24 hours.</w:t>
      </w:r>
    </w:p>
    <w:p w14:paraId="34508B37" w14:textId="77777777" w:rsidR="007D7E75" w:rsidRDefault="007D7E75" w:rsidP="00D345D9">
      <w:pPr>
        <w:spacing w:before="120" w:after="240"/>
        <w:ind w:left="630" w:right="46"/>
        <w:rPr>
          <w:rFonts w:cs="Arial"/>
          <w:szCs w:val="22"/>
          <w:lang w:eastAsia="en-US"/>
        </w:rPr>
      </w:pPr>
      <w:r>
        <w:rPr>
          <w:rFonts w:cs="Arial"/>
          <w:szCs w:val="22"/>
          <w:lang w:eastAsia="en-US"/>
        </w:rPr>
        <w:t>There is no clinical experience with the use of 2.5 mg twice daily with aspirin in these situations.</w:t>
      </w:r>
    </w:p>
    <w:p w14:paraId="10F97A6D" w14:textId="77777777" w:rsidR="00F2131B" w:rsidRPr="00F2131B" w:rsidRDefault="00F2131B" w:rsidP="008A2D92">
      <w:pPr>
        <w:spacing w:before="120" w:after="240"/>
        <w:ind w:left="630" w:right="46"/>
        <w:rPr>
          <w:rFonts w:cs="Arial"/>
          <w:szCs w:val="22"/>
          <w:lang w:eastAsia="en-US"/>
        </w:rPr>
      </w:pPr>
      <w:r w:rsidRPr="00F2131B">
        <w:rPr>
          <w:rFonts w:cs="Arial"/>
          <w:szCs w:val="22"/>
          <w:lang w:eastAsia="en-US"/>
        </w:rPr>
        <w:t>There is no clinical experience with the use of 15 mg and 20 mg rivaroxaban, therefore the use of indwelling epidural catheters is not recommended in these situations.</w:t>
      </w:r>
    </w:p>
    <w:p w14:paraId="4DDA58FA" w14:textId="77777777" w:rsidR="00F2131B" w:rsidRPr="00AC51A2" w:rsidRDefault="00F2131B" w:rsidP="00AC51A2">
      <w:pPr>
        <w:pStyle w:val="Heading3"/>
      </w:pPr>
      <w:r w:rsidRPr="00AC51A2">
        <w:t>Hip fracture surgery</w:t>
      </w:r>
    </w:p>
    <w:p w14:paraId="4C943D32" w14:textId="77777777" w:rsidR="00F2131B" w:rsidRPr="00F2131B" w:rsidRDefault="005F6704" w:rsidP="008A2D92">
      <w:pPr>
        <w:spacing w:before="120" w:after="240"/>
        <w:ind w:left="630" w:right="46"/>
        <w:rPr>
          <w:rFonts w:cs="Arial"/>
          <w:szCs w:val="22"/>
          <w:lang w:eastAsia="en-US"/>
        </w:rPr>
      </w:pPr>
      <w:r>
        <w:rPr>
          <w:rFonts w:cs="Arial"/>
          <w:szCs w:val="22"/>
          <w:lang w:eastAsia="en-US"/>
        </w:rPr>
        <w:t>XARELTO</w:t>
      </w:r>
      <w:r w:rsidR="00F2131B" w:rsidRPr="00F2131B">
        <w:rPr>
          <w:rFonts w:cs="Arial"/>
          <w:szCs w:val="22"/>
          <w:lang w:eastAsia="en-US"/>
        </w:rPr>
        <w:t xml:space="preserve"> has not been studied in interventional clinical trials in patients undergoing hip fracture surgery to evaluate efficacy and safety in these patients. </w:t>
      </w:r>
    </w:p>
    <w:p w14:paraId="6DFC80DA" w14:textId="77777777" w:rsidR="00F2131B" w:rsidRPr="00AC51A2" w:rsidRDefault="00F2131B" w:rsidP="00AC51A2">
      <w:pPr>
        <w:pStyle w:val="Heading3"/>
      </w:pPr>
      <w:r w:rsidRPr="00AC51A2">
        <w:t>DVT and PE treatment: Haemodynamically unstable PE patients or patients who require thrombolysis or pulmonary embolectomy</w:t>
      </w:r>
    </w:p>
    <w:p w14:paraId="0AE8154C" w14:textId="77777777" w:rsidR="00F2131B" w:rsidRPr="00F2131B" w:rsidRDefault="005F6704" w:rsidP="008A2D92">
      <w:pPr>
        <w:ind w:left="630"/>
        <w:rPr>
          <w:rFonts w:cs="Arial"/>
          <w:szCs w:val="24"/>
          <w:lang w:eastAsia="en-US"/>
        </w:rPr>
      </w:pPr>
      <w:r>
        <w:rPr>
          <w:rFonts w:cs="Arial"/>
          <w:szCs w:val="24"/>
          <w:lang w:eastAsia="en-US"/>
        </w:rPr>
        <w:t>XARELTO</w:t>
      </w:r>
      <w:r w:rsidR="00F2131B" w:rsidRPr="00F2131B">
        <w:rPr>
          <w:rFonts w:cs="Arial"/>
          <w:szCs w:val="24"/>
          <w:lang w:eastAsia="en-US"/>
        </w:rPr>
        <w:t xml:space="preserve"> is not recommended as an alternative to unfractionated heparin in patients with pulmonary embolism who are haemodynamically unstable or may receive thrombolysis or pulmonary embolectomy since the safety and efficacy of </w:t>
      </w:r>
      <w:r>
        <w:rPr>
          <w:rFonts w:cs="Arial"/>
          <w:szCs w:val="24"/>
          <w:lang w:eastAsia="en-US"/>
        </w:rPr>
        <w:t>XARELTO</w:t>
      </w:r>
      <w:r w:rsidR="00F2131B" w:rsidRPr="00F2131B">
        <w:rPr>
          <w:rFonts w:cs="Arial"/>
          <w:szCs w:val="24"/>
          <w:lang w:eastAsia="en-US"/>
        </w:rPr>
        <w:t xml:space="preserve"> have not been established in these clinical situations.</w:t>
      </w:r>
    </w:p>
    <w:p w14:paraId="0485BFE2" w14:textId="77777777" w:rsidR="00C76EBE" w:rsidRPr="00AC51A2" w:rsidRDefault="00C76EBE" w:rsidP="00AC51A2">
      <w:pPr>
        <w:pStyle w:val="Heading3"/>
      </w:pPr>
      <w:bookmarkStart w:id="11" w:name="_Ref522881962"/>
      <w:r w:rsidRPr="00AC51A2">
        <w:t xml:space="preserve">Information about excipients </w:t>
      </w:r>
      <w:bookmarkEnd w:id="11"/>
    </w:p>
    <w:p w14:paraId="1A1EE837" w14:textId="77777777" w:rsidR="00F2131B" w:rsidRPr="00AC51A2" w:rsidRDefault="00F2131B" w:rsidP="00AC51A2">
      <w:pPr>
        <w:pStyle w:val="Heading4"/>
      </w:pPr>
      <w:bookmarkStart w:id="12" w:name="_Ref522884452"/>
      <w:r w:rsidRPr="00AC51A2">
        <w:t>Lactose intolerance</w:t>
      </w:r>
      <w:bookmarkEnd w:id="12"/>
    </w:p>
    <w:p w14:paraId="2EBF58C7" w14:textId="77777777" w:rsidR="00F2131B" w:rsidRPr="00F2131B" w:rsidRDefault="005F6704" w:rsidP="008A2D92">
      <w:pPr>
        <w:spacing w:before="120" w:after="240"/>
        <w:ind w:left="630" w:right="46"/>
        <w:rPr>
          <w:rFonts w:cs="Arial"/>
          <w:szCs w:val="22"/>
          <w:lang w:eastAsia="en-US"/>
        </w:rPr>
      </w:pPr>
      <w:r>
        <w:rPr>
          <w:rFonts w:cs="Arial"/>
          <w:szCs w:val="22"/>
          <w:lang w:eastAsia="en-US"/>
        </w:rPr>
        <w:t>XARELTO</w:t>
      </w:r>
      <w:r w:rsidR="00F2131B" w:rsidRPr="00F2131B">
        <w:rPr>
          <w:rFonts w:cs="Arial"/>
          <w:szCs w:val="22"/>
          <w:lang w:eastAsia="en-US"/>
        </w:rPr>
        <w:t xml:space="preserve"> contains lactose. </w:t>
      </w:r>
      <w:r w:rsidR="00D3465F">
        <w:rPr>
          <w:rFonts w:cs="Arial"/>
          <w:szCs w:val="22"/>
          <w:lang w:eastAsia="en-US"/>
        </w:rPr>
        <w:t xml:space="preserve"> </w:t>
      </w:r>
      <w:r w:rsidR="00F2131B" w:rsidRPr="00F2131B">
        <w:rPr>
          <w:rFonts w:cs="Arial"/>
          <w:szCs w:val="22"/>
          <w:lang w:eastAsia="en-US"/>
        </w:rPr>
        <w:t xml:space="preserve">Patients with rare hereditary problems of lactose or galactose intolerance, the Lapp lactase deficiency or glucose-galactose malabsorption should not take </w:t>
      </w:r>
      <w:r>
        <w:rPr>
          <w:rFonts w:cs="Arial"/>
          <w:szCs w:val="22"/>
          <w:lang w:eastAsia="en-US"/>
        </w:rPr>
        <w:t>XARELTO</w:t>
      </w:r>
      <w:r w:rsidR="00F2131B" w:rsidRPr="00F2131B">
        <w:rPr>
          <w:rFonts w:cs="Arial"/>
          <w:szCs w:val="22"/>
          <w:lang w:eastAsia="en-US"/>
        </w:rPr>
        <w:t>.</w:t>
      </w:r>
    </w:p>
    <w:p w14:paraId="7DBD991D" w14:textId="77777777" w:rsidR="00F2131B" w:rsidRPr="00AC51A2" w:rsidRDefault="00F2131B" w:rsidP="00AC51A2">
      <w:pPr>
        <w:pStyle w:val="Heading3"/>
      </w:pPr>
      <w:r w:rsidRPr="00AC51A2">
        <w:t>Information for the Patient</w:t>
      </w:r>
    </w:p>
    <w:p w14:paraId="6DA7F108" w14:textId="77777777" w:rsidR="0064304F" w:rsidRDefault="00F2131B" w:rsidP="00AC51A2">
      <w:pPr>
        <w:spacing w:before="120" w:after="240"/>
        <w:ind w:left="630" w:right="46"/>
        <w:rPr>
          <w:rFonts w:cs="Arial"/>
          <w:szCs w:val="24"/>
          <w:lang w:eastAsia="en-US"/>
        </w:rPr>
      </w:pPr>
      <w:r w:rsidRPr="00F2131B">
        <w:rPr>
          <w:rFonts w:cs="Arial"/>
          <w:szCs w:val="24"/>
          <w:lang w:eastAsia="en-US"/>
        </w:rPr>
        <w:t>A Consumer Medicine Information leaflet is available.</w:t>
      </w:r>
      <w:r w:rsidR="00D3465F">
        <w:rPr>
          <w:rFonts w:cs="Arial"/>
          <w:szCs w:val="24"/>
          <w:lang w:eastAsia="en-US"/>
        </w:rPr>
        <w:t xml:space="preserve"> </w:t>
      </w:r>
      <w:r w:rsidRPr="00F2131B">
        <w:rPr>
          <w:rFonts w:cs="Arial"/>
          <w:szCs w:val="24"/>
          <w:lang w:eastAsia="en-US"/>
        </w:rPr>
        <w:t xml:space="preserve"> Please advise your patient to read this information carefully.</w:t>
      </w:r>
    </w:p>
    <w:p w14:paraId="5ED6B7B7" w14:textId="77777777" w:rsidR="00F2131B" w:rsidRPr="00F2131B" w:rsidRDefault="00F2131B" w:rsidP="00DA6D02">
      <w:pPr>
        <w:ind w:right="43"/>
        <w:rPr>
          <w:rFonts w:cs="Arial"/>
          <w:szCs w:val="24"/>
          <w:lang w:eastAsia="en-US"/>
        </w:rPr>
      </w:pPr>
    </w:p>
    <w:p w14:paraId="6E52D267" w14:textId="77777777" w:rsidR="000548F3" w:rsidRPr="00AC51A2" w:rsidRDefault="00792CC7" w:rsidP="00AC51A2">
      <w:pPr>
        <w:pStyle w:val="Heading2"/>
      </w:pPr>
      <w:bookmarkStart w:id="13" w:name="_Ref522882463"/>
      <w:r w:rsidRPr="00AC51A2">
        <w:t>INTERACTIONS WITH OTHER MEDICINES AND OTHER FORMS OF INTERACTIONS</w:t>
      </w:r>
      <w:bookmarkEnd w:id="13"/>
    </w:p>
    <w:p w14:paraId="7A5E9AF9" w14:textId="77777777" w:rsidR="004C2A46" w:rsidRPr="002742BE" w:rsidRDefault="004C2A46" w:rsidP="00AC51A2">
      <w:pPr>
        <w:pStyle w:val="Heading3"/>
      </w:pPr>
      <w:bookmarkStart w:id="14" w:name="_Toc180211514"/>
      <w:r w:rsidRPr="002742BE">
        <w:t>Pharmacokinetic interactions</w:t>
      </w:r>
      <w:bookmarkEnd w:id="14"/>
    </w:p>
    <w:p w14:paraId="1A6C2F7B" w14:textId="77777777" w:rsidR="004C2A46" w:rsidRPr="004C2A46" w:rsidRDefault="004C2A46" w:rsidP="008A2D92">
      <w:pPr>
        <w:pStyle w:val="BayerBodytext"/>
        <w:widowControl/>
        <w:spacing w:before="120" w:after="120" w:line="240" w:lineRule="auto"/>
        <w:ind w:left="630" w:right="46"/>
        <w:jc w:val="left"/>
        <w:rPr>
          <w:rFonts w:ascii="Arial" w:hAnsi="Arial" w:cs="Arial"/>
          <w:snapToGrid w:val="0"/>
          <w:sz w:val="22"/>
          <w:szCs w:val="22"/>
          <w:lang w:val="en-AU"/>
        </w:rPr>
      </w:pPr>
      <w:r w:rsidRPr="004C2A46">
        <w:rPr>
          <w:rFonts w:ascii="Arial" w:hAnsi="Arial" w:cs="Arial"/>
          <w:snapToGrid w:val="0"/>
          <w:sz w:val="22"/>
          <w:szCs w:val="22"/>
          <w:lang w:val="en-AU"/>
        </w:rPr>
        <w:t>Rivaroxaban is cleared main</w:t>
      </w:r>
      <w:r>
        <w:rPr>
          <w:rFonts w:ascii="Arial" w:hAnsi="Arial" w:cs="Arial"/>
          <w:snapToGrid w:val="0"/>
          <w:sz w:val="22"/>
          <w:szCs w:val="22"/>
          <w:lang w:val="en-AU"/>
        </w:rPr>
        <w:t xml:space="preserve">ly via cytochrome P450-mediated (CYP 3A4, CYP </w:t>
      </w:r>
      <w:r w:rsidRPr="004C2A46">
        <w:rPr>
          <w:rFonts w:ascii="Arial" w:hAnsi="Arial" w:cs="Arial"/>
          <w:snapToGrid w:val="0"/>
          <w:sz w:val="22"/>
          <w:szCs w:val="22"/>
          <w:lang w:val="en-AU"/>
        </w:rPr>
        <w:t>2J2) hepatic metabolism and renal excretion of the unchan</w:t>
      </w:r>
      <w:r>
        <w:rPr>
          <w:rFonts w:ascii="Arial" w:hAnsi="Arial" w:cs="Arial"/>
          <w:snapToGrid w:val="0"/>
          <w:sz w:val="22"/>
          <w:szCs w:val="22"/>
          <w:lang w:val="en-AU"/>
        </w:rPr>
        <w:t>ged drug, involving the P-glycopro</w:t>
      </w:r>
      <w:r w:rsidRPr="004C2A46">
        <w:rPr>
          <w:rFonts w:ascii="Arial" w:hAnsi="Arial" w:cs="Arial"/>
          <w:snapToGrid w:val="0"/>
          <w:sz w:val="22"/>
          <w:szCs w:val="22"/>
          <w:lang w:val="en-AU"/>
        </w:rPr>
        <w:t>tein (P</w:t>
      </w:r>
      <w:r w:rsidRPr="004C2A46">
        <w:rPr>
          <w:rFonts w:ascii="Arial" w:hAnsi="Arial" w:cs="Arial"/>
          <w:snapToGrid w:val="0"/>
          <w:sz w:val="22"/>
          <w:szCs w:val="22"/>
          <w:lang w:val="en-AU"/>
        </w:rPr>
        <w:noBreakHyphen/>
        <w:t>gp)</w:t>
      </w:r>
      <w:r>
        <w:rPr>
          <w:rFonts w:ascii="Arial" w:hAnsi="Arial" w:cs="Arial"/>
          <w:snapToGrid w:val="0"/>
          <w:sz w:val="22"/>
          <w:szCs w:val="22"/>
          <w:lang w:val="en-AU"/>
        </w:rPr>
        <w:t xml:space="preserve"> </w:t>
      </w:r>
      <w:r w:rsidRPr="004C2A46">
        <w:rPr>
          <w:rFonts w:ascii="Arial" w:hAnsi="Arial" w:cs="Arial"/>
          <w:snapToGrid w:val="0"/>
          <w:sz w:val="22"/>
          <w:szCs w:val="22"/>
          <w:lang w:val="en-AU"/>
        </w:rPr>
        <w:t>/ breast cancer resistance protein (Bcrp) transporter systems.</w:t>
      </w:r>
    </w:p>
    <w:p w14:paraId="43664040" w14:textId="77777777" w:rsidR="004C2A46" w:rsidRPr="007D79EA" w:rsidRDefault="004C2A46" w:rsidP="00AC51A2">
      <w:pPr>
        <w:pStyle w:val="Heading4"/>
        <w:rPr>
          <w:b/>
          <w:snapToGrid w:val="0"/>
        </w:rPr>
      </w:pPr>
      <w:r w:rsidRPr="007D79EA">
        <w:rPr>
          <w:b/>
          <w:snapToGrid w:val="0"/>
        </w:rPr>
        <w:t>CYP Inhibition</w:t>
      </w:r>
    </w:p>
    <w:p w14:paraId="44BBA46D" w14:textId="77777777" w:rsidR="004C2A46" w:rsidRPr="004C2A46" w:rsidRDefault="004C2A46" w:rsidP="008A2D92">
      <w:pPr>
        <w:pStyle w:val="BayerBodytext"/>
        <w:widowControl/>
        <w:spacing w:before="120" w:after="120" w:line="240" w:lineRule="auto"/>
        <w:ind w:left="0" w:right="46" w:firstLine="630"/>
        <w:jc w:val="left"/>
        <w:rPr>
          <w:rFonts w:ascii="Arial" w:hAnsi="Arial" w:cs="Arial"/>
          <w:snapToGrid w:val="0"/>
          <w:sz w:val="22"/>
          <w:szCs w:val="22"/>
          <w:lang w:val="en-AU"/>
        </w:rPr>
      </w:pPr>
      <w:r w:rsidRPr="004C2A46">
        <w:rPr>
          <w:rFonts w:ascii="Arial" w:hAnsi="Arial" w:cs="Arial"/>
          <w:snapToGrid w:val="0"/>
          <w:sz w:val="22"/>
          <w:szCs w:val="22"/>
          <w:lang w:val="en-AU"/>
        </w:rPr>
        <w:t>Rivaroxaban does not inhibit CYP 3A4 or any other major CYP isoforms.</w:t>
      </w:r>
    </w:p>
    <w:p w14:paraId="6D9FC6E2" w14:textId="77777777" w:rsidR="004C2A46" w:rsidRPr="007D79EA" w:rsidRDefault="004C2A46" w:rsidP="00AC51A2">
      <w:pPr>
        <w:pStyle w:val="Heading4"/>
        <w:rPr>
          <w:b/>
          <w:snapToGrid w:val="0"/>
        </w:rPr>
      </w:pPr>
      <w:r w:rsidRPr="007D79EA">
        <w:rPr>
          <w:b/>
          <w:snapToGrid w:val="0"/>
        </w:rPr>
        <w:t>CYP Induction</w:t>
      </w:r>
    </w:p>
    <w:p w14:paraId="259DAB6A" w14:textId="77777777" w:rsidR="00100151" w:rsidRPr="00371E70" w:rsidRDefault="004C2A46" w:rsidP="008A2D92">
      <w:pPr>
        <w:pStyle w:val="BayerBodytext"/>
        <w:widowControl/>
        <w:spacing w:before="120" w:after="120" w:line="240" w:lineRule="auto"/>
        <w:ind w:left="0" w:right="46" w:firstLine="630"/>
        <w:jc w:val="left"/>
        <w:rPr>
          <w:rFonts w:ascii="Arial" w:hAnsi="Arial" w:cs="Arial"/>
          <w:snapToGrid w:val="0"/>
          <w:sz w:val="22"/>
          <w:szCs w:val="22"/>
          <w:lang w:val="en-AU"/>
        </w:rPr>
      </w:pPr>
      <w:r w:rsidRPr="004C2A46">
        <w:rPr>
          <w:rFonts w:ascii="Arial" w:hAnsi="Arial" w:cs="Arial"/>
          <w:snapToGrid w:val="0"/>
          <w:sz w:val="22"/>
          <w:szCs w:val="22"/>
          <w:lang w:val="en-AU"/>
        </w:rPr>
        <w:t>Rivaroxaban does not induce CYP 3A4 or any other major CYP isoforms.</w:t>
      </w:r>
    </w:p>
    <w:p w14:paraId="2CC5B6C9" w14:textId="77777777" w:rsidR="004C2A46" w:rsidRPr="007D79EA" w:rsidRDefault="004C2A46" w:rsidP="00AC51A2">
      <w:pPr>
        <w:pStyle w:val="Heading4"/>
        <w:rPr>
          <w:b/>
          <w:snapToGrid w:val="0"/>
        </w:rPr>
      </w:pPr>
      <w:r w:rsidRPr="007D79EA">
        <w:rPr>
          <w:b/>
          <w:snapToGrid w:val="0"/>
        </w:rPr>
        <w:lastRenderedPageBreak/>
        <w:t>Effects on rivaroxaban</w:t>
      </w:r>
    </w:p>
    <w:p w14:paraId="3801F61E" w14:textId="77777777" w:rsidR="004C2A46" w:rsidRPr="007D79EA" w:rsidRDefault="004C2A46" w:rsidP="0043158B">
      <w:pPr>
        <w:pStyle w:val="BayerBodytext"/>
        <w:widowControl/>
        <w:numPr>
          <w:ilvl w:val="0"/>
          <w:numId w:val="11"/>
        </w:numPr>
        <w:spacing w:before="120" w:after="120" w:line="240" w:lineRule="auto"/>
        <w:ind w:right="46"/>
        <w:jc w:val="left"/>
        <w:rPr>
          <w:rFonts w:ascii="Arial" w:hAnsi="Arial" w:cs="Arial"/>
          <w:b/>
          <w:snapToGrid w:val="0"/>
          <w:sz w:val="22"/>
          <w:szCs w:val="22"/>
          <w:u w:val="single"/>
          <w:lang w:val="en-AU"/>
        </w:rPr>
      </w:pPr>
      <w:r w:rsidRPr="007D79EA">
        <w:rPr>
          <w:rFonts w:ascii="Arial" w:hAnsi="Arial" w:cs="Arial"/>
          <w:b/>
          <w:snapToGrid w:val="0"/>
          <w:sz w:val="22"/>
          <w:szCs w:val="22"/>
          <w:u w:val="single"/>
          <w:lang w:val="en-AU"/>
        </w:rPr>
        <w:t>Strong inhibitors of both CYP3A4 and P-gp</w:t>
      </w:r>
    </w:p>
    <w:p w14:paraId="3E4BA01C" w14:textId="77777777" w:rsidR="004C2A46" w:rsidRPr="004C2A46" w:rsidRDefault="004C2A46" w:rsidP="008A2D92">
      <w:pPr>
        <w:pStyle w:val="BayerBodytext"/>
        <w:widowControl/>
        <w:spacing w:before="120" w:after="120" w:line="240" w:lineRule="auto"/>
        <w:ind w:left="990" w:right="46"/>
        <w:jc w:val="left"/>
        <w:rPr>
          <w:rFonts w:ascii="Arial" w:hAnsi="Arial" w:cs="Arial"/>
          <w:snapToGrid w:val="0"/>
          <w:sz w:val="22"/>
          <w:szCs w:val="22"/>
          <w:lang w:val="en-AU"/>
        </w:rPr>
      </w:pPr>
      <w:r w:rsidRPr="004C2A46">
        <w:rPr>
          <w:rFonts w:ascii="Arial" w:hAnsi="Arial" w:cs="Arial"/>
          <w:snapToGrid w:val="0"/>
          <w:sz w:val="22"/>
          <w:szCs w:val="22"/>
          <w:lang w:val="en-AU"/>
        </w:rPr>
        <w:t xml:space="preserve">The concomitant use of </w:t>
      </w:r>
      <w:r w:rsidR="005F6704">
        <w:rPr>
          <w:rFonts w:ascii="Arial" w:hAnsi="Arial" w:cs="Arial"/>
          <w:snapToGrid w:val="0"/>
          <w:sz w:val="22"/>
          <w:szCs w:val="22"/>
          <w:lang w:val="en-AU"/>
        </w:rPr>
        <w:t>XARELTO</w:t>
      </w:r>
      <w:r w:rsidRPr="004C2A46">
        <w:rPr>
          <w:rFonts w:ascii="Arial" w:hAnsi="Arial" w:cs="Arial"/>
          <w:snapToGrid w:val="0"/>
          <w:sz w:val="22"/>
          <w:szCs w:val="22"/>
          <w:lang w:val="en-AU"/>
        </w:rPr>
        <w:t xml:space="preserve"> with substances that strongly inhibit both CYP</w:t>
      </w:r>
      <w:r w:rsidR="00307980">
        <w:rPr>
          <w:rFonts w:ascii="Arial" w:hAnsi="Arial" w:cs="Arial"/>
          <w:snapToGrid w:val="0"/>
          <w:sz w:val="22"/>
          <w:szCs w:val="22"/>
          <w:lang w:val="en-AU"/>
        </w:rPr>
        <w:t xml:space="preserve"> </w:t>
      </w:r>
      <w:r w:rsidRPr="004C2A46">
        <w:rPr>
          <w:rFonts w:ascii="Arial" w:hAnsi="Arial" w:cs="Arial"/>
          <w:snapToGrid w:val="0"/>
          <w:sz w:val="22"/>
          <w:szCs w:val="22"/>
          <w:lang w:val="en-AU"/>
        </w:rPr>
        <w:t>3A4 and P</w:t>
      </w:r>
      <w:r w:rsidRPr="004C2A46">
        <w:rPr>
          <w:rFonts w:ascii="Arial" w:hAnsi="Arial" w:cs="Arial"/>
          <w:snapToGrid w:val="0"/>
          <w:sz w:val="22"/>
          <w:szCs w:val="22"/>
          <w:lang w:val="en-AU"/>
        </w:rPr>
        <w:noBreakHyphen/>
        <w:t>gp may lead to reduced hepatic and renal clearance and thus significantly increased systemic exposure of rivaroxaban.</w:t>
      </w:r>
    </w:p>
    <w:p w14:paraId="764A2963" w14:textId="77777777" w:rsidR="004C2A46" w:rsidRPr="004C2A46" w:rsidRDefault="004C2A46" w:rsidP="008A2D92">
      <w:pPr>
        <w:pStyle w:val="BayerBodytext"/>
        <w:widowControl/>
        <w:spacing w:before="120" w:after="120" w:line="240" w:lineRule="auto"/>
        <w:ind w:left="990" w:right="46"/>
        <w:jc w:val="left"/>
        <w:rPr>
          <w:rFonts w:ascii="Arial" w:hAnsi="Arial" w:cs="Arial"/>
          <w:snapToGrid w:val="0"/>
          <w:sz w:val="22"/>
          <w:szCs w:val="22"/>
          <w:lang w:val="en-AU"/>
        </w:rPr>
      </w:pPr>
      <w:r w:rsidRPr="002742BE">
        <w:rPr>
          <w:rFonts w:ascii="Arial" w:hAnsi="Arial" w:cs="Arial"/>
          <w:snapToGrid w:val="0"/>
          <w:sz w:val="22"/>
          <w:szCs w:val="22"/>
          <w:lang w:val="en-AU"/>
        </w:rPr>
        <w:t xml:space="preserve">Co-administration of </w:t>
      </w:r>
      <w:r w:rsidR="005F6704">
        <w:rPr>
          <w:rFonts w:ascii="Arial" w:hAnsi="Arial" w:cs="Arial"/>
          <w:snapToGrid w:val="0"/>
          <w:sz w:val="22"/>
          <w:szCs w:val="22"/>
          <w:lang w:val="en-AU"/>
        </w:rPr>
        <w:t>XARELTO</w:t>
      </w:r>
      <w:r w:rsidRPr="002742BE">
        <w:rPr>
          <w:rFonts w:ascii="Arial" w:hAnsi="Arial" w:cs="Arial"/>
          <w:snapToGrid w:val="0"/>
          <w:sz w:val="22"/>
          <w:szCs w:val="22"/>
          <w:lang w:val="en-AU"/>
        </w:rPr>
        <w:t xml:space="preserve"> with the azol</w:t>
      </w:r>
      <w:r w:rsidR="00D3465F">
        <w:rPr>
          <w:rFonts w:ascii="Arial" w:hAnsi="Arial" w:cs="Arial"/>
          <w:snapToGrid w:val="0"/>
          <w:sz w:val="22"/>
          <w:szCs w:val="22"/>
          <w:lang w:val="en-AU"/>
        </w:rPr>
        <w:t xml:space="preserve">e-antimycotic ketoconazole (400 mg od), a strong CYP 3A4 </w:t>
      </w:r>
      <w:r w:rsidRPr="004C2A46">
        <w:rPr>
          <w:rFonts w:ascii="Arial" w:hAnsi="Arial" w:cs="Arial"/>
          <w:snapToGrid w:val="0"/>
          <w:sz w:val="22"/>
          <w:szCs w:val="22"/>
          <w:lang w:val="en-AU"/>
        </w:rPr>
        <w:t>and P</w:t>
      </w:r>
      <w:r w:rsidRPr="004C2A46">
        <w:rPr>
          <w:rFonts w:ascii="Arial" w:hAnsi="Arial" w:cs="Arial"/>
          <w:snapToGrid w:val="0"/>
          <w:sz w:val="22"/>
          <w:szCs w:val="22"/>
          <w:lang w:val="en-AU"/>
        </w:rPr>
        <w:noBreakHyphen/>
        <w:t>gp</w:t>
      </w:r>
      <w:r w:rsidRPr="002742BE">
        <w:rPr>
          <w:rFonts w:ascii="Arial" w:hAnsi="Arial" w:cs="Arial"/>
          <w:snapToGrid w:val="0"/>
          <w:sz w:val="22"/>
          <w:szCs w:val="22"/>
          <w:lang w:val="en-AU"/>
        </w:rPr>
        <w:t xml:space="preserve"> inhibitor,</w:t>
      </w:r>
      <w:r w:rsidRPr="004C2A46">
        <w:rPr>
          <w:rFonts w:ascii="Arial" w:hAnsi="Arial" w:cs="Arial"/>
          <w:snapToGrid w:val="0"/>
          <w:sz w:val="22"/>
          <w:szCs w:val="22"/>
          <w:lang w:val="en-AU"/>
        </w:rPr>
        <w:t xml:space="preserve"> </w:t>
      </w:r>
      <w:r w:rsidRPr="002742BE">
        <w:rPr>
          <w:rFonts w:ascii="Arial" w:hAnsi="Arial" w:cs="Arial"/>
          <w:snapToGrid w:val="0"/>
          <w:sz w:val="22"/>
          <w:szCs w:val="22"/>
          <w:lang w:val="en-AU"/>
        </w:rPr>
        <w:t>led to a 2.6</w:t>
      </w:r>
      <w:r w:rsidRPr="002742BE">
        <w:rPr>
          <w:rFonts w:ascii="Arial" w:hAnsi="Arial" w:cs="Arial"/>
          <w:snapToGrid w:val="0"/>
          <w:sz w:val="22"/>
          <w:szCs w:val="22"/>
          <w:lang w:val="en-AU"/>
        </w:rPr>
        <w:noBreakHyphen/>
        <w:t>fold increase in mean rivaroxaban ste</w:t>
      </w:r>
      <w:r w:rsidR="00D3465F">
        <w:rPr>
          <w:rFonts w:ascii="Arial" w:hAnsi="Arial" w:cs="Arial"/>
          <w:snapToGrid w:val="0"/>
          <w:sz w:val="22"/>
          <w:szCs w:val="22"/>
          <w:lang w:val="en-AU"/>
        </w:rPr>
        <w:t>ady state AUC and a 1.7</w:t>
      </w:r>
      <w:r w:rsidR="00D3465F">
        <w:rPr>
          <w:rFonts w:ascii="Arial" w:hAnsi="Arial" w:cs="Arial"/>
          <w:snapToGrid w:val="0"/>
          <w:sz w:val="22"/>
          <w:szCs w:val="22"/>
          <w:lang w:val="en-AU"/>
        </w:rPr>
        <w:noBreakHyphen/>
        <w:t>fold in</w:t>
      </w:r>
      <w:r w:rsidRPr="002742BE">
        <w:rPr>
          <w:rFonts w:ascii="Arial" w:hAnsi="Arial" w:cs="Arial"/>
          <w:snapToGrid w:val="0"/>
          <w:sz w:val="22"/>
          <w:szCs w:val="22"/>
          <w:lang w:val="en-AU"/>
        </w:rPr>
        <w:t>crease in mean rivaroxaban C</w:t>
      </w:r>
      <w:r w:rsidRPr="004C2A46">
        <w:rPr>
          <w:rFonts w:ascii="Arial" w:hAnsi="Arial" w:cs="Arial"/>
          <w:snapToGrid w:val="0"/>
          <w:sz w:val="22"/>
          <w:szCs w:val="22"/>
          <w:lang w:val="en-AU"/>
        </w:rPr>
        <w:t>max</w:t>
      </w:r>
      <w:r w:rsidRPr="002742BE">
        <w:rPr>
          <w:rFonts w:ascii="Arial" w:hAnsi="Arial" w:cs="Arial"/>
          <w:snapToGrid w:val="0"/>
          <w:sz w:val="22"/>
          <w:szCs w:val="22"/>
          <w:lang w:val="en-AU"/>
        </w:rPr>
        <w:t>, with significant increas</w:t>
      </w:r>
      <w:r w:rsidR="00D3465F">
        <w:rPr>
          <w:rFonts w:ascii="Arial" w:hAnsi="Arial" w:cs="Arial"/>
          <w:snapToGrid w:val="0"/>
          <w:sz w:val="22"/>
          <w:szCs w:val="22"/>
          <w:lang w:val="en-AU"/>
        </w:rPr>
        <w:t>es in its pharmacody</w:t>
      </w:r>
      <w:r w:rsidRPr="002742BE">
        <w:rPr>
          <w:rFonts w:ascii="Arial" w:hAnsi="Arial" w:cs="Arial"/>
          <w:snapToGrid w:val="0"/>
          <w:sz w:val="22"/>
          <w:szCs w:val="22"/>
          <w:lang w:val="en-AU"/>
        </w:rPr>
        <w:t>namic effects</w:t>
      </w:r>
      <w:r w:rsidRPr="004C2A46">
        <w:rPr>
          <w:rFonts w:ascii="Arial" w:hAnsi="Arial" w:cs="Arial"/>
          <w:snapToGrid w:val="0"/>
          <w:sz w:val="22"/>
          <w:szCs w:val="22"/>
          <w:lang w:val="en-AU"/>
        </w:rPr>
        <w:t>.</w:t>
      </w:r>
    </w:p>
    <w:p w14:paraId="1622A54A" w14:textId="77777777" w:rsidR="004C2A46" w:rsidRPr="004C2A46" w:rsidRDefault="004C2A46" w:rsidP="00FB0882">
      <w:pPr>
        <w:pStyle w:val="BayerBodytext"/>
        <w:widowControl/>
        <w:spacing w:before="120" w:after="120" w:line="240" w:lineRule="auto"/>
        <w:ind w:left="994" w:right="43"/>
        <w:jc w:val="left"/>
        <w:rPr>
          <w:rFonts w:ascii="Arial" w:hAnsi="Arial" w:cs="Arial"/>
          <w:snapToGrid w:val="0"/>
          <w:sz w:val="22"/>
          <w:szCs w:val="22"/>
          <w:lang w:val="en-AU"/>
        </w:rPr>
      </w:pPr>
      <w:r w:rsidRPr="004C2A46">
        <w:rPr>
          <w:rFonts w:ascii="Arial" w:hAnsi="Arial" w:cs="Arial"/>
          <w:snapToGrid w:val="0"/>
          <w:sz w:val="22"/>
          <w:szCs w:val="22"/>
          <w:lang w:val="en-AU"/>
        </w:rPr>
        <w:t xml:space="preserve">Co-administration of </w:t>
      </w:r>
      <w:r w:rsidR="005F6704">
        <w:rPr>
          <w:rFonts w:ascii="Arial" w:hAnsi="Arial" w:cs="Arial"/>
          <w:snapToGrid w:val="0"/>
          <w:sz w:val="22"/>
          <w:szCs w:val="22"/>
          <w:lang w:val="en-AU"/>
        </w:rPr>
        <w:t>XARELTO</w:t>
      </w:r>
      <w:r w:rsidRPr="004C2A46">
        <w:rPr>
          <w:rFonts w:ascii="Arial" w:hAnsi="Arial" w:cs="Arial"/>
          <w:snapToGrid w:val="0"/>
          <w:sz w:val="22"/>
          <w:szCs w:val="22"/>
          <w:lang w:val="en-AU"/>
        </w:rPr>
        <w:t xml:space="preserve"> with the HIV prote</w:t>
      </w:r>
      <w:r w:rsidR="00D3465F">
        <w:rPr>
          <w:rFonts w:ascii="Arial" w:hAnsi="Arial" w:cs="Arial"/>
          <w:snapToGrid w:val="0"/>
          <w:sz w:val="22"/>
          <w:szCs w:val="22"/>
          <w:lang w:val="en-AU"/>
        </w:rPr>
        <w:t xml:space="preserve">ase inhibitor ritonavir (600 mg </w:t>
      </w:r>
      <w:r w:rsidRPr="004C2A46">
        <w:rPr>
          <w:rFonts w:ascii="Arial" w:hAnsi="Arial" w:cs="Arial"/>
          <w:snapToGrid w:val="0"/>
          <w:sz w:val="22"/>
          <w:szCs w:val="22"/>
          <w:lang w:val="en-AU"/>
        </w:rPr>
        <w:t xml:space="preserve">bid), a </w:t>
      </w:r>
      <w:r w:rsidRPr="002742BE">
        <w:rPr>
          <w:rFonts w:ascii="Arial" w:hAnsi="Arial" w:cs="Arial"/>
          <w:snapToGrid w:val="0"/>
          <w:sz w:val="22"/>
          <w:szCs w:val="22"/>
          <w:lang w:val="en-AU"/>
        </w:rPr>
        <w:t xml:space="preserve">strong </w:t>
      </w:r>
      <w:r w:rsidR="00D3465F">
        <w:rPr>
          <w:rFonts w:ascii="Arial" w:hAnsi="Arial" w:cs="Arial"/>
          <w:snapToGrid w:val="0"/>
          <w:sz w:val="22"/>
          <w:szCs w:val="22"/>
          <w:lang w:val="en-AU"/>
        </w:rPr>
        <w:t xml:space="preserve">CYP 3A4 </w:t>
      </w:r>
      <w:r w:rsidRPr="004C2A46">
        <w:rPr>
          <w:rFonts w:ascii="Arial" w:hAnsi="Arial" w:cs="Arial"/>
          <w:snapToGrid w:val="0"/>
          <w:sz w:val="22"/>
          <w:szCs w:val="22"/>
          <w:lang w:val="en-AU"/>
        </w:rPr>
        <w:t>and P</w:t>
      </w:r>
      <w:r w:rsidRPr="004C2A46">
        <w:rPr>
          <w:rFonts w:ascii="Arial" w:hAnsi="Arial" w:cs="Arial"/>
          <w:snapToGrid w:val="0"/>
          <w:sz w:val="22"/>
          <w:szCs w:val="22"/>
          <w:lang w:val="en-AU"/>
        </w:rPr>
        <w:noBreakHyphen/>
        <w:t>gp inhibitor, led to a 2.5</w:t>
      </w:r>
      <w:r w:rsidRPr="004C2A46">
        <w:rPr>
          <w:rFonts w:ascii="Arial" w:hAnsi="Arial" w:cs="Arial"/>
          <w:snapToGrid w:val="0"/>
          <w:sz w:val="22"/>
          <w:szCs w:val="22"/>
          <w:lang w:val="en-AU"/>
        </w:rPr>
        <w:noBreakHyphen/>
        <w:t>fold increase in mean ri</w:t>
      </w:r>
      <w:r w:rsidR="00D3465F">
        <w:rPr>
          <w:rFonts w:ascii="Arial" w:hAnsi="Arial" w:cs="Arial"/>
          <w:snapToGrid w:val="0"/>
          <w:sz w:val="22"/>
          <w:szCs w:val="22"/>
          <w:lang w:val="en-AU"/>
        </w:rPr>
        <w:t>varoxaban AUC and a 1.6</w:t>
      </w:r>
      <w:r w:rsidR="00D3465F">
        <w:rPr>
          <w:rFonts w:ascii="Arial" w:hAnsi="Arial" w:cs="Arial"/>
          <w:snapToGrid w:val="0"/>
          <w:sz w:val="22"/>
          <w:szCs w:val="22"/>
          <w:lang w:val="en-AU"/>
        </w:rPr>
        <w:noBreakHyphen/>
        <w:t>fold increase in mean riva</w:t>
      </w:r>
      <w:r w:rsidRPr="004C2A46">
        <w:rPr>
          <w:rFonts w:ascii="Arial" w:hAnsi="Arial" w:cs="Arial"/>
          <w:snapToGrid w:val="0"/>
          <w:sz w:val="22"/>
          <w:szCs w:val="22"/>
          <w:lang w:val="en-AU"/>
        </w:rPr>
        <w:t>roxaban Cmax</w:t>
      </w:r>
      <w:r w:rsidRPr="002742BE">
        <w:rPr>
          <w:rFonts w:ascii="Arial" w:hAnsi="Arial" w:cs="Arial"/>
          <w:snapToGrid w:val="0"/>
          <w:sz w:val="22"/>
          <w:szCs w:val="22"/>
          <w:lang w:val="en-AU"/>
        </w:rPr>
        <w:t>, with sign</w:t>
      </w:r>
      <w:r w:rsidR="00D3465F">
        <w:rPr>
          <w:rFonts w:ascii="Arial" w:hAnsi="Arial" w:cs="Arial"/>
          <w:snapToGrid w:val="0"/>
          <w:sz w:val="22"/>
          <w:szCs w:val="22"/>
          <w:lang w:val="en-AU"/>
        </w:rPr>
        <w:t>ificant increases in its pharma</w:t>
      </w:r>
      <w:r w:rsidRPr="002742BE">
        <w:rPr>
          <w:rFonts w:ascii="Arial" w:hAnsi="Arial" w:cs="Arial"/>
          <w:snapToGrid w:val="0"/>
          <w:sz w:val="22"/>
          <w:szCs w:val="22"/>
          <w:lang w:val="en-AU"/>
        </w:rPr>
        <w:t>codynamic effects</w:t>
      </w:r>
      <w:r w:rsidRPr="004C2A46">
        <w:rPr>
          <w:rFonts w:ascii="Arial" w:hAnsi="Arial" w:cs="Arial"/>
          <w:snapToGrid w:val="0"/>
          <w:sz w:val="22"/>
          <w:szCs w:val="22"/>
          <w:lang w:val="en-AU"/>
        </w:rPr>
        <w:t>.</w:t>
      </w:r>
    </w:p>
    <w:p w14:paraId="0F0F5870" w14:textId="762D2D93" w:rsidR="00B30379" w:rsidRPr="008A6250" w:rsidRDefault="004C2A46" w:rsidP="008A6250">
      <w:pPr>
        <w:pStyle w:val="BayerBodytext"/>
        <w:spacing w:before="120" w:after="120" w:line="240" w:lineRule="auto"/>
        <w:ind w:left="994" w:right="43"/>
        <w:rPr>
          <w:rFonts w:ascii="Arial" w:hAnsi="Arial" w:cs="Arial"/>
          <w:snapToGrid w:val="0"/>
          <w:sz w:val="22"/>
          <w:szCs w:val="22"/>
          <w:u w:val="single"/>
          <w:lang w:val="en-AU"/>
        </w:rPr>
      </w:pPr>
      <w:r w:rsidRPr="004C2A46">
        <w:rPr>
          <w:rFonts w:ascii="Arial" w:hAnsi="Arial" w:cs="Arial"/>
          <w:snapToGrid w:val="0"/>
          <w:sz w:val="22"/>
          <w:szCs w:val="22"/>
          <w:lang w:val="en-AU"/>
        </w:rPr>
        <w:t xml:space="preserve">Therefore </w:t>
      </w:r>
      <w:r w:rsidR="005F6704">
        <w:rPr>
          <w:rFonts w:ascii="Arial" w:hAnsi="Arial" w:cs="Arial"/>
          <w:snapToGrid w:val="0"/>
          <w:sz w:val="22"/>
          <w:szCs w:val="22"/>
          <w:lang w:val="en-AU"/>
        </w:rPr>
        <w:t>XARELTO</w:t>
      </w:r>
      <w:r w:rsidRPr="004C2A46">
        <w:rPr>
          <w:rFonts w:ascii="Arial" w:hAnsi="Arial" w:cs="Arial"/>
          <w:snapToGrid w:val="0"/>
          <w:sz w:val="22"/>
          <w:szCs w:val="22"/>
          <w:lang w:val="en-AU"/>
        </w:rPr>
        <w:t xml:space="preserve"> is contraindicated in patients recei</w:t>
      </w:r>
      <w:r w:rsidR="00D3465F">
        <w:rPr>
          <w:rFonts w:ascii="Arial" w:hAnsi="Arial" w:cs="Arial"/>
          <w:snapToGrid w:val="0"/>
          <w:sz w:val="22"/>
          <w:szCs w:val="22"/>
          <w:lang w:val="en-AU"/>
        </w:rPr>
        <w:t xml:space="preserve">ving concomitant systemic </w:t>
      </w:r>
      <w:r w:rsidR="00D3465F" w:rsidRPr="00A810D1">
        <w:rPr>
          <w:rFonts w:ascii="Arial" w:hAnsi="Arial" w:cs="Arial"/>
          <w:snapToGrid w:val="0"/>
          <w:sz w:val="22"/>
          <w:szCs w:val="22"/>
          <w:lang w:val="en-AU"/>
        </w:rPr>
        <w:t>treat</w:t>
      </w:r>
      <w:r w:rsidRPr="00A810D1">
        <w:rPr>
          <w:rFonts w:ascii="Arial" w:hAnsi="Arial" w:cs="Arial"/>
          <w:snapToGrid w:val="0"/>
          <w:sz w:val="22"/>
          <w:szCs w:val="22"/>
          <w:lang w:val="en-AU"/>
        </w:rPr>
        <w:t xml:space="preserve">ment with azole-antimycotics or HIV-protease inhibitors (see </w:t>
      </w:r>
      <w:r w:rsidR="00FB0882" w:rsidRPr="00A810D1">
        <w:rPr>
          <w:rFonts w:ascii="Arial" w:hAnsi="Arial" w:cs="Arial"/>
          <w:snapToGrid w:val="0"/>
          <w:sz w:val="22"/>
          <w:szCs w:val="22"/>
          <w:lang w:val="en-AU"/>
        </w:rPr>
        <w:t xml:space="preserve">Section 4.3 </w:t>
      </w:r>
      <w:r w:rsidR="00A810D1" w:rsidRPr="00A019A2">
        <w:rPr>
          <w:rFonts w:cs="Arial"/>
          <w:noProof/>
          <w:szCs w:val="22"/>
        </w:rPr>
        <w:fldChar w:fldCharType="begin"/>
      </w:r>
      <w:r w:rsidR="00A810D1" w:rsidRPr="00A019A2">
        <w:rPr>
          <w:rFonts w:ascii="Arial" w:hAnsi="Arial" w:cs="Arial"/>
          <w:noProof/>
          <w:sz w:val="22"/>
          <w:szCs w:val="22"/>
        </w:rPr>
        <w:instrText xml:space="preserve"> REF _Ref522882247 \h  \* MERGEFORMAT </w:instrText>
      </w:r>
      <w:r w:rsidR="00A810D1" w:rsidRPr="00A019A2">
        <w:rPr>
          <w:rFonts w:cs="Arial"/>
          <w:noProof/>
          <w:szCs w:val="22"/>
        </w:rPr>
      </w:r>
      <w:r w:rsidR="00A810D1" w:rsidRPr="00A019A2">
        <w:rPr>
          <w:rFonts w:cs="Arial"/>
          <w:noProof/>
          <w:szCs w:val="22"/>
        </w:rPr>
        <w:fldChar w:fldCharType="separate"/>
      </w:r>
      <w:r w:rsidR="00C51DA4" w:rsidRPr="00C51DA4">
        <w:rPr>
          <w:rFonts w:ascii="Arial" w:hAnsi="Arial" w:cs="Arial"/>
          <w:sz w:val="22"/>
          <w:szCs w:val="22"/>
        </w:rPr>
        <w:t>CONTRAINDICATIONS</w:t>
      </w:r>
      <w:r w:rsidR="00A810D1" w:rsidRPr="00A019A2">
        <w:rPr>
          <w:rFonts w:cs="Arial"/>
          <w:noProof/>
          <w:szCs w:val="22"/>
        </w:rPr>
        <w:fldChar w:fldCharType="end"/>
      </w:r>
      <w:r w:rsidRPr="00A019A2">
        <w:rPr>
          <w:rFonts w:ascii="Arial" w:hAnsi="Arial" w:cs="Arial"/>
          <w:snapToGrid w:val="0"/>
          <w:sz w:val="22"/>
          <w:szCs w:val="22"/>
          <w:lang w:val="en-AU"/>
        </w:rPr>
        <w:t xml:space="preserve">). </w:t>
      </w:r>
      <w:r w:rsidR="00D3465F" w:rsidRPr="00A019A2">
        <w:rPr>
          <w:rFonts w:ascii="Arial" w:hAnsi="Arial" w:cs="Arial"/>
          <w:snapToGrid w:val="0"/>
          <w:sz w:val="22"/>
          <w:szCs w:val="22"/>
          <w:lang w:val="en-AU"/>
        </w:rPr>
        <w:t xml:space="preserve"> </w:t>
      </w:r>
      <w:r w:rsidRPr="00A019A2">
        <w:rPr>
          <w:rFonts w:ascii="Arial" w:hAnsi="Arial" w:cs="Arial"/>
          <w:snapToGrid w:val="0"/>
          <w:sz w:val="22"/>
          <w:szCs w:val="22"/>
          <w:lang w:val="en-AU"/>
        </w:rPr>
        <w:t>However, fluconazole (400 mg once daily) considered a less potent CYP3A4 and P-gp inhibitor</w:t>
      </w:r>
      <w:r w:rsidRPr="004C2A46">
        <w:rPr>
          <w:rFonts w:ascii="Arial" w:hAnsi="Arial" w:cs="Arial"/>
          <w:snapToGrid w:val="0"/>
          <w:sz w:val="22"/>
          <w:szCs w:val="22"/>
          <w:lang w:val="en-AU"/>
        </w:rPr>
        <w:t xml:space="preserve"> led to an increase in rivaroxaban AUC and Cmax within the magnitude of normal variability (see</w:t>
      </w:r>
      <w:r w:rsidR="00C50B2C">
        <w:rPr>
          <w:rFonts w:ascii="Arial" w:hAnsi="Arial" w:cs="Arial"/>
          <w:snapToGrid w:val="0"/>
          <w:sz w:val="22"/>
          <w:szCs w:val="22"/>
          <w:lang w:val="en-AU"/>
        </w:rPr>
        <w:t xml:space="preserve"> </w:t>
      </w:r>
      <w:r w:rsidR="00C50B2C" w:rsidRPr="00A810D1">
        <w:rPr>
          <w:rFonts w:ascii="Arial" w:hAnsi="Arial" w:cs="Arial"/>
          <w:snapToGrid w:val="0"/>
          <w:sz w:val="22"/>
          <w:szCs w:val="22"/>
          <w:lang w:val="en-AU"/>
        </w:rPr>
        <w:t>Section 4.4</w:t>
      </w:r>
      <w:r w:rsidRPr="00A810D1">
        <w:rPr>
          <w:rFonts w:ascii="Arial" w:hAnsi="Arial" w:cs="Arial"/>
          <w:snapToGrid w:val="0"/>
          <w:sz w:val="22"/>
          <w:szCs w:val="22"/>
          <w:lang w:val="en-AU"/>
        </w:rPr>
        <w:t xml:space="preserve"> </w:t>
      </w:r>
      <w:r w:rsidR="00A810D1" w:rsidRPr="00A810D1">
        <w:rPr>
          <w:rFonts w:cs="Arial"/>
          <w:szCs w:val="22"/>
        </w:rPr>
        <w:fldChar w:fldCharType="begin"/>
      </w:r>
      <w:r w:rsidR="00A810D1" w:rsidRPr="00A810D1">
        <w:rPr>
          <w:rFonts w:ascii="Arial" w:hAnsi="Arial" w:cs="Arial"/>
          <w:sz w:val="22"/>
          <w:szCs w:val="22"/>
          <w:lang w:val="en-AU"/>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ascii="Arial" w:hAnsi="Arial" w:cs="Arial"/>
          <w:sz w:val="22"/>
          <w:szCs w:val="22"/>
        </w:rPr>
        <w:t>SPECIAL WARNINGS AND PRECAUTIONS FOR USE</w:t>
      </w:r>
      <w:r w:rsidR="00A810D1" w:rsidRPr="00A810D1">
        <w:rPr>
          <w:rFonts w:cs="Arial"/>
          <w:szCs w:val="22"/>
        </w:rPr>
        <w:fldChar w:fldCharType="end"/>
      </w:r>
      <w:r w:rsidR="00A810D1" w:rsidRPr="00A810D1">
        <w:rPr>
          <w:rFonts w:ascii="Arial" w:hAnsi="Arial" w:cs="Arial"/>
          <w:sz w:val="22"/>
          <w:szCs w:val="22"/>
          <w:lang w:val="en-AU"/>
        </w:rPr>
        <w:t xml:space="preserve"> </w:t>
      </w:r>
      <w:r w:rsidRPr="00A810D1">
        <w:rPr>
          <w:rFonts w:ascii="Arial" w:hAnsi="Arial" w:cs="Arial"/>
          <w:snapToGrid w:val="0"/>
          <w:sz w:val="22"/>
          <w:szCs w:val="22"/>
          <w:lang w:val="en-AU"/>
        </w:rPr>
        <w:t>and</w:t>
      </w:r>
      <w:r w:rsidR="00FB0882" w:rsidRPr="00A810D1">
        <w:rPr>
          <w:rFonts w:ascii="Arial" w:hAnsi="Arial" w:cs="Arial"/>
          <w:snapToGrid w:val="0"/>
          <w:sz w:val="22"/>
          <w:szCs w:val="22"/>
          <w:lang w:val="en-AU"/>
        </w:rPr>
        <w:t xml:space="preserve"> </w:t>
      </w:r>
      <w:r w:rsidR="00543868" w:rsidRPr="00A810D1">
        <w:rPr>
          <w:rFonts w:cs="Arial"/>
          <w:snapToGrid w:val="0"/>
          <w:szCs w:val="22"/>
        </w:rPr>
        <w:fldChar w:fldCharType="begin"/>
      </w:r>
      <w:r w:rsidR="00543868" w:rsidRPr="00A810D1">
        <w:rPr>
          <w:rFonts w:ascii="Arial" w:hAnsi="Arial" w:cs="Arial"/>
          <w:snapToGrid w:val="0"/>
          <w:sz w:val="22"/>
          <w:szCs w:val="22"/>
          <w:lang w:val="en-AU"/>
        </w:rPr>
        <w:instrText xml:space="preserve"> REF _Ref505603746 \h  \* MERGEFORMAT </w:instrText>
      </w:r>
      <w:r w:rsidR="00543868" w:rsidRPr="00A810D1">
        <w:rPr>
          <w:rFonts w:cs="Arial"/>
          <w:snapToGrid w:val="0"/>
          <w:szCs w:val="22"/>
        </w:rPr>
      </w:r>
      <w:r w:rsidR="00543868" w:rsidRPr="00A810D1">
        <w:rPr>
          <w:rFonts w:cs="Arial"/>
          <w:snapToGrid w:val="0"/>
          <w:szCs w:val="22"/>
        </w:rPr>
        <w:fldChar w:fldCharType="separate"/>
      </w:r>
      <w:r w:rsidR="00C51DA4" w:rsidRPr="00C51DA4">
        <w:rPr>
          <w:rFonts w:ascii="Arial" w:hAnsi="Arial" w:cs="Arial"/>
          <w:sz w:val="22"/>
          <w:szCs w:val="22"/>
        </w:rPr>
        <w:t xml:space="preserve">Table </w:t>
      </w:r>
      <w:r w:rsidR="00C51DA4" w:rsidRPr="00C51DA4">
        <w:rPr>
          <w:rFonts w:ascii="Arial" w:hAnsi="Arial" w:cs="Arial"/>
          <w:noProof/>
          <w:sz w:val="22"/>
          <w:szCs w:val="22"/>
        </w:rPr>
        <w:t>2</w:t>
      </w:r>
      <w:r w:rsidR="00543868" w:rsidRPr="00A810D1">
        <w:rPr>
          <w:rFonts w:cs="Arial"/>
          <w:snapToGrid w:val="0"/>
          <w:szCs w:val="22"/>
        </w:rPr>
        <w:fldChar w:fldCharType="end"/>
      </w:r>
      <w:r w:rsidRPr="00A810D1">
        <w:rPr>
          <w:rFonts w:ascii="Arial" w:hAnsi="Arial" w:cs="Arial"/>
          <w:snapToGrid w:val="0"/>
          <w:sz w:val="22"/>
          <w:szCs w:val="22"/>
          <w:lang w:val="en-AU"/>
        </w:rPr>
        <w:t xml:space="preserve">, </w:t>
      </w:r>
      <w:r w:rsidR="003860D3" w:rsidRPr="00A810D1">
        <w:rPr>
          <w:rFonts w:cs="Arial"/>
          <w:snapToGrid w:val="0"/>
          <w:szCs w:val="22"/>
        </w:rPr>
        <w:fldChar w:fldCharType="begin"/>
      </w:r>
      <w:r w:rsidR="003860D3" w:rsidRPr="00A810D1">
        <w:rPr>
          <w:rFonts w:ascii="Arial" w:hAnsi="Arial" w:cs="Arial"/>
          <w:snapToGrid w:val="0"/>
          <w:sz w:val="22"/>
          <w:szCs w:val="22"/>
          <w:lang w:val="en-AU"/>
        </w:rPr>
        <w:instrText xml:space="preserve"> REF _Ref501396299 \h </w:instrText>
      </w:r>
      <w:r w:rsidR="00100151" w:rsidRPr="00A810D1">
        <w:rPr>
          <w:rFonts w:ascii="Arial" w:hAnsi="Arial" w:cs="Arial"/>
          <w:snapToGrid w:val="0"/>
          <w:sz w:val="22"/>
          <w:szCs w:val="22"/>
          <w:lang w:val="en-AU"/>
        </w:rPr>
        <w:instrText xml:space="preserve"> \* MERGEFORMAT </w:instrText>
      </w:r>
      <w:r w:rsidR="003860D3" w:rsidRPr="00A810D1">
        <w:rPr>
          <w:rFonts w:cs="Arial"/>
          <w:snapToGrid w:val="0"/>
          <w:szCs w:val="22"/>
        </w:rPr>
      </w:r>
      <w:r w:rsidR="003860D3" w:rsidRPr="00A810D1">
        <w:rPr>
          <w:rFonts w:cs="Arial"/>
          <w:snapToGrid w:val="0"/>
          <w:szCs w:val="22"/>
        </w:rPr>
        <w:fldChar w:fldCharType="separate"/>
      </w:r>
      <w:r w:rsidR="00C51DA4" w:rsidRPr="00C51DA4">
        <w:rPr>
          <w:rFonts w:ascii="Arial" w:hAnsi="Arial" w:cs="Arial"/>
          <w:sz w:val="22"/>
          <w:szCs w:val="22"/>
        </w:rPr>
        <w:t xml:space="preserve">Table </w:t>
      </w:r>
      <w:r w:rsidR="00C51DA4" w:rsidRPr="00C51DA4">
        <w:rPr>
          <w:rFonts w:ascii="Arial" w:hAnsi="Arial" w:cs="Arial"/>
          <w:noProof/>
          <w:sz w:val="22"/>
          <w:szCs w:val="22"/>
        </w:rPr>
        <w:t>3</w:t>
      </w:r>
      <w:r w:rsidR="003860D3" w:rsidRPr="00A810D1">
        <w:rPr>
          <w:rFonts w:cs="Arial"/>
          <w:snapToGrid w:val="0"/>
          <w:szCs w:val="22"/>
        </w:rPr>
        <w:fldChar w:fldCharType="end"/>
      </w:r>
      <w:r w:rsidRPr="00A810D1">
        <w:rPr>
          <w:rFonts w:ascii="Arial" w:hAnsi="Arial" w:cs="Arial"/>
          <w:snapToGrid w:val="0"/>
          <w:sz w:val="22"/>
          <w:szCs w:val="22"/>
          <w:lang w:val="en-AU"/>
        </w:rPr>
        <w:t>).</w:t>
      </w:r>
    </w:p>
    <w:p w14:paraId="5AC06A1F" w14:textId="77777777" w:rsidR="004C2A46" w:rsidRPr="007D79EA" w:rsidRDefault="004C2A46" w:rsidP="0043158B">
      <w:pPr>
        <w:pStyle w:val="BayerBodytext"/>
        <w:widowControl/>
        <w:numPr>
          <w:ilvl w:val="0"/>
          <w:numId w:val="11"/>
        </w:numPr>
        <w:spacing w:before="120" w:after="120" w:line="240" w:lineRule="auto"/>
        <w:ind w:right="46"/>
        <w:jc w:val="left"/>
        <w:rPr>
          <w:rFonts w:ascii="Arial" w:hAnsi="Arial" w:cs="Arial"/>
          <w:b/>
          <w:snapToGrid w:val="0"/>
          <w:sz w:val="22"/>
          <w:szCs w:val="22"/>
          <w:u w:val="single"/>
          <w:lang w:val="en-AU"/>
        </w:rPr>
      </w:pPr>
      <w:r w:rsidRPr="007D79EA">
        <w:rPr>
          <w:rFonts w:ascii="Arial" w:hAnsi="Arial" w:cs="Arial"/>
          <w:b/>
          <w:snapToGrid w:val="0"/>
          <w:sz w:val="22"/>
          <w:szCs w:val="22"/>
          <w:u w:val="single"/>
          <w:lang w:val="en-AU"/>
        </w:rPr>
        <w:t>Strong inhibitors of CYP3A4 or P-gp</w:t>
      </w:r>
    </w:p>
    <w:p w14:paraId="22B41243" w14:textId="3FF6CC95" w:rsidR="00E1748A" w:rsidRDefault="00E1748A" w:rsidP="008A2D92">
      <w:pPr>
        <w:pStyle w:val="BayerBodytext"/>
        <w:widowControl/>
        <w:spacing w:before="120" w:after="120" w:line="240" w:lineRule="auto"/>
        <w:ind w:left="990" w:right="46"/>
        <w:jc w:val="left"/>
        <w:rPr>
          <w:rFonts w:ascii="Arial" w:hAnsi="Arial" w:cs="Arial"/>
          <w:snapToGrid w:val="0"/>
          <w:sz w:val="22"/>
          <w:szCs w:val="22"/>
          <w:lang w:val="en-AU"/>
        </w:rPr>
      </w:pPr>
      <w:r w:rsidRPr="00E1748A">
        <w:rPr>
          <w:rFonts w:ascii="Arial" w:hAnsi="Arial" w:cs="Arial"/>
          <w:snapToGrid w:val="0"/>
          <w:sz w:val="22"/>
        </w:rPr>
        <w:t>Drugs strongly inhibiting only one of the rivaroxaban elimination pathways, either CYP3A4 or P</w:t>
      </w:r>
      <w:r w:rsidR="008A2D92">
        <w:rPr>
          <w:rFonts w:ascii="Arial" w:hAnsi="Arial" w:cs="Arial"/>
          <w:snapToGrid w:val="0"/>
          <w:sz w:val="22"/>
        </w:rPr>
        <w:t>-</w:t>
      </w:r>
      <w:r w:rsidRPr="00E1748A">
        <w:rPr>
          <w:rFonts w:ascii="Arial" w:hAnsi="Arial" w:cs="Arial"/>
          <w:snapToGrid w:val="0"/>
          <w:sz w:val="22"/>
        </w:rPr>
        <w:t>gp, increase rivaroxaban plasma concentrations to a level which is considered not clinically relevant (</w:t>
      </w:r>
      <w:r w:rsidR="00FA0A16">
        <w:rPr>
          <w:rFonts w:ascii="Arial" w:hAnsi="Arial" w:cs="Arial"/>
          <w:snapToGrid w:val="0"/>
          <w:sz w:val="22"/>
        </w:rPr>
        <w:t xml:space="preserve">see </w:t>
      </w:r>
      <w:r w:rsidRPr="005403C3">
        <w:rPr>
          <w:rFonts w:ascii="Arial" w:hAnsi="Arial" w:cs="Arial"/>
          <w:snapToGrid w:val="0"/>
          <w:sz w:val="22"/>
        </w:rPr>
        <w:fldChar w:fldCharType="begin"/>
      </w:r>
      <w:r w:rsidRPr="005403C3">
        <w:rPr>
          <w:rFonts w:ascii="Arial" w:hAnsi="Arial" w:cs="Arial"/>
          <w:snapToGrid w:val="0"/>
          <w:sz w:val="22"/>
        </w:rPr>
        <w:instrText xml:space="preserve"> REF _Ref501396299 \h  \* MERGEFORMAT </w:instrText>
      </w:r>
      <w:r w:rsidRPr="005403C3">
        <w:rPr>
          <w:rFonts w:ascii="Arial" w:hAnsi="Arial" w:cs="Arial"/>
          <w:snapToGrid w:val="0"/>
          <w:sz w:val="22"/>
        </w:rPr>
      </w:r>
      <w:r w:rsidRPr="005403C3">
        <w:rPr>
          <w:rFonts w:ascii="Arial" w:hAnsi="Arial" w:cs="Arial"/>
          <w:snapToGrid w:val="0"/>
          <w:sz w:val="22"/>
        </w:rPr>
        <w:fldChar w:fldCharType="separate"/>
      </w:r>
      <w:r w:rsidR="00C51DA4" w:rsidRPr="00C51DA4">
        <w:rPr>
          <w:rFonts w:ascii="Arial" w:hAnsi="Arial" w:cs="Arial"/>
          <w:sz w:val="22"/>
        </w:rPr>
        <w:t xml:space="preserve">Table </w:t>
      </w:r>
      <w:r w:rsidR="00C51DA4" w:rsidRPr="00C51DA4">
        <w:rPr>
          <w:rFonts w:ascii="Arial" w:hAnsi="Arial" w:cs="Arial"/>
          <w:noProof/>
          <w:sz w:val="22"/>
        </w:rPr>
        <w:t>3</w:t>
      </w:r>
      <w:r w:rsidRPr="005403C3">
        <w:rPr>
          <w:rFonts w:ascii="Arial" w:hAnsi="Arial" w:cs="Arial"/>
          <w:snapToGrid w:val="0"/>
          <w:sz w:val="22"/>
        </w:rPr>
        <w:fldChar w:fldCharType="end"/>
      </w:r>
      <w:r w:rsidRPr="00E1748A">
        <w:rPr>
          <w:rFonts w:ascii="Arial" w:hAnsi="Arial" w:cs="Arial"/>
          <w:snapToGrid w:val="0"/>
          <w:sz w:val="22"/>
        </w:rPr>
        <w:t>)</w:t>
      </w:r>
      <w:r w:rsidR="00AD243B">
        <w:rPr>
          <w:rFonts w:ascii="Arial" w:hAnsi="Arial" w:cs="Arial"/>
          <w:snapToGrid w:val="0"/>
          <w:sz w:val="22"/>
        </w:rPr>
        <w:t>.</w:t>
      </w:r>
    </w:p>
    <w:p w14:paraId="712D5680" w14:textId="77777777" w:rsidR="004C2A46" w:rsidRPr="004C2A46" w:rsidRDefault="004C2A46" w:rsidP="008A2D92">
      <w:pPr>
        <w:pStyle w:val="BayerBodytext"/>
        <w:widowControl/>
        <w:spacing w:before="120" w:after="120" w:line="240" w:lineRule="auto"/>
        <w:ind w:left="990" w:right="46"/>
        <w:jc w:val="left"/>
        <w:rPr>
          <w:rFonts w:ascii="Arial" w:hAnsi="Arial" w:cs="Arial"/>
          <w:snapToGrid w:val="0"/>
          <w:sz w:val="22"/>
          <w:szCs w:val="22"/>
          <w:lang w:val="en-AU"/>
        </w:rPr>
      </w:pPr>
      <w:r w:rsidRPr="004C2A46">
        <w:rPr>
          <w:rFonts w:ascii="Arial" w:hAnsi="Arial" w:cs="Arial"/>
          <w:snapToGrid w:val="0"/>
          <w:sz w:val="22"/>
          <w:szCs w:val="22"/>
          <w:lang w:val="en-AU"/>
        </w:rPr>
        <w:t>Patients with renal impairment taking P-gp and weak to moderate CYP</w:t>
      </w:r>
      <w:r w:rsidR="00D3465F">
        <w:rPr>
          <w:rFonts w:ascii="Arial" w:hAnsi="Arial" w:cs="Arial"/>
          <w:snapToGrid w:val="0"/>
          <w:sz w:val="22"/>
          <w:szCs w:val="22"/>
          <w:lang w:val="en-AU"/>
        </w:rPr>
        <w:t xml:space="preserve"> </w:t>
      </w:r>
      <w:r w:rsidRPr="004C2A46">
        <w:rPr>
          <w:rFonts w:ascii="Arial" w:hAnsi="Arial" w:cs="Arial"/>
          <w:snapToGrid w:val="0"/>
          <w:sz w:val="22"/>
          <w:szCs w:val="22"/>
          <w:lang w:val="en-AU"/>
        </w:rPr>
        <w:t>3A4 inhibitors may have significant increases in exposure, which may increas</w:t>
      </w:r>
      <w:r w:rsidR="00D3465F">
        <w:rPr>
          <w:rFonts w:ascii="Arial" w:hAnsi="Arial" w:cs="Arial"/>
          <w:snapToGrid w:val="0"/>
          <w:sz w:val="22"/>
          <w:szCs w:val="22"/>
          <w:lang w:val="en-AU"/>
        </w:rPr>
        <w:t>e bleeding risk.</w:t>
      </w:r>
    </w:p>
    <w:p w14:paraId="735C553F" w14:textId="77777777" w:rsidR="004C2A46" w:rsidRPr="00BA01EB" w:rsidRDefault="005F6704" w:rsidP="008A2D92">
      <w:pPr>
        <w:pStyle w:val="BayerBodytext"/>
        <w:widowControl/>
        <w:spacing w:before="120" w:after="120" w:line="240" w:lineRule="auto"/>
        <w:ind w:left="990" w:right="46"/>
        <w:jc w:val="left"/>
        <w:rPr>
          <w:rFonts w:ascii="Arial" w:hAnsi="Arial" w:cs="Arial"/>
          <w:snapToGrid w:val="0"/>
          <w:sz w:val="22"/>
          <w:szCs w:val="22"/>
          <w:lang w:val="en-AU"/>
        </w:rPr>
      </w:pPr>
      <w:r>
        <w:rPr>
          <w:rFonts w:ascii="Arial" w:hAnsi="Arial" w:cs="Arial"/>
          <w:snapToGrid w:val="0"/>
          <w:sz w:val="22"/>
          <w:szCs w:val="22"/>
          <w:lang w:val="en-AU"/>
        </w:rPr>
        <w:t>XARELTO</w:t>
      </w:r>
      <w:r w:rsidR="004C2A46" w:rsidRPr="004C2A46">
        <w:rPr>
          <w:rFonts w:ascii="Arial" w:hAnsi="Arial" w:cs="Arial"/>
          <w:snapToGrid w:val="0"/>
          <w:sz w:val="22"/>
          <w:szCs w:val="22"/>
          <w:lang w:val="en-AU"/>
        </w:rPr>
        <w:t xml:space="preserve"> is to be used with caution in patients with moderate renal impa</w:t>
      </w:r>
      <w:r w:rsidR="00D3465F">
        <w:rPr>
          <w:rFonts w:ascii="Arial" w:hAnsi="Arial" w:cs="Arial"/>
          <w:snapToGrid w:val="0"/>
          <w:sz w:val="22"/>
          <w:szCs w:val="22"/>
          <w:lang w:val="en-AU"/>
        </w:rPr>
        <w:t>irmen</w:t>
      </w:r>
      <w:r w:rsidR="0080392D">
        <w:rPr>
          <w:rFonts w:ascii="Arial" w:hAnsi="Arial" w:cs="Arial"/>
          <w:snapToGrid w:val="0"/>
          <w:sz w:val="22"/>
          <w:szCs w:val="22"/>
          <w:lang w:val="en-AU"/>
        </w:rPr>
        <w:t>t (cr</w:t>
      </w:r>
      <w:r w:rsidR="0080392D" w:rsidRPr="00A810D1">
        <w:rPr>
          <w:rFonts w:ascii="Arial" w:hAnsi="Arial" w:cs="Arial"/>
          <w:snapToGrid w:val="0"/>
          <w:sz w:val="22"/>
          <w:szCs w:val="22"/>
          <w:lang w:val="en-AU"/>
        </w:rPr>
        <w:t>eatinine clearance 30 -</w:t>
      </w:r>
      <w:r w:rsidR="00D3465F" w:rsidRPr="00A810D1">
        <w:rPr>
          <w:rFonts w:ascii="Arial" w:hAnsi="Arial" w:cs="Arial"/>
          <w:snapToGrid w:val="0"/>
          <w:sz w:val="22"/>
          <w:szCs w:val="22"/>
          <w:lang w:val="en-AU"/>
        </w:rPr>
        <w:t xml:space="preserve"> 49 </w:t>
      </w:r>
      <w:r w:rsidR="004C2A46" w:rsidRPr="00A810D1">
        <w:rPr>
          <w:rFonts w:ascii="Arial" w:hAnsi="Arial" w:cs="Arial"/>
          <w:snapToGrid w:val="0"/>
          <w:sz w:val="22"/>
          <w:szCs w:val="22"/>
          <w:lang w:val="en-AU"/>
        </w:rPr>
        <w:t>mL/min) receiving co-medications (including moderate inhibitors of CYP3A4 or P-gp) leading to increased rivaroxaban plasma concent</w:t>
      </w:r>
      <w:r w:rsidR="00D3465F" w:rsidRPr="00A810D1">
        <w:rPr>
          <w:rFonts w:ascii="Arial" w:hAnsi="Arial" w:cs="Arial"/>
          <w:snapToGrid w:val="0"/>
          <w:sz w:val="22"/>
          <w:szCs w:val="22"/>
          <w:lang w:val="en-AU"/>
        </w:rPr>
        <w:t>rations (see</w:t>
      </w:r>
      <w:r w:rsidR="00C50B2C" w:rsidRPr="00A810D1">
        <w:rPr>
          <w:rFonts w:ascii="Arial" w:hAnsi="Arial" w:cs="Arial"/>
          <w:snapToGrid w:val="0"/>
          <w:sz w:val="22"/>
          <w:szCs w:val="22"/>
          <w:lang w:val="en-AU"/>
        </w:rPr>
        <w:t xml:space="preserve"> Section 4.4</w:t>
      </w:r>
      <w:r w:rsidR="00FB0882" w:rsidRPr="00A810D1">
        <w:rPr>
          <w:rFonts w:ascii="Arial" w:hAnsi="Arial" w:cs="Arial"/>
          <w:snapToGrid w:val="0"/>
          <w:sz w:val="22"/>
          <w:szCs w:val="22"/>
          <w:lang w:val="en-AU"/>
        </w:rPr>
        <w:t xml:space="preserve"> </w:t>
      </w:r>
      <w:r w:rsidR="00A810D1" w:rsidRPr="00A810D1">
        <w:rPr>
          <w:rFonts w:ascii="Arial" w:hAnsi="Arial" w:cs="Arial"/>
          <w:sz w:val="22"/>
          <w:szCs w:val="22"/>
          <w:lang w:val="en-AU"/>
        </w:rPr>
        <w:fldChar w:fldCharType="begin"/>
      </w:r>
      <w:r w:rsidR="00A810D1" w:rsidRPr="00A810D1">
        <w:rPr>
          <w:rFonts w:ascii="Arial" w:hAnsi="Arial" w:cs="Arial"/>
          <w:sz w:val="22"/>
          <w:szCs w:val="22"/>
          <w:lang w:val="en-AU"/>
        </w:rPr>
        <w:instrText xml:space="preserve"> REF _Ref522882516 \h  \* MERGEFORMAT </w:instrText>
      </w:r>
      <w:r w:rsidR="00A810D1" w:rsidRPr="00A810D1">
        <w:rPr>
          <w:rFonts w:ascii="Arial" w:hAnsi="Arial" w:cs="Arial"/>
          <w:sz w:val="22"/>
          <w:szCs w:val="22"/>
          <w:lang w:val="en-AU"/>
        </w:rPr>
      </w:r>
      <w:r w:rsidR="00A810D1" w:rsidRPr="00A810D1">
        <w:rPr>
          <w:rFonts w:ascii="Arial" w:hAnsi="Arial" w:cs="Arial"/>
          <w:sz w:val="22"/>
          <w:szCs w:val="22"/>
          <w:lang w:val="en-AU"/>
        </w:rPr>
        <w:fldChar w:fldCharType="separate"/>
      </w:r>
      <w:r w:rsidR="00C51DA4" w:rsidRPr="00C51DA4">
        <w:rPr>
          <w:rFonts w:ascii="Arial" w:hAnsi="Arial" w:cs="Arial"/>
          <w:sz w:val="22"/>
          <w:szCs w:val="22"/>
        </w:rPr>
        <w:t>SPECIAL WARNINGS AND PRECAUTIONS FOR USE</w:t>
      </w:r>
      <w:r w:rsidR="00A810D1" w:rsidRPr="00A810D1">
        <w:rPr>
          <w:rFonts w:ascii="Arial" w:hAnsi="Arial" w:cs="Arial"/>
          <w:sz w:val="22"/>
          <w:szCs w:val="22"/>
          <w:lang w:val="en-AU"/>
        </w:rPr>
        <w:fldChar w:fldCharType="end"/>
      </w:r>
      <w:r w:rsidR="00A810D1" w:rsidRPr="00A810D1">
        <w:rPr>
          <w:rFonts w:ascii="Arial" w:hAnsi="Arial" w:cs="Arial"/>
          <w:sz w:val="22"/>
          <w:szCs w:val="22"/>
          <w:lang w:val="en-AU"/>
        </w:rPr>
        <w:t>).</w:t>
      </w:r>
    </w:p>
    <w:p w14:paraId="383F4FB1" w14:textId="77777777" w:rsidR="004C2A46" w:rsidRPr="007D79EA" w:rsidRDefault="004C2A46" w:rsidP="0043158B">
      <w:pPr>
        <w:pStyle w:val="BayerBodytext"/>
        <w:widowControl/>
        <w:numPr>
          <w:ilvl w:val="0"/>
          <w:numId w:val="11"/>
        </w:numPr>
        <w:spacing w:before="120" w:after="120" w:line="240" w:lineRule="auto"/>
        <w:ind w:right="46"/>
        <w:jc w:val="left"/>
        <w:rPr>
          <w:rFonts w:ascii="Arial" w:hAnsi="Arial" w:cs="Arial"/>
          <w:b/>
          <w:snapToGrid w:val="0"/>
          <w:sz w:val="22"/>
          <w:szCs w:val="22"/>
          <w:u w:val="single"/>
          <w:lang w:val="en-AU"/>
        </w:rPr>
      </w:pPr>
      <w:r w:rsidRPr="007D79EA">
        <w:rPr>
          <w:rFonts w:ascii="Arial" w:hAnsi="Arial" w:cs="Arial"/>
          <w:b/>
          <w:snapToGrid w:val="0"/>
          <w:sz w:val="22"/>
          <w:szCs w:val="22"/>
          <w:u w:val="single"/>
          <w:lang w:val="en-AU"/>
        </w:rPr>
        <w:t xml:space="preserve">CYP3A4 inducers </w:t>
      </w:r>
    </w:p>
    <w:p w14:paraId="28859F4E" w14:textId="3E3A5E82" w:rsidR="00100151" w:rsidRDefault="004C2A46" w:rsidP="00004191">
      <w:pPr>
        <w:pStyle w:val="BayerBodytext"/>
        <w:widowControl/>
        <w:spacing w:before="120" w:after="120" w:line="240" w:lineRule="auto"/>
        <w:ind w:left="990" w:right="46"/>
        <w:jc w:val="left"/>
      </w:pPr>
      <w:r w:rsidRPr="004C2A46">
        <w:rPr>
          <w:rFonts w:ascii="Arial" w:hAnsi="Arial" w:cs="Arial"/>
          <w:snapToGrid w:val="0"/>
          <w:sz w:val="22"/>
          <w:szCs w:val="22"/>
          <w:lang w:val="en-AU"/>
        </w:rPr>
        <w:t xml:space="preserve">The concomitant use of rivaroxaban with strong CYP3A4 inducers (e.g. rifampicin, phenytoin, carbamazepine, phenobarbital or St. John’s Wort) may lead to reduced rivaroxaban plasma concentrations. </w:t>
      </w:r>
      <w:r w:rsidR="00D3465F">
        <w:rPr>
          <w:rFonts w:ascii="Arial" w:hAnsi="Arial" w:cs="Arial"/>
          <w:snapToGrid w:val="0"/>
          <w:sz w:val="22"/>
          <w:szCs w:val="22"/>
          <w:lang w:val="en-AU"/>
        </w:rPr>
        <w:t xml:space="preserve"> </w:t>
      </w:r>
      <w:r w:rsidR="007D7E75">
        <w:rPr>
          <w:rFonts w:ascii="Arial" w:hAnsi="Arial" w:cs="Arial"/>
          <w:snapToGrid w:val="0"/>
          <w:sz w:val="22"/>
          <w:szCs w:val="22"/>
          <w:lang w:val="en-AU"/>
        </w:rPr>
        <w:t xml:space="preserve">Strong CYP 3A4 inducers must be used with caution in CAD and/or PAD patients treated with 2.5 mg XARELTO twice daily.  </w:t>
      </w:r>
      <w:r w:rsidRPr="004C2A46">
        <w:rPr>
          <w:rFonts w:ascii="Arial" w:hAnsi="Arial" w:cs="Arial"/>
          <w:snapToGrid w:val="0"/>
          <w:sz w:val="22"/>
          <w:szCs w:val="22"/>
          <w:lang w:val="en-AU"/>
        </w:rPr>
        <w:t xml:space="preserve">Caution should be taken when </w:t>
      </w:r>
      <w:r w:rsidR="005F6704">
        <w:rPr>
          <w:rFonts w:ascii="Arial" w:hAnsi="Arial" w:cs="Arial"/>
          <w:snapToGrid w:val="0"/>
          <w:sz w:val="22"/>
          <w:szCs w:val="22"/>
          <w:lang w:val="en-AU"/>
        </w:rPr>
        <w:t>XARELTO</w:t>
      </w:r>
      <w:r w:rsidRPr="004C2A46">
        <w:rPr>
          <w:rFonts w:ascii="Arial" w:hAnsi="Arial" w:cs="Arial"/>
          <w:snapToGrid w:val="0"/>
          <w:sz w:val="22"/>
          <w:szCs w:val="22"/>
          <w:lang w:val="en-AU"/>
        </w:rPr>
        <w:t xml:space="preserve"> 15 and 20 mg tablets are co-administered with strong CYP3A4 inducers (</w:t>
      </w:r>
      <w:r w:rsidR="00FA0A16">
        <w:rPr>
          <w:rFonts w:ascii="Arial" w:hAnsi="Arial" w:cs="Arial"/>
          <w:snapToGrid w:val="0"/>
          <w:sz w:val="22"/>
          <w:szCs w:val="22"/>
          <w:lang w:val="en-AU"/>
        </w:rPr>
        <w:t xml:space="preserve">see </w:t>
      </w:r>
      <w:r w:rsidR="003860D3" w:rsidRPr="005403C3">
        <w:rPr>
          <w:rFonts w:cs="Arial"/>
          <w:snapToGrid w:val="0"/>
          <w:szCs w:val="22"/>
        </w:rPr>
        <w:fldChar w:fldCharType="begin"/>
      </w:r>
      <w:r w:rsidR="003860D3" w:rsidRPr="005403C3">
        <w:rPr>
          <w:rFonts w:ascii="Arial" w:hAnsi="Arial" w:cs="Arial"/>
          <w:snapToGrid w:val="0"/>
          <w:sz w:val="22"/>
          <w:szCs w:val="22"/>
          <w:lang w:val="en-AU"/>
        </w:rPr>
        <w:instrText xml:space="preserve"> REF _Ref501396299 \h </w:instrText>
      </w:r>
      <w:r w:rsidR="00100151" w:rsidRPr="005403C3">
        <w:rPr>
          <w:rFonts w:ascii="Arial" w:hAnsi="Arial" w:cs="Arial"/>
          <w:snapToGrid w:val="0"/>
          <w:sz w:val="22"/>
          <w:szCs w:val="22"/>
          <w:lang w:val="en-AU"/>
        </w:rPr>
        <w:instrText xml:space="preserve"> \* MERGEFORMAT </w:instrText>
      </w:r>
      <w:r w:rsidR="003860D3" w:rsidRPr="005403C3">
        <w:rPr>
          <w:rFonts w:cs="Arial"/>
          <w:snapToGrid w:val="0"/>
          <w:szCs w:val="22"/>
        </w:rPr>
      </w:r>
      <w:r w:rsidR="003860D3" w:rsidRPr="005403C3">
        <w:rPr>
          <w:rFonts w:cs="Arial"/>
          <w:snapToGrid w:val="0"/>
          <w:szCs w:val="22"/>
        </w:rPr>
        <w:fldChar w:fldCharType="separate"/>
      </w:r>
      <w:r w:rsidR="00C51DA4" w:rsidRPr="00C51DA4">
        <w:rPr>
          <w:rFonts w:ascii="Arial" w:hAnsi="Arial" w:cs="Arial"/>
        </w:rPr>
        <w:t xml:space="preserve">Table </w:t>
      </w:r>
      <w:r w:rsidR="00C51DA4" w:rsidRPr="00C51DA4">
        <w:rPr>
          <w:rFonts w:ascii="Arial" w:hAnsi="Arial" w:cs="Arial"/>
          <w:noProof/>
        </w:rPr>
        <w:t>3</w:t>
      </w:r>
      <w:r w:rsidR="003860D3" w:rsidRPr="005403C3">
        <w:rPr>
          <w:rFonts w:cs="Arial"/>
          <w:snapToGrid w:val="0"/>
          <w:szCs w:val="22"/>
        </w:rPr>
        <w:fldChar w:fldCharType="end"/>
      </w:r>
      <w:r w:rsidRPr="004C2A46">
        <w:rPr>
          <w:rFonts w:ascii="Arial" w:hAnsi="Arial" w:cs="Arial"/>
          <w:snapToGrid w:val="0"/>
          <w:sz w:val="22"/>
          <w:szCs w:val="22"/>
          <w:lang w:val="en-AU"/>
        </w:rPr>
        <w:t>)</w:t>
      </w:r>
      <w:r w:rsidR="00785E07">
        <w:rPr>
          <w:rFonts w:ascii="Arial" w:hAnsi="Arial" w:cs="Arial"/>
          <w:snapToGrid w:val="0"/>
          <w:sz w:val="22"/>
          <w:szCs w:val="22"/>
          <w:lang w:val="en-AU"/>
        </w:rPr>
        <w:t>.</w:t>
      </w:r>
      <w:bookmarkStart w:id="15" w:name="_Ref501396289"/>
    </w:p>
    <w:p w14:paraId="293D319A" w14:textId="090D0963" w:rsidR="004A2647" w:rsidRPr="00476145" w:rsidRDefault="004A2647" w:rsidP="00900E05">
      <w:pPr>
        <w:pStyle w:val="Caption"/>
        <w:ind w:firstLine="720"/>
      </w:pPr>
      <w:bookmarkStart w:id="16" w:name="_Ref505603746"/>
      <w:r w:rsidRPr="00476145">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2</w:t>
      </w:r>
      <w:r w:rsidR="005D4DAE">
        <w:rPr>
          <w:noProof/>
        </w:rPr>
        <w:fldChar w:fldCharType="end"/>
      </w:r>
      <w:bookmarkEnd w:id="15"/>
      <w:bookmarkEnd w:id="16"/>
      <w:r w:rsidRPr="00476145">
        <w:t>: Established or potential interactions which are clinically relevant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1784"/>
        <w:gridCol w:w="4465"/>
      </w:tblGrid>
      <w:tr w:rsidR="004C2A46" w:rsidRPr="00DA6D02" w14:paraId="5E5F4618" w14:textId="77777777" w:rsidTr="008B7004">
        <w:trPr>
          <w:tblHeader/>
        </w:trPr>
        <w:tc>
          <w:tcPr>
            <w:tcW w:w="2165" w:type="dxa"/>
            <w:shd w:val="clear" w:color="auto" w:fill="D9D9D9" w:themeFill="background1" w:themeFillShade="D9"/>
          </w:tcPr>
          <w:p w14:paraId="2BA4B89D" w14:textId="77777777" w:rsidR="004C2A46" w:rsidRPr="00DA6D02" w:rsidRDefault="004C2A46" w:rsidP="004C2A46">
            <w:pPr>
              <w:pStyle w:val="BayerBodytext"/>
              <w:widowControl/>
              <w:spacing w:before="120" w:after="120" w:line="240" w:lineRule="auto"/>
              <w:ind w:left="0" w:right="46"/>
              <w:rPr>
                <w:rFonts w:ascii="Arial" w:hAnsi="Arial" w:cs="Arial"/>
                <w:b/>
                <w:snapToGrid w:val="0"/>
                <w:sz w:val="18"/>
                <w:szCs w:val="22"/>
                <w:lang w:val="en-AU"/>
              </w:rPr>
            </w:pPr>
            <w:r w:rsidRPr="00DA6D02">
              <w:rPr>
                <w:rFonts w:ascii="Arial" w:hAnsi="Arial" w:cs="Arial"/>
                <w:b/>
                <w:snapToGrid w:val="0"/>
                <w:sz w:val="18"/>
                <w:szCs w:val="22"/>
                <w:lang w:val="en-AU"/>
              </w:rPr>
              <w:t xml:space="preserve">Class (effect) </w:t>
            </w:r>
          </w:p>
          <w:p w14:paraId="694B2671" w14:textId="77777777" w:rsidR="004C2A46" w:rsidRPr="00DA6D02" w:rsidRDefault="004C2A46" w:rsidP="004C2A46">
            <w:pPr>
              <w:pStyle w:val="BayerBodytext"/>
              <w:widowControl/>
              <w:spacing w:before="120" w:after="120" w:line="240" w:lineRule="auto"/>
              <w:ind w:left="0" w:right="46"/>
              <w:rPr>
                <w:rFonts w:ascii="Arial" w:hAnsi="Arial" w:cs="Arial"/>
                <w:b/>
                <w:snapToGrid w:val="0"/>
                <w:sz w:val="18"/>
                <w:szCs w:val="22"/>
                <w:lang w:val="en-AU"/>
              </w:rPr>
            </w:pPr>
            <w:r w:rsidRPr="00DA6D02">
              <w:rPr>
                <w:rFonts w:ascii="Arial" w:hAnsi="Arial" w:cs="Arial"/>
                <w:b/>
                <w:snapToGrid w:val="0"/>
                <w:sz w:val="18"/>
                <w:szCs w:val="22"/>
                <w:lang w:val="en-AU"/>
              </w:rPr>
              <w:t>Examples</w:t>
            </w:r>
          </w:p>
        </w:tc>
        <w:tc>
          <w:tcPr>
            <w:tcW w:w="1784" w:type="dxa"/>
            <w:shd w:val="clear" w:color="auto" w:fill="D9D9D9" w:themeFill="background1" w:themeFillShade="D9"/>
          </w:tcPr>
          <w:p w14:paraId="030E9ADD" w14:textId="77777777" w:rsidR="004C2A46" w:rsidRPr="00DA6D02" w:rsidRDefault="004C2A46" w:rsidP="00100151">
            <w:pPr>
              <w:pStyle w:val="BayerBodytext"/>
              <w:widowControl/>
              <w:spacing w:before="120" w:after="120" w:line="240" w:lineRule="auto"/>
              <w:ind w:left="0" w:right="46"/>
              <w:jc w:val="left"/>
              <w:rPr>
                <w:rFonts w:ascii="Arial" w:hAnsi="Arial" w:cs="Arial"/>
                <w:b/>
                <w:snapToGrid w:val="0"/>
                <w:sz w:val="18"/>
                <w:szCs w:val="22"/>
                <w:lang w:val="en-AU"/>
              </w:rPr>
            </w:pPr>
            <w:r w:rsidRPr="00DA6D02">
              <w:rPr>
                <w:rFonts w:ascii="Arial" w:hAnsi="Arial" w:cs="Arial"/>
                <w:b/>
                <w:snapToGrid w:val="0"/>
                <w:sz w:val="18"/>
                <w:szCs w:val="22"/>
                <w:lang w:val="en-AU"/>
              </w:rPr>
              <w:t>Effect on rivaroxaban plasma concentration</w:t>
            </w:r>
          </w:p>
        </w:tc>
        <w:tc>
          <w:tcPr>
            <w:tcW w:w="4465" w:type="dxa"/>
            <w:shd w:val="clear" w:color="auto" w:fill="D9D9D9" w:themeFill="background1" w:themeFillShade="D9"/>
          </w:tcPr>
          <w:p w14:paraId="6257D3A5" w14:textId="77777777" w:rsidR="004C2A46" w:rsidRPr="00DA6D02" w:rsidRDefault="004C2A46" w:rsidP="004C2A46">
            <w:pPr>
              <w:pStyle w:val="BayerBodytext"/>
              <w:widowControl/>
              <w:spacing w:before="120" w:after="120" w:line="240" w:lineRule="auto"/>
              <w:ind w:left="0" w:right="46"/>
              <w:rPr>
                <w:rFonts w:ascii="Arial" w:hAnsi="Arial" w:cs="Arial"/>
                <w:b/>
                <w:snapToGrid w:val="0"/>
                <w:sz w:val="18"/>
                <w:szCs w:val="22"/>
                <w:lang w:val="en-AU"/>
              </w:rPr>
            </w:pPr>
            <w:r w:rsidRPr="00DA6D02">
              <w:rPr>
                <w:rFonts w:ascii="Arial" w:hAnsi="Arial" w:cs="Arial"/>
                <w:b/>
                <w:snapToGrid w:val="0"/>
                <w:sz w:val="18"/>
                <w:szCs w:val="22"/>
                <w:lang w:val="en-AU"/>
              </w:rPr>
              <w:t>Clinical comment</w:t>
            </w:r>
          </w:p>
        </w:tc>
      </w:tr>
      <w:tr w:rsidR="004C2A46" w:rsidRPr="00DA6D02" w14:paraId="4705269E" w14:textId="77777777" w:rsidTr="00900E05">
        <w:tc>
          <w:tcPr>
            <w:tcW w:w="2165" w:type="dxa"/>
            <w:shd w:val="clear" w:color="auto" w:fill="auto"/>
          </w:tcPr>
          <w:p w14:paraId="0810FFCE"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Strong CYP3A4 and strong P-gp inhibitor</w:t>
            </w:r>
          </w:p>
          <w:p w14:paraId="0F3249B2"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 xml:space="preserve">Azole-antimycotics </w:t>
            </w:r>
          </w:p>
          <w:p w14:paraId="1741EC8F"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lastRenderedPageBreak/>
              <w:t>e.g. ketoconazole, itraconazole, voriconazole, posaconazole</w:t>
            </w:r>
          </w:p>
          <w:p w14:paraId="571CFAF2"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 xml:space="preserve"> or HIV-protease inhibitors e.g. ritonavir</w:t>
            </w:r>
          </w:p>
        </w:tc>
        <w:tc>
          <w:tcPr>
            <w:tcW w:w="1784" w:type="dxa"/>
            <w:shd w:val="clear" w:color="auto" w:fill="auto"/>
          </w:tcPr>
          <w:p w14:paraId="0DD3FD52"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lastRenderedPageBreak/>
              <w:t>↑ rivaroxaban</w:t>
            </w:r>
          </w:p>
        </w:tc>
        <w:tc>
          <w:tcPr>
            <w:tcW w:w="4465" w:type="dxa"/>
            <w:shd w:val="clear" w:color="auto" w:fill="auto"/>
          </w:tcPr>
          <w:p w14:paraId="18A9D961"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xml:space="preserve">Concomitant treatment with systemic azole-antimycotics or HIV-protease inhibitors is </w:t>
            </w:r>
            <w:r w:rsidRPr="00DA6D02">
              <w:rPr>
                <w:rFonts w:ascii="Arial" w:hAnsi="Arial" w:cs="Arial"/>
                <w:snapToGrid w:val="0"/>
                <w:sz w:val="18"/>
                <w:szCs w:val="22"/>
                <w:lang w:val="en-AU"/>
              </w:rPr>
              <w:lastRenderedPageBreak/>
              <w:t xml:space="preserve">contraindicated. </w:t>
            </w:r>
          </w:p>
        </w:tc>
      </w:tr>
    </w:tbl>
    <w:p w14:paraId="2BA76712" w14:textId="77777777" w:rsidR="004C2A46" w:rsidRPr="004C2A46" w:rsidRDefault="004C2A46" w:rsidP="004C2A46">
      <w:pPr>
        <w:pStyle w:val="BayerBodytext"/>
        <w:widowControl/>
        <w:spacing w:before="120" w:after="120" w:line="240" w:lineRule="auto"/>
        <w:ind w:left="0" w:right="46"/>
        <w:rPr>
          <w:rFonts w:ascii="Arial" w:hAnsi="Arial" w:cs="Arial"/>
          <w:snapToGrid w:val="0"/>
          <w:sz w:val="22"/>
          <w:szCs w:val="22"/>
          <w:lang w:val="en-AU"/>
        </w:rPr>
      </w:pPr>
      <w:bookmarkStart w:id="17" w:name="_Ref318470870"/>
      <w:bookmarkStart w:id="18" w:name="_Toc180211515"/>
    </w:p>
    <w:p w14:paraId="5029F80D" w14:textId="799F0899" w:rsidR="004C2A46" w:rsidRPr="00476145" w:rsidRDefault="004A2647" w:rsidP="00900E05">
      <w:pPr>
        <w:pStyle w:val="Caption"/>
        <w:ind w:firstLine="720"/>
        <w:rPr>
          <w:rFonts w:cs="Arial"/>
          <w:b w:val="0"/>
          <w:snapToGrid w:val="0"/>
        </w:rPr>
      </w:pPr>
      <w:bookmarkStart w:id="19" w:name="_Ref501396299"/>
      <w:bookmarkEnd w:id="17"/>
      <w:r w:rsidRPr="00476145">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3</w:t>
      </w:r>
      <w:r w:rsidR="005D4DAE">
        <w:rPr>
          <w:noProof/>
        </w:rPr>
        <w:fldChar w:fldCharType="end"/>
      </w:r>
      <w:bookmarkEnd w:id="19"/>
      <w:r w:rsidRPr="00476145">
        <w:rPr>
          <w:rFonts w:cs="Arial"/>
          <w:snapToGrid w:val="0"/>
        </w:rPr>
        <w:t>: Established or potential interactions which are not clinically relevant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780"/>
        <w:gridCol w:w="4467"/>
      </w:tblGrid>
      <w:tr w:rsidR="004C2A46" w:rsidRPr="00E1748A" w14:paraId="12F463BF" w14:textId="77777777" w:rsidTr="008B7004">
        <w:trPr>
          <w:tblHeader/>
        </w:trPr>
        <w:tc>
          <w:tcPr>
            <w:tcW w:w="2167" w:type="dxa"/>
            <w:shd w:val="clear" w:color="auto" w:fill="D9D9D9" w:themeFill="background1" w:themeFillShade="D9"/>
          </w:tcPr>
          <w:p w14:paraId="751DF4BE" w14:textId="77777777" w:rsidR="004C2A46" w:rsidRPr="00DA6D02" w:rsidRDefault="004C2A46" w:rsidP="00E1748A">
            <w:pPr>
              <w:pStyle w:val="BayerBodytext"/>
              <w:widowControl/>
              <w:spacing w:before="120" w:after="120" w:line="240" w:lineRule="auto"/>
              <w:ind w:left="0" w:right="46"/>
              <w:jc w:val="left"/>
              <w:rPr>
                <w:rFonts w:ascii="Arial" w:hAnsi="Arial" w:cs="Arial"/>
                <w:b/>
                <w:snapToGrid w:val="0"/>
                <w:sz w:val="18"/>
                <w:szCs w:val="22"/>
                <w:lang w:val="en-AU"/>
              </w:rPr>
            </w:pPr>
            <w:r w:rsidRPr="00DA6D02">
              <w:rPr>
                <w:rFonts w:ascii="Arial" w:hAnsi="Arial" w:cs="Arial"/>
                <w:b/>
                <w:snapToGrid w:val="0"/>
                <w:sz w:val="18"/>
                <w:szCs w:val="22"/>
                <w:lang w:val="en-AU"/>
              </w:rPr>
              <w:t xml:space="preserve">Class (effect) </w:t>
            </w:r>
          </w:p>
          <w:p w14:paraId="19431E0D" w14:textId="77777777" w:rsidR="004C2A46" w:rsidRPr="00DA6D02" w:rsidRDefault="004C2A46" w:rsidP="00E1748A">
            <w:pPr>
              <w:pStyle w:val="BayerBodytext"/>
              <w:widowControl/>
              <w:spacing w:before="120" w:after="120" w:line="240" w:lineRule="auto"/>
              <w:ind w:left="0" w:right="46"/>
              <w:jc w:val="left"/>
              <w:rPr>
                <w:rFonts w:ascii="Arial" w:hAnsi="Arial" w:cs="Arial"/>
                <w:b/>
                <w:snapToGrid w:val="0"/>
                <w:sz w:val="18"/>
                <w:szCs w:val="22"/>
                <w:lang w:val="en-AU"/>
              </w:rPr>
            </w:pPr>
            <w:r w:rsidRPr="00DA6D02">
              <w:rPr>
                <w:rFonts w:ascii="Arial" w:hAnsi="Arial" w:cs="Arial"/>
                <w:b/>
                <w:snapToGrid w:val="0"/>
                <w:sz w:val="18"/>
                <w:szCs w:val="22"/>
                <w:lang w:val="en-AU"/>
              </w:rPr>
              <w:t>Examples</w:t>
            </w:r>
          </w:p>
        </w:tc>
        <w:tc>
          <w:tcPr>
            <w:tcW w:w="1780" w:type="dxa"/>
            <w:shd w:val="clear" w:color="auto" w:fill="D9D9D9" w:themeFill="background1" w:themeFillShade="D9"/>
          </w:tcPr>
          <w:p w14:paraId="3EE4AA78" w14:textId="77777777" w:rsidR="004C2A46" w:rsidRPr="00DA6D02" w:rsidRDefault="004C2A46" w:rsidP="00E1748A">
            <w:pPr>
              <w:pStyle w:val="BayerBodytext"/>
              <w:widowControl/>
              <w:spacing w:before="120" w:after="120" w:line="240" w:lineRule="auto"/>
              <w:ind w:left="0" w:right="46"/>
              <w:jc w:val="left"/>
              <w:rPr>
                <w:rFonts w:ascii="Arial" w:hAnsi="Arial" w:cs="Arial"/>
                <w:b/>
                <w:snapToGrid w:val="0"/>
                <w:sz w:val="18"/>
                <w:szCs w:val="22"/>
                <w:lang w:val="en-AU"/>
              </w:rPr>
            </w:pPr>
            <w:r w:rsidRPr="00DA6D02">
              <w:rPr>
                <w:rFonts w:ascii="Arial" w:hAnsi="Arial" w:cs="Arial"/>
                <w:b/>
                <w:snapToGrid w:val="0"/>
                <w:sz w:val="18"/>
                <w:szCs w:val="22"/>
                <w:lang w:val="en-AU"/>
              </w:rPr>
              <w:t>Effect on rivaroxaban plasma concentration</w:t>
            </w:r>
          </w:p>
        </w:tc>
        <w:tc>
          <w:tcPr>
            <w:tcW w:w="4467" w:type="dxa"/>
            <w:shd w:val="clear" w:color="auto" w:fill="D9D9D9" w:themeFill="background1" w:themeFillShade="D9"/>
          </w:tcPr>
          <w:p w14:paraId="656C9DF3" w14:textId="77777777" w:rsidR="004C2A46" w:rsidRPr="00DA6D02" w:rsidRDefault="004C2A46" w:rsidP="00E1748A">
            <w:pPr>
              <w:pStyle w:val="BayerBodytext"/>
              <w:widowControl/>
              <w:spacing w:before="120" w:after="120" w:line="240" w:lineRule="auto"/>
              <w:ind w:left="0" w:right="46"/>
              <w:jc w:val="left"/>
              <w:rPr>
                <w:rFonts w:ascii="Arial" w:hAnsi="Arial" w:cs="Arial"/>
                <w:b/>
                <w:snapToGrid w:val="0"/>
                <w:sz w:val="18"/>
                <w:szCs w:val="22"/>
                <w:lang w:val="en-AU"/>
              </w:rPr>
            </w:pPr>
            <w:r w:rsidRPr="00DA6D02">
              <w:rPr>
                <w:rFonts w:ascii="Arial" w:hAnsi="Arial" w:cs="Arial"/>
                <w:b/>
                <w:snapToGrid w:val="0"/>
                <w:sz w:val="18"/>
                <w:szCs w:val="22"/>
                <w:lang w:val="en-AU"/>
              </w:rPr>
              <w:t>Clinical comment</w:t>
            </w:r>
          </w:p>
        </w:tc>
      </w:tr>
      <w:tr w:rsidR="004C2A46" w:rsidRPr="004C2A46" w14:paraId="43304F99" w14:textId="77777777" w:rsidTr="00900E05">
        <w:tc>
          <w:tcPr>
            <w:tcW w:w="2167" w:type="dxa"/>
            <w:shd w:val="clear" w:color="auto" w:fill="auto"/>
          </w:tcPr>
          <w:p w14:paraId="44A36284"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 xml:space="preserve">CYP3A4 and P-gp inhibitor </w:t>
            </w:r>
          </w:p>
          <w:p w14:paraId="4B072A69"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Fluconazole</w:t>
            </w:r>
          </w:p>
        </w:tc>
        <w:tc>
          <w:tcPr>
            <w:tcW w:w="1780" w:type="dxa"/>
            <w:shd w:val="clear" w:color="auto" w:fill="auto"/>
          </w:tcPr>
          <w:p w14:paraId="6CF2CA6B"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rivaroxaban</w:t>
            </w:r>
          </w:p>
        </w:tc>
        <w:tc>
          <w:tcPr>
            <w:tcW w:w="4467" w:type="dxa"/>
            <w:shd w:val="clear" w:color="auto" w:fill="auto"/>
          </w:tcPr>
          <w:p w14:paraId="394C67A1" w14:textId="77777777" w:rsidR="004C2A46" w:rsidRPr="00DA6D02" w:rsidRDefault="00D3465F"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xml:space="preserve">Fluconazole (400 </w:t>
            </w:r>
            <w:r w:rsidR="004C2A46" w:rsidRPr="00DA6D02">
              <w:rPr>
                <w:rFonts w:ascii="Arial" w:hAnsi="Arial" w:cs="Arial"/>
                <w:snapToGrid w:val="0"/>
                <w:sz w:val="18"/>
                <w:szCs w:val="22"/>
                <w:lang w:val="en-AU"/>
              </w:rPr>
              <w:t>mg once dai</w:t>
            </w:r>
            <w:r w:rsidR="0080392D" w:rsidRPr="00DA6D02">
              <w:rPr>
                <w:rFonts w:ascii="Arial" w:hAnsi="Arial" w:cs="Arial"/>
                <w:snapToGrid w:val="0"/>
                <w:sz w:val="18"/>
                <w:szCs w:val="22"/>
                <w:lang w:val="en-AU"/>
              </w:rPr>
              <w:t xml:space="preserve">ly), considered as moderate CYP </w:t>
            </w:r>
            <w:r w:rsidR="004C2A46" w:rsidRPr="00DA6D02">
              <w:rPr>
                <w:rFonts w:ascii="Arial" w:hAnsi="Arial" w:cs="Arial"/>
                <w:snapToGrid w:val="0"/>
                <w:sz w:val="18"/>
                <w:szCs w:val="22"/>
                <w:lang w:val="en-AU"/>
              </w:rPr>
              <w:t>3A4 inhibitor, led to a 1.4</w:t>
            </w:r>
            <w:r w:rsidR="004C2A46" w:rsidRPr="00DA6D02">
              <w:rPr>
                <w:rFonts w:ascii="Arial" w:hAnsi="Arial" w:cs="Arial"/>
                <w:snapToGrid w:val="0"/>
                <w:sz w:val="18"/>
                <w:szCs w:val="22"/>
                <w:lang w:val="en-AU"/>
              </w:rPr>
              <w:noBreakHyphen/>
              <w:t>fold increase in mean rivaroxaban AUC and a 1.3</w:t>
            </w:r>
            <w:r w:rsidR="004C2A46" w:rsidRPr="00DA6D02">
              <w:rPr>
                <w:rFonts w:ascii="Arial" w:hAnsi="Arial" w:cs="Arial"/>
                <w:snapToGrid w:val="0"/>
                <w:sz w:val="18"/>
                <w:szCs w:val="22"/>
                <w:lang w:val="en-AU"/>
              </w:rPr>
              <w:noBreakHyphen/>
              <w:t xml:space="preserve">fold increase in mean Cmax. </w:t>
            </w:r>
            <w:r w:rsidRPr="00DA6D02">
              <w:rPr>
                <w:rFonts w:ascii="Arial" w:hAnsi="Arial" w:cs="Arial"/>
                <w:snapToGrid w:val="0"/>
                <w:sz w:val="18"/>
                <w:szCs w:val="22"/>
                <w:lang w:val="en-AU"/>
              </w:rPr>
              <w:t xml:space="preserve"> </w:t>
            </w:r>
            <w:r w:rsidR="004C2A46" w:rsidRPr="00DA6D02">
              <w:rPr>
                <w:rFonts w:ascii="Arial" w:hAnsi="Arial" w:cs="Arial"/>
                <w:snapToGrid w:val="0"/>
                <w:sz w:val="18"/>
                <w:szCs w:val="22"/>
                <w:lang w:val="en-AU"/>
              </w:rPr>
              <w:t>This increase is within the magnitude of the normal variability of AUC and Cmax and is considered not clinically relevant.</w:t>
            </w:r>
          </w:p>
        </w:tc>
      </w:tr>
      <w:tr w:rsidR="004C2A46" w:rsidRPr="004C2A46" w14:paraId="350380A8" w14:textId="77777777" w:rsidTr="00900E05">
        <w:tc>
          <w:tcPr>
            <w:tcW w:w="2167" w:type="dxa"/>
            <w:shd w:val="clear" w:color="auto" w:fill="auto"/>
          </w:tcPr>
          <w:p w14:paraId="2F6A7EB1"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Strong CYP 3A4 and moderate P-gp inhibitor</w:t>
            </w:r>
          </w:p>
          <w:p w14:paraId="238B2B89"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 xml:space="preserve">Clarithromycin </w:t>
            </w:r>
          </w:p>
          <w:p w14:paraId="2D11FB71"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p>
        </w:tc>
        <w:tc>
          <w:tcPr>
            <w:tcW w:w="1780" w:type="dxa"/>
            <w:shd w:val="clear" w:color="auto" w:fill="auto"/>
          </w:tcPr>
          <w:p w14:paraId="25E7DB45"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rivaroxaban</w:t>
            </w:r>
          </w:p>
        </w:tc>
        <w:tc>
          <w:tcPr>
            <w:tcW w:w="4467" w:type="dxa"/>
            <w:shd w:val="clear" w:color="auto" w:fill="auto"/>
          </w:tcPr>
          <w:p w14:paraId="4AD3A8E7"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xml:space="preserve">500 mg bid led to a 1.5-fold increase in mean rivaroxaban AUC and a 1.4-fold increase in Cmax. </w:t>
            </w:r>
            <w:r w:rsidR="00D3465F" w:rsidRPr="00DA6D02">
              <w:rPr>
                <w:rFonts w:ascii="Arial" w:hAnsi="Arial" w:cs="Arial"/>
                <w:snapToGrid w:val="0"/>
                <w:sz w:val="18"/>
                <w:szCs w:val="22"/>
                <w:lang w:val="en-AU"/>
              </w:rPr>
              <w:t xml:space="preserve"> </w:t>
            </w:r>
            <w:r w:rsidRPr="00DA6D02">
              <w:rPr>
                <w:rFonts w:ascii="Arial" w:hAnsi="Arial" w:cs="Arial"/>
                <w:snapToGrid w:val="0"/>
                <w:sz w:val="18"/>
                <w:szCs w:val="22"/>
                <w:lang w:val="en-AU"/>
              </w:rPr>
              <w:t>This increase, which is close to the magnitude of the normal variability of AUC and Cmax, is considered to be not clinically relevant.</w:t>
            </w:r>
          </w:p>
        </w:tc>
      </w:tr>
      <w:tr w:rsidR="004C2A46" w:rsidRPr="004C2A46" w14:paraId="0012D67D" w14:textId="77777777" w:rsidTr="00900E05">
        <w:tc>
          <w:tcPr>
            <w:tcW w:w="2167" w:type="dxa"/>
            <w:shd w:val="clear" w:color="auto" w:fill="auto"/>
          </w:tcPr>
          <w:p w14:paraId="626B8598"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Moderate CYP3A4 and moderate P-gp inhibitor</w:t>
            </w:r>
          </w:p>
          <w:p w14:paraId="51F10CE2"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Erythromycin</w:t>
            </w:r>
          </w:p>
        </w:tc>
        <w:tc>
          <w:tcPr>
            <w:tcW w:w="1780" w:type="dxa"/>
            <w:shd w:val="clear" w:color="auto" w:fill="auto"/>
          </w:tcPr>
          <w:p w14:paraId="27880CD3"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rivaroxaban</w:t>
            </w:r>
          </w:p>
        </w:tc>
        <w:tc>
          <w:tcPr>
            <w:tcW w:w="4467" w:type="dxa"/>
            <w:shd w:val="clear" w:color="auto" w:fill="auto"/>
          </w:tcPr>
          <w:p w14:paraId="2960C283" w14:textId="77777777" w:rsidR="004C2A46" w:rsidRPr="00DA6D02" w:rsidRDefault="00D3465F"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500 mg tid led to a 1.3</w:t>
            </w:r>
            <w:r w:rsidRPr="00DA6D02">
              <w:rPr>
                <w:rFonts w:ascii="Arial" w:hAnsi="Arial" w:cs="Arial"/>
                <w:snapToGrid w:val="0"/>
                <w:sz w:val="18"/>
                <w:szCs w:val="22"/>
                <w:lang w:val="en-AU"/>
              </w:rPr>
              <w:noBreakHyphen/>
              <w:t>fold in</w:t>
            </w:r>
            <w:r w:rsidR="004C2A46" w:rsidRPr="00DA6D02">
              <w:rPr>
                <w:rFonts w:ascii="Arial" w:hAnsi="Arial" w:cs="Arial"/>
                <w:snapToGrid w:val="0"/>
                <w:sz w:val="18"/>
                <w:szCs w:val="22"/>
                <w:lang w:val="en-AU"/>
              </w:rPr>
              <w:t>crease in mean rivaroxaban steady state AUC and Cmax.</w:t>
            </w:r>
            <w:r w:rsidRPr="00DA6D02">
              <w:rPr>
                <w:rFonts w:ascii="Arial" w:hAnsi="Arial" w:cs="Arial"/>
                <w:snapToGrid w:val="0"/>
                <w:sz w:val="18"/>
                <w:szCs w:val="22"/>
                <w:lang w:val="en-AU"/>
              </w:rPr>
              <w:t xml:space="preserve"> </w:t>
            </w:r>
            <w:r w:rsidR="004C2A46" w:rsidRPr="00DA6D02">
              <w:rPr>
                <w:rFonts w:ascii="Arial" w:hAnsi="Arial" w:cs="Arial"/>
                <w:snapToGrid w:val="0"/>
                <w:sz w:val="18"/>
                <w:szCs w:val="22"/>
                <w:lang w:val="en-AU"/>
              </w:rPr>
              <w:t xml:space="preserve"> This increase is within th</w:t>
            </w:r>
            <w:r w:rsidRPr="00DA6D02">
              <w:rPr>
                <w:rFonts w:ascii="Arial" w:hAnsi="Arial" w:cs="Arial"/>
                <w:snapToGrid w:val="0"/>
                <w:sz w:val="18"/>
                <w:szCs w:val="22"/>
                <w:lang w:val="en-AU"/>
              </w:rPr>
              <w:t>e magnitude of the normal varia</w:t>
            </w:r>
            <w:r w:rsidR="004C2A46" w:rsidRPr="00DA6D02">
              <w:rPr>
                <w:rFonts w:ascii="Arial" w:hAnsi="Arial" w:cs="Arial"/>
                <w:snapToGrid w:val="0"/>
                <w:sz w:val="18"/>
                <w:szCs w:val="22"/>
                <w:lang w:val="en-AU"/>
              </w:rPr>
              <w:t>bility of AUC and Cmax and is considered not clinically relevant.</w:t>
            </w:r>
          </w:p>
        </w:tc>
      </w:tr>
      <w:tr w:rsidR="004C2A46" w:rsidRPr="004C2A46" w14:paraId="358C1415" w14:textId="77777777" w:rsidTr="00900E05">
        <w:tc>
          <w:tcPr>
            <w:tcW w:w="2167" w:type="dxa"/>
            <w:shd w:val="clear" w:color="auto" w:fill="auto"/>
          </w:tcPr>
          <w:p w14:paraId="6DBB240B"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Other P-gp inhibitors</w:t>
            </w:r>
          </w:p>
          <w:p w14:paraId="3F62A166"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Cyclosporine, Amiodarone,</w:t>
            </w:r>
          </w:p>
          <w:p w14:paraId="45D6A0CB"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Quinidine, Diltiazem,</w:t>
            </w:r>
          </w:p>
          <w:p w14:paraId="55E3644F"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Verapamil</w:t>
            </w:r>
          </w:p>
        </w:tc>
        <w:tc>
          <w:tcPr>
            <w:tcW w:w="1780" w:type="dxa"/>
            <w:shd w:val="clear" w:color="auto" w:fill="auto"/>
          </w:tcPr>
          <w:p w14:paraId="0F8C1F5E"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rivaroxaban</w:t>
            </w:r>
          </w:p>
        </w:tc>
        <w:tc>
          <w:tcPr>
            <w:tcW w:w="4467" w:type="dxa"/>
            <w:shd w:val="clear" w:color="auto" w:fill="auto"/>
          </w:tcPr>
          <w:p w14:paraId="0D9C0582"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xml:space="preserve">Theoretically, due to the inhibition of P-gp mediated renal excretion, concomitant administration with </w:t>
            </w:r>
            <w:r w:rsidR="005F6704" w:rsidRPr="00DA6D02">
              <w:rPr>
                <w:rFonts w:ascii="Arial" w:hAnsi="Arial" w:cs="Arial"/>
                <w:snapToGrid w:val="0"/>
                <w:sz w:val="18"/>
                <w:szCs w:val="22"/>
                <w:lang w:val="en-AU"/>
              </w:rPr>
              <w:t>XARELTO</w:t>
            </w:r>
            <w:r w:rsidRPr="00DA6D02">
              <w:rPr>
                <w:rFonts w:ascii="Arial" w:hAnsi="Arial" w:cs="Arial"/>
                <w:snapToGrid w:val="0"/>
                <w:sz w:val="18"/>
                <w:szCs w:val="22"/>
                <w:lang w:val="en-AU"/>
              </w:rPr>
              <w:t xml:space="preserve"> may lead to increased plasma rivaroxaban to a level which is considered not clinically relevant. </w:t>
            </w:r>
          </w:p>
        </w:tc>
      </w:tr>
      <w:tr w:rsidR="004C2A46" w:rsidRPr="002742BE" w14:paraId="2CBEF546" w14:textId="77777777" w:rsidTr="00900E05">
        <w:tc>
          <w:tcPr>
            <w:tcW w:w="2167" w:type="dxa"/>
            <w:shd w:val="clear" w:color="auto" w:fill="auto"/>
          </w:tcPr>
          <w:p w14:paraId="59EB4AE2"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Strong CYP 3A4 and P-gp inducer</w:t>
            </w:r>
          </w:p>
          <w:p w14:paraId="32A4B777"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Rifampicin</w:t>
            </w:r>
          </w:p>
        </w:tc>
        <w:tc>
          <w:tcPr>
            <w:tcW w:w="1780" w:type="dxa"/>
            <w:shd w:val="clear" w:color="auto" w:fill="auto"/>
          </w:tcPr>
          <w:p w14:paraId="741F1144"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rivaroxaban</w:t>
            </w:r>
          </w:p>
        </w:tc>
        <w:tc>
          <w:tcPr>
            <w:tcW w:w="4467" w:type="dxa"/>
            <w:shd w:val="clear" w:color="auto" w:fill="auto"/>
          </w:tcPr>
          <w:p w14:paraId="66E65104" w14:textId="77777777" w:rsidR="004C2A46" w:rsidRPr="00DA6D02" w:rsidRDefault="004C2A46" w:rsidP="00D3465F">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Led to an approximate 50% decrease in mean rivaroxaban AUC, with para</w:t>
            </w:r>
            <w:r w:rsidR="00D3465F" w:rsidRPr="00DA6D02">
              <w:rPr>
                <w:rFonts w:ascii="Arial" w:hAnsi="Arial" w:cs="Arial"/>
                <w:snapToGrid w:val="0"/>
                <w:sz w:val="18"/>
                <w:szCs w:val="22"/>
                <w:lang w:val="en-AU"/>
              </w:rPr>
              <w:t>llel decreases in its pharmaco</w:t>
            </w:r>
            <w:r w:rsidRPr="00DA6D02">
              <w:rPr>
                <w:rFonts w:ascii="Arial" w:hAnsi="Arial" w:cs="Arial"/>
                <w:snapToGrid w:val="0"/>
                <w:sz w:val="18"/>
                <w:szCs w:val="22"/>
                <w:lang w:val="en-AU"/>
              </w:rPr>
              <w:t xml:space="preserve">dynamic effects. </w:t>
            </w:r>
            <w:r w:rsidR="0050491F" w:rsidRPr="00DA6D02">
              <w:rPr>
                <w:rFonts w:ascii="Arial" w:hAnsi="Arial" w:cs="Arial"/>
                <w:snapToGrid w:val="0"/>
                <w:sz w:val="18"/>
                <w:szCs w:val="22"/>
                <w:lang w:val="en-AU"/>
              </w:rPr>
              <w:t xml:space="preserve"> </w:t>
            </w:r>
            <w:r w:rsidRPr="00DA6D02">
              <w:rPr>
                <w:rFonts w:ascii="Arial" w:hAnsi="Arial" w:cs="Arial"/>
                <w:snapToGrid w:val="0"/>
                <w:sz w:val="18"/>
                <w:szCs w:val="22"/>
                <w:lang w:val="en-AU"/>
              </w:rPr>
              <w:t>The decrease in rivaroxaban plasma concentration is considered not clinically relevant.</w:t>
            </w:r>
          </w:p>
        </w:tc>
      </w:tr>
      <w:tr w:rsidR="004C2A46" w:rsidRPr="002742BE" w14:paraId="0A5D0AF9" w14:textId="77777777" w:rsidTr="00900E05">
        <w:tc>
          <w:tcPr>
            <w:tcW w:w="2167" w:type="dxa"/>
            <w:shd w:val="clear" w:color="auto" w:fill="auto"/>
          </w:tcPr>
          <w:p w14:paraId="34D44AB5"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Other CYP 3A4 inducers</w:t>
            </w:r>
          </w:p>
          <w:p w14:paraId="4F42D825"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 xml:space="preserve">Anticonvulsants e.g. Phenytoin, Carbamazepine, Phenobarbitone or </w:t>
            </w:r>
          </w:p>
          <w:p w14:paraId="526AEDD7" w14:textId="77777777" w:rsidR="004C2A46" w:rsidRPr="00DA6D02" w:rsidRDefault="004C2A46" w:rsidP="004C2A46">
            <w:pPr>
              <w:pStyle w:val="BayerBodytext"/>
              <w:widowControl/>
              <w:spacing w:after="0" w:line="240" w:lineRule="auto"/>
              <w:ind w:left="0" w:right="43"/>
              <w:jc w:val="left"/>
              <w:rPr>
                <w:rFonts w:ascii="Arial" w:hAnsi="Arial" w:cs="Arial"/>
                <w:snapToGrid w:val="0"/>
                <w:sz w:val="18"/>
                <w:szCs w:val="22"/>
                <w:lang w:val="en-AU"/>
              </w:rPr>
            </w:pPr>
            <w:r w:rsidRPr="00DA6D02">
              <w:rPr>
                <w:rFonts w:ascii="Arial" w:hAnsi="Arial" w:cs="Arial"/>
                <w:snapToGrid w:val="0"/>
                <w:sz w:val="18"/>
                <w:szCs w:val="22"/>
                <w:lang w:val="en-AU"/>
              </w:rPr>
              <w:t>St John’s Wort</w:t>
            </w:r>
          </w:p>
        </w:tc>
        <w:tc>
          <w:tcPr>
            <w:tcW w:w="1780" w:type="dxa"/>
            <w:shd w:val="clear" w:color="auto" w:fill="auto"/>
          </w:tcPr>
          <w:p w14:paraId="6B33283F"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rivaroxaban</w:t>
            </w:r>
          </w:p>
        </w:tc>
        <w:tc>
          <w:tcPr>
            <w:tcW w:w="4467" w:type="dxa"/>
            <w:shd w:val="clear" w:color="auto" w:fill="auto"/>
          </w:tcPr>
          <w:p w14:paraId="249BDC3E" w14:textId="77777777" w:rsidR="004C2A46" w:rsidRPr="00DA6D02" w:rsidRDefault="004C2A46" w:rsidP="004C2A46">
            <w:pPr>
              <w:pStyle w:val="BayerBodytext"/>
              <w:widowControl/>
              <w:spacing w:before="120" w:after="120" w:line="240" w:lineRule="auto"/>
              <w:ind w:left="0" w:right="46"/>
              <w:jc w:val="left"/>
              <w:rPr>
                <w:rFonts w:ascii="Arial" w:hAnsi="Arial" w:cs="Arial"/>
                <w:snapToGrid w:val="0"/>
                <w:sz w:val="18"/>
                <w:szCs w:val="22"/>
                <w:lang w:val="en-AU"/>
              </w:rPr>
            </w:pPr>
            <w:r w:rsidRPr="00DA6D02">
              <w:rPr>
                <w:rFonts w:ascii="Arial" w:hAnsi="Arial" w:cs="Arial"/>
                <w:snapToGrid w:val="0"/>
                <w:sz w:val="18"/>
                <w:szCs w:val="22"/>
                <w:lang w:val="en-AU"/>
              </w:rPr>
              <w:t xml:space="preserve">Concomitant use with </w:t>
            </w:r>
            <w:r w:rsidR="005F6704" w:rsidRPr="00DA6D02">
              <w:rPr>
                <w:rFonts w:ascii="Arial" w:hAnsi="Arial" w:cs="Arial"/>
                <w:snapToGrid w:val="0"/>
                <w:sz w:val="18"/>
                <w:szCs w:val="22"/>
                <w:lang w:val="en-AU"/>
              </w:rPr>
              <w:t>XARELTO</w:t>
            </w:r>
            <w:r w:rsidRPr="00DA6D02">
              <w:rPr>
                <w:rFonts w:ascii="Arial" w:hAnsi="Arial" w:cs="Arial"/>
                <w:snapToGrid w:val="0"/>
                <w:sz w:val="18"/>
                <w:szCs w:val="22"/>
                <w:lang w:val="en-AU"/>
              </w:rPr>
              <w:t xml:space="preserve"> may lead to a decreased plasma rivaroxaban concentration. </w:t>
            </w:r>
          </w:p>
        </w:tc>
      </w:tr>
    </w:tbl>
    <w:p w14:paraId="2E7A9AC5" w14:textId="77777777" w:rsidR="004C2A46" w:rsidRPr="002742BE" w:rsidRDefault="004C2A46" w:rsidP="004C2A46"/>
    <w:p w14:paraId="309046C4" w14:textId="77777777" w:rsidR="004C2A46" w:rsidRPr="002742BE" w:rsidRDefault="00D2311E" w:rsidP="00AC51A2">
      <w:pPr>
        <w:pStyle w:val="Heading3"/>
      </w:pPr>
      <w:r>
        <w:lastRenderedPageBreak/>
        <w:t>Pharmacodynamic i</w:t>
      </w:r>
      <w:r w:rsidR="004C2A46" w:rsidRPr="002742BE">
        <w:t>nteractions</w:t>
      </w:r>
      <w:bookmarkEnd w:id="18"/>
    </w:p>
    <w:p w14:paraId="29F7A6D2" w14:textId="77777777" w:rsidR="004C2A46" w:rsidRPr="007D79EA" w:rsidRDefault="004C2A46" w:rsidP="00AC51A2">
      <w:pPr>
        <w:pStyle w:val="Heading4"/>
        <w:rPr>
          <w:b/>
        </w:rPr>
      </w:pPr>
      <w:r w:rsidRPr="007D79EA">
        <w:rPr>
          <w:b/>
        </w:rPr>
        <w:t>Anticoagulants</w:t>
      </w:r>
    </w:p>
    <w:p w14:paraId="1CC7830F" w14:textId="77777777" w:rsidR="004C2A46" w:rsidRPr="00BA01EB" w:rsidRDefault="004C2A46" w:rsidP="008A2D92">
      <w:pPr>
        <w:spacing w:before="120" w:after="120"/>
        <w:ind w:left="630" w:right="45"/>
        <w:rPr>
          <w:rFonts w:cs="Arial"/>
          <w:szCs w:val="22"/>
        </w:rPr>
      </w:pPr>
      <w:r w:rsidRPr="002742BE">
        <w:rPr>
          <w:rFonts w:cs="Arial"/>
          <w:szCs w:val="22"/>
        </w:rPr>
        <w:t>After combined administratio</w:t>
      </w:r>
      <w:r w:rsidR="00D3465F">
        <w:rPr>
          <w:rFonts w:cs="Arial"/>
          <w:szCs w:val="22"/>
        </w:rPr>
        <w:t xml:space="preserve">n of enoxaparin (40 </w:t>
      </w:r>
      <w:r w:rsidRPr="002742BE">
        <w:rPr>
          <w:rFonts w:cs="Arial"/>
          <w:szCs w:val="22"/>
        </w:rPr>
        <w:t>mg single dose) with rivaroxaban (10</w:t>
      </w:r>
      <w:r w:rsidR="00D3465F">
        <w:rPr>
          <w:rFonts w:cs="Arial"/>
          <w:szCs w:val="22"/>
        </w:rPr>
        <w:t xml:space="preserve"> </w:t>
      </w:r>
      <w:r w:rsidRPr="002742BE">
        <w:rPr>
          <w:rFonts w:cs="Arial"/>
          <w:szCs w:val="22"/>
        </w:rPr>
        <w:t>mg single dose), an</w:t>
      </w:r>
      <w:r w:rsidR="00D3465F">
        <w:rPr>
          <w:rFonts w:cs="Arial"/>
          <w:szCs w:val="22"/>
        </w:rPr>
        <w:t xml:space="preserve"> additive effect on anti-Factor </w:t>
      </w:r>
      <w:r w:rsidRPr="002742BE">
        <w:rPr>
          <w:rFonts w:cs="Arial"/>
          <w:szCs w:val="22"/>
        </w:rPr>
        <w:t xml:space="preserve">Xa activity was observed without any additional effects on clotting tests (PT, aPTT). </w:t>
      </w:r>
      <w:r w:rsidR="0080392D">
        <w:rPr>
          <w:rFonts w:cs="Arial"/>
          <w:szCs w:val="22"/>
        </w:rPr>
        <w:t xml:space="preserve"> </w:t>
      </w:r>
      <w:r w:rsidRPr="002742BE">
        <w:rPr>
          <w:rFonts w:cs="Arial"/>
          <w:szCs w:val="22"/>
        </w:rPr>
        <w:t>Enoxaparin did not affect the pharmaco</w:t>
      </w:r>
      <w:r w:rsidRPr="002742BE">
        <w:rPr>
          <w:rFonts w:cs="Arial"/>
          <w:szCs w:val="22"/>
        </w:rPr>
        <w:softHyphen/>
        <w:t>kinetics of rivaroxaban.</w:t>
      </w:r>
      <w:r w:rsidRPr="00785E07">
        <w:rPr>
          <w:rFonts w:cs="Arial"/>
          <w:szCs w:val="22"/>
        </w:rPr>
        <w:t xml:space="preserve"> </w:t>
      </w:r>
      <w:r w:rsidR="00D3465F" w:rsidRPr="00785E07">
        <w:rPr>
          <w:rFonts w:cs="Arial"/>
          <w:szCs w:val="22"/>
        </w:rPr>
        <w:t xml:space="preserve"> </w:t>
      </w:r>
      <w:r w:rsidRPr="002742BE">
        <w:rPr>
          <w:rFonts w:cs="Arial"/>
          <w:szCs w:val="22"/>
        </w:rPr>
        <w:t xml:space="preserve">Co administration of </w:t>
      </w:r>
      <w:r w:rsidR="005F6704">
        <w:rPr>
          <w:rFonts w:cs="Arial"/>
          <w:szCs w:val="22"/>
        </w:rPr>
        <w:t>XARELTO</w:t>
      </w:r>
      <w:r w:rsidRPr="002742BE">
        <w:rPr>
          <w:rFonts w:cs="Arial"/>
          <w:szCs w:val="22"/>
        </w:rPr>
        <w:t xml:space="preserve"> with other anticoagulant therapy has not been studied in clinical trials and is not recommended, as it may lead to an increased b</w:t>
      </w:r>
      <w:r w:rsidR="00785E07">
        <w:rPr>
          <w:rFonts w:cs="Arial"/>
          <w:szCs w:val="22"/>
        </w:rPr>
        <w:t>leeding risk (see</w:t>
      </w:r>
      <w:r w:rsidR="00C50B2C">
        <w:rPr>
          <w:rFonts w:cs="Arial"/>
          <w:szCs w:val="22"/>
        </w:rPr>
        <w:t xml:space="preserve"> Section 4</w:t>
      </w:r>
      <w:r w:rsidR="00C50B2C" w:rsidRPr="00BA01EB">
        <w:rPr>
          <w:rFonts w:cs="Arial"/>
          <w:szCs w:val="22"/>
        </w:rPr>
        <w:t>.4</w:t>
      </w:r>
      <w:r w:rsidR="00FB0882">
        <w:rPr>
          <w:rFonts w:cs="Arial"/>
          <w:szCs w:val="22"/>
        </w:rPr>
        <w:t xml:space="preserve"> </w:t>
      </w:r>
      <w:r w:rsidR="00A810D1" w:rsidRPr="00A810D1">
        <w:rPr>
          <w:rFonts w:cs="Arial"/>
          <w:szCs w:val="22"/>
        </w:rPr>
        <w:fldChar w:fldCharType="begin"/>
      </w:r>
      <w:r w:rsidR="00A810D1" w:rsidRPr="00A810D1">
        <w:rPr>
          <w:rFonts w:cs="Arial"/>
          <w:szCs w:val="22"/>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cs="Arial"/>
          <w:szCs w:val="22"/>
        </w:rPr>
        <w:t>SPECIAL WARNINGS AND PRECAUTIONS FOR USE</w:t>
      </w:r>
      <w:r w:rsidR="00A810D1" w:rsidRPr="00A810D1">
        <w:rPr>
          <w:rFonts w:cs="Arial"/>
          <w:szCs w:val="22"/>
        </w:rPr>
        <w:fldChar w:fldCharType="end"/>
      </w:r>
      <w:r w:rsidR="00785E07" w:rsidRPr="00BA01EB">
        <w:rPr>
          <w:rFonts w:cs="Arial"/>
          <w:szCs w:val="22"/>
        </w:rPr>
        <w:t>).</w:t>
      </w:r>
    </w:p>
    <w:p w14:paraId="2CFB95D7" w14:textId="77777777" w:rsidR="004C2A46" w:rsidRPr="002742BE" w:rsidRDefault="004C2A46" w:rsidP="008A2D92">
      <w:pPr>
        <w:spacing w:before="120" w:after="120"/>
        <w:ind w:left="630" w:right="45"/>
        <w:rPr>
          <w:rFonts w:cs="Arial"/>
          <w:szCs w:val="22"/>
        </w:rPr>
      </w:pPr>
      <w:r w:rsidRPr="002742BE">
        <w:rPr>
          <w:rFonts w:cs="Arial"/>
          <w:szCs w:val="22"/>
        </w:rPr>
        <w:t xml:space="preserve">Converting patients from warfarin (INR 2.0 to 3.0) to </w:t>
      </w:r>
      <w:r w:rsidR="005F6704">
        <w:rPr>
          <w:rFonts w:cs="Arial"/>
          <w:szCs w:val="22"/>
        </w:rPr>
        <w:t>XARELTO</w:t>
      </w:r>
      <w:r w:rsidRPr="002742BE">
        <w:rPr>
          <w:rFonts w:cs="Arial"/>
          <w:szCs w:val="22"/>
        </w:rPr>
        <w:t xml:space="preserve"> 2</w:t>
      </w:r>
      <w:r w:rsidR="00D3465F">
        <w:rPr>
          <w:rFonts w:cs="Arial"/>
          <w:szCs w:val="22"/>
        </w:rPr>
        <w:t xml:space="preserve">0 </w:t>
      </w:r>
      <w:r w:rsidRPr="002742BE">
        <w:rPr>
          <w:rFonts w:cs="Arial"/>
          <w:szCs w:val="22"/>
        </w:rPr>
        <w:t xml:space="preserve">mg or from </w:t>
      </w:r>
      <w:r w:rsidR="005F6704">
        <w:rPr>
          <w:rFonts w:cs="Arial"/>
          <w:szCs w:val="22"/>
        </w:rPr>
        <w:t>XARELTO</w:t>
      </w:r>
      <w:r w:rsidRPr="002742BE">
        <w:rPr>
          <w:rFonts w:cs="Arial"/>
          <w:szCs w:val="22"/>
        </w:rPr>
        <w:t xml:space="preserve"> (20 mg) to warfarin (INR 2.0 to 3.0) increased prothrombin time/INR (Neoplastin) more than additively (individual INR values up to 12 may be observed), whereas effects on aPTT, inhibition of Factor Xa activity and endogenous thrombin potential were additive.</w:t>
      </w:r>
      <w:r w:rsidR="00D3465F">
        <w:rPr>
          <w:rFonts w:cs="Arial"/>
          <w:szCs w:val="22"/>
        </w:rPr>
        <w:t xml:space="preserve"> </w:t>
      </w:r>
      <w:r w:rsidRPr="002742BE">
        <w:rPr>
          <w:rFonts w:cs="Arial"/>
          <w:szCs w:val="22"/>
        </w:rPr>
        <w:t xml:space="preserve"> It should be noted that the anticoagulant effect of rivaroxaban does not correlate to INR values and therefore INR should not be used.</w:t>
      </w:r>
    </w:p>
    <w:p w14:paraId="4AB02635" w14:textId="77777777" w:rsidR="004C2A46" w:rsidRPr="002742BE" w:rsidRDefault="004C2A46" w:rsidP="008A2D92">
      <w:pPr>
        <w:spacing w:before="120" w:after="120"/>
        <w:ind w:left="630" w:right="45"/>
        <w:rPr>
          <w:rFonts w:cs="Arial"/>
          <w:bCs/>
          <w:szCs w:val="22"/>
        </w:rPr>
      </w:pPr>
      <w:r w:rsidRPr="002742BE">
        <w:rPr>
          <w:rFonts w:cs="Arial"/>
          <w:bCs/>
          <w:szCs w:val="22"/>
        </w:rPr>
        <w:t xml:space="preserve">If it is desired to test the pharmacodynamic effects of </w:t>
      </w:r>
      <w:r w:rsidR="005F6704">
        <w:rPr>
          <w:rFonts w:cs="Arial"/>
          <w:bCs/>
          <w:szCs w:val="22"/>
        </w:rPr>
        <w:t>XARELTO</w:t>
      </w:r>
      <w:r w:rsidRPr="002742BE">
        <w:rPr>
          <w:rFonts w:cs="Arial"/>
          <w:bCs/>
          <w:szCs w:val="22"/>
        </w:rPr>
        <w:t xml:space="preserve"> during the conversion period, anti-Factor Xa activity, PiCT, and HepTest can be used as these tests were not affected by warfarin.</w:t>
      </w:r>
      <w:r w:rsidR="00656FA2">
        <w:rPr>
          <w:rFonts w:cs="Arial"/>
          <w:bCs/>
          <w:szCs w:val="22"/>
        </w:rPr>
        <w:t xml:space="preserve"> </w:t>
      </w:r>
      <w:r w:rsidRPr="002742BE">
        <w:rPr>
          <w:rFonts w:cs="Arial"/>
          <w:bCs/>
          <w:szCs w:val="22"/>
        </w:rPr>
        <w:t xml:space="preserve"> From day 4 after stopping warfarin onwards, all tests (including PT, aPTT, inhibition of Factor Xa activity and ETP) reflected only the effect of </w:t>
      </w:r>
      <w:r w:rsidR="005F6704">
        <w:rPr>
          <w:rFonts w:cs="Arial"/>
          <w:bCs/>
          <w:szCs w:val="22"/>
        </w:rPr>
        <w:t>XARELTO</w:t>
      </w:r>
      <w:r w:rsidRPr="002742BE">
        <w:rPr>
          <w:rFonts w:cs="Arial"/>
          <w:bCs/>
          <w:szCs w:val="22"/>
        </w:rPr>
        <w:t xml:space="preserve"> (see</w:t>
      </w:r>
      <w:r w:rsidR="00C50B2C">
        <w:rPr>
          <w:rFonts w:cs="Arial"/>
          <w:bCs/>
          <w:szCs w:val="22"/>
        </w:rPr>
        <w:t xml:space="preserve"> Section 4</w:t>
      </w:r>
      <w:r w:rsidR="00C50B2C" w:rsidRPr="00BA01EB">
        <w:rPr>
          <w:rFonts w:cs="Arial"/>
          <w:bCs/>
          <w:szCs w:val="22"/>
        </w:rPr>
        <w:t>.2</w:t>
      </w:r>
      <w:r w:rsidRPr="00BA01EB">
        <w:rPr>
          <w:rFonts w:cs="Arial"/>
          <w:bCs/>
          <w:szCs w:val="22"/>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Pr="002742BE">
        <w:rPr>
          <w:rFonts w:cs="Arial"/>
          <w:bCs/>
          <w:szCs w:val="22"/>
        </w:rPr>
        <w:t>).</w:t>
      </w:r>
    </w:p>
    <w:p w14:paraId="62B69592" w14:textId="77777777" w:rsidR="004C2A46" w:rsidRPr="002742BE" w:rsidRDefault="004C2A46" w:rsidP="008A2D92">
      <w:pPr>
        <w:spacing w:before="120" w:after="120"/>
        <w:ind w:left="630" w:right="45"/>
        <w:rPr>
          <w:rFonts w:cs="Arial"/>
          <w:bCs/>
          <w:szCs w:val="22"/>
        </w:rPr>
      </w:pPr>
      <w:r w:rsidRPr="002742BE">
        <w:rPr>
          <w:rFonts w:cs="Arial"/>
          <w:bCs/>
          <w:szCs w:val="22"/>
        </w:rPr>
        <w:t>If it is desired to test the pharmacodynamic effects of warfarin during the conversion period, INR measurement can be used at the C</w:t>
      </w:r>
      <w:r w:rsidRPr="002742BE">
        <w:rPr>
          <w:rFonts w:cs="Arial"/>
          <w:bCs/>
          <w:szCs w:val="22"/>
          <w:vertAlign w:val="subscript"/>
        </w:rPr>
        <w:t>trough</w:t>
      </w:r>
      <w:r w:rsidRPr="002742BE">
        <w:rPr>
          <w:rFonts w:cs="Arial"/>
          <w:bCs/>
          <w:szCs w:val="22"/>
        </w:rPr>
        <w:t xml:space="preserve"> of rivaroxaban (24 hours after the previous intake of rivaroxaban) as this test is minimally affected by rivaroxaban at this time point.</w:t>
      </w:r>
    </w:p>
    <w:p w14:paraId="1194E579" w14:textId="77777777" w:rsidR="004C2A46" w:rsidRPr="002742BE" w:rsidRDefault="004C2A46" w:rsidP="008A2D92">
      <w:pPr>
        <w:spacing w:before="120" w:after="120"/>
        <w:ind w:right="45" w:firstLine="630"/>
        <w:rPr>
          <w:rFonts w:cs="Arial"/>
          <w:bCs/>
          <w:szCs w:val="22"/>
        </w:rPr>
      </w:pPr>
      <w:r w:rsidRPr="002742BE">
        <w:rPr>
          <w:rFonts w:cs="Arial"/>
          <w:bCs/>
          <w:szCs w:val="22"/>
        </w:rPr>
        <w:t xml:space="preserve">No pharmacokinetic interaction was observed between warfarin and </w:t>
      </w:r>
      <w:r w:rsidR="005F6704">
        <w:rPr>
          <w:rFonts w:cs="Arial"/>
          <w:bCs/>
          <w:szCs w:val="22"/>
        </w:rPr>
        <w:t>XARELTO</w:t>
      </w:r>
      <w:r w:rsidRPr="002742BE">
        <w:rPr>
          <w:rFonts w:cs="Arial"/>
          <w:bCs/>
          <w:szCs w:val="22"/>
        </w:rPr>
        <w:t>.</w:t>
      </w:r>
    </w:p>
    <w:p w14:paraId="183407DC" w14:textId="77777777" w:rsidR="004C2A46" w:rsidRPr="004C2A46" w:rsidRDefault="004C2A46" w:rsidP="00AC51A2">
      <w:pPr>
        <w:pStyle w:val="Heading4"/>
      </w:pPr>
      <w:r w:rsidRPr="004C2A46">
        <w:t>Non-steroidal anti-inflammatory drugs</w:t>
      </w:r>
    </w:p>
    <w:p w14:paraId="1F1E3F8B" w14:textId="77777777" w:rsidR="004C2A46" w:rsidRPr="00BA01EB" w:rsidRDefault="004C2A46" w:rsidP="008A2D92">
      <w:pPr>
        <w:spacing w:before="120" w:after="120"/>
        <w:ind w:left="630" w:right="45"/>
        <w:rPr>
          <w:rFonts w:cs="Arial"/>
          <w:iCs/>
          <w:szCs w:val="22"/>
        </w:rPr>
      </w:pPr>
      <w:r w:rsidRPr="002742BE">
        <w:rPr>
          <w:rFonts w:cs="Arial"/>
          <w:szCs w:val="22"/>
        </w:rPr>
        <w:t>Bleeding time was prolonged after co-</w:t>
      </w:r>
      <w:r w:rsidR="00656FA2">
        <w:rPr>
          <w:rFonts w:cs="Arial"/>
          <w:szCs w:val="22"/>
        </w:rPr>
        <w:t xml:space="preserve">administration of naproxen (500 </w:t>
      </w:r>
      <w:r w:rsidRPr="002742BE">
        <w:rPr>
          <w:rFonts w:cs="Arial"/>
          <w:szCs w:val="22"/>
        </w:rPr>
        <w:t xml:space="preserve">mg) and rivaroxaban (mean </w:t>
      </w:r>
      <w:r w:rsidR="00656FA2">
        <w:rPr>
          <w:rFonts w:cs="Arial"/>
          <w:szCs w:val="22"/>
        </w:rPr>
        <w:t xml:space="preserve">11.3 </w:t>
      </w:r>
      <w:r w:rsidRPr="002742BE">
        <w:rPr>
          <w:rFonts w:cs="Arial"/>
          <w:szCs w:val="22"/>
        </w:rPr>
        <w:t>minute</w:t>
      </w:r>
      <w:r w:rsidR="00656FA2">
        <w:rPr>
          <w:rFonts w:cs="Arial"/>
          <w:szCs w:val="22"/>
        </w:rPr>
        <w:t xml:space="preserve">s) as compared to naproxen (500 mg) alone (7.9 </w:t>
      </w:r>
      <w:r w:rsidRPr="002742BE">
        <w:rPr>
          <w:rFonts w:cs="Arial"/>
          <w:szCs w:val="22"/>
        </w:rPr>
        <w:t>minu</w:t>
      </w:r>
      <w:r w:rsidR="00656FA2">
        <w:rPr>
          <w:rFonts w:cs="Arial"/>
          <w:szCs w:val="22"/>
        </w:rPr>
        <w:t xml:space="preserve">tes) and rivaroxaban alone (6.1 </w:t>
      </w:r>
      <w:r w:rsidRPr="002742BE">
        <w:rPr>
          <w:rFonts w:cs="Arial"/>
          <w:szCs w:val="22"/>
        </w:rPr>
        <w:t>minutes, normal</w:t>
      </w:r>
      <w:r w:rsidR="00656FA2">
        <w:rPr>
          <w:rFonts w:cs="Arial"/>
          <w:szCs w:val="22"/>
        </w:rPr>
        <w:t xml:space="preserve"> range of bleeding time: 2 to 8 </w:t>
      </w:r>
      <w:r w:rsidRPr="002742BE">
        <w:rPr>
          <w:rFonts w:cs="Arial"/>
          <w:szCs w:val="22"/>
        </w:rPr>
        <w:t xml:space="preserve">minutes). </w:t>
      </w:r>
      <w:r w:rsidR="00656FA2">
        <w:rPr>
          <w:rFonts w:cs="Arial"/>
          <w:szCs w:val="22"/>
        </w:rPr>
        <w:t xml:space="preserve"> </w:t>
      </w:r>
      <w:r w:rsidRPr="002742BE">
        <w:rPr>
          <w:rFonts w:cs="Arial"/>
          <w:szCs w:val="22"/>
        </w:rPr>
        <w:t>In the three Phase III trials (R</w:t>
      </w:r>
      <w:r w:rsidR="00656FA2">
        <w:rPr>
          <w:rFonts w:cs="Arial"/>
          <w:szCs w:val="22"/>
        </w:rPr>
        <w:t>ECORD 1, 2, and 3) more than 70</w:t>
      </w:r>
      <w:r w:rsidRPr="002742BE">
        <w:rPr>
          <w:rFonts w:cs="Arial"/>
          <w:szCs w:val="22"/>
        </w:rPr>
        <w:t xml:space="preserve">% of subjects received concomitant NSAIDs with a similar risk of bleeding as compared to comparator treatment. </w:t>
      </w:r>
      <w:r w:rsidR="00656FA2">
        <w:rPr>
          <w:rFonts w:cs="Arial"/>
          <w:szCs w:val="22"/>
        </w:rPr>
        <w:t xml:space="preserve"> </w:t>
      </w:r>
      <w:r w:rsidRPr="002742BE">
        <w:rPr>
          <w:rFonts w:cs="Arial"/>
          <w:szCs w:val="22"/>
        </w:rPr>
        <w:t>However, due to the general impact on haemostasis, care should be taken if anticoagulated patients are treated concomitantly with NSAIDs (see</w:t>
      </w:r>
      <w:r w:rsidR="00C50B2C">
        <w:rPr>
          <w:rFonts w:cs="Arial"/>
          <w:szCs w:val="22"/>
        </w:rPr>
        <w:t xml:space="preserve"> Section 4.</w:t>
      </w:r>
      <w:r w:rsidR="00C50B2C" w:rsidRPr="00BA01EB">
        <w:rPr>
          <w:rFonts w:cs="Arial"/>
          <w:szCs w:val="22"/>
        </w:rPr>
        <w:t>4</w:t>
      </w:r>
      <w:r w:rsidR="00FB0882">
        <w:rPr>
          <w:rFonts w:cs="Arial"/>
          <w:szCs w:val="22"/>
        </w:rPr>
        <w:t xml:space="preserve"> </w:t>
      </w:r>
      <w:r w:rsidR="00A810D1" w:rsidRPr="00A810D1">
        <w:rPr>
          <w:rFonts w:cs="Arial"/>
          <w:szCs w:val="22"/>
        </w:rPr>
        <w:fldChar w:fldCharType="begin"/>
      </w:r>
      <w:r w:rsidR="00A810D1" w:rsidRPr="00A810D1">
        <w:rPr>
          <w:rFonts w:cs="Arial"/>
          <w:szCs w:val="22"/>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cs="Arial"/>
          <w:szCs w:val="22"/>
        </w:rPr>
        <w:t>SPECIAL WARNINGS AND PRECAUTIONS FOR USE</w:t>
      </w:r>
      <w:r w:rsidR="00A810D1" w:rsidRPr="00A810D1">
        <w:rPr>
          <w:rFonts w:cs="Arial"/>
          <w:szCs w:val="22"/>
        </w:rPr>
        <w:fldChar w:fldCharType="end"/>
      </w:r>
      <w:r w:rsidRPr="00BA01EB">
        <w:rPr>
          <w:rFonts w:cs="Arial"/>
          <w:szCs w:val="22"/>
        </w:rPr>
        <w:t xml:space="preserve">). </w:t>
      </w:r>
    </w:p>
    <w:p w14:paraId="667868F2" w14:textId="77777777" w:rsidR="004C2A46" w:rsidRPr="002742BE" w:rsidRDefault="004C2A46" w:rsidP="008A2D92">
      <w:pPr>
        <w:spacing w:before="120" w:after="120"/>
        <w:ind w:left="630" w:right="46"/>
        <w:rPr>
          <w:rFonts w:cs="Arial"/>
          <w:iCs/>
          <w:szCs w:val="22"/>
        </w:rPr>
      </w:pPr>
      <w:r w:rsidRPr="00BA01EB">
        <w:rPr>
          <w:rFonts w:cs="Arial"/>
          <w:iCs/>
          <w:szCs w:val="22"/>
        </w:rPr>
        <w:t xml:space="preserve">No clinically relevant prolongation of bleeding time was observed after concomitant administration </w:t>
      </w:r>
      <w:r w:rsidR="00656FA2" w:rsidRPr="00BA01EB">
        <w:rPr>
          <w:rFonts w:cs="Arial"/>
          <w:szCs w:val="22"/>
        </w:rPr>
        <w:t xml:space="preserve">of </w:t>
      </w:r>
      <w:r w:rsidR="005F6704" w:rsidRPr="00BA01EB">
        <w:rPr>
          <w:rFonts w:cs="Arial"/>
          <w:szCs w:val="22"/>
        </w:rPr>
        <w:t>XARELTO</w:t>
      </w:r>
      <w:r w:rsidR="00656FA2" w:rsidRPr="00BA01EB">
        <w:rPr>
          <w:rFonts w:cs="Arial"/>
          <w:szCs w:val="22"/>
        </w:rPr>
        <w:t xml:space="preserve"> (15 mg) and 500 mg naproxen.  </w:t>
      </w:r>
      <w:r w:rsidRPr="00BA01EB">
        <w:rPr>
          <w:rFonts w:cs="Arial"/>
          <w:szCs w:val="22"/>
        </w:rPr>
        <w:t>Nevertheless there may be</w:t>
      </w:r>
      <w:r w:rsidRPr="00BA01EB">
        <w:rPr>
          <w:rFonts w:cs="Arial"/>
          <w:iCs/>
          <w:szCs w:val="22"/>
        </w:rPr>
        <w:t xml:space="preserve"> individuals with more pronounced pharmacodynamic response (see</w:t>
      </w:r>
      <w:r w:rsidR="00C50B2C" w:rsidRPr="00BA01EB">
        <w:rPr>
          <w:rFonts w:cs="Arial"/>
          <w:iCs/>
          <w:szCs w:val="22"/>
        </w:rPr>
        <w:t xml:space="preserve"> Section 4.4</w:t>
      </w:r>
      <w:r w:rsidR="00FB0882">
        <w:rPr>
          <w:rFonts w:cs="Arial"/>
          <w:iCs/>
          <w:szCs w:val="22"/>
        </w:rPr>
        <w:t xml:space="preserve"> </w:t>
      </w:r>
      <w:r w:rsidR="00A810D1" w:rsidRPr="00A810D1">
        <w:rPr>
          <w:rFonts w:cs="Arial"/>
          <w:szCs w:val="22"/>
        </w:rPr>
        <w:fldChar w:fldCharType="begin"/>
      </w:r>
      <w:r w:rsidR="00A810D1" w:rsidRPr="00A810D1">
        <w:rPr>
          <w:rFonts w:cs="Arial"/>
          <w:szCs w:val="22"/>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cs="Arial"/>
          <w:szCs w:val="22"/>
        </w:rPr>
        <w:t>SPECIAL WARNINGS AND PRECAUTIONS FOR USE</w:t>
      </w:r>
      <w:r w:rsidR="00A810D1" w:rsidRPr="00A810D1">
        <w:rPr>
          <w:rFonts w:cs="Arial"/>
          <w:szCs w:val="22"/>
        </w:rPr>
        <w:fldChar w:fldCharType="end"/>
      </w:r>
      <w:r w:rsidRPr="002742BE">
        <w:rPr>
          <w:rFonts w:cs="Arial"/>
          <w:iCs/>
          <w:szCs w:val="22"/>
        </w:rPr>
        <w:t>).</w:t>
      </w:r>
    </w:p>
    <w:p w14:paraId="345F079F" w14:textId="77777777" w:rsidR="004C2A46" w:rsidRPr="007D79EA" w:rsidRDefault="004C2A46" w:rsidP="00AC51A2">
      <w:pPr>
        <w:pStyle w:val="Heading4"/>
        <w:rPr>
          <w:b/>
        </w:rPr>
      </w:pPr>
      <w:r w:rsidRPr="007D79EA">
        <w:rPr>
          <w:b/>
        </w:rPr>
        <w:t xml:space="preserve">Platelet aggregation inhibitors </w:t>
      </w:r>
    </w:p>
    <w:p w14:paraId="3CB43455" w14:textId="77777777" w:rsidR="004C2A46" w:rsidRPr="00BA01EB" w:rsidRDefault="004C2A46" w:rsidP="008A2D92">
      <w:pPr>
        <w:spacing w:before="120" w:after="120"/>
        <w:ind w:left="630" w:right="45"/>
        <w:rPr>
          <w:rFonts w:cs="Arial"/>
          <w:szCs w:val="22"/>
        </w:rPr>
      </w:pPr>
      <w:r w:rsidRPr="004C2A46">
        <w:rPr>
          <w:rFonts w:cs="Arial"/>
          <w:szCs w:val="22"/>
        </w:rPr>
        <w:t>Clopidogre</w:t>
      </w:r>
      <w:r w:rsidR="00656FA2">
        <w:rPr>
          <w:rFonts w:cs="Arial"/>
          <w:szCs w:val="22"/>
        </w:rPr>
        <w:t xml:space="preserve">l (300 mg loading dose followed by 75 </w:t>
      </w:r>
      <w:r w:rsidRPr="004C2A46">
        <w:rPr>
          <w:rFonts w:cs="Arial"/>
          <w:szCs w:val="22"/>
        </w:rPr>
        <w:t>mg maintenanc</w:t>
      </w:r>
      <w:r w:rsidR="00656FA2">
        <w:rPr>
          <w:rFonts w:cs="Arial"/>
          <w:szCs w:val="22"/>
        </w:rPr>
        <w:t>e dose) did not show a pharmaco</w:t>
      </w:r>
      <w:r w:rsidRPr="004C2A46">
        <w:rPr>
          <w:rFonts w:cs="Arial"/>
          <w:szCs w:val="22"/>
        </w:rPr>
        <w:t xml:space="preserve">kinetic interaction (with </w:t>
      </w:r>
      <w:r w:rsidR="005F6704">
        <w:rPr>
          <w:rFonts w:cs="Arial"/>
          <w:szCs w:val="22"/>
        </w:rPr>
        <w:t>XARELTO</w:t>
      </w:r>
      <w:r w:rsidRPr="004C2A46">
        <w:rPr>
          <w:rFonts w:cs="Arial"/>
          <w:szCs w:val="22"/>
        </w:rPr>
        <w:t xml:space="preserve"> 15 mg). </w:t>
      </w:r>
      <w:r w:rsidR="0080392D">
        <w:rPr>
          <w:rFonts w:cs="Arial"/>
          <w:szCs w:val="22"/>
        </w:rPr>
        <w:t xml:space="preserve"> </w:t>
      </w:r>
      <w:r w:rsidRPr="004C2A46">
        <w:rPr>
          <w:rFonts w:cs="Arial"/>
          <w:szCs w:val="22"/>
        </w:rPr>
        <w:t xml:space="preserve">Bleeding time was prolonged after co-administration of clopidogrel and rivaroxaban (mean 21.7 minutes) as compared to clopidogrel alone (12.7 minutes) and rivaroxaban alone (7.7 minutes, normal range of bleeding time: 2 to 8 minutes). </w:t>
      </w:r>
      <w:r w:rsidR="0080392D">
        <w:rPr>
          <w:rFonts w:cs="Arial"/>
          <w:szCs w:val="22"/>
        </w:rPr>
        <w:t xml:space="preserve"> </w:t>
      </w:r>
      <w:r w:rsidRPr="004C2A46">
        <w:rPr>
          <w:rFonts w:cs="Arial"/>
          <w:szCs w:val="22"/>
        </w:rPr>
        <w:t>This increase in the combined treatment group was driven by a subset of patients in whom pronounced prolongations of bleeding times were observed.</w:t>
      </w:r>
      <w:r w:rsidR="00656FA2">
        <w:rPr>
          <w:rFonts w:cs="Arial"/>
          <w:szCs w:val="22"/>
        </w:rPr>
        <w:t xml:space="preserve"> </w:t>
      </w:r>
      <w:r w:rsidRPr="004C2A46">
        <w:rPr>
          <w:rFonts w:cs="Arial"/>
          <w:szCs w:val="22"/>
        </w:rPr>
        <w:t xml:space="preserve"> These prolongations of bleeding time </w:t>
      </w:r>
      <w:r w:rsidRPr="004C2A46">
        <w:rPr>
          <w:rFonts w:cs="Arial"/>
          <w:szCs w:val="22"/>
        </w:rPr>
        <w:lastRenderedPageBreak/>
        <w:t xml:space="preserve">did not correlate to platelet aggregation, P-selectin or GPIIb/IIIa receptor levels. </w:t>
      </w:r>
      <w:r w:rsidR="00656FA2">
        <w:rPr>
          <w:rFonts w:cs="Arial"/>
          <w:szCs w:val="22"/>
        </w:rPr>
        <w:t xml:space="preserve"> </w:t>
      </w:r>
      <w:r w:rsidRPr="004C2A46">
        <w:rPr>
          <w:rFonts w:cs="Arial"/>
          <w:szCs w:val="22"/>
        </w:rPr>
        <w:t>For patients on antiplatelet therapy, a careful individual risk benefit assessment should be performed regarding the additional bleeding risk versus the thrombotic risk associated with the underlying diseases</w:t>
      </w:r>
      <w:r w:rsidR="00656FA2">
        <w:rPr>
          <w:rFonts w:cs="Arial"/>
          <w:szCs w:val="22"/>
        </w:rPr>
        <w:t xml:space="preserve"> (see</w:t>
      </w:r>
      <w:r w:rsidR="00C50B2C">
        <w:rPr>
          <w:rFonts w:cs="Arial"/>
          <w:szCs w:val="22"/>
        </w:rPr>
        <w:t xml:space="preserve"> Section 4.</w:t>
      </w:r>
      <w:r w:rsidR="00C50B2C" w:rsidRPr="00BA01EB">
        <w:rPr>
          <w:rFonts w:cs="Arial"/>
          <w:szCs w:val="22"/>
        </w:rPr>
        <w:t>4</w:t>
      </w:r>
      <w:r w:rsidR="00FB0882">
        <w:rPr>
          <w:rFonts w:cs="Arial"/>
          <w:szCs w:val="22"/>
        </w:rPr>
        <w:t xml:space="preserve"> </w:t>
      </w:r>
      <w:r w:rsidR="00A810D1" w:rsidRPr="00A810D1">
        <w:rPr>
          <w:rFonts w:cs="Arial"/>
          <w:szCs w:val="22"/>
        </w:rPr>
        <w:fldChar w:fldCharType="begin"/>
      </w:r>
      <w:r w:rsidR="00A810D1" w:rsidRPr="00A810D1">
        <w:rPr>
          <w:rFonts w:cs="Arial"/>
          <w:szCs w:val="22"/>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cs="Arial"/>
          <w:szCs w:val="22"/>
        </w:rPr>
        <w:t>SPECIAL WARNINGS AND PRECAUTIONS FOR USE</w:t>
      </w:r>
      <w:r w:rsidR="00A810D1" w:rsidRPr="00A810D1">
        <w:rPr>
          <w:rFonts w:cs="Arial"/>
          <w:szCs w:val="22"/>
        </w:rPr>
        <w:fldChar w:fldCharType="end"/>
      </w:r>
      <w:r w:rsidR="00656FA2" w:rsidRPr="00BA01EB">
        <w:rPr>
          <w:rFonts w:cs="Arial"/>
          <w:szCs w:val="22"/>
        </w:rPr>
        <w:t>).</w:t>
      </w:r>
    </w:p>
    <w:p w14:paraId="684864FD" w14:textId="77777777" w:rsidR="004C2A46" w:rsidRPr="007D79EA" w:rsidRDefault="004C2A46" w:rsidP="00AC51A2">
      <w:pPr>
        <w:pStyle w:val="Heading4"/>
        <w:rPr>
          <w:b/>
        </w:rPr>
      </w:pPr>
      <w:bookmarkStart w:id="20" w:name="_Toc180211516"/>
      <w:r w:rsidRPr="007D79EA">
        <w:rPr>
          <w:rFonts w:hint="eastAsia"/>
          <w:b/>
        </w:rPr>
        <w:t>Selective Serotonin Reuptake Inhibitors</w:t>
      </w:r>
      <w:r w:rsidRPr="007D79EA">
        <w:rPr>
          <w:b/>
        </w:rPr>
        <w:t xml:space="preserve"> or Selective Norepinephrine Reuptake Inhibitors </w:t>
      </w:r>
    </w:p>
    <w:p w14:paraId="3C571C05" w14:textId="77777777" w:rsidR="004C2A46" w:rsidRPr="004C2A46" w:rsidRDefault="004C2A46" w:rsidP="008A2D92">
      <w:pPr>
        <w:spacing w:before="120" w:after="120"/>
        <w:ind w:left="630" w:right="45"/>
        <w:rPr>
          <w:rFonts w:cs="Arial"/>
          <w:szCs w:val="22"/>
        </w:rPr>
      </w:pPr>
      <w:r w:rsidRPr="004C2A46">
        <w:rPr>
          <w:rFonts w:cs="Arial"/>
          <w:szCs w:val="22"/>
        </w:rPr>
        <w:t>As with other anticoagulants</w:t>
      </w:r>
      <w:r w:rsidR="00AA5C0C">
        <w:rPr>
          <w:rFonts w:cs="Arial"/>
          <w:szCs w:val="22"/>
        </w:rPr>
        <w:t>,</w:t>
      </w:r>
      <w:r w:rsidRPr="004C2A46">
        <w:rPr>
          <w:rFonts w:cs="Arial"/>
          <w:szCs w:val="22"/>
        </w:rPr>
        <w:t xml:space="preserve"> the possibility may exist that patients are at increased risk of bleeding in case of concomitant use with SSRIs or SNRIs due to their reported effect on platelets. </w:t>
      </w:r>
      <w:r w:rsidR="00656FA2">
        <w:rPr>
          <w:rFonts w:cs="Arial"/>
          <w:szCs w:val="22"/>
        </w:rPr>
        <w:t xml:space="preserve"> </w:t>
      </w:r>
      <w:r w:rsidRPr="004C2A46">
        <w:rPr>
          <w:rFonts w:cs="Arial"/>
          <w:szCs w:val="22"/>
        </w:rPr>
        <w:t>When concomitantly used in the rivaroxaban clinical program, numerically higher rates of major or non-major clinically relevant bleeding were observed in all treatment groups.</w:t>
      </w:r>
    </w:p>
    <w:p w14:paraId="74DACB0C" w14:textId="77777777" w:rsidR="004C2A46" w:rsidRPr="007D79EA" w:rsidRDefault="004C2A46" w:rsidP="00AC51A2">
      <w:pPr>
        <w:pStyle w:val="Heading4"/>
        <w:rPr>
          <w:b/>
        </w:rPr>
      </w:pPr>
      <w:r w:rsidRPr="007D79EA">
        <w:rPr>
          <w:b/>
        </w:rPr>
        <w:t>Food and dairy products</w:t>
      </w:r>
      <w:bookmarkEnd w:id="20"/>
    </w:p>
    <w:p w14:paraId="08AC8665" w14:textId="77777777" w:rsidR="004C2A46" w:rsidRPr="00BA01EB" w:rsidRDefault="005F6704" w:rsidP="008A2D92">
      <w:pPr>
        <w:spacing w:before="120" w:after="120"/>
        <w:ind w:left="630" w:right="45"/>
        <w:rPr>
          <w:rFonts w:cs="Arial"/>
          <w:szCs w:val="22"/>
        </w:rPr>
      </w:pPr>
      <w:r>
        <w:rPr>
          <w:rFonts w:cs="Arial"/>
          <w:szCs w:val="22"/>
        </w:rPr>
        <w:t>XARELTO</w:t>
      </w:r>
      <w:r w:rsidR="004C2A46" w:rsidRPr="004C2A46">
        <w:rPr>
          <w:rFonts w:cs="Arial"/>
          <w:szCs w:val="22"/>
        </w:rPr>
        <w:t xml:space="preserve"> </w:t>
      </w:r>
      <w:r w:rsidR="007D7E75">
        <w:rPr>
          <w:rFonts w:cs="Arial"/>
          <w:szCs w:val="22"/>
        </w:rPr>
        <w:t xml:space="preserve">2.5 mg and </w:t>
      </w:r>
      <w:r w:rsidR="004C2A46" w:rsidRPr="004C2A46">
        <w:rPr>
          <w:rFonts w:cs="Arial"/>
          <w:szCs w:val="22"/>
        </w:rPr>
        <w:t xml:space="preserve">10 mg </w:t>
      </w:r>
      <w:r w:rsidR="0050491F">
        <w:rPr>
          <w:rFonts w:cs="Arial"/>
          <w:szCs w:val="22"/>
        </w:rPr>
        <w:t xml:space="preserve">tablets </w:t>
      </w:r>
      <w:r w:rsidR="004C2A46" w:rsidRPr="004C2A46">
        <w:rPr>
          <w:rFonts w:cs="Arial"/>
          <w:szCs w:val="22"/>
        </w:rPr>
        <w:t>can be taken with or without food (see</w:t>
      </w:r>
      <w:r w:rsidR="00C50B2C">
        <w:rPr>
          <w:rFonts w:cs="Arial"/>
          <w:szCs w:val="22"/>
        </w:rPr>
        <w:t xml:space="preserve"> </w:t>
      </w:r>
      <w:r w:rsidR="00C50B2C" w:rsidRPr="00BA01EB">
        <w:rPr>
          <w:rFonts w:cs="Arial"/>
          <w:szCs w:val="22"/>
        </w:rPr>
        <w:t>Section 5.2</w:t>
      </w:r>
      <w:r w:rsidR="00FB0882">
        <w:rPr>
          <w:rFonts w:cs="Arial"/>
          <w:szCs w:val="22"/>
        </w:rPr>
        <w:t xml:space="preserve"> </w:t>
      </w:r>
      <w:r w:rsidR="00A810D1">
        <w:fldChar w:fldCharType="begin"/>
      </w:r>
      <w:r w:rsidR="00A810D1">
        <w:instrText xml:space="preserve"> REF _Ref522882073 \h  \* MERGEFORMAT </w:instrText>
      </w:r>
      <w:r w:rsidR="00A810D1">
        <w:fldChar w:fldCharType="separate"/>
      </w:r>
      <w:r w:rsidR="00C51DA4" w:rsidRPr="000202B5">
        <w:t>PHARMACOKINETIC PROPERTIES</w:t>
      </w:r>
      <w:r w:rsidR="00A810D1">
        <w:fldChar w:fldCharType="end"/>
      </w:r>
      <w:r w:rsidR="004C2A46" w:rsidRPr="00BA01EB">
        <w:rPr>
          <w:rFonts w:cs="Arial"/>
          <w:szCs w:val="22"/>
        </w:rPr>
        <w:t>).</w:t>
      </w:r>
    </w:p>
    <w:p w14:paraId="5DAC8E0E" w14:textId="77777777" w:rsidR="004C2A46" w:rsidRPr="00BA01EB" w:rsidRDefault="005F6704" w:rsidP="008A2D92">
      <w:pPr>
        <w:spacing w:before="120" w:after="120"/>
        <w:ind w:left="630" w:right="45"/>
        <w:rPr>
          <w:rFonts w:cs="Arial"/>
          <w:szCs w:val="22"/>
        </w:rPr>
      </w:pPr>
      <w:bookmarkStart w:id="21" w:name="_Toc180211517"/>
      <w:r w:rsidRPr="00BA01EB">
        <w:rPr>
          <w:rFonts w:cs="Arial"/>
          <w:szCs w:val="22"/>
        </w:rPr>
        <w:t>XARELTO</w:t>
      </w:r>
      <w:r w:rsidR="004C2A46" w:rsidRPr="00BA01EB">
        <w:rPr>
          <w:rFonts w:cs="Arial"/>
          <w:szCs w:val="22"/>
        </w:rPr>
        <w:t xml:space="preserve"> 15 mg and 20 mg tablets should be taken with food (see</w:t>
      </w:r>
      <w:r w:rsidR="00C50B2C" w:rsidRPr="00BA01EB">
        <w:rPr>
          <w:rFonts w:cs="Arial"/>
          <w:szCs w:val="22"/>
        </w:rPr>
        <w:t xml:space="preserve"> Section 5.2</w:t>
      </w:r>
      <w:r w:rsidR="004C2A46" w:rsidRPr="00BA01EB">
        <w:rPr>
          <w:rFonts w:cs="Arial"/>
          <w:szCs w:val="22"/>
        </w:rPr>
        <w:t xml:space="preserve"> </w:t>
      </w:r>
      <w:r w:rsidR="00A810D1">
        <w:fldChar w:fldCharType="begin"/>
      </w:r>
      <w:r w:rsidR="00A810D1">
        <w:instrText xml:space="preserve"> REF _Ref522882073 \h  \* MERGEFORMAT </w:instrText>
      </w:r>
      <w:r w:rsidR="00A810D1">
        <w:fldChar w:fldCharType="separate"/>
      </w:r>
      <w:r w:rsidR="00C51DA4" w:rsidRPr="000202B5">
        <w:t>PHARMACOKINETIC PROPERTIES</w:t>
      </w:r>
      <w:r w:rsidR="00A810D1">
        <w:fldChar w:fldCharType="end"/>
      </w:r>
      <w:r w:rsidR="004C2A46" w:rsidRPr="00BA01EB">
        <w:rPr>
          <w:rFonts w:cs="Arial"/>
          <w:szCs w:val="22"/>
        </w:rPr>
        <w:t>).</w:t>
      </w:r>
    </w:p>
    <w:p w14:paraId="3FD2A639" w14:textId="77777777" w:rsidR="004C2A46" w:rsidRPr="002742BE" w:rsidRDefault="004C2A46" w:rsidP="00AC51A2">
      <w:pPr>
        <w:pStyle w:val="Heading3"/>
      </w:pPr>
      <w:r w:rsidRPr="002742BE">
        <w:t>Interactions shown not to exist</w:t>
      </w:r>
      <w:bookmarkEnd w:id="21"/>
    </w:p>
    <w:p w14:paraId="0F3FAB35" w14:textId="77777777" w:rsidR="004C2A46" w:rsidRPr="004C2A46" w:rsidRDefault="004C2A46" w:rsidP="008A2D92">
      <w:pPr>
        <w:spacing w:before="120" w:after="120"/>
        <w:ind w:left="630" w:right="45"/>
        <w:rPr>
          <w:rFonts w:cs="Arial"/>
          <w:szCs w:val="22"/>
        </w:rPr>
      </w:pPr>
      <w:r w:rsidRPr="004C2A46">
        <w:rPr>
          <w:rFonts w:cs="Arial"/>
          <w:szCs w:val="22"/>
        </w:rPr>
        <w:t>There were no mutual pharmacokinetic interactions between</w:t>
      </w:r>
      <w:r>
        <w:rPr>
          <w:rFonts w:cs="Arial"/>
          <w:szCs w:val="22"/>
        </w:rPr>
        <w:t xml:space="preserve"> rivaroxaban and midazolam (sub</w:t>
      </w:r>
      <w:r w:rsidRPr="004C2A46">
        <w:rPr>
          <w:rFonts w:cs="Arial"/>
          <w:szCs w:val="22"/>
        </w:rPr>
        <w:t>strate of CY</w:t>
      </w:r>
      <w:r>
        <w:rPr>
          <w:rFonts w:cs="Arial"/>
          <w:szCs w:val="22"/>
        </w:rPr>
        <w:t>P</w:t>
      </w:r>
      <w:r w:rsidR="00656FA2">
        <w:rPr>
          <w:rFonts w:cs="Arial"/>
          <w:szCs w:val="22"/>
        </w:rPr>
        <w:t xml:space="preserve"> </w:t>
      </w:r>
      <w:r>
        <w:rPr>
          <w:rFonts w:cs="Arial"/>
          <w:szCs w:val="22"/>
        </w:rPr>
        <w:t>3A4), digoxin (substrate of P-</w:t>
      </w:r>
      <w:r w:rsidRPr="004C2A46">
        <w:rPr>
          <w:rFonts w:cs="Arial"/>
          <w:szCs w:val="22"/>
        </w:rPr>
        <w:t>gp) or atorvastatin (substrate of CYP</w:t>
      </w:r>
      <w:r w:rsidR="00656FA2">
        <w:rPr>
          <w:rFonts w:cs="Arial"/>
          <w:szCs w:val="22"/>
        </w:rPr>
        <w:t xml:space="preserve"> </w:t>
      </w:r>
      <w:r w:rsidRPr="004C2A46">
        <w:rPr>
          <w:rFonts w:cs="Arial"/>
          <w:szCs w:val="22"/>
        </w:rPr>
        <w:t>3A4 and P-gp).</w:t>
      </w:r>
    </w:p>
    <w:p w14:paraId="1897C335" w14:textId="77777777" w:rsidR="004C2A46" w:rsidRPr="004C2A46" w:rsidRDefault="00656FA2" w:rsidP="008A2D92">
      <w:pPr>
        <w:spacing w:before="120" w:after="120"/>
        <w:ind w:left="630" w:right="45"/>
        <w:rPr>
          <w:rFonts w:cs="Arial"/>
          <w:szCs w:val="22"/>
        </w:rPr>
      </w:pPr>
      <w:r>
        <w:rPr>
          <w:rFonts w:cs="Arial"/>
          <w:szCs w:val="22"/>
        </w:rPr>
        <w:t xml:space="preserve">Co-administration of the H2 </w:t>
      </w:r>
      <w:r w:rsidR="004C2A46" w:rsidRPr="004C2A46">
        <w:rPr>
          <w:rFonts w:cs="Arial"/>
          <w:szCs w:val="22"/>
        </w:rPr>
        <w:t>receptor antagonist ranitidine, the ant</w:t>
      </w:r>
      <w:r w:rsidR="004C2A46">
        <w:rPr>
          <w:rFonts w:cs="Arial"/>
          <w:szCs w:val="22"/>
        </w:rPr>
        <w:t>acid aluminium hydroxide</w:t>
      </w:r>
      <w:r w:rsidR="0050491F">
        <w:rPr>
          <w:rFonts w:cs="Arial"/>
          <w:szCs w:val="22"/>
        </w:rPr>
        <w:t xml:space="preserve"> </w:t>
      </w:r>
      <w:r w:rsidR="004C2A46">
        <w:rPr>
          <w:rFonts w:cs="Arial"/>
          <w:szCs w:val="22"/>
        </w:rPr>
        <w:t>/ mag</w:t>
      </w:r>
      <w:r w:rsidR="004C2A46" w:rsidRPr="004C2A46">
        <w:rPr>
          <w:rFonts w:cs="Arial"/>
          <w:szCs w:val="22"/>
        </w:rPr>
        <w:t>nesi</w:t>
      </w:r>
      <w:r w:rsidR="004C2A46">
        <w:rPr>
          <w:rFonts w:cs="Arial"/>
          <w:szCs w:val="22"/>
        </w:rPr>
        <w:t>um hydroxide, naproxen, clopido</w:t>
      </w:r>
      <w:r w:rsidR="004C2A46" w:rsidRPr="004C2A46">
        <w:rPr>
          <w:rFonts w:cs="Arial"/>
          <w:szCs w:val="22"/>
        </w:rPr>
        <w:t>grel or enoxaparin did not</w:t>
      </w:r>
      <w:r w:rsidR="004C2A46">
        <w:rPr>
          <w:rFonts w:cs="Arial"/>
          <w:szCs w:val="22"/>
        </w:rPr>
        <w:t xml:space="preserve"> affect rivaroxaban bio</w:t>
      </w:r>
      <w:r w:rsidR="004C2A46">
        <w:rPr>
          <w:rFonts w:cs="Arial"/>
          <w:szCs w:val="22"/>
        </w:rPr>
        <w:softHyphen/>
        <w:t>availa</w:t>
      </w:r>
      <w:r w:rsidR="004C2A46" w:rsidRPr="004C2A46">
        <w:rPr>
          <w:rFonts w:cs="Arial"/>
          <w:szCs w:val="22"/>
        </w:rPr>
        <w:t>bility and pharmacokinetics.</w:t>
      </w:r>
    </w:p>
    <w:p w14:paraId="11288F84" w14:textId="77777777" w:rsidR="004C2A46" w:rsidRPr="004C2A46" w:rsidRDefault="004C2A46" w:rsidP="008A2D92">
      <w:pPr>
        <w:spacing w:before="120" w:after="120"/>
        <w:ind w:left="578" w:right="45"/>
        <w:rPr>
          <w:rFonts w:cs="Arial"/>
          <w:szCs w:val="22"/>
        </w:rPr>
      </w:pPr>
      <w:r w:rsidRPr="004C2A46">
        <w:rPr>
          <w:rFonts w:cs="Arial"/>
          <w:szCs w:val="22"/>
        </w:rPr>
        <w:t xml:space="preserve">No clinically significant pharmacokinetic or pharmacodynamic interactions were observed when </w:t>
      </w:r>
      <w:r>
        <w:rPr>
          <w:rFonts w:cs="Arial"/>
          <w:szCs w:val="22"/>
        </w:rPr>
        <w:t>rivaroxa</w:t>
      </w:r>
      <w:r w:rsidRPr="004C2A46">
        <w:rPr>
          <w:rFonts w:cs="Arial"/>
          <w:szCs w:val="22"/>
        </w:rPr>
        <w:t>b</w:t>
      </w:r>
      <w:r w:rsidR="00656FA2">
        <w:rPr>
          <w:rFonts w:cs="Arial"/>
          <w:szCs w:val="22"/>
        </w:rPr>
        <w:t xml:space="preserve">an was co-administered with 500 </w:t>
      </w:r>
      <w:r w:rsidRPr="004C2A46">
        <w:rPr>
          <w:rFonts w:cs="Arial"/>
          <w:szCs w:val="22"/>
        </w:rPr>
        <w:t>mg acetylsalicylic acid (see</w:t>
      </w:r>
      <w:r w:rsidR="00C50B2C">
        <w:rPr>
          <w:rFonts w:cs="Arial"/>
          <w:szCs w:val="22"/>
        </w:rPr>
        <w:t xml:space="preserve"> Section 4.</w:t>
      </w:r>
      <w:r w:rsidR="00C50B2C" w:rsidRPr="00BA01EB">
        <w:rPr>
          <w:rFonts w:cs="Arial"/>
          <w:szCs w:val="22"/>
        </w:rPr>
        <w:t>4</w:t>
      </w:r>
      <w:r w:rsidR="00FB0882">
        <w:rPr>
          <w:rFonts w:cs="Arial"/>
          <w:szCs w:val="22"/>
        </w:rPr>
        <w:t xml:space="preserve"> </w:t>
      </w:r>
      <w:r w:rsidR="00A810D1" w:rsidRPr="00A810D1">
        <w:rPr>
          <w:rFonts w:cs="Arial"/>
          <w:szCs w:val="22"/>
        </w:rPr>
        <w:fldChar w:fldCharType="begin"/>
      </w:r>
      <w:r w:rsidR="00A810D1" w:rsidRPr="00A810D1">
        <w:rPr>
          <w:rFonts w:cs="Arial"/>
          <w:szCs w:val="22"/>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cs="Arial"/>
          <w:szCs w:val="22"/>
        </w:rPr>
        <w:t>SPECIAL WARNINGS AND PRECAUTIONS FOR USE</w:t>
      </w:r>
      <w:r w:rsidR="00A810D1" w:rsidRPr="00A810D1">
        <w:rPr>
          <w:rFonts w:cs="Arial"/>
          <w:szCs w:val="22"/>
        </w:rPr>
        <w:fldChar w:fldCharType="end"/>
      </w:r>
      <w:r w:rsidRPr="004C2A46">
        <w:rPr>
          <w:rFonts w:cs="Arial"/>
          <w:szCs w:val="22"/>
        </w:rPr>
        <w:t>).</w:t>
      </w:r>
    </w:p>
    <w:p w14:paraId="5C166476" w14:textId="77777777" w:rsidR="004C2A46" w:rsidRPr="004C2A46" w:rsidRDefault="004C2A46" w:rsidP="00E90F26">
      <w:pPr>
        <w:pStyle w:val="BayerBodyTextFull"/>
      </w:pPr>
    </w:p>
    <w:p w14:paraId="6218F4D5" w14:textId="77777777" w:rsidR="000548F3" w:rsidRPr="00AC51A2" w:rsidRDefault="00792CC7" w:rsidP="00AC51A2">
      <w:pPr>
        <w:pStyle w:val="Heading2"/>
      </w:pPr>
      <w:bookmarkStart w:id="22" w:name="_Ref522882657"/>
      <w:r w:rsidRPr="00AC51A2">
        <w:t>FERTILITY, PREGNANCY AND LACTATION</w:t>
      </w:r>
      <w:bookmarkEnd w:id="22"/>
    </w:p>
    <w:p w14:paraId="727573C8" w14:textId="77777777" w:rsidR="002379B9" w:rsidRPr="00AC51A2" w:rsidRDefault="003B25EB" w:rsidP="00AC51A2">
      <w:pPr>
        <w:pStyle w:val="Heading3"/>
      </w:pPr>
      <w:r w:rsidRPr="00AC51A2">
        <w:t>Effects on fertility</w:t>
      </w:r>
    </w:p>
    <w:p w14:paraId="1EE7A8C8" w14:textId="77777777" w:rsidR="00084F46" w:rsidRPr="002742BE" w:rsidRDefault="00084F46" w:rsidP="008A2D92">
      <w:pPr>
        <w:spacing w:before="120" w:after="240"/>
        <w:ind w:left="630" w:right="46"/>
        <w:rPr>
          <w:rFonts w:cs="Arial"/>
          <w:noProof/>
          <w:szCs w:val="22"/>
        </w:rPr>
      </w:pPr>
      <w:r w:rsidRPr="002742BE">
        <w:rPr>
          <w:rFonts w:cs="Arial"/>
          <w:szCs w:val="22"/>
          <w:lang w:eastAsia="de-DE"/>
        </w:rPr>
        <w:t>Rivaroxaban did not affect male or female fertility at oral doses up to 200</w:t>
      </w:r>
      <w:r w:rsidR="00656FA2">
        <w:rPr>
          <w:rFonts w:cs="Arial"/>
          <w:szCs w:val="22"/>
          <w:lang w:eastAsia="de-DE"/>
        </w:rPr>
        <w:t xml:space="preserve"> </w:t>
      </w:r>
      <w:r w:rsidRPr="002742BE">
        <w:rPr>
          <w:rFonts w:cs="Arial"/>
          <w:szCs w:val="22"/>
          <w:lang w:eastAsia="de-DE"/>
        </w:rPr>
        <w:t>mg/kg/day in Wistar rats, which corresponds to 33-fold (males) and 49-fold (females) the unbound rivaroxaban AUC in humans at the maximum recommended dose.</w:t>
      </w:r>
    </w:p>
    <w:p w14:paraId="76DF1627" w14:textId="60486FAD" w:rsidR="00084F46" w:rsidRPr="00AA3127" w:rsidRDefault="003B25EB" w:rsidP="00AA3127">
      <w:pPr>
        <w:pStyle w:val="Heading3"/>
      </w:pPr>
      <w:bookmarkStart w:id="23" w:name="_Ref501571367"/>
      <w:r w:rsidRPr="00AC51A2">
        <w:t>Use in pregnancy</w:t>
      </w:r>
      <w:bookmarkEnd w:id="23"/>
      <w:r w:rsidR="00021043">
        <w:t xml:space="preserve"> </w:t>
      </w:r>
      <w:r w:rsidR="00AA3127">
        <w:t>-</w:t>
      </w:r>
      <w:r w:rsidR="00021043">
        <w:t xml:space="preserve"> </w:t>
      </w:r>
      <w:r w:rsidR="00084F46" w:rsidRPr="00AA3127">
        <w:t>Pregnancy Category C</w:t>
      </w:r>
    </w:p>
    <w:p w14:paraId="6761C655" w14:textId="55F12081" w:rsidR="00084F46" w:rsidRPr="002742BE" w:rsidRDefault="00084F46" w:rsidP="008A2D92">
      <w:pPr>
        <w:spacing w:before="120" w:after="240"/>
        <w:ind w:left="630" w:right="46"/>
        <w:rPr>
          <w:rFonts w:cs="Arial"/>
          <w:szCs w:val="22"/>
        </w:rPr>
      </w:pPr>
      <w:r w:rsidRPr="002742BE">
        <w:rPr>
          <w:rFonts w:cs="Arial"/>
          <w:szCs w:val="22"/>
        </w:rPr>
        <w:t>There are no data from the use of rivaroxaban in pregnant women.</w:t>
      </w:r>
      <w:r w:rsidR="00656FA2">
        <w:rPr>
          <w:rFonts w:cs="Arial"/>
          <w:szCs w:val="22"/>
        </w:rPr>
        <w:t xml:space="preserve"> </w:t>
      </w:r>
      <w:r w:rsidRPr="002742BE">
        <w:rPr>
          <w:rFonts w:cs="Arial"/>
          <w:szCs w:val="22"/>
        </w:rPr>
        <w:t xml:space="preserve"> Thrombolytic agents can produce placental haemorrhage and subsequent prematurity and </w:t>
      </w:r>
      <w:r w:rsidR="009308EB" w:rsidRPr="002742BE">
        <w:rPr>
          <w:rFonts w:cs="Arial"/>
          <w:szCs w:val="22"/>
        </w:rPr>
        <w:t>foetal</w:t>
      </w:r>
      <w:r w:rsidRPr="002742BE">
        <w:rPr>
          <w:rFonts w:cs="Arial"/>
          <w:szCs w:val="22"/>
        </w:rPr>
        <w:t xml:space="preserve"> loss.</w:t>
      </w:r>
    </w:p>
    <w:p w14:paraId="2D02A7F0" w14:textId="77777777" w:rsidR="00084F46" w:rsidRPr="002742BE" w:rsidRDefault="00084F46" w:rsidP="008A2D92">
      <w:pPr>
        <w:spacing w:before="120" w:after="240"/>
        <w:ind w:left="630" w:right="46"/>
        <w:rPr>
          <w:rFonts w:cs="Arial"/>
          <w:szCs w:val="22"/>
        </w:rPr>
      </w:pPr>
      <w:r w:rsidRPr="002742BE">
        <w:rPr>
          <w:rFonts w:cs="Arial"/>
          <w:szCs w:val="22"/>
        </w:rPr>
        <w:t xml:space="preserve">Studies in rats and rabbits were affected by the anticoagulant effects of rivaroxaban on the mother. </w:t>
      </w:r>
      <w:r w:rsidR="00656FA2">
        <w:rPr>
          <w:rFonts w:cs="Arial"/>
          <w:szCs w:val="22"/>
        </w:rPr>
        <w:t xml:space="preserve"> </w:t>
      </w:r>
      <w:r w:rsidRPr="002742BE">
        <w:rPr>
          <w:rFonts w:cs="Arial"/>
          <w:szCs w:val="22"/>
        </w:rPr>
        <w:t>In rats, altered placental appearance and necrosis were observed at doses ≥ 10 mg/kg/day (4 times human exposure based on unbound plasma AUC).</w:t>
      </w:r>
      <w:r w:rsidR="00656FA2">
        <w:rPr>
          <w:rFonts w:cs="Arial"/>
          <w:szCs w:val="22"/>
        </w:rPr>
        <w:t xml:space="preserve"> </w:t>
      </w:r>
      <w:r w:rsidRPr="002742BE">
        <w:rPr>
          <w:rFonts w:cs="Arial"/>
          <w:szCs w:val="22"/>
        </w:rPr>
        <w:t xml:space="preserve"> A NOAEL in rats for embryof</w:t>
      </w:r>
      <w:r w:rsidR="009308EB">
        <w:rPr>
          <w:rFonts w:cs="Arial"/>
          <w:szCs w:val="22"/>
        </w:rPr>
        <w:t>o</w:t>
      </w:r>
      <w:r w:rsidRPr="002742BE">
        <w:rPr>
          <w:rFonts w:cs="Arial"/>
          <w:szCs w:val="22"/>
        </w:rPr>
        <w:t>etal development was established at 35 mg/kg/day (17 times human exposure based on unbound plasma AUC).</w:t>
      </w:r>
    </w:p>
    <w:p w14:paraId="59F15BBB" w14:textId="77777777" w:rsidR="00084F46" w:rsidRPr="00100151" w:rsidRDefault="00084F46" w:rsidP="008A2D92">
      <w:pPr>
        <w:spacing w:before="120" w:after="240"/>
        <w:ind w:left="630" w:right="46"/>
        <w:rPr>
          <w:rFonts w:cs="Arial"/>
          <w:szCs w:val="22"/>
        </w:rPr>
      </w:pPr>
      <w:r w:rsidRPr="002742BE">
        <w:rPr>
          <w:rFonts w:cs="Arial"/>
          <w:szCs w:val="22"/>
        </w:rPr>
        <w:lastRenderedPageBreak/>
        <w:t xml:space="preserve">In rabbits, abortions occurred at doses ≥ 10 mg/kg/day (11 times human exposure based on unbound plasma AUC), while deaths occurred at doses ≥ 40 mg/kg/day (52 times human exposure based on unbound plasma AUC). </w:t>
      </w:r>
      <w:r w:rsidR="00656FA2">
        <w:rPr>
          <w:rFonts w:cs="Arial"/>
          <w:szCs w:val="22"/>
        </w:rPr>
        <w:t xml:space="preserve"> </w:t>
      </w:r>
      <w:r w:rsidRPr="002742BE">
        <w:rPr>
          <w:rFonts w:cs="Arial"/>
          <w:szCs w:val="22"/>
        </w:rPr>
        <w:t>Changes in placental appearance (course, grained and/or necrotic) were also noted at doses ≥ 10 mg/kg/day.</w:t>
      </w:r>
      <w:r w:rsidR="00656FA2">
        <w:rPr>
          <w:rFonts w:cs="Arial"/>
          <w:szCs w:val="22"/>
        </w:rPr>
        <w:t xml:space="preserve"> </w:t>
      </w:r>
      <w:r w:rsidRPr="002742BE">
        <w:rPr>
          <w:rFonts w:cs="Arial"/>
          <w:szCs w:val="22"/>
        </w:rPr>
        <w:t xml:space="preserve"> A NOAEL in rabbits for </w:t>
      </w:r>
      <w:r w:rsidR="009308EB" w:rsidRPr="002742BE">
        <w:rPr>
          <w:rFonts w:cs="Arial"/>
          <w:szCs w:val="22"/>
        </w:rPr>
        <w:t>embryof</w:t>
      </w:r>
      <w:r w:rsidR="009308EB">
        <w:rPr>
          <w:rFonts w:cs="Arial"/>
          <w:szCs w:val="22"/>
        </w:rPr>
        <w:t>o</w:t>
      </w:r>
      <w:r w:rsidR="009308EB" w:rsidRPr="002742BE">
        <w:rPr>
          <w:rFonts w:cs="Arial"/>
          <w:szCs w:val="22"/>
        </w:rPr>
        <w:t>etal</w:t>
      </w:r>
      <w:r w:rsidRPr="002742BE">
        <w:rPr>
          <w:rFonts w:cs="Arial"/>
          <w:szCs w:val="22"/>
        </w:rPr>
        <w:t xml:space="preserve"> development was established at 2.5 mg/kg/day (3 times human exposure based on unbound plasma AUC). </w:t>
      </w:r>
      <w:r w:rsidR="00656FA2">
        <w:rPr>
          <w:rFonts w:cs="Arial"/>
          <w:szCs w:val="22"/>
        </w:rPr>
        <w:t xml:space="preserve"> </w:t>
      </w:r>
      <w:r w:rsidRPr="002742BE">
        <w:rPr>
          <w:rFonts w:cs="Arial"/>
          <w:szCs w:val="22"/>
        </w:rPr>
        <w:t xml:space="preserve">In rats and rabbits rivaroxaban showed pronounced maternal toxicity with placental changes related to its pharmacological mode of action (e.g., haemorrhagic complications) leading to reproductive toxicity. </w:t>
      </w:r>
      <w:r w:rsidR="001B52B5">
        <w:rPr>
          <w:rFonts w:cs="Arial"/>
          <w:szCs w:val="22"/>
        </w:rPr>
        <w:t xml:space="preserve"> </w:t>
      </w:r>
      <w:r w:rsidRPr="002742BE">
        <w:rPr>
          <w:rFonts w:cs="Arial"/>
          <w:szCs w:val="22"/>
        </w:rPr>
        <w:t xml:space="preserve">No primary teratogenic potential was identified. </w:t>
      </w:r>
      <w:r w:rsidR="00656FA2">
        <w:rPr>
          <w:rFonts w:cs="Arial"/>
          <w:szCs w:val="22"/>
        </w:rPr>
        <w:t xml:space="preserve"> </w:t>
      </w:r>
      <w:r w:rsidRPr="002742BE">
        <w:rPr>
          <w:rFonts w:cs="Arial"/>
          <w:szCs w:val="22"/>
        </w:rPr>
        <w:t>Due to the intrinsic risk of bleeding and the evidence that rivaroxaban passes the placenta</w:t>
      </w:r>
      <w:r w:rsidRPr="002742BE">
        <w:rPr>
          <w:rFonts w:cs="Arial"/>
          <w:iCs/>
          <w:szCs w:val="22"/>
        </w:rPr>
        <w:t>,</w:t>
      </w:r>
      <w:r w:rsidRPr="002742BE">
        <w:rPr>
          <w:rFonts w:cs="Arial"/>
          <w:szCs w:val="22"/>
        </w:rPr>
        <w:t xml:space="preserve"> </w:t>
      </w:r>
      <w:r w:rsidR="005F6704">
        <w:rPr>
          <w:rFonts w:cs="Arial"/>
          <w:szCs w:val="22"/>
        </w:rPr>
        <w:t>XARELTO</w:t>
      </w:r>
      <w:r w:rsidRPr="002742BE">
        <w:rPr>
          <w:rFonts w:cs="Arial"/>
          <w:szCs w:val="22"/>
        </w:rPr>
        <w:t xml:space="preserve"> is contraindicated in pregnancy (see</w:t>
      </w:r>
      <w:r w:rsidR="00C50B2C">
        <w:rPr>
          <w:rFonts w:cs="Arial"/>
          <w:szCs w:val="22"/>
        </w:rPr>
        <w:t xml:space="preserve"> Section 4.</w:t>
      </w:r>
      <w:r w:rsidR="00C50B2C" w:rsidRPr="00BA01EB">
        <w:rPr>
          <w:rFonts w:cs="Arial"/>
          <w:szCs w:val="22"/>
        </w:rPr>
        <w:t>3</w:t>
      </w:r>
      <w:r w:rsidRPr="00BA01EB">
        <w:rPr>
          <w:rFonts w:cs="Arial"/>
          <w:szCs w:val="22"/>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Pr="002742BE">
        <w:rPr>
          <w:rFonts w:cs="Arial"/>
          <w:szCs w:val="22"/>
        </w:rPr>
        <w:t>).</w:t>
      </w:r>
      <w:r w:rsidR="00656FA2">
        <w:rPr>
          <w:rFonts w:cs="Arial"/>
          <w:szCs w:val="22"/>
        </w:rPr>
        <w:t xml:space="preserve"> </w:t>
      </w:r>
      <w:r w:rsidRPr="002742BE">
        <w:rPr>
          <w:rFonts w:cs="Arial"/>
          <w:szCs w:val="22"/>
        </w:rPr>
        <w:t xml:space="preserve"> </w:t>
      </w:r>
      <w:r w:rsidR="005F6704">
        <w:rPr>
          <w:rFonts w:cs="Arial"/>
          <w:szCs w:val="22"/>
        </w:rPr>
        <w:t>XARELTO</w:t>
      </w:r>
      <w:r w:rsidRPr="002742BE">
        <w:rPr>
          <w:rFonts w:cs="Arial"/>
          <w:szCs w:val="22"/>
        </w:rPr>
        <w:t xml:space="preserve"> should be used in women of childbearing potential only with effective contraception.</w:t>
      </w:r>
    </w:p>
    <w:p w14:paraId="1B5901F5" w14:textId="77777777" w:rsidR="007F08E4" w:rsidRPr="00AC51A2" w:rsidRDefault="003B25EB" w:rsidP="00AC51A2">
      <w:pPr>
        <w:pStyle w:val="Heading3"/>
      </w:pPr>
      <w:bookmarkStart w:id="24" w:name="_Ref501571402"/>
      <w:r w:rsidRPr="00AC51A2">
        <w:t>Use in lactation</w:t>
      </w:r>
      <w:bookmarkEnd w:id="24"/>
    </w:p>
    <w:p w14:paraId="40ACD27F" w14:textId="77777777" w:rsidR="00084F46" w:rsidRPr="002742BE" w:rsidRDefault="00084F46" w:rsidP="008A2D92">
      <w:pPr>
        <w:spacing w:before="120" w:after="240"/>
        <w:ind w:left="630" w:right="46"/>
        <w:rPr>
          <w:rFonts w:cs="Arial"/>
          <w:szCs w:val="22"/>
        </w:rPr>
      </w:pPr>
      <w:r w:rsidRPr="002742BE">
        <w:rPr>
          <w:rFonts w:cs="Arial"/>
          <w:szCs w:val="22"/>
        </w:rPr>
        <w:t xml:space="preserve">No data on the use of rivaroxaban in nursing mothers are available. </w:t>
      </w:r>
      <w:r w:rsidR="0080392D">
        <w:rPr>
          <w:rFonts w:cs="Arial"/>
          <w:szCs w:val="22"/>
        </w:rPr>
        <w:t xml:space="preserve"> </w:t>
      </w:r>
      <w:r w:rsidRPr="002742BE">
        <w:rPr>
          <w:rFonts w:cs="Arial"/>
          <w:szCs w:val="22"/>
        </w:rPr>
        <w:t xml:space="preserve">Data from animals indicate that rivaroxaban is secreted into milk. </w:t>
      </w:r>
      <w:r w:rsidR="00656FA2">
        <w:rPr>
          <w:rFonts w:cs="Arial"/>
          <w:szCs w:val="22"/>
        </w:rPr>
        <w:t xml:space="preserve"> </w:t>
      </w:r>
      <w:r w:rsidRPr="002742BE">
        <w:rPr>
          <w:rFonts w:cs="Arial"/>
          <w:iCs/>
          <w:szCs w:val="22"/>
        </w:rPr>
        <w:t>Therefore</w:t>
      </w:r>
      <w:r w:rsidRPr="002742BE">
        <w:rPr>
          <w:rFonts w:cs="Arial"/>
          <w:szCs w:val="22"/>
        </w:rPr>
        <w:t xml:space="preserve"> </w:t>
      </w:r>
      <w:r w:rsidR="005F6704">
        <w:rPr>
          <w:rFonts w:cs="Arial"/>
          <w:szCs w:val="22"/>
        </w:rPr>
        <w:t>XARELTO</w:t>
      </w:r>
      <w:r w:rsidRPr="002742BE">
        <w:rPr>
          <w:rFonts w:cs="Arial"/>
          <w:szCs w:val="22"/>
        </w:rPr>
        <w:t xml:space="preserve"> is contraindicated during breast-feeding (see</w:t>
      </w:r>
      <w:r w:rsidR="00C50B2C">
        <w:rPr>
          <w:rFonts w:cs="Arial"/>
          <w:szCs w:val="22"/>
        </w:rPr>
        <w:t xml:space="preserve"> Section 4.3</w:t>
      </w:r>
      <w:r w:rsidRPr="002742BE">
        <w:rPr>
          <w:rFonts w:cs="Arial"/>
          <w:szCs w:val="22"/>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0008091C">
        <w:rPr>
          <w:rFonts w:cs="Arial"/>
          <w:noProof/>
          <w:szCs w:val="22"/>
        </w:rPr>
        <w:t>).</w:t>
      </w:r>
    </w:p>
    <w:p w14:paraId="41141858" w14:textId="77777777" w:rsidR="00084F46" w:rsidRPr="002742BE" w:rsidRDefault="00084F46" w:rsidP="008A2D92">
      <w:pPr>
        <w:spacing w:before="120" w:after="240"/>
        <w:ind w:left="578" w:right="46"/>
        <w:rPr>
          <w:rFonts w:cs="Arial"/>
          <w:szCs w:val="22"/>
        </w:rPr>
      </w:pPr>
      <w:r w:rsidRPr="002742BE">
        <w:rPr>
          <w:rFonts w:cs="Arial"/>
          <w:szCs w:val="22"/>
          <w:lang w:eastAsia="de-DE"/>
        </w:rPr>
        <w:t>[</w:t>
      </w:r>
      <w:r w:rsidRPr="002742BE">
        <w:rPr>
          <w:rFonts w:cs="Arial"/>
          <w:szCs w:val="22"/>
          <w:vertAlign w:val="superscript"/>
          <w:lang w:eastAsia="de-DE"/>
        </w:rPr>
        <w:t>14</w:t>
      </w:r>
      <w:r w:rsidR="00656FA2">
        <w:rPr>
          <w:rFonts w:cs="Arial"/>
          <w:szCs w:val="22"/>
          <w:lang w:eastAsia="de-DE"/>
        </w:rPr>
        <w:t xml:space="preserve">C] </w:t>
      </w:r>
      <w:r w:rsidRPr="002742BE">
        <w:rPr>
          <w:rFonts w:cs="Arial"/>
          <w:szCs w:val="22"/>
          <w:lang w:eastAsia="de-DE"/>
        </w:rPr>
        <w:t xml:space="preserve">rivaroxaban was administered orally to </w:t>
      </w:r>
      <w:r w:rsidR="00656FA2">
        <w:rPr>
          <w:rFonts w:cs="Arial"/>
          <w:szCs w:val="22"/>
          <w:lang w:eastAsia="de-DE"/>
        </w:rPr>
        <w:t xml:space="preserve">lactating Wistar rats (day 8 to </w:t>
      </w:r>
      <w:r w:rsidRPr="002742BE">
        <w:rPr>
          <w:rFonts w:cs="Arial"/>
          <w:szCs w:val="22"/>
          <w:lang w:eastAsia="de-DE"/>
        </w:rPr>
        <w:t xml:space="preserve">10 </w:t>
      </w:r>
      <w:r w:rsidR="005E3B11" w:rsidRPr="002742BE">
        <w:rPr>
          <w:rFonts w:cs="Arial"/>
          <w:szCs w:val="22"/>
          <w:lang w:eastAsia="de-DE"/>
        </w:rPr>
        <w:t>post-par</w:t>
      </w:r>
      <w:r w:rsidR="005E3B11">
        <w:rPr>
          <w:rFonts w:cs="Arial"/>
          <w:szCs w:val="22"/>
          <w:lang w:eastAsia="de-DE"/>
        </w:rPr>
        <w:t>tum</w:t>
      </w:r>
      <w:r w:rsidR="00656FA2">
        <w:rPr>
          <w:rFonts w:cs="Arial"/>
          <w:szCs w:val="22"/>
          <w:lang w:eastAsia="de-DE"/>
        </w:rPr>
        <w:t xml:space="preserve">) as a single oral dose of 3 </w:t>
      </w:r>
      <w:r w:rsidRPr="002742BE">
        <w:rPr>
          <w:rFonts w:cs="Arial"/>
          <w:szCs w:val="22"/>
          <w:lang w:eastAsia="de-DE"/>
        </w:rPr>
        <w:t>mg/kg body weight. [</w:t>
      </w:r>
      <w:r w:rsidRPr="002742BE">
        <w:rPr>
          <w:rFonts w:cs="Arial"/>
          <w:szCs w:val="22"/>
          <w:vertAlign w:val="superscript"/>
          <w:lang w:eastAsia="de-DE"/>
        </w:rPr>
        <w:t>14</w:t>
      </w:r>
      <w:r w:rsidR="00656FA2">
        <w:rPr>
          <w:rFonts w:cs="Arial"/>
          <w:szCs w:val="22"/>
          <w:lang w:eastAsia="de-DE"/>
        </w:rPr>
        <w:t xml:space="preserve">C] </w:t>
      </w:r>
      <w:r w:rsidRPr="002742BE">
        <w:rPr>
          <w:rFonts w:cs="Arial"/>
          <w:szCs w:val="22"/>
          <w:lang w:eastAsia="de-DE"/>
        </w:rPr>
        <w:t xml:space="preserve">rivaroxaban-related radioactivity was secreted into the milk of lactating rats only to a low extent in relation to the administered dose. </w:t>
      </w:r>
      <w:r w:rsidR="00656FA2">
        <w:rPr>
          <w:rFonts w:cs="Arial"/>
          <w:szCs w:val="22"/>
          <w:lang w:eastAsia="de-DE"/>
        </w:rPr>
        <w:t xml:space="preserve"> </w:t>
      </w:r>
      <w:r w:rsidRPr="002742BE">
        <w:rPr>
          <w:rFonts w:cs="Arial"/>
          <w:szCs w:val="22"/>
          <w:lang w:eastAsia="de-DE"/>
        </w:rPr>
        <w:t>The estimated amount of radioactiv</w:t>
      </w:r>
      <w:r w:rsidR="00656FA2">
        <w:rPr>
          <w:rFonts w:cs="Arial"/>
          <w:szCs w:val="22"/>
          <w:lang w:eastAsia="de-DE"/>
        </w:rPr>
        <w:t xml:space="preserve">ity excreted into milk was 2.12 </w:t>
      </w:r>
      <w:r w:rsidRPr="002742BE">
        <w:rPr>
          <w:rFonts w:cs="Arial"/>
          <w:szCs w:val="22"/>
          <w:lang w:eastAsia="de-DE"/>
        </w:rPr>
        <w:t>%</w:t>
      </w:r>
      <w:r w:rsidR="00656FA2">
        <w:rPr>
          <w:rFonts w:cs="Arial"/>
          <w:szCs w:val="22"/>
          <w:lang w:eastAsia="de-DE"/>
        </w:rPr>
        <w:t xml:space="preserve"> of the maternal dose within 32 </w:t>
      </w:r>
      <w:r w:rsidRPr="002742BE">
        <w:rPr>
          <w:rFonts w:cs="Arial"/>
          <w:szCs w:val="22"/>
          <w:lang w:eastAsia="de-DE"/>
        </w:rPr>
        <w:t>hours after administration.</w:t>
      </w:r>
    </w:p>
    <w:p w14:paraId="3AF6C960" w14:textId="77777777" w:rsidR="000548F3" w:rsidRPr="004C2A46" w:rsidRDefault="00D2311E" w:rsidP="00DA6D02">
      <w:pPr>
        <w:pStyle w:val="Heading2"/>
      </w:pPr>
      <w:r>
        <w:t>Effects on Ability to Drive and Use M</w:t>
      </w:r>
      <w:r w:rsidR="000548F3" w:rsidRPr="004C2A46">
        <w:t>achines</w:t>
      </w:r>
    </w:p>
    <w:p w14:paraId="289846D0" w14:textId="77777777" w:rsidR="00084F46" w:rsidRPr="002742BE" w:rsidRDefault="00084F46" w:rsidP="008A2D92">
      <w:pPr>
        <w:spacing w:before="120" w:after="240"/>
        <w:ind w:left="578" w:right="46"/>
        <w:rPr>
          <w:rFonts w:cs="Arial"/>
          <w:szCs w:val="22"/>
        </w:rPr>
      </w:pPr>
      <w:r w:rsidRPr="002742BE">
        <w:rPr>
          <w:rFonts w:cs="Arial"/>
          <w:szCs w:val="22"/>
        </w:rPr>
        <w:t>Syncope and dizziness have been reported and may affect the ability to drive and use machines (see</w:t>
      </w:r>
      <w:r w:rsidR="00C50B2C">
        <w:rPr>
          <w:rFonts w:cs="Arial"/>
          <w:szCs w:val="22"/>
        </w:rPr>
        <w:t xml:space="preserve"> Section 4.</w:t>
      </w:r>
      <w:r w:rsidR="00FB0882">
        <w:rPr>
          <w:rFonts w:cs="Arial"/>
          <w:szCs w:val="22"/>
        </w:rPr>
        <w:t xml:space="preserve">8 </w:t>
      </w:r>
      <w:r w:rsidR="00A019A2">
        <w:rPr>
          <w:rFonts w:cs="Arial"/>
          <w:noProof/>
          <w:szCs w:val="22"/>
        </w:rPr>
        <w:fldChar w:fldCharType="begin"/>
      </w:r>
      <w:r w:rsidR="00A019A2">
        <w:rPr>
          <w:rFonts w:cs="Arial"/>
          <w:noProof/>
          <w:szCs w:val="22"/>
        </w:rPr>
        <w:instrText xml:space="preserve"> REF _Ref522884000 \h </w:instrText>
      </w:r>
      <w:r w:rsidR="00A019A2">
        <w:rPr>
          <w:rFonts w:cs="Arial"/>
          <w:noProof/>
          <w:szCs w:val="22"/>
        </w:rPr>
      </w:r>
      <w:r w:rsidR="00A019A2">
        <w:rPr>
          <w:rFonts w:cs="Arial"/>
          <w:noProof/>
          <w:szCs w:val="22"/>
        </w:rPr>
        <w:fldChar w:fldCharType="separate"/>
      </w:r>
      <w:r w:rsidR="00C51DA4" w:rsidRPr="000202B5">
        <w:t>ADVERSE EFFECTS (UNDESIRABLE EFFECTS)</w:t>
      </w:r>
      <w:r w:rsidR="00A019A2">
        <w:rPr>
          <w:rFonts w:cs="Arial"/>
          <w:noProof/>
          <w:szCs w:val="22"/>
        </w:rPr>
        <w:fldChar w:fldCharType="end"/>
      </w:r>
      <w:r w:rsidRPr="00BA01EB">
        <w:rPr>
          <w:rFonts w:cs="Arial"/>
          <w:szCs w:val="22"/>
        </w:rPr>
        <w:t>).</w:t>
      </w:r>
      <w:r w:rsidR="0080392D" w:rsidRPr="00BA01EB">
        <w:rPr>
          <w:rFonts w:cs="Arial"/>
          <w:szCs w:val="22"/>
        </w:rPr>
        <w:t xml:space="preserve"> </w:t>
      </w:r>
      <w:r w:rsidRPr="00BA01EB">
        <w:rPr>
          <w:rFonts w:cs="Arial"/>
          <w:szCs w:val="22"/>
        </w:rPr>
        <w:t xml:space="preserve"> Patients experiencing these</w:t>
      </w:r>
      <w:r w:rsidRPr="002742BE">
        <w:rPr>
          <w:rFonts w:cs="Arial"/>
          <w:szCs w:val="22"/>
        </w:rPr>
        <w:t xml:space="preserve"> adverse reactions should not drive or use machines.</w:t>
      </w:r>
    </w:p>
    <w:p w14:paraId="74E1525B" w14:textId="77777777" w:rsidR="000548F3" w:rsidRPr="000202B5" w:rsidRDefault="00792CC7" w:rsidP="000202B5">
      <w:pPr>
        <w:pStyle w:val="Heading2"/>
      </w:pPr>
      <w:bookmarkStart w:id="25" w:name="_Ref522884000"/>
      <w:r w:rsidRPr="000202B5">
        <w:t>ADVERSE EFFECTS (UNDESIRABLE EFFECTS)</w:t>
      </w:r>
      <w:bookmarkEnd w:id="25"/>
    </w:p>
    <w:p w14:paraId="03216120" w14:textId="77777777" w:rsidR="00CD2E38" w:rsidRPr="00CD2E38" w:rsidRDefault="00CD2E38" w:rsidP="00004191">
      <w:pPr>
        <w:pStyle w:val="BayerBodyText-left"/>
        <w:ind w:left="578"/>
        <w:jc w:val="left"/>
        <w:rPr>
          <w:b/>
        </w:rPr>
      </w:pPr>
      <w:r w:rsidRPr="00CD2E38">
        <w:rPr>
          <w:b/>
        </w:rPr>
        <w:t>Reporting suspected adverse effects</w:t>
      </w:r>
    </w:p>
    <w:p w14:paraId="3297CA0A" w14:textId="77777777" w:rsidR="00CD2E38" w:rsidRPr="002D7BA5" w:rsidRDefault="00CD2E38" w:rsidP="002D7BA5">
      <w:pPr>
        <w:pStyle w:val="BayerBodyText-left"/>
        <w:ind w:left="578"/>
        <w:jc w:val="left"/>
        <w:rPr>
          <w:rStyle w:val="BayerBodyTextFullZchn"/>
          <w:color w:val="0000FF"/>
          <w:szCs w:val="22"/>
          <w:u w:val="single"/>
        </w:rPr>
      </w:pPr>
      <w:r w:rsidRPr="00DA6D02">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5" w:history="1">
        <w:r w:rsidRPr="00DA6D02">
          <w:rPr>
            <w:rStyle w:val="Hyperlink"/>
            <w:szCs w:val="22"/>
          </w:rPr>
          <w:t>www.tga.gov.au/reporting-problems</w:t>
        </w:r>
      </w:hyperlink>
      <w:r>
        <w:rPr>
          <w:rStyle w:val="Hyperlink"/>
          <w:szCs w:val="22"/>
        </w:rPr>
        <w:t>.</w:t>
      </w:r>
    </w:p>
    <w:p w14:paraId="0D6575F5" w14:textId="34ACA5F7" w:rsidR="004C2A46" w:rsidRPr="00004191" w:rsidRDefault="004C2A46" w:rsidP="00004191">
      <w:pPr>
        <w:pStyle w:val="BayerBodyText-left"/>
        <w:ind w:left="578"/>
        <w:jc w:val="left"/>
      </w:pPr>
      <w:r w:rsidRPr="00E1748A">
        <w:rPr>
          <w:rStyle w:val="BayerBodyTextFullZchn"/>
        </w:rPr>
        <w:t xml:space="preserve">The safety of rivaroxaban has been evaluated in </w:t>
      </w:r>
      <w:r w:rsidR="00FB0882">
        <w:rPr>
          <w:rStyle w:val="BayerBodyTextFullZchn"/>
        </w:rPr>
        <w:t xml:space="preserve">ten </w:t>
      </w:r>
      <w:r w:rsidRPr="00E1748A">
        <w:rPr>
          <w:rStyle w:val="BayerBodyTextFullZchn"/>
        </w:rPr>
        <w:t>Phase</w:t>
      </w:r>
      <w:r w:rsidR="00656FA2" w:rsidRPr="00E1748A">
        <w:rPr>
          <w:rStyle w:val="BayerBodyTextFullZchn"/>
        </w:rPr>
        <w:t xml:space="preserve"> </w:t>
      </w:r>
      <w:r w:rsidRPr="00E1748A">
        <w:rPr>
          <w:rStyle w:val="BayerBodyTextFullZchn"/>
        </w:rPr>
        <w:t xml:space="preserve">III studies including </w:t>
      </w:r>
      <w:r w:rsidR="00FB0882">
        <w:rPr>
          <w:rStyle w:val="BayerBodyTextFullZchn"/>
        </w:rPr>
        <w:t>36,647</w:t>
      </w:r>
      <w:r w:rsidR="00436089" w:rsidRPr="00E1748A">
        <w:rPr>
          <w:rStyle w:val="BayerBodyTextFullZchn"/>
        </w:rPr>
        <w:t xml:space="preserve"> </w:t>
      </w:r>
      <w:r w:rsidRPr="00E1748A">
        <w:rPr>
          <w:rStyle w:val="BayerBodyTextFullZchn"/>
        </w:rPr>
        <w:t xml:space="preserve">patients exposed to </w:t>
      </w:r>
      <w:r w:rsidRPr="00E1748A">
        <w:rPr>
          <w:rStyle w:val="BayerBodyTextFullZchn"/>
          <w:szCs w:val="22"/>
        </w:rPr>
        <w:t>rivaroxaban</w:t>
      </w:r>
      <w:r w:rsidRPr="00E1748A">
        <w:rPr>
          <w:rFonts w:cs="Arial"/>
          <w:szCs w:val="22"/>
        </w:rPr>
        <w:t xml:space="preserve"> (</w:t>
      </w:r>
      <w:r w:rsidR="00FA0A16">
        <w:rPr>
          <w:rFonts w:cs="Arial"/>
          <w:szCs w:val="22"/>
        </w:rPr>
        <w:t xml:space="preserve">see </w:t>
      </w:r>
      <w:r w:rsidR="003860D3" w:rsidRPr="005403C3">
        <w:rPr>
          <w:rFonts w:cs="Arial"/>
          <w:szCs w:val="22"/>
        </w:rPr>
        <w:fldChar w:fldCharType="begin"/>
      </w:r>
      <w:r w:rsidR="003860D3" w:rsidRPr="005403C3">
        <w:rPr>
          <w:rFonts w:cs="Arial"/>
          <w:szCs w:val="22"/>
        </w:rPr>
        <w:instrText xml:space="preserve"> REF _Ref501396436 \h </w:instrText>
      </w:r>
      <w:r w:rsidR="00E1748A" w:rsidRPr="005403C3">
        <w:rPr>
          <w:rFonts w:cs="Arial"/>
          <w:szCs w:val="22"/>
        </w:rPr>
        <w:instrText xml:space="preserve"> \* MERGEFORMAT </w:instrText>
      </w:r>
      <w:r w:rsidR="003860D3" w:rsidRPr="005403C3">
        <w:rPr>
          <w:rFonts w:cs="Arial"/>
          <w:szCs w:val="22"/>
        </w:rPr>
      </w:r>
      <w:r w:rsidR="003860D3" w:rsidRPr="005403C3">
        <w:rPr>
          <w:rFonts w:cs="Arial"/>
          <w:szCs w:val="22"/>
        </w:rPr>
        <w:fldChar w:fldCharType="separate"/>
      </w:r>
      <w:r w:rsidR="00C51DA4" w:rsidRPr="00C51DA4">
        <w:rPr>
          <w:szCs w:val="22"/>
        </w:rPr>
        <w:t xml:space="preserve">Table </w:t>
      </w:r>
      <w:r w:rsidR="00C51DA4" w:rsidRPr="00C51DA4">
        <w:rPr>
          <w:noProof/>
          <w:szCs w:val="22"/>
        </w:rPr>
        <w:t>4</w:t>
      </w:r>
      <w:r w:rsidR="003860D3" w:rsidRPr="005403C3">
        <w:rPr>
          <w:rFonts w:cs="Arial"/>
          <w:szCs w:val="22"/>
        </w:rPr>
        <w:fldChar w:fldCharType="end"/>
      </w:r>
      <w:r w:rsidRPr="00E1748A">
        <w:rPr>
          <w:rFonts w:cs="Arial"/>
          <w:szCs w:val="22"/>
        </w:rPr>
        <w:t>).</w:t>
      </w:r>
    </w:p>
    <w:p w14:paraId="086AF620" w14:textId="146D1E35" w:rsidR="004A2647" w:rsidRPr="00476145" w:rsidRDefault="004A2647" w:rsidP="00900E05">
      <w:pPr>
        <w:pStyle w:val="Caption"/>
        <w:ind w:firstLine="578"/>
        <w:jc w:val="left"/>
      </w:pPr>
      <w:bookmarkStart w:id="26" w:name="_Ref501396436"/>
      <w:bookmarkStart w:id="27" w:name="_Ref286679088"/>
      <w:r w:rsidRPr="00476145">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4</w:t>
      </w:r>
      <w:r w:rsidR="005D4DAE">
        <w:rPr>
          <w:noProof/>
        </w:rPr>
        <w:fldChar w:fldCharType="end"/>
      </w:r>
      <w:bookmarkEnd w:id="26"/>
      <w:r w:rsidRPr="00476145">
        <w:t xml:space="preserve">: </w:t>
      </w:r>
      <w:r w:rsidRPr="00476145">
        <w:rPr>
          <w:rFonts w:cs="Arial"/>
        </w:rPr>
        <w:t>Number of patients studied and treatment duration in Phase III studies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1276"/>
        <w:gridCol w:w="2126"/>
        <w:gridCol w:w="2126"/>
      </w:tblGrid>
      <w:tr w:rsidR="004C2A46" w:rsidRPr="002742BE" w14:paraId="1E996698" w14:textId="77777777" w:rsidTr="008B7004">
        <w:trPr>
          <w:cantSplit/>
        </w:trPr>
        <w:tc>
          <w:tcPr>
            <w:tcW w:w="2862" w:type="dxa"/>
            <w:shd w:val="clear" w:color="auto" w:fill="D9D9D9" w:themeFill="background1" w:themeFillShade="D9"/>
          </w:tcPr>
          <w:bookmarkEnd w:id="27"/>
          <w:p w14:paraId="0A70CCFF" w14:textId="77777777" w:rsidR="004C2A46" w:rsidRPr="00DA6D02" w:rsidRDefault="004C2A46" w:rsidP="00161519">
            <w:pPr>
              <w:keepNext/>
              <w:tabs>
                <w:tab w:val="left" w:pos="567"/>
              </w:tabs>
              <w:spacing w:before="60" w:after="60"/>
              <w:ind w:right="46"/>
              <w:rPr>
                <w:rFonts w:cs="Arial"/>
                <w:b/>
                <w:noProof/>
                <w:sz w:val="18"/>
                <w:szCs w:val="18"/>
              </w:rPr>
            </w:pPr>
            <w:r w:rsidRPr="00DA6D02">
              <w:rPr>
                <w:rFonts w:cs="Arial"/>
                <w:b/>
                <w:noProof/>
                <w:sz w:val="18"/>
                <w:szCs w:val="18"/>
              </w:rPr>
              <w:t>Indication</w:t>
            </w:r>
          </w:p>
        </w:tc>
        <w:tc>
          <w:tcPr>
            <w:tcW w:w="1276" w:type="dxa"/>
            <w:shd w:val="clear" w:color="auto" w:fill="D9D9D9" w:themeFill="background1" w:themeFillShade="D9"/>
          </w:tcPr>
          <w:p w14:paraId="2474FBED" w14:textId="77777777" w:rsidR="004C2A46" w:rsidRPr="00DA6D02" w:rsidRDefault="004C2A46" w:rsidP="00161519">
            <w:pPr>
              <w:keepNext/>
              <w:tabs>
                <w:tab w:val="left" w:pos="567"/>
              </w:tabs>
              <w:spacing w:before="60" w:after="60"/>
              <w:ind w:right="46"/>
              <w:rPr>
                <w:rFonts w:cs="Arial"/>
                <w:b/>
                <w:noProof/>
                <w:sz w:val="18"/>
                <w:szCs w:val="18"/>
              </w:rPr>
            </w:pPr>
            <w:r w:rsidRPr="00DA6D02">
              <w:rPr>
                <w:rFonts w:cs="Arial"/>
                <w:b/>
                <w:noProof/>
                <w:sz w:val="18"/>
                <w:szCs w:val="18"/>
              </w:rPr>
              <w:t>Number of patients</w:t>
            </w:r>
          </w:p>
        </w:tc>
        <w:tc>
          <w:tcPr>
            <w:tcW w:w="2126" w:type="dxa"/>
            <w:shd w:val="clear" w:color="auto" w:fill="D9D9D9" w:themeFill="background1" w:themeFillShade="D9"/>
          </w:tcPr>
          <w:p w14:paraId="36F169CC" w14:textId="77777777" w:rsidR="004C2A46" w:rsidRPr="00DA6D02" w:rsidRDefault="004C2A46" w:rsidP="00161519">
            <w:pPr>
              <w:keepNext/>
              <w:tabs>
                <w:tab w:val="left" w:pos="567"/>
              </w:tabs>
              <w:spacing w:before="60" w:after="60"/>
              <w:ind w:right="46"/>
              <w:rPr>
                <w:rFonts w:cs="Arial"/>
                <w:b/>
                <w:noProof/>
                <w:sz w:val="18"/>
                <w:szCs w:val="18"/>
              </w:rPr>
            </w:pPr>
            <w:r w:rsidRPr="00DA6D02">
              <w:rPr>
                <w:rFonts w:cs="Arial"/>
                <w:b/>
                <w:noProof/>
                <w:sz w:val="18"/>
                <w:szCs w:val="18"/>
              </w:rPr>
              <w:t>Maximum daily dose</w:t>
            </w:r>
          </w:p>
        </w:tc>
        <w:tc>
          <w:tcPr>
            <w:tcW w:w="2126" w:type="dxa"/>
            <w:shd w:val="clear" w:color="auto" w:fill="D9D9D9" w:themeFill="background1" w:themeFillShade="D9"/>
          </w:tcPr>
          <w:p w14:paraId="66748183" w14:textId="77777777" w:rsidR="004C2A46" w:rsidRPr="00DA6D02" w:rsidRDefault="004C2A46" w:rsidP="00161519">
            <w:pPr>
              <w:keepNext/>
              <w:spacing w:before="60" w:after="60"/>
              <w:ind w:right="46"/>
              <w:rPr>
                <w:rFonts w:cs="Arial"/>
                <w:b/>
                <w:noProof/>
                <w:sz w:val="18"/>
                <w:szCs w:val="18"/>
              </w:rPr>
            </w:pPr>
            <w:r w:rsidRPr="00DA6D02">
              <w:rPr>
                <w:rFonts w:cs="Arial"/>
                <w:b/>
                <w:noProof/>
                <w:sz w:val="18"/>
                <w:szCs w:val="18"/>
              </w:rPr>
              <w:t>Maximum treatment duration</w:t>
            </w:r>
          </w:p>
        </w:tc>
      </w:tr>
      <w:tr w:rsidR="004C2A46" w:rsidRPr="00161519" w14:paraId="2713D3F1" w14:textId="77777777" w:rsidTr="00900E05">
        <w:trPr>
          <w:cantSplit/>
        </w:trPr>
        <w:tc>
          <w:tcPr>
            <w:tcW w:w="2862" w:type="dxa"/>
            <w:shd w:val="clear" w:color="auto" w:fill="auto"/>
          </w:tcPr>
          <w:p w14:paraId="7E018D30" w14:textId="77777777" w:rsidR="004C2A46" w:rsidRPr="00DA6D02" w:rsidRDefault="004C2A46" w:rsidP="00656FA2">
            <w:pPr>
              <w:ind w:right="43"/>
              <w:rPr>
                <w:rFonts w:cs="Arial"/>
                <w:sz w:val="18"/>
                <w:szCs w:val="18"/>
              </w:rPr>
            </w:pPr>
            <w:r w:rsidRPr="00DA6D02">
              <w:rPr>
                <w:rFonts w:cs="Arial"/>
                <w:sz w:val="18"/>
                <w:szCs w:val="18"/>
              </w:rPr>
              <w:t>Prevention of venous thromboembolism (VTE) in adult patients undergoing elective hip or knee replacement surgery</w:t>
            </w:r>
          </w:p>
        </w:tc>
        <w:tc>
          <w:tcPr>
            <w:tcW w:w="1276" w:type="dxa"/>
            <w:shd w:val="clear" w:color="auto" w:fill="auto"/>
          </w:tcPr>
          <w:p w14:paraId="1C925E94" w14:textId="77777777" w:rsidR="004C2A46" w:rsidRPr="00DA6D02" w:rsidRDefault="004C2A46" w:rsidP="00161519">
            <w:pPr>
              <w:ind w:right="43"/>
              <w:jc w:val="both"/>
              <w:rPr>
                <w:rFonts w:cs="Arial"/>
                <w:sz w:val="18"/>
                <w:szCs w:val="18"/>
              </w:rPr>
            </w:pPr>
            <w:r w:rsidRPr="00DA6D02">
              <w:rPr>
                <w:rFonts w:cs="Arial"/>
                <w:sz w:val="18"/>
                <w:szCs w:val="18"/>
              </w:rPr>
              <w:t>6,097</w:t>
            </w:r>
          </w:p>
        </w:tc>
        <w:tc>
          <w:tcPr>
            <w:tcW w:w="2126" w:type="dxa"/>
            <w:shd w:val="clear" w:color="auto" w:fill="auto"/>
          </w:tcPr>
          <w:p w14:paraId="36431C39" w14:textId="77777777" w:rsidR="004C2A46" w:rsidRPr="00DA6D02" w:rsidRDefault="004C2A46" w:rsidP="00161519">
            <w:pPr>
              <w:ind w:right="43"/>
              <w:jc w:val="both"/>
              <w:rPr>
                <w:rFonts w:cs="Arial"/>
                <w:sz w:val="18"/>
                <w:szCs w:val="18"/>
              </w:rPr>
            </w:pPr>
            <w:r w:rsidRPr="00DA6D02">
              <w:rPr>
                <w:rFonts w:cs="Arial"/>
                <w:sz w:val="18"/>
                <w:szCs w:val="18"/>
              </w:rPr>
              <w:t>10 mg</w:t>
            </w:r>
          </w:p>
        </w:tc>
        <w:tc>
          <w:tcPr>
            <w:tcW w:w="2126" w:type="dxa"/>
            <w:shd w:val="clear" w:color="auto" w:fill="auto"/>
          </w:tcPr>
          <w:p w14:paraId="479E82FC" w14:textId="77777777" w:rsidR="004C2A46" w:rsidRPr="00DA6D02" w:rsidRDefault="004C2A46" w:rsidP="00161519">
            <w:pPr>
              <w:ind w:right="43"/>
              <w:jc w:val="both"/>
              <w:rPr>
                <w:rFonts w:cs="Arial"/>
                <w:sz w:val="18"/>
                <w:szCs w:val="18"/>
              </w:rPr>
            </w:pPr>
            <w:r w:rsidRPr="00DA6D02">
              <w:rPr>
                <w:rFonts w:cs="Arial"/>
                <w:sz w:val="18"/>
                <w:szCs w:val="18"/>
              </w:rPr>
              <w:t>39 days</w:t>
            </w:r>
          </w:p>
        </w:tc>
      </w:tr>
      <w:tr w:rsidR="004C2A46" w:rsidRPr="00161519" w14:paraId="444FF378" w14:textId="77777777" w:rsidTr="00900E05">
        <w:trPr>
          <w:cantSplit/>
        </w:trPr>
        <w:tc>
          <w:tcPr>
            <w:tcW w:w="2862" w:type="dxa"/>
            <w:shd w:val="clear" w:color="auto" w:fill="auto"/>
          </w:tcPr>
          <w:p w14:paraId="3EB68896" w14:textId="77777777" w:rsidR="004C2A46" w:rsidRPr="00DA6D02" w:rsidRDefault="004C2A46" w:rsidP="00656FA2">
            <w:pPr>
              <w:ind w:right="43"/>
              <w:rPr>
                <w:rFonts w:cs="Arial"/>
                <w:sz w:val="18"/>
                <w:szCs w:val="18"/>
              </w:rPr>
            </w:pPr>
            <w:r w:rsidRPr="00DA6D02">
              <w:rPr>
                <w:rFonts w:cs="Arial"/>
                <w:sz w:val="18"/>
                <w:szCs w:val="18"/>
              </w:rPr>
              <w:lastRenderedPageBreak/>
              <w:t>Treatment of DVT, PE and prevention of recurrent DVT and PE</w:t>
            </w:r>
          </w:p>
        </w:tc>
        <w:tc>
          <w:tcPr>
            <w:tcW w:w="1276" w:type="dxa"/>
            <w:shd w:val="clear" w:color="auto" w:fill="auto"/>
          </w:tcPr>
          <w:p w14:paraId="7BA2B9A1" w14:textId="5E67C56D" w:rsidR="004C2A46" w:rsidRPr="00DA6D02" w:rsidRDefault="00782F2E" w:rsidP="00161519">
            <w:pPr>
              <w:ind w:right="43"/>
              <w:jc w:val="both"/>
              <w:rPr>
                <w:rFonts w:cs="Arial"/>
                <w:sz w:val="18"/>
                <w:szCs w:val="18"/>
              </w:rPr>
            </w:pPr>
            <w:r w:rsidRPr="00BB0BFE">
              <w:rPr>
                <w:rFonts w:cs="Arial"/>
                <w:noProof/>
                <w:color w:val="000000" w:themeColor="text1"/>
                <w:sz w:val="20"/>
              </w:rPr>
              <w:t>6,790</w:t>
            </w:r>
          </w:p>
        </w:tc>
        <w:tc>
          <w:tcPr>
            <w:tcW w:w="2126" w:type="dxa"/>
            <w:shd w:val="clear" w:color="auto" w:fill="auto"/>
          </w:tcPr>
          <w:p w14:paraId="2CB85F35" w14:textId="77777777" w:rsidR="004C2A46" w:rsidRPr="00DA6D02" w:rsidRDefault="004C2A46" w:rsidP="0080392D">
            <w:pPr>
              <w:ind w:right="43"/>
              <w:rPr>
                <w:rFonts w:cs="Arial"/>
                <w:sz w:val="18"/>
                <w:szCs w:val="18"/>
              </w:rPr>
            </w:pPr>
            <w:r w:rsidRPr="00DA6D02">
              <w:rPr>
                <w:rFonts w:cs="Arial"/>
                <w:sz w:val="18"/>
                <w:szCs w:val="18"/>
              </w:rPr>
              <w:t>Day 1 – 21: 30 mg</w:t>
            </w:r>
          </w:p>
          <w:p w14:paraId="382948B3" w14:textId="77777777" w:rsidR="004C2A46" w:rsidRDefault="004C2A46" w:rsidP="0080392D">
            <w:pPr>
              <w:ind w:right="43"/>
              <w:rPr>
                <w:rFonts w:cs="Arial"/>
                <w:sz w:val="18"/>
                <w:szCs w:val="18"/>
              </w:rPr>
            </w:pPr>
            <w:r w:rsidRPr="00DA6D02">
              <w:rPr>
                <w:rFonts w:cs="Arial"/>
                <w:sz w:val="18"/>
                <w:szCs w:val="18"/>
              </w:rPr>
              <w:t>Day 22 and onwards: 20 mg</w:t>
            </w:r>
          </w:p>
          <w:p w14:paraId="22D6C9B4" w14:textId="77777777" w:rsidR="00782F2E" w:rsidRPr="00DA6D02" w:rsidRDefault="00782F2E" w:rsidP="0080392D">
            <w:pPr>
              <w:ind w:right="43"/>
              <w:rPr>
                <w:rFonts w:cs="Arial"/>
                <w:sz w:val="18"/>
                <w:szCs w:val="18"/>
              </w:rPr>
            </w:pPr>
            <w:r w:rsidRPr="00BB0BFE">
              <w:rPr>
                <w:rFonts w:cs="Arial"/>
                <w:noProof/>
                <w:color w:val="000000" w:themeColor="text1"/>
                <w:sz w:val="20"/>
              </w:rPr>
              <w:t>After at least six months: 10 mg or 20 mg</w:t>
            </w:r>
          </w:p>
        </w:tc>
        <w:tc>
          <w:tcPr>
            <w:tcW w:w="2126" w:type="dxa"/>
            <w:shd w:val="clear" w:color="auto" w:fill="auto"/>
          </w:tcPr>
          <w:p w14:paraId="2504CD98" w14:textId="77777777" w:rsidR="004C2A46" w:rsidRPr="00DA6D02" w:rsidRDefault="004C2A46" w:rsidP="00161519">
            <w:pPr>
              <w:ind w:right="43"/>
              <w:jc w:val="both"/>
              <w:rPr>
                <w:rFonts w:cs="Arial"/>
                <w:sz w:val="18"/>
                <w:szCs w:val="18"/>
              </w:rPr>
            </w:pPr>
            <w:r w:rsidRPr="00DA6D02">
              <w:rPr>
                <w:rFonts w:cs="Arial"/>
                <w:sz w:val="18"/>
                <w:szCs w:val="18"/>
              </w:rPr>
              <w:t>21 months</w:t>
            </w:r>
          </w:p>
        </w:tc>
      </w:tr>
      <w:tr w:rsidR="004C2A46" w:rsidRPr="00161519" w14:paraId="4E208B8A" w14:textId="77777777" w:rsidTr="00900E05">
        <w:trPr>
          <w:cantSplit/>
        </w:trPr>
        <w:tc>
          <w:tcPr>
            <w:tcW w:w="2862" w:type="dxa"/>
            <w:shd w:val="clear" w:color="auto" w:fill="auto"/>
          </w:tcPr>
          <w:p w14:paraId="4A3C25B9" w14:textId="77777777" w:rsidR="004C2A46" w:rsidRPr="00DA6D02" w:rsidRDefault="004C2A46" w:rsidP="00656FA2">
            <w:pPr>
              <w:ind w:right="43"/>
              <w:rPr>
                <w:rFonts w:cs="Arial"/>
                <w:sz w:val="18"/>
                <w:szCs w:val="18"/>
              </w:rPr>
            </w:pPr>
            <w:r w:rsidRPr="00DA6D02">
              <w:rPr>
                <w:rFonts w:cs="Arial"/>
                <w:sz w:val="18"/>
                <w:szCs w:val="18"/>
              </w:rPr>
              <w:t>Prevention of stroke and systemic embolism in patients with non-valvular atrial fibrillation</w:t>
            </w:r>
          </w:p>
        </w:tc>
        <w:tc>
          <w:tcPr>
            <w:tcW w:w="1276" w:type="dxa"/>
            <w:shd w:val="clear" w:color="auto" w:fill="auto"/>
          </w:tcPr>
          <w:p w14:paraId="00800FF7" w14:textId="77777777" w:rsidR="004C2A46" w:rsidRPr="00DA6D02" w:rsidRDefault="004C2A46" w:rsidP="00161519">
            <w:pPr>
              <w:ind w:right="43"/>
              <w:jc w:val="both"/>
              <w:rPr>
                <w:rFonts w:cs="Arial"/>
                <w:sz w:val="18"/>
                <w:szCs w:val="18"/>
              </w:rPr>
            </w:pPr>
            <w:r w:rsidRPr="00DA6D02">
              <w:rPr>
                <w:rFonts w:cs="Arial"/>
                <w:sz w:val="18"/>
                <w:szCs w:val="18"/>
              </w:rPr>
              <w:t>7,750</w:t>
            </w:r>
          </w:p>
        </w:tc>
        <w:tc>
          <w:tcPr>
            <w:tcW w:w="2126" w:type="dxa"/>
            <w:shd w:val="clear" w:color="auto" w:fill="auto"/>
          </w:tcPr>
          <w:p w14:paraId="4BF11D78" w14:textId="77777777" w:rsidR="004C2A46" w:rsidRPr="00DA6D02" w:rsidRDefault="004C2A46" w:rsidP="00161519">
            <w:pPr>
              <w:ind w:right="43"/>
              <w:jc w:val="both"/>
              <w:rPr>
                <w:rFonts w:cs="Arial"/>
                <w:sz w:val="18"/>
                <w:szCs w:val="18"/>
              </w:rPr>
            </w:pPr>
            <w:r w:rsidRPr="00DA6D02">
              <w:rPr>
                <w:rFonts w:cs="Arial"/>
                <w:sz w:val="18"/>
                <w:szCs w:val="18"/>
              </w:rPr>
              <w:t>20 mg</w:t>
            </w:r>
          </w:p>
        </w:tc>
        <w:tc>
          <w:tcPr>
            <w:tcW w:w="2126" w:type="dxa"/>
            <w:shd w:val="clear" w:color="auto" w:fill="auto"/>
          </w:tcPr>
          <w:p w14:paraId="7C045AE9" w14:textId="77777777" w:rsidR="004C2A46" w:rsidRPr="00DA6D02" w:rsidRDefault="004C2A46" w:rsidP="00161519">
            <w:pPr>
              <w:ind w:right="43"/>
              <w:jc w:val="both"/>
              <w:rPr>
                <w:rFonts w:cs="Arial"/>
                <w:sz w:val="18"/>
                <w:szCs w:val="18"/>
              </w:rPr>
            </w:pPr>
            <w:r w:rsidRPr="00DA6D02">
              <w:rPr>
                <w:rFonts w:cs="Arial"/>
                <w:sz w:val="18"/>
                <w:szCs w:val="18"/>
              </w:rPr>
              <w:t>41 months</w:t>
            </w:r>
          </w:p>
        </w:tc>
      </w:tr>
      <w:tr w:rsidR="007D7E75" w:rsidRPr="00161519" w14:paraId="04F43D85" w14:textId="77777777" w:rsidTr="00900E05">
        <w:trPr>
          <w:cantSplit/>
        </w:trPr>
        <w:tc>
          <w:tcPr>
            <w:tcW w:w="2862" w:type="dxa"/>
            <w:shd w:val="clear" w:color="auto" w:fill="auto"/>
          </w:tcPr>
          <w:p w14:paraId="51960061" w14:textId="043710DA" w:rsidR="007D7E75" w:rsidRPr="00DA6D02" w:rsidRDefault="00FB3EF5" w:rsidP="00656FA2">
            <w:pPr>
              <w:ind w:right="43"/>
              <w:rPr>
                <w:rFonts w:cs="Arial"/>
                <w:sz w:val="18"/>
                <w:szCs w:val="18"/>
              </w:rPr>
            </w:pPr>
            <w:r>
              <w:rPr>
                <w:rFonts w:cs="Arial"/>
                <w:sz w:val="18"/>
                <w:szCs w:val="18"/>
              </w:rPr>
              <w:t>P</w:t>
            </w:r>
            <w:r w:rsidRPr="00FB3EF5">
              <w:rPr>
                <w:rFonts w:cs="Arial"/>
                <w:sz w:val="18"/>
                <w:szCs w:val="18"/>
              </w:rPr>
              <w:t>revention of major cardiovascular events (composite of stroke, myocardial infarction and cardiovascular death) in patients with coronary artery disease (CAD) and/or peripheral artery disease (PAD).</w:t>
            </w:r>
          </w:p>
        </w:tc>
        <w:tc>
          <w:tcPr>
            <w:tcW w:w="1276" w:type="dxa"/>
            <w:shd w:val="clear" w:color="auto" w:fill="auto"/>
          </w:tcPr>
          <w:p w14:paraId="02995B83" w14:textId="77777777" w:rsidR="007D7E75" w:rsidRPr="00DA6D02" w:rsidRDefault="007D7E75" w:rsidP="00161519">
            <w:pPr>
              <w:ind w:right="43"/>
              <w:jc w:val="both"/>
              <w:rPr>
                <w:rFonts w:cs="Arial"/>
                <w:sz w:val="18"/>
                <w:szCs w:val="18"/>
              </w:rPr>
            </w:pPr>
            <w:r>
              <w:rPr>
                <w:rFonts w:cs="Arial"/>
                <w:sz w:val="18"/>
                <w:szCs w:val="18"/>
              </w:rPr>
              <w:t>18,244</w:t>
            </w:r>
          </w:p>
        </w:tc>
        <w:tc>
          <w:tcPr>
            <w:tcW w:w="2126" w:type="dxa"/>
            <w:shd w:val="clear" w:color="auto" w:fill="auto"/>
          </w:tcPr>
          <w:p w14:paraId="50587500" w14:textId="77777777" w:rsidR="007D7E75" w:rsidRPr="00DA6D02" w:rsidRDefault="007D7E75" w:rsidP="00161519">
            <w:pPr>
              <w:ind w:right="43"/>
              <w:jc w:val="both"/>
              <w:rPr>
                <w:rFonts w:cs="Arial"/>
                <w:sz w:val="18"/>
                <w:szCs w:val="18"/>
              </w:rPr>
            </w:pPr>
            <w:r>
              <w:rPr>
                <w:rFonts w:cs="Arial"/>
                <w:sz w:val="18"/>
                <w:szCs w:val="18"/>
              </w:rPr>
              <w:t>2.5 mg bid combination with 100 mg od aspirin or 5 mg bid alone</w:t>
            </w:r>
          </w:p>
        </w:tc>
        <w:tc>
          <w:tcPr>
            <w:tcW w:w="2126" w:type="dxa"/>
            <w:shd w:val="clear" w:color="auto" w:fill="auto"/>
          </w:tcPr>
          <w:p w14:paraId="6C8D549F" w14:textId="77777777" w:rsidR="007D7E75" w:rsidRPr="00DA6D02" w:rsidRDefault="007D7E75" w:rsidP="00161519">
            <w:pPr>
              <w:ind w:right="43"/>
              <w:jc w:val="both"/>
              <w:rPr>
                <w:rFonts w:cs="Arial"/>
                <w:sz w:val="18"/>
                <w:szCs w:val="18"/>
              </w:rPr>
            </w:pPr>
            <w:r>
              <w:rPr>
                <w:rFonts w:cs="Arial"/>
                <w:sz w:val="18"/>
                <w:szCs w:val="18"/>
              </w:rPr>
              <w:t>47 months</w:t>
            </w:r>
          </w:p>
        </w:tc>
      </w:tr>
    </w:tbl>
    <w:p w14:paraId="28E8BE35" w14:textId="77777777" w:rsidR="00436089" w:rsidRDefault="00436089" w:rsidP="00161519">
      <w:pPr>
        <w:ind w:right="43"/>
        <w:jc w:val="both"/>
        <w:rPr>
          <w:rFonts w:cs="Arial"/>
          <w:szCs w:val="22"/>
        </w:rPr>
      </w:pPr>
    </w:p>
    <w:p w14:paraId="03D5B526" w14:textId="19CA0EE1" w:rsidR="00B30379" w:rsidRDefault="004C2A46" w:rsidP="000B24A5">
      <w:pPr>
        <w:spacing w:before="120" w:after="240"/>
        <w:ind w:left="630" w:right="45"/>
        <w:jc w:val="both"/>
        <w:rPr>
          <w:rFonts w:cs="Arial"/>
          <w:szCs w:val="22"/>
        </w:rPr>
      </w:pPr>
      <w:r w:rsidRPr="002742BE">
        <w:rPr>
          <w:rFonts w:cs="Arial"/>
          <w:szCs w:val="22"/>
        </w:rPr>
        <w:t xml:space="preserve">In total about </w:t>
      </w:r>
      <w:r w:rsidR="000B24A5">
        <w:rPr>
          <w:rFonts w:cs="Arial"/>
          <w:szCs w:val="22"/>
        </w:rPr>
        <w:t>69</w:t>
      </w:r>
      <w:r>
        <w:rPr>
          <w:rFonts w:cs="Arial"/>
          <w:szCs w:val="22"/>
        </w:rPr>
        <w:t>%</w:t>
      </w:r>
      <w:r w:rsidRPr="002742BE">
        <w:rPr>
          <w:rFonts w:cs="Arial"/>
          <w:szCs w:val="22"/>
        </w:rPr>
        <w:t xml:space="preserve"> of patients exposed to at least one dose of rivaroxaban were reported with treatment emergent adverse events (regardless of causality). </w:t>
      </w:r>
      <w:r w:rsidR="00656FA2">
        <w:rPr>
          <w:rFonts w:cs="Arial"/>
          <w:szCs w:val="22"/>
        </w:rPr>
        <w:t xml:space="preserve"> </w:t>
      </w:r>
      <w:r w:rsidRPr="002742BE">
        <w:rPr>
          <w:rFonts w:cs="Arial"/>
          <w:szCs w:val="22"/>
        </w:rPr>
        <w:t xml:space="preserve">About </w:t>
      </w:r>
      <w:r w:rsidR="000B24A5">
        <w:rPr>
          <w:rFonts w:cs="Arial"/>
          <w:szCs w:val="22"/>
        </w:rPr>
        <w:t>24</w:t>
      </w:r>
      <w:r>
        <w:rPr>
          <w:rFonts w:cs="Arial"/>
          <w:szCs w:val="22"/>
        </w:rPr>
        <w:t>%</w:t>
      </w:r>
      <w:r w:rsidRPr="002742BE">
        <w:rPr>
          <w:rFonts w:cs="Arial"/>
          <w:szCs w:val="22"/>
        </w:rPr>
        <w:t xml:space="preserve"> of patients experienced adverse events considered related to treatment as assessed by investigators.</w:t>
      </w:r>
      <w:r w:rsidR="00656FA2">
        <w:rPr>
          <w:rFonts w:cs="Arial"/>
          <w:szCs w:val="22"/>
        </w:rPr>
        <w:t xml:space="preserve"> </w:t>
      </w:r>
      <w:r w:rsidRPr="002742BE">
        <w:rPr>
          <w:rFonts w:cs="Arial"/>
          <w:szCs w:val="22"/>
        </w:rPr>
        <w:t xml:space="preserve"> </w:t>
      </w:r>
    </w:p>
    <w:p w14:paraId="0FAADEA9" w14:textId="34049D96" w:rsidR="00161519" w:rsidRPr="000B24A5" w:rsidRDefault="000B24A5" w:rsidP="000B24A5">
      <w:pPr>
        <w:spacing w:before="120" w:after="240"/>
        <w:ind w:left="630" w:right="45"/>
        <w:jc w:val="both"/>
        <w:rPr>
          <w:rFonts w:cs="Arial"/>
          <w:b/>
          <w:color w:val="000000" w:themeColor="text1"/>
          <w:sz w:val="20"/>
          <w:lang w:eastAsia="en-US"/>
        </w:rPr>
      </w:pPr>
      <w:r w:rsidRPr="00B30379">
        <w:rPr>
          <w:b/>
        </w:rPr>
        <w:t xml:space="preserve">Table </w:t>
      </w:r>
      <w:r w:rsidRPr="00B30379">
        <w:rPr>
          <w:b/>
          <w:noProof/>
        </w:rPr>
        <w:fldChar w:fldCharType="begin"/>
      </w:r>
      <w:r w:rsidRPr="00B30379">
        <w:rPr>
          <w:b/>
          <w:noProof/>
        </w:rPr>
        <w:instrText xml:space="preserve"> SEQ Table \* ARABIC </w:instrText>
      </w:r>
      <w:r w:rsidRPr="00B30379">
        <w:rPr>
          <w:b/>
          <w:noProof/>
        </w:rPr>
        <w:fldChar w:fldCharType="separate"/>
      </w:r>
      <w:r w:rsidR="00C51DA4">
        <w:rPr>
          <w:b/>
          <w:noProof/>
        </w:rPr>
        <w:t>5</w:t>
      </w:r>
      <w:r w:rsidRPr="00B30379">
        <w:rPr>
          <w:b/>
          <w:noProof/>
        </w:rPr>
        <w:fldChar w:fldCharType="end"/>
      </w:r>
      <w:r w:rsidRPr="00476145">
        <w:t xml:space="preserve">: </w:t>
      </w:r>
      <w:r w:rsidRPr="00FA0A16">
        <w:rPr>
          <w:rFonts w:cs="Arial"/>
          <w:b/>
          <w:color w:val="000000" w:themeColor="text1"/>
          <w:lang w:eastAsia="en-US"/>
        </w:rPr>
        <w:t>Bleeding and anaemia events rates in patients exposed to Xarelto across the completed phase III studies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257"/>
        <w:gridCol w:w="2269"/>
        <w:gridCol w:w="2269"/>
      </w:tblGrid>
      <w:tr w:rsidR="000B24A5" w:rsidRPr="000B24A5" w14:paraId="5328D8DC" w14:textId="77777777" w:rsidTr="008B7004">
        <w:trPr>
          <w:trHeight w:val="131"/>
        </w:trPr>
        <w:tc>
          <w:tcPr>
            <w:tcW w:w="3257" w:type="dxa"/>
            <w:shd w:val="clear" w:color="auto" w:fill="D9D9D9" w:themeFill="background1" w:themeFillShade="D9"/>
          </w:tcPr>
          <w:p w14:paraId="292CBA82" w14:textId="77777777" w:rsidR="000B24A5" w:rsidRPr="000B24A5" w:rsidRDefault="000B24A5" w:rsidP="000B24A5">
            <w:pPr>
              <w:autoSpaceDE w:val="0"/>
              <w:autoSpaceDN w:val="0"/>
              <w:adjustRightInd w:val="0"/>
              <w:rPr>
                <w:rFonts w:cs="Arial"/>
                <w:color w:val="000000" w:themeColor="text1"/>
                <w:sz w:val="20"/>
              </w:rPr>
            </w:pPr>
            <w:r w:rsidRPr="000B24A5">
              <w:rPr>
                <w:rFonts w:cs="Arial"/>
                <w:b/>
                <w:bCs/>
                <w:color w:val="000000" w:themeColor="text1"/>
                <w:sz w:val="20"/>
              </w:rPr>
              <w:t xml:space="preserve">Indication </w:t>
            </w:r>
          </w:p>
        </w:tc>
        <w:tc>
          <w:tcPr>
            <w:tcW w:w="2269" w:type="dxa"/>
            <w:shd w:val="clear" w:color="auto" w:fill="D9D9D9" w:themeFill="background1" w:themeFillShade="D9"/>
          </w:tcPr>
          <w:p w14:paraId="33FBE126" w14:textId="77777777" w:rsidR="000B24A5" w:rsidRPr="000B24A5" w:rsidRDefault="000B24A5" w:rsidP="000B24A5">
            <w:pPr>
              <w:autoSpaceDE w:val="0"/>
              <w:autoSpaceDN w:val="0"/>
              <w:adjustRightInd w:val="0"/>
              <w:rPr>
                <w:rFonts w:cs="Arial"/>
                <w:color w:val="000000" w:themeColor="text1"/>
                <w:sz w:val="20"/>
              </w:rPr>
            </w:pPr>
            <w:r w:rsidRPr="000B24A5">
              <w:rPr>
                <w:rFonts w:cs="Arial"/>
                <w:b/>
                <w:bCs/>
                <w:color w:val="000000" w:themeColor="text1"/>
                <w:sz w:val="20"/>
              </w:rPr>
              <w:t xml:space="preserve">Any Bleeding </w:t>
            </w:r>
          </w:p>
        </w:tc>
        <w:tc>
          <w:tcPr>
            <w:tcW w:w="2269" w:type="dxa"/>
            <w:shd w:val="clear" w:color="auto" w:fill="D9D9D9" w:themeFill="background1" w:themeFillShade="D9"/>
          </w:tcPr>
          <w:p w14:paraId="60F93310" w14:textId="77777777" w:rsidR="000B24A5" w:rsidRPr="000B24A5" w:rsidRDefault="000B24A5" w:rsidP="000B24A5">
            <w:pPr>
              <w:autoSpaceDE w:val="0"/>
              <w:autoSpaceDN w:val="0"/>
              <w:adjustRightInd w:val="0"/>
              <w:rPr>
                <w:rFonts w:cs="Arial"/>
                <w:color w:val="000000" w:themeColor="text1"/>
                <w:sz w:val="20"/>
              </w:rPr>
            </w:pPr>
            <w:r w:rsidRPr="000B24A5">
              <w:rPr>
                <w:rFonts w:cs="Arial"/>
                <w:b/>
                <w:bCs/>
                <w:color w:val="000000" w:themeColor="text1"/>
                <w:sz w:val="20"/>
              </w:rPr>
              <w:t xml:space="preserve">Anaemia </w:t>
            </w:r>
          </w:p>
        </w:tc>
      </w:tr>
      <w:tr w:rsidR="000B24A5" w:rsidRPr="000B24A5" w14:paraId="07981CB5" w14:textId="77777777" w:rsidTr="000B24A5">
        <w:trPr>
          <w:trHeight w:val="471"/>
        </w:trPr>
        <w:tc>
          <w:tcPr>
            <w:tcW w:w="3257" w:type="dxa"/>
          </w:tcPr>
          <w:p w14:paraId="611446E9" w14:textId="77777777" w:rsidR="000B24A5" w:rsidRPr="000B24A5" w:rsidRDefault="000B24A5" w:rsidP="000B24A5">
            <w:pPr>
              <w:autoSpaceDE w:val="0"/>
              <w:autoSpaceDN w:val="0"/>
              <w:adjustRightInd w:val="0"/>
              <w:rPr>
                <w:rFonts w:cs="Arial"/>
                <w:color w:val="000000" w:themeColor="text1"/>
                <w:sz w:val="20"/>
              </w:rPr>
            </w:pPr>
            <w:r w:rsidRPr="000B24A5">
              <w:rPr>
                <w:rFonts w:cs="Arial"/>
                <w:color w:val="000000" w:themeColor="text1"/>
                <w:sz w:val="20"/>
              </w:rPr>
              <w:t xml:space="preserve">Prevention of venous thromboembolism (VTE) in adult patients undergoing elective hip or knee replacement surgery </w:t>
            </w:r>
          </w:p>
        </w:tc>
        <w:tc>
          <w:tcPr>
            <w:tcW w:w="2269" w:type="dxa"/>
          </w:tcPr>
          <w:p w14:paraId="61F1546D" w14:textId="77777777" w:rsidR="000B24A5" w:rsidRPr="000B24A5" w:rsidRDefault="000B24A5" w:rsidP="000B24A5">
            <w:pPr>
              <w:autoSpaceDE w:val="0"/>
              <w:autoSpaceDN w:val="0"/>
              <w:adjustRightInd w:val="0"/>
              <w:rPr>
                <w:rFonts w:cs="Arial"/>
                <w:color w:val="000000" w:themeColor="text1"/>
                <w:sz w:val="20"/>
              </w:rPr>
            </w:pPr>
            <w:r w:rsidRPr="000B24A5">
              <w:rPr>
                <w:rFonts w:cs="Arial"/>
                <w:color w:val="000000" w:themeColor="text1"/>
                <w:sz w:val="20"/>
              </w:rPr>
              <w:t xml:space="preserve">6.8% of patients </w:t>
            </w:r>
          </w:p>
        </w:tc>
        <w:tc>
          <w:tcPr>
            <w:tcW w:w="2269" w:type="dxa"/>
          </w:tcPr>
          <w:p w14:paraId="0240B623" w14:textId="77777777" w:rsidR="000B24A5" w:rsidRPr="000B24A5" w:rsidRDefault="000B24A5" w:rsidP="000B24A5">
            <w:pPr>
              <w:autoSpaceDE w:val="0"/>
              <w:autoSpaceDN w:val="0"/>
              <w:adjustRightInd w:val="0"/>
              <w:rPr>
                <w:rFonts w:cs="Arial"/>
                <w:color w:val="000000" w:themeColor="text1"/>
                <w:sz w:val="20"/>
              </w:rPr>
            </w:pPr>
            <w:r w:rsidRPr="000B24A5">
              <w:rPr>
                <w:rFonts w:cs="Arial"/>
                <w:color w:val="000000" w:themeColor="text1"/>
                <w:sz w:val="20"/>
              </w:rPr>
              <w:t xml:space="preserve">5.9% of patients </w:t>
            </w:r>
          </w:p>
        </w:tc>
      </w:tr>
      <w:tr w:rsidR="000B24A5" w:rsidRPr="000B24A5" w14:paraId="3C33B771" w14:textId="77777777" w:rsidTr="000B24A5">
        <w:trPr>
          <w:trHeight w:val="243"/>
        </w:trPr>
        <w:tc>
          <w:tcPr>
            <w:tcW w:w="3257" w:type="dxa"/>
          </w:tcPr>
          <w:p w14:paraId="719203E0" w14:textId="77777777" w:rsidR="000B24A5" w:rsidRPr="000B24A5" w:rsidRDefault="000B24A5" w:rsidP="000B24A5">
            <w:pPr>
              <w:autoSpaceDE w:val="0"/>
              <w:autoSpaceDN w:val="0"/>
              <w:adjustRightInd w:val="0"/>
              <w:rPr>
                <w:rFonts w:cs="Arial"/>
                <w:color w:val="000000" w:themeColor="text1"/>
                <w:sz w:val="20"/>
              </w:rPr>
            </w:pPr>
            <w:r w:rsidRPr="000B24A5">
              <w:rPr>
                <w:rFonts w:cs="Arial"/>
                <w:color w:val="000000" w:themeColor="text1"/>
                <w:sz w:val="20"/>
              </w:rPr>
              <w:t xml:space="preserve">Treatment of DVT, PE and prevention of recurrent DVT, PE </w:t>
            </w:r>
          </w:p>
        </w:tc>
        <w:tc>
          <w:tcPr>
            <w:tcW w:w="2269" w:type="dxa"/>
          </w:tcPr>
          <w:p w14:paraId="09AB9B16" w14:textId="77777777" w:rsidR="000B24A5" w:rsidRPr="000B24A5" w:rsidRDefault="000B24A5" w:rsidP="000B24A5">
            <w:pPr>
              <w:autoSpaceDE w:val="0"/>
              <w:autoSpaceDN w:val="0"/>
              <w:adjustRightInd w:val="0"/>
              <w:rPr>
                <w:rFonts w:cs="Arial"/>
                <w:color w:val="000000" w:themeColor="text1"/>
                <w:sz w:val="20"/>
              </w:rPr>
            </w:pPr>
            <w:r w:rsidRPr="000B24A5">
              <w:rPr>
                <w:rFonts w:cs="Arial"/>
                <w:color w:val="000000" w:themeColor="text1"/>
                <w:sz w:val="20"/>
              </w:rPr>
              <w:t xml:space="preserve">23% of patients </w:t>
            </w:r>
          </w:p>
        </w:tc>
        <w:tc>
          <w:tcPr>
            <w:tcW w:w="2269" w:type="dxa"/>
          </w:tcPr>
          <w:p w14:paraId="176942C8" w14:textId="77777777" w:rsidR="000B24A5" w:rsidRPr="000B24A5" w:rsidRDefault="000B24A5" w:rsidP="000B24A5">
            <w:pPr>
              <w:autoSpaceDE w:val="0"/>
              <w:autoSpaceDN w:val="0"/>
              <w:adjustRightInd w:val="0"/>
              <w:rPr>
                <w:rFonts w:cs="Arial"/>
                <w:color w:val="000000" w:themeColor="text1"/>
                <w:sz w:val="20"/>
              </w:rPr>
            </w:pPr>
            <w:r w:rsidRPr="000B24A5">
              <w:rPr>
                <w:rFonts w:cs="Arial"/>
                <w:color w:val="000000" w:themeColor="text1"/>
                <w:sz w:val="20"/>
              </w:rPr>
              <w:t xml:space="preserve">1.6% of patients </w:t>
            </w:r>
          </w:p>
        </w:tc>
      </w:tr>
      <w:tr w:rsidR="000B24A5" w:rsidRPr="000B24A5" w14:paraId="0EB8F4B2" w14:textId="77777777" w:rsidTr="000B24A5">
        <w:trPr>
          <w:trHeight w:val="357"/>
        </w:trPr>
        <w:tc>
          <w:tcPr>
            <w:tcW w:w="3257" w:type="dxa"/>
          </w:tcPr>
          <w:p w14:paraId="27113A27" w14:textId="77777777" w:rsidR="000B24A5" w:rsidRPr="000B24A5" w:rsidRDefault="000B24A5" w:rsidP="000B24A5">
            <w:pPr>
              <w:autoSpaceDE w:val="0"/>
              <w:autoSpaceDN w:val="0"/>
              <w:adjustRightInd w:val="0"/>
              <w:rPr>
                <w:rFonts w:cs="Arial"/>
                <w:color w:val="000000" w:themeColor="text1"/>
                <w:sz w:val="20"/>
              </w:rPr>
            </w:pPr>
            <w:r w:rsidRPr="000B24A5">
              <w:rPr>
                <w:rFonts w:cs="Arial"/>
                <w:color w:val="000000" w:themeColor="text1"/>
                <w:sz w:val="20"/>
              </w:rPr>
              <w:t xml:space="preserve">Prevention of stroke and systemic embolism in patients with non-valvular atrial fibrillation </w:t>
            </w:r>
          </w:p>
        </w:tc>
        <w:tc>
          <w:tcPr>
            <w:tcW w:w="2269" w:type="dxa"/>
          </w:tcPr>
          <w:p w14:paraId="5AF0A450" w14:textId="77777777" w:rsidR="000B24A5" w:rsidRPr="000B24A5" w:rsidRDefault="000B24A5" w:rsidP="000B24A5">
            <w:pPr>
              <w:autoSpaceDE w:val="0"/>
              <w:autoSpaceDN w:val="0"/>
              <w:adjustRightInd w:val="0"/>
              <w:rPr>
                <w:rFonts w:cs="Arial"/>
                <w:color w:val="000000" w:themeColor="text1"/>
                <w:sz w:val="20"/>
              </w:rPr>
            </w:pPr>
            <w:r w:rsidRPr="000B24A5">
              <w:rPr>
                <w:rFonts w:cs="Arial"/>
                <w:color w:val="000000" w:themeColor="text1"/>
                <w:sz w:val="20"/>
              </w:rPr>
              <w:t xml:space="preserve">28 per 100 patient years </w:t>
            </w:r>
          </w:p>
        </w:tc>
        <w:tc>
          <w:tcPr>
            <w:tcW w:w="2269" w:type="dxa"/>
          </w:tcPr>
          <w:p w14:paraId="5CDC691A" w14:textId="77777777" w:rsidR="000B24A5" w:rsidRPr="000B24A5" w:rsidRDefault="000B24A5" w:rsidP="000B24A5">
            <w:pPr>
              <w:autoSpaceDE w:val="0"/>
              <w:autoSpaceDN w:val="0"/>
              <w:adjustRightInd w:val="0"/>
              <w:rPr>
                <w:rFonts w:cs="Arial"/>
                <w:color w:val="000000" w:themeColor="text1"/>
                <w:sz w:val="20"/>
              </w:rPr>
            </w:pPr>
            <w:r w:rsidRPr="000B24A5">
              <w:rPr>
                <w:rFonts w:cs="Arial"/>
                <w:color w:val="000000" w:themeColor="text1"/>
                <w:sz w:val="20"/>
              </w:rPr>
              <w:t xml:space="preserve">2.5 per 100 patient years </w:t>
            </w:r>
          </w:p>
        </w:tc>
      </w:tr>
    </w:tbl>
    <w:p w14:paraId="689019DE" w14:textId="77777777" w:rsidR="000B24A5" w:rsidRPr="002742BE" w:rsidRDefault="000B24A5" w:rsidP="000B24A5">
      <w:pPr>
        <w:ind w:left="630" w:right="43"/>
        <w:rPr>
          <w:rFonts w:cs="Arial"/>
          <w:szCs w:val="22"/>
        </w:rPr>
      </w:pPr>
    </w:p>
    <w:p w14:paraId="7B3D453E" w14:textId="77777777" w:rsidR="004C2A46" w:rsidRDefault="004C2A46" w:rsidP="00AB3AD6">
      <w:pPr>
        <w:ind w:left="630" w:right="43"/>
        <w:rPr>
          <w:rFonts w:cs="Arial"/>
          <w:szCs w:val="22"/>
        </w:rPr>
      </w:pPr>
      <w:r w:rsidRPr="002742BE">
        <w:rPr>
          <w:rFonts w:cs="Arial"/>
          <w:szCs w:val="22"/>
        </w:rPr>
        <w:t xml:space="preserve">Due to the pharmacological mode of action, the use of </w:t>
      </w:r>
      <w:r w:rsidR="005F6704">
        <w:rPr>
          <w:rFonts w:cs="Arial"/>
          <w:szCs w:val="22"/>
        </w:rPr>
        <w:t>XARELTO</w:t>
      </w:r>
      <w:r w:rsidRPr="002742BE">
        <w:rPr>
          <w:rFonts w:cs="Arial"/>
          <w:szCs w:val="22"/>
        </w:rPr>
        <w:t xml:space="preserve"> may be associated with an increased risk of occult or overt bleeding from any tissue and organ which may result in posthaemorrhagic anaemia. </w:t>
      </w:r>
      <w:r w:rsidR="00656FA2">
        <w:rPr>
          <w:rFonts w:cs="Arial"/>
          <w:szCs w:val="22"/>
        </w:rPr>
        <w:t xml:space="preserve"> </w:t>
      </w:r>
      <w:r w:rsidRPr="002742BE">
        <w:rPr>
          <w:rFonts w:cs="Arial"/>
          <w:szCs w:val="22"/>
        </w:rPr>
        <w:t xml:space="preserve">The signs, symptoms, and severity (including possible fatal outcome) will vary according to the location and degree or extent of the bleeding and/or anaemia. </w:t>
      </w:r>
      <w:r w:rsidR="00656FA2">
        <w:rPr>
          <w:rFonts w:cs="Arial"/>
          <w:szCs w:val="22"/>
        </w:rPr>
        <w:t xml:space="preserve"> </w:t>
      </w:r>
      <w:r w:rsidRPr="002742BE">
        <w:rPr>
          <w:rFonts w:cs="Arial"/>
          <w:szCs w:val="22"/>
        </w:rPr>
        <w:t xml:space="preserve">The risk of bleedings may be increased in certain patient groups e.g. patients with uncontrolled severe arterial hypertension and/or taking concomitant medications affecting </w:t>
      </w:r>
      <w:r w:rsidRPr="00BA01EB">
        <w:rPr>
          <w:rFonts w:cs="Arial"/>
          <w:szCs w:val="22"/>
        </w:rPr>
        <w:t>haemostasis (see</w:t>
      </w:r>
      <w:r w:rsidR="00C50B2C" w:rsidRPr="00BA01EB">
        <w:rPr>
          <w:rFonts w:cs="Arial"/>
          <w:szCs w:val="22"/>
        </w:rPr>
        <w:t xml:space="preserve"> Section 4.</w:t>
      </w:r>
      <w:r w:rsidR="00C50B2C" w:rsidRPr="00FB0882">
        <w:rPr>
          <w:rFonts w:cs="Arial"/>
          <w:szCs w:val="22"/>
        </w:rPr>
        <w:t>4</w:t>
      </w:r>
      <w:r w:rsidR="00FB0882">
        <w:rPr>
          <w:rFonts w:cs="Arial"/>
          <w:bCs/>
          <w:szCs w:val="22"/>
          <w:lang w:val="en-US"/>
        </w:rPr>
        <w:t xml:space="preserve"> </w:t>
      </w:r>
      <w:r w:rsidR="00A810D1" w:rsidRPr="00A810D1">
        <w:rPr>
          <w:rFonts w:cs="Arial"/>
          <w:szCs w:val="22"/>
        </w:rPr>
        <w:fldChar w:fldCharType="begin"/>
      </w:r>
      <w:r w:rsidR="00A810D1" w:rsidRPr="00A810D1">
        <w:rPr>
          <w:rFonts w:cs="Arial"/>
          <w:szCs w:val="22"/>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cs="Arial"/>
          <w:szCs w:val="22"/>
        </w:rPr>
        <w:t>SPECIAL WARNINGS AND PRECAUTIONS FOR USE</w:t>
      </w:r>
      <w:r w:rsidR="00A810D1" w:rsidRPr="00A810D1">
        <w:rPr>
          <w:rFonts w:cs="Arial"/>
          <w:szCs w:val="22"/>
        </w:rPr>
        <w:fldChar w:fldCharType="end"/>
      </w:r>
      <w:r w:rsidRPr="002742BE">
        <w:rPr>
          <w:rFonts w:cs="Arial"/>
          <w:szCs w:val="22"/>
        </w:rPr>
        <w:t>).</w:t>
      </w:r>
      <w:r w:rsidR="00656FA2">
        <w:rPr>
          <w:rFonts w:cs="Arial"/>
          <w:szCs w:val="22"/>
        </w:rPr>
        <w:t xml:space="preserve"> </w:t>
      </w:r>
      <w:r w:rsidRPr="002742BE">
        <w:rPr>
          <w:rFonts w:cs="Arial"/>
          <w:szCs w:val="22"/>
        </w:rPr>
        <w:t xml:space="preserve"> Menstrual bleeding may be intensified and/or prolonged. </w:t>
      </w:r>
      <w:r w:rsidR="00656FA2">
        <w:rPr>
          <w:rFonts w:cs="Arial"/>
          <w:szCs w:val="22"/>
        </w:rPr>
        <w:t xml:space="preserve"> </w:t>
      </w:r>
      <w:r w:rsidRPr="002742BE">
        <w:rPr>
          <w:rFonts w:cs="Arial"/>
          <w:szCs w:val="22"/>
        </w:rPr>
        <w:t>Haemorrhagic complications may present as weakness, asthenia, paleness, dizziness, headache or unexplained swelling, dyspnoea, and unexplained shock.</w:t>
      </w:r>
      <w:r w:rsidR="00656FA2">
        <w:rPr>
          <w:rFonts w:cs="Arial"/>
          <w:szCs w:val="22"/>
        </w:rPr>
        <w:t xml:space="preserve"> </w:t>
      </w:r>
      <w:r w:rsidRPr="002742BE">
        <w:rPr>
          <w:rFonts w:cs="Arial"/>
          <w:szCs w:val="22"/>
        </w:rPr>
        <w:t xml:space="preserve"> In some cases as a consequence of anaemia, symptoms of cardiac ischaemia like chest pain or angi</w:t>
      </w:r>
      <w:r w:rsidR="00161519">
        <w:rPr>
          <w:rFonts w:cs="Arial"/>
          <w:szCs w:val="22"/>
        </w:rPr>
        <w:t>na pectoris have been observed.</w:t>
      </w:r>
    </w:p>
    <w:p w14:paraId="7896556E" w14:textId="77777777" w:rsidR="00161519" w:rsidRPr="002742BE" w:rsidRDefault="00161519" w:rsidP="00DA6D02">
      <w:pPr>
        <w:ind w:right="43"/>
        <w:rPr>
          <w:rFonts w:cs="Arial"/>
          <w:szCs w:val="22"/>
        </w:rPr>
      </w:pPr>
    </w:p>
    <w:p w14:paraId="3A584B2E" w14:textId="77777777" w:rsidR="004C2A46" w:rsidRDefault="004C2A46" w:rsidP="00AB3AD6">
      <w:pPr>
        <w:ind w:left="630" w:right="43"/>
        <w:rPr>
          <w:rFonts w:cs="Arial"/>
          <w:szCs w:val="22"/>
        </w:rPr>
      </w:pPr>
      <w:r w:rsidRPr="002742BE">
        <w:rPr>
          <w:rFonts w:cs="Arial"/>
          <w:szCs w:val="22"/>
        </w:rPr>
        <w:t xml:space="preserve">Known complications secondary to severe bleeding such as compartment syndrome and renal failure due to hypoperfusion have been reported for </w:t>
      </w:r>
      <w:r w:rsidR="005F6704">
        <w:rPr>
          <w:rFonts w:cs="Arial"/>
          <w:szCs w:val="22"/>
        </w:rPr>
        <w:t>XARELTO</w:t>
      </w:r>
      <w:r w:rsidRPr="002742BE">
        <w:rPr>
          <w:rFonts w:cs="Arial"/>
          <w:szCs w:val="22"/>
        </w:rPr>
        <w:t xml:space="preserve">. </w:t>
      </w:r>
      <w:r w:rsidR="00656FA2">
        <w:rPr>
          <w:rFonts w:cs="Arial"/>
          <w:szCs w:val="22"/>
        </w:rPr>
        <w:t xml:space="preserve"> </w:t>
      </w:r>
      <w:r w:rsidRPr="002742BE">
        <w:rPr>
          <w:rFonts w:cs="Arial"/>
          <w:szCs w:val="22"/>
        </w:rPr>
        <w:t>Therefore, the possibility of a haemorrhage is to be considered in evaluating the condition in any anticoagulated patient.</w:t>
      </w:r>
    </w:p>
    <w:p w14:paraId="6849050A" w14:textId="77777777" w:rsidR="00586989" w:rsidRDefault="00586989" w:rsidP="00AB3AD6">
      <w:pPr>
        <w:ind w:left="630" w:right="43"/>
        <w:rPr>
          <w:rFonts w:cs="Arial"/>
          <w:szCs w:val="22"/>
        </w:rPr>
      </w:pPr>
    </w:p>
    <w:p w14:paraId="54534EF6" w14:textId="77777777" w:rsidR="007D7E75" w:rsidRDefault="007D7E75" w:rsidP="00586989">
      <w:pPr>
        <w:pStyle w:val="ListParagraph"/>
        <w:ind w:left="630" w:right="43"/>
        <w:jc w:val="both"/>
        <w:rPr>
          <w:rFonts w:cs="Arial"/>
        </w:rPr>
      </w:pPr>
      <w:r w:rsidRPr="008B47B8">
        <w:rPr>
          <w:rFonts w:ascii="Arial" w:eastAsia="Times New Roman" w:hAnsi="Arial" w:cs="Arial"/>
          <w:lang w:eastAsia="en-AU"/>
        </w:rPr>
        <w:lastRenderedPageBreak/>
        <w:t xml:space="preserve">Results from the COMPASS clinical trial showed bleeding </w:t>
      </w:r>
      <w:r>
        <w:rPr>
          <w:rFonts w:ascii="Arial" w:eastAsia="Times New Roman" w:hAnsi="Arial" w:cs="Arial"/>
          <w:lang w:eastAsia="en-AU"/>
        </w:rPr>
        <w:t>incidence</w:t>
      </w:r>
      <w:r w:rsidRPr="008B47B8">
        <w:rPr>
          <w:rFonts w:ascii="Arial" w:eastAsia="Times New Roman" w:hAnsi="Arial" w:cs="Arial"/>
          <w:lang w:eastAsia="en-AU"/>
        </w:rPr>
        <w:t xml:space="preserve"> rates of 6.7 per 100 patient years and anaemia </w:t>
      </w:r>
      <w:r>
        <w:rPr>
          <w:rFonts w:ascii="Arial" w:eastAsia="Times New Roman" w:hAnsi="Arial" w:cs="Arial"/>
          <w:lang w:eastAsia="en-AU"/>
        </w:rPr>
        <w:t>incidence</w:t>
      </w:r>
      <w:r w:rsidRPr="008B47B8">
        <w:rPr>
          <w:rFonts w:ascii="Arial" w:eastAsia="Times New Roman" w:hAnsi="Arial" w:cs="Arial"/>
          <w:lang w:eastAsia="en-AU"/>
        </w:rPr>
        <w:t xml:space="preserve"> rates of 0.15 per 100 patient years</w:t>
      </w:r>
      <w:r w:rsidRPr="007D7E75">
        <w:rPr>
          <w:rFonts w:ascii="Arial" w:eastAsia="Times New Roman" w:hAnsi="Arial" w:cs="Arial"/>
          <w:vertAlign w:val="superscript"/>
          <w:lang w:eastAsia="en-AU"/>
        </w:rPr>
        <w:t>1</w:t>
      </w:r>
      <w:r>
        <w:rPr>
          <w:rFonts w:cs="Arial"/>
        </w:rPr>
        <w:t>.</w:t>
      </w:r>
    </w:p>
    <w:p w14:paraId="1B0916A6" w14:textId="77777777" w:rsidR="00586989" w:rsidRPr="008B47B8" w:rsidRDefault="00586989" w:rsidP="00586989">
      <w:pPr>
        <w:pStyle w:val="ListParagraph"/>
        <w:ind w:left="630" w:right="43"/>
        <w:jc w:val="both"/>
        <w:rPr>
          <w:rFonts w:ascii="Times New Roman" w:hAnsi="Times New Roman" w:cs="Times New Roman"/>
          <w:color w:val="FF0000"/>
          <w:sz w:val="21"/>
          <w:szCs w:val="21"/>
        </w:rPr>
      </w:pPr>
    </w:p>
    <w:p w14:paraId="46B6ABA1" w14:textId="77777777" w:rsidR="007D7E75" w:rsidRPr="007D7E75" w:rsidRDefault="007D7E75" w:rsidP="00586989">
      <w:pPr>
        <w:ind w:firstLine="630"/>
        <w:rPr>
          <w:rFonts w:cs="Arial"/>
          <w:sz w:val="18"/>
          <w:szCs w:val="18"/>
          <w:highlight w:val="yellow"/>
        </w:rPr>
      </w:pPr>
      <w:r w:rsidRPr="007D7E75">
        <w:rPr>
          <w:rFonts w:cs="Arial"/>
          <w:sz w:val="18"/>
          <w:szCs w:val="18"/>
          <w:vertAlign w:val="superscript"/>
        </w:rPr>
        <w:t>1</w:t>
      </w:r>
      <w:r w:rsidRPr="00B41660">
        <w:rPr>
          <w:rFonts w:cs="Arial"/>
          <w:sz w:val="18"/>
          <w:szCs w:val="18"/>
        </w:rPr>
        <w:t xml:space="preserve"> </w:t>
      </w:r>
      <w:r w:rsidRPr="00DA06A1">
        <w:rPr>
          <w:rFonts w:cs="Arial"/>
          <w:sz w:val="18"/>
          <w:szCs w:val="18"/>
        </w:rPr>
        <w:t>A pre-specified selective approach to adverse event collection was applied.</w:t>
      </w:r>
    </w:p>
    <w:p w14:paraId="68E32AB5" w14:textId="77777777" w:rsidR="00AD243B" w:rsidRPr="00AD243B" w:rsidRDefault="00AD243B" w:rsidP="00586989">
      <w:pPr>
        <w:ind w:firstLine="630"/>
      </w:pPr>
    </w:p>
    <w:p w14:paraId="6DEA5F2E" w14:textId="77777777" w:rsidR="004C2A46" w:rsidRPr="00371E70" w:rsidRDefault="004C2A46" w:rsidP="000202B5">
      <w:pPr>
        <w:pStyle w:val="Heading3"/>
      </w:pPr>
      <w:r w:rsidRPr="00371E70">
        <w:t>VTE Prevention in total hip and knee replacement</w:t>
      </w:r>
    </w:p>
    <w:p w14:paraId="53526A76" w14:textId="77777777" w:rsidR="00161519" w:rsidRPr="00161519" w:rsidRDefault="00161519" w:rsidP="00161519">
      <w:pPr>
        <w:ind w:right="43"/>
        <w:jc w:val="both"/>
        <w:rPr>
          <w:rFonts w:cs="Arial"/>
          <w:szCs w:val="22"/>
        </w:rPr>
      </w:pPr>
    </w:p>
    <w:p w14:paraId="1BCB095C" w14:textId="77777777" w:rsidR="004C2A46" w:rsidRPr="00371E70" w:rsidRDefault="004C2A46" w:rsidP="00AB3AD6">
      <w:pPr>
        <w:ind w:left="630" w:right="43"/>
        <w:rPr>
          <w:rFonts w:cs="Arial"/>
          <w:szCs w:val="22"/>
        </w:rPr>
      </w:pPr>
      <w:r w:rsidRPr="00371E70">
        <w:rPr>
          <w:rFonts w:cs="Arial"/>
          <w:szCs w:val="22"/>
        </w:rPr>
        <w:t xml:space="preserve">The safety of </w:t>
      </w:r>
      <w:r w:rsidR="005F6704" w:rsidRPr="00371E70">
        <w:rPr>
          <w:rFonts w:cs="Arial"/>
          <w:szCs w:val="22"/>
        </w:rPr>
        <w:t>XARELTO</w:t>
      </w:r>
      <w:r w:rsidRPr="00371E70">
        <w:rPr>
          <w:rFonts w:cs="Arial"/>
          <w:szCs w:val="22"/>
        </w:rPr>
        <w:t xml:space="preserve"> has been evaluated in three Phase III studies including 4</w:t>
      </w:r>
      <w:r w:rsidR="0080392D" w:rsidRPr="00371E70">
        <w:rPr>
          <w:rFonts w:cs="Arial"/>
          <w:szCs w:val="22"/>
        </w:rPr>
        <w:t>,</w:t>
      </w:r>
      <w:r w:rsidRPr="00371E70">
        <w:rPr>
          <w:rFonts w:cs="Arial"/>
          <w:szCs w:val="22"/>
        </w:rPr>
        <w:t>571 patients undergoing major orthopaedic surgery of the lower limbs (total hip replacement or total kne</w:t>
      </w:r>
      <w:r w:rsidR="00656FA2" w:rsidRPr="00371E70">
        <w:rPr>
          <w:rFonts w:cs="Arial"/>
          <w:szCs w:val="22"/>
        </w:rPr>
        <w:t xml:space="preserve">e replacement) treated up to 39 </w:t>
      </w:r>
      <w:r w:rsidRPr="00371E70">
        <w:rPr>
          <w:rFonts w:cs="Arial"/>
          <w:szCs w:val="22"/>
        </w:rPr>
        <w:t>days.</w:t>
      </w:r>
      <w:r w:rsidR="00656FA2" w:rsidRPr="00371E70">
        <w:rPr>
          <w:rFonts w:cs="Arial"/>
          <w:szCs w:val="22"/>
        </w:rPr>
        <w:t xml:space="preserve"> </w:t>
      </w:r>
      <w:r w:rsidRPr="00371E70">
        <w:rPr>
          <w:rFonts w:cs="Arial"/>
          <w:szCs w:val="22"/>
        </w:rPr>
        <w:t xml:space="preserve"> In the population of subjects who have taken at least one dose of </w:t>
      </w:r>
      <w:r w:rsidR="005F6704" w:rsidRPr="00371E70">
        <w:rPr>
          <w:rFonts w:cs="Arial"/>
          <w:szCs w:val="22"/>
        </w:rPr>
        <w:t>XARELTO</w:t>
      </w:r>
      <w:r w:rsidRPr="00371E70">
        <w:rPr>
          <w:rFonts w:cs="Arial"/>
          <w:szCs w:val="22"/>
        </w:rPr>
        <w:t xml:space="preserve"> 10 mg od, a total of 1</w:t>
      </w:r>
      <w:r w:rsidR="0080392D" w:rsidRPr="00371E70">
        <w:rPr>
          <w:rFonts w:cs="Arial"/>
          <w:szCs w:val="22"/>
        </w:rPr>
        <w:t>,</w:t>
      </w:r>
      <w:r w:rsidRPr="00371E70">
        <w:rPr>
          <w:rFonts w:cs="Arial"/>
          <w:szCs w:val="22"/>
        </w:rPr>
        <w:t>191 subjects were included in the knee replacement trial with a scheduled treatment period of about 2 weeks and 3</w:t>
      </w:r>
      <w:r w:rsidR="00656FA2" w:rsidRPr="00371E70">
        <w:rPr>
          <w:rFonts w:cs="Arial"/>
          <w:szCs w:val="22"/>
        </w:rPr>
        <w:t>,</w:t>
      </w:r>
      <w:r w:rsidRPr="00371E70">
        <w:rPr>
          <w:rFonts w:cs="Arial"/>
          <w:szCs w:val="22"/>
        </w:rPr>
        <w:t>380 subjects included in the total hip replacement trials with a scheduled treatment period of about 5 weeks.</w:t>
      </w:r>
      <w:r w:rsidR="00656FA2" w:rsidRPr="00371E70">
        <w:rPr>
          <w:rFonts w:cs="Arial"/>
          <w:szCs w:val="22"/>
        </w:rPr>
        <w:t xml:space="preserve"> </w:t>
      </w:r>
      <w:r w:rsidRPr="00371E70">
        <w:rPr>
          <w:rFonts w:cs="Arial"/>
          <w:szCs w:val="22"/>
        </w:rPr>
        <w:t xml:space="preserve"> The two treatment groups, rivaroxaban and enoxaparin/placebo showed very similar demographic and baseline characteristics.</w:t>
      </w:r>
    </w:p>
    <w:p w14:paraId="5732D5C1" w14:textId="77777777" w:rsidR="00161519" w:rsidRPr="00371E70" w:rsidRDefault="00161519" w:rsidP="00371E70">
      <w:pPr>
        <w:ind w:right="43"/>
        <w:rPr>
          <w:rFonts w:cs="Arial"/>
          <w:szCs w:val="22"/>
        </w:rPr>
      </w:pPr>
    </w:p>
    <w:p w14:paraId="543F23F4" w14:textId="77777777" w:rsidR="00100151" w:rsidRPr="00371E70" w:rsidRDefault="004C2A46" w:rsidP="00AB3AD6">
      <w:pPr>
        <w:ind w:left="630" w:right="43"/>
        <w:rPr>
          <w:rFonts w:cs="Arial"/>
          <w:szCs w:val="22"/>
        </w:rPr>
      </w:pPr>
      <w:r w:rsidRPr="00371E70">
        <w:rPr>
          <w:rFonts w:cs="Arial"/>
          <w:szCs w:val="22"/>
        </w:rPr>
        <w:t>The incidence of common treatment-emergent adverse reactions reported in the safety population was similar in both treatment groups for the three Phase III studies irrespective of treatment duration and for treatment period until Day 12 ± 2.</w:t>
      </w:r>
      <w:r w:rsidR="00656FA2" w:rsidRPr="00371E70">
        <w:rPr>
          <w:rFonts w:cs="Arial"/>
          <w:szCs w:val="22"/>
        </w:rPr>
        <w:t xml:space="preserve"> </w:t>
      </w:r>
      <w:r w:rsidRPr="00371E70">
        <w:rPr>
          <w:rFonts w:cs="Arial"/>
          <w:szCs w:val="22"/>
        </w:rPr>
        <w:t xml:space="preserve"> The most frequently reported treatment-emergent adverse reactions in both treatment groups during both treatment periods were gastrointestinal disorders, in particular nausea; procedural complications such as post</w:t>
      </w:r>
      <w:r w:rsidR="00C4640C" w:rsidRPr="00371E70">
        <w:rPr>
          <w:rFonts w:cs="Arial"/>
          <w:szCs w:val="22"/>
        </w:rPr>
        <w:t>-</w:t>
      </w:r>
      <w:r w:rsidRPr="00371E70">
        <w:rPr>
          <w:rFonts w:cs="Arial"/>
          <w:szCs w:val="22"/>
        </w:rPr>
        <w:t>operative anaemia; and investigations, in particular related to liver function tests.</w:t>
      </w:r>
      <w:r w:rsidR="00656FA2" w:rsidRPr="00371E70">
        <w:rPr>
          <w:rFonts w:cs="Arial"/>
          <w:szCs w:val="22"/>
        </w:rPr>
        <w:t xml:space="preserve">  </w:t>
      </w:r>
      <w:r w:rsidRPr="00371E70">
        <w:rPr>
          <w:rFonts w:cs="Arial"/>
          <w:szCs w:val="22"/>
        </w:rPr>
        <w:t>The adverse events and adverse reactions are presented within each system organ class; and should be interpreted wi</w:t>
      </w:r>
      <w:r w:rsidR="00161519" w:rsidRPr="00371E70">
        <w:rPr>
          <w:rFonts w:cs="Arial"/>
          <w:szCs w:val="22"/>
        </w:rPr>
        <w:t>thin the surgical setting.</w:t>
      </w:r>
    </w:p>
    <w:p w14:paraId="1553357D" w14:textId="77777777" w:rsidR="00100151" w:rsidRPr="00371E70" w:rsidRDefault="00100151" w:rsidP="00371E70">
      <w:pPr>
        <w:ind w:right="43"/>
        <w:rPr>
          <w:rFonts w:cs="Arial"/>
          <w:szCs w:val="22"/>
        </w:rPr>
      </w:pPr>
    </w:p>
    <w:p w14:paraId="3437BAD4" w14:textId="07BA3DC8" w:rsidR="004C2A46" w:rsidRPr="00DE77A2" w:rsidRDefault="00100151" w:rsidP="007D27E9">
      <w:pPr>
        <w:ind w:left="630" w:right="43"/>
        <w:rPr>
          <w:szCs w:val="22"/>
        </w:rPr>
      </w:pPr>
      <w:r w:rsidRPr="00371E70">
        <w:rPr>
          <w:rFonts w:cs="Arial"/>
          <w:szCs w:val="22"/>
        </w:rPr>
        <w:t xml:space="preserve">Adverse events and adverse reactions as reported by the investigators in the three Phase III studies are listed </w:t>
      </w:r>
      <w:r w:rsidRPr="005403C3">
        <w:rPr>
          <w:rFonts w:cs="Arial"/>
          <w:szCs w:val="22"/>
        </w:rPr>
        <w:t>in</w:t>
      </w:r>
      <w:r w:rsidR="00586989" w:rsidRPr="005403C3">
        <w:rPr>
          <w:rFonts w:cs="Arial"/>
          <w:szCs w:val="22"/>
        </w:rPr>
        <w:t xml:space="preserve"> </w:t>
      </w:r>
      <w:r w:rsidR="004A4FD1" w:rsidRPr="005403C3">
        <w:rPr>
          <w:rFonts w:cs="Arial"/>
          <w:szCs w:val="22"/>
        </w:rPr>
        <w:fldChar w:fldCharType="begin"/>
      </w:r>
      <w:r w:rsidR="004A4FD1" w:rsidRPr="005403C3">
        <w:rPr>
          <w:rFonts w:cs="Arial"/>
          <w:szCs w:val="22"/>
        </w:rPr>
        <w:instrText xml:space="preserve"> REF _Ref501396464 \h  \* MERGEFORMAT </w:instrText>
      </w:r>
      <w:r w:rsidR="004A4FD1" w:rsidRPr="005403C3">
        <w:rPr>
          <w:rFonts w:cs="Arial"/>
          <w:szCs w:val="22"/>
        </w:rPr>
      </w:r>
      <w:r w:rsidR="004A4FD1" w:rsidRPr="005403C3">
        <w:rPr>
          <w:rFonts w:cs="Arial"/>
          <w:szCs w:val="22"/>
        </w:rPr>
        <w:fldChar w:fldCharType="separate"/>
      </w:r>
      <w:r w:rsidR="00C51DA4" w:rsidRPr="00C51DA4">
        <w:rPr>
          <w:noProof/>
          <w:szCs w:val="22"/>
        </w:rPr>
        <w:t>Table</w:t>
      </w:r>
      <w:r w:rsidR="00C51DA4" w:rsidRPr="00C51DA4">
        <w:rPr>
          <w:szCs w:val="22"/>
        </w:rPr>
        <w:t xml:space="preserve"> </w:t>
      </w:r>
      <w:r w:rsidR="00C51DA4" w:rsidRPr="00C51DA4">
        <w:rPr>
          <w:noProof/>
          <w:szCs w:val="22"/>
        </w:rPr>
        <w:t>6</w:t>
      </w:r>
      <w:r w:rsidR="004A4FD1" w:rsidRPr="005403C3">
        <w:rPr>
          <w:rFonts w:cs="Arial"/>
          <w:szCs w:val="22"/>
        </w:rPr>
        <w:fldChar w:fldCharType="end"/>
      </w:r>
      <w:r w:rsidRPr="005403C3">
        <w:rPr>
          <w:rFonts w:cs="Arial"/>
          <w:szCs w:val="22"/>
        </w:rPr>
        <w:t xml:space="preserve"> below</w:t>
      </w:r>
      <w:r w:rsidRPr="00371E70">
        <w:rPr>
          <w:rFonts w:cs="Arial"/>
          <w:szCs w:val="22"/>
        </w:rPr>
        <w:t xml:space="preserve"> by system organ class (in MedDRA). RECORD 1-3 trials were similar in study design and patient population, the dose regimen tested was rivaroxaban 10 mg od compare to enoxaparin 40 mg od.</w:t>
      </w:r>
    </w:p>
    <w:p w14:paraId="59071641" w14:textId="77777777" w:rsidR="00161519" w:rsidRPr="002742BE" w:rsidRDefault="00161519" w:rsidP="00161519">
      <w:pPr>
        <w:ind w:right="43"/>
        <w:jc w:val="both"/>
        <w:rPr>
          <w:rFonts w:cs="Arial"/>
          <w:szCs w:val="22"/>
        </w:rPr>
      </w:pPr>
    </w:p>
    <w:p w14:paraId="7FEDA123" w14:textId="77777777" w:rsidR="00A3254E" w:rsidRDefault="00A3254E" w:rsidP="00702958">
      <w:pPr>
        <w:pStyle w:val="Caption"/>
        <w:ind w:left="990" w:hanging="360"/>
      </w:pPr>
      <w:bookmarkStart w:id="28" w:name="_Ref501396464"/>
      <w:r>
        <w:br w:type="page"/>
      </w:r>
    </w:p>
    <w:p w14:paraId="5A4BC0A3" w14:textId="0C024E61" w:rsidR="004C2A46" w:rsidRPr="00476145" w:rsidRDefault="004A2647" w:rsidP="00702958">
      <w:pPr>
        <w:pStyle w:val="Caption"/>
        <w:ind w:left="990" w:hanging="360"/>
      </w:pPr>
      <w:r w:rsidRPr="00476145">
        <w:lastRenderedPageBreak/>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6</w:t>
      </w:r>
      <w:r w:rsidR="005D4DAE">
        <w:rPr>
          <w:noProof/>
        </w:rPr>
        <w:fldChar w:fldCharType="end"/>
      </w:r>
      <w:bookmarkEnd w:id="28"/>
      <w:r w:rsidRPr="00476145">
        <w:t>: Treatment-emergent adverse events (AE) ≥1% (regardless of causality) and treatment emergent adverse reactions (ADR) starting after initiation of rivaroxaban, as reported by the investigators in patients in three Phase III studies (RECORD 1 to 3) 11354, 11357, 11356</w:t>
      </w:r>
    </w:p>
    <w:tbl>
      <w:tblPr>
        <w:tblW w:w="8172" w:type="dxa"/>
        <w:tblInd w:w="648" w:type="dxa"/>
        <w:tblLayout w:type="fixed"/>
        <w:tblLook w:val="01E0" w:firstRow="1" w:lastRow="1" w:firstColumn="1" w:lastColumn="1" w:noHBand="0" w:noVBand="0"/>
      </w:tblPr>
      <w:tblGrid>
        <w:gridCol w:w="2052"/>
        <w:gridCol w:w="1620"/>
        <w:gridCol w:w="1440"/>
        <w:gridCol w:w="1620"/>
        <w:gridCol w:w="1440"/>
      </w:tblGrid>
      <w:tr w:rsidR="004C2A46" w:rsidRPr="002742BE" w14:paraId="6B2F8C37" w14:textId="77777777" w:rsidTr="00A3254E">
        <w:trPr>
          <w:tblHeader/>
        </w:trPr>
        <w:tc>
          <w:tcPr>
            <w:tcW w:w="2052" w:type="dxa"/>
            <w:tcBorders>
              <w:bottom w:val="single" w:sz="4" w:space="0" w:color="auto"/>
              <w:right w:val="single" w:sz="4" w:space="0" w:color="auto"/>
            </w:tcBorders>
            <w:shd w:val="clear" w:color="auto" w:fill="auto"/>
          </w:tcPr>
          <w:p w14:paraId="272A100C" w14:textId="77777777" w:rsidR="004C2A46" w:rsidRPr="00DA6D02" w:rsidRDefault="004C2A46" w:rsidP="00161519">
            <w:pPr>
              <w:keepNext/>
              <w:tabs>
                <w:tab w:val="left" w:pos="1843"/>
              </w:tabs>
              <w:spacing w:before="60" w:after="60"/>
              <w:ind w:right="46"/>
              <w:rPr>
                <w:rFonts w:cs="Arial"/>
                <w:sz w:val="18"/>
                <w:szCs w:val="18"/>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E0E0E0"/>
          </w:tcPr>
          <w:p w14:paraId="13B6663E" w14:textId="77777777" w:rsidR="004C2A46" w:rsidRPr="00DA6D02" w:rsidRDefault="005F6704" w:rsidP="00161519">
            <w:pPr>
              <w:keepNext/>
              <w:tabs>
                <w:tab w:val="left" w:pos="1844"/>
              </w:tabs>
              <w:spacing w:before="60" w:after="60"/>
              <w:ind w:right="46"/>
              <w:jc w:val="center"/>
              <w:rPr>
                <w:rFonts w:cs="Arial"/>
                <w:b/>
                <w:sz w:val="18"/>
                <w:szCs w:val="18"/>
              </w:rPr>
            </w:pPr>
            <w:r w:rsidRPr="00DA6D02">
              <w:rPr>
                <w:rFonts w:cs="Arial"/>
                <w:b/>
                <w:sz w:val="18"/>
                <w:szCs w:val="18"/>
              </w:rPr>
              <w:t>XARELTO</w:t>
            </w:r>
          </w:p>
          <w:p w14:paraId="577D0FBF" w14:textId="77777777" w:rsidR="004C2A46" w:rsidRPr="00DA6D02" w:rsidRDefault="004C2A46" w:rsidP="00161519">
            <w:pPr>
              <w:keepNext/>
              <w:tabs>
                <w:tab w:val="left" w:pos="1844"/>
              </w:tabs>
              <w:spacing w:before="60" w:after="60"/>
              <w:ind w:right="46"/>
              <w:jc w:val="center"/>
              <w:rPr>
                <w:rFonts w:cs="Arial"/>
                <w:b/>
                <w:sz w:val="18"/>
                <w:szCs w:val="18"/>
              </w:rPr>
            </w:pPr>
            <w:r w:rsidRPr="00DA6D02">
              <w:rPr>
                <w:rFonts w:cs="Arial"/>
                <w:b/>
                <w:sz w:val="18"/>
                <w:szCs w:val="18"/>
              </w:rPr>
              <w:t>(10 mg od)</w:t>
            </w:r>
          </w:p>
          <w:p w14:paraId="73D1E734" w14:textId="77777777" w:rsidR="004C2A46" w:rsidRPr="00DA6D02" w:rsidRDefault="004C2A46" w:rsidP="00161519">
            <w:pPr>
              <w:keepNext/>
              <w:tabs>
                <w:tab w:val="left" w:pos="1844"/>
              </w:tabs>
              <w:spacing w:before="60" w:after="60"/>
              <w:ind w:right="46"/>
              <w:jc w:val="center"/>
              <w:rPr>
                <w:rFonts w:cs="Arial"/>
                <w:b/>
                <w:sz w:val="18"/>
                <w:szCs w:val="18"/>
              </w:rPr>
            </w:pPr>
            <w:r w:rsidRPr="00DA6D02">
              <w:rPr>
                <w:rFonts w:cs="Arial"/>
                <w:b/>
                <w:sz w:val="18"/>
                <w:szCs w:val="18"/>
              </w:rPr>
              <w:t>N = 4657</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0E0E0"/>
          </w:tcPr>
          <w:p w14:paraId="569FA768" w14:textId="77777777" w:rsidR="004C2A46" w:rsidRPr="00DA6D02" w:rsidRDefault="004C2A46" w:rsidP="00161519">
            <w:pPr>
              <w:keepNext/>
              <w:spacing w:before="60" w:after="60"/>
              <w:ind w:right="46"/>
              <w:jc w:val="center"/>
              <w:rPr>
                <w:rFonts w:cs="Arial"/>
                <w:b/>
                <w:sz w:val="18"/>
                <w:szCs w:val="18"/>
              </w:rPr>
            </w:pPr>
            <w:r w:rsidRPr="00DA6D02">
              <w:rPr>
                <w:rFonts w:cs="Arial"/>
                <w:b/>
                <w:sz w:val="18"/>
                <w:szCs w:val="18"/>
              </w:rPr>
              <w:t>Enoxaparin/Placebo</w:t>
            </w:r>
          </w:p>
          <w:p w14:paraId="45E621D0" w14:textId="77777777" w:rsidR="004C2A46" w:rsidRPr="00DA6D02" w:rsidRDefault="004C2A46" w:rsidP="00161519">
            <w:pPr>
              <w:keepNext/>
              <w:spacing w:before="60" w:after="60"/>
              <w:ind w:right="46"/>
              <w:jc w:val="center"/>
              <w:rPr>
                <w:rFonts w:cs="Arial"/>
                <w:b/>
                <w:sz w:val="18"/>
                <w:szCs w:val="18"/>
              </w:rPr>
            </w:pPr>
            <w:r w:rsidRPr="00DA6D02">
              <w:rPr>
                <w:rFonts w:cs="Arial"/>
                <w:b/>
                <w:sz w:val="18"/>
                <w:szCs w:val="18"/>
              </w:rPr>
              <w:t>(40 mg od)</w:t>
            </w:r>
          </w:p>
          <w:p w14:paraId="28AC0B05" w14:textId="77777777" w:rsidR="004C2A46" w:rsidRPr="00DA6D02" w:rsidRDefault="004C2A46" w:rsidP="00161519">
            <w:pPr>
              <w:keepNext/>
              <w:spacing w:before="60" w:after="60"/>
              <w:ind w:right="46"/>
              <w:jc w:val="center"/>
              <w:rPr>
                <w:rFonts w:cs="Arial"/>
                <w:b/>
                <w:sz w:val="18"/>
                <w:szCs w:val="18"/>
              </w:rPr>
            </w:pPr>
            <w:r w:rsidRPr="00DA6D02">
              <w:rPr>
                <w:rFonts w:cs="Arial"/>
                <w:b/>
                <w:sz w:val="18"/>
                <w:szCs w:val="18"/>
              </w:rPr>
              <w:t>N = 4692</w:t>
            </w:r>
          </w:p>
        </w:tc>
      </w:tr>
      <w:tr w:rsidR="004C2A46" w:rsidRPr="002742BE" w14:paraId="64C969F3" w14:textId="77777777" w:rsidTr="00A3254E">
        <w:trPr>
          <w:tblHeader/>
        </w:trPr>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30C2C" w14:textId="77777777" w:rsidR="004C2A46" w:rsidRPr="00DA6D02" w:rsidRDefault="004C2A46" w:rsidP="00161519">
            <w:pPr>
              <w:ind w:right="43"/>
              <w:rPr>
                <w:rFonts w:cs="Arial"/>
                <w:sz w:val="18"/>
                <w:szCs w:val="18"/>
              </w:rPr>
            </w:pPr>
            <w:r w:rsidRPr="00DA6D02">
              <w:rPr>
                <w:rFonts w:cs="Arial"/>
                <w:sz w:val="18"/>
                <w:szCs w:val="18"/>
              </w:rPr>
              <w:t>System Organ Class</w:t>
            </w:r>
          </w:p>
          <w:p w14:paraId="4D96C6EE" w14:textId="77777777" w:rsidR="004C2A46" w:rsidRPr="00DA6D02" w:rsidRDefault="004C2A46" w:rsidP="00161519">
            <w:pPr>
              <w:ind w:right="43"/>
              <w:rPr>
                <w:rFonts w:cs="Arial"/>
                <w:sz w:val="18"/>
                <w:szCs w:val="18"/>
              </w:rPr>
            </w:pPr>
            <w:r w:rsidRPr="00DA6D02">
              <w:rPr>
                <w:rFonts w:cs="Arial"/>
                <w:sz w:val="18"/>
                <w:szCs w:val="18"/>
              </w:rPr>
              <w:t>Medical Entity / Preferred Term</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A7539" w14:textId="77777777" w:rsidR="004C2A46" w:rsidRPr="00DA6D02" w:rsidRDefault="004C2A46" w:rsidP="00161519">
            <w:pPr>
              <w:keepNext/>
              <w:tabs>
                <w:tab w:val="left" w:pos="1844"/>
              </w:tabs>
              <w:spacing w:before="60" w:after="60"/>
              <w:ind w:right="46"/>
              <w:jc w:val="center"/>
              <w:rPr>
                <w:rFonts w:cs="Arial"/>
                <w:b/>
                <w:sz w:val="18"/>
                <w:szCs w:val="18"/>
              </w:rPr>
            </w:pPr>
            <w:r w:rsidRPr="00DA6D02">
              <w:rPr>
                <w:rFonts w:cs="Arial"/>
                <w:b/>
                <w:sz w:val="18"/>
                <w:szCs w:val="18"/>
              </w:rPr>
              <w:t>AE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FE09A" w14:textId="77777777" w:rsidR="004C2A46" w:rsidRPr="00DA6D02" w:rsidRDefault="004C2A46" w:rsidP="00161519">
            <w:pPr>
              <w:keepNext/>
              <w:tabs>
                <w:tab w:val="left" w:pos="1844"/>
              </w:tabs>
              <w:spacing w:before="60" w:after="60"/>
              <w:ind w:right="46"/>
              <w:jc w:val="center"/>
              <w:rPr>
                <w:rFonts w:cs="Arial"/>
                <w:b/>
                <w:sz w:val="18"/>
                <w:szCs w:val="18"/>
              </w:rPr>
            </w:pPr>
            <w:r w:rsidRPr="00DA6D02">
              <w:rPr>
                <w:rFonts w:cs="Arial"/>
                <w:b/>
                <w:sz w:val="18"/>
                <w:szCs w:val="18"/>
              </w:rPr>
              <w:t>ADR</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84612" w14:textId="77777777" w:rsidR="004C2A46" w:rsidRPr="00DA6D02" w:rsidRDefault="004C2A46" w:rsidP="00161519">
            <w:pPr>
              <w:keepNext/>
              <w:spacing w:before="60" w:after="60"/>
              <w:ind w:right="46"/>
              <w:jc w:val="center"/>
              <w:rPr>
                <w:rFonts w:cs="Arial"/>
                <w:b/>
                <w:sz w:val="18"/>
                <w:szCs w:val="18"/>
              </w:rPr>
            </w:pPr>
            <w:r w:rsidRPr="00DA6D02">
              <w:rPr>
                <w:rFonts w:cs="Arial"/>
                <w:b/>
                <w:sz w:val="18"/>
                <w:szCs w:val="18"/>
              </w:rPr>
              <w:t>AE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4D703" w14:textId="77777777" w:rsidR="004C2A46" w:rsidRPr="00DA6D02" w:rsidRDefault="004C2A46" w:rsidP="00161519">
            <w:pPr>
              <w:keepNext/>
              <w:spacing w:before="60" w:after="60"/>
              <w:ind w:right="46"/>
              <w:jc w:val="center"/>
              <w:rPr>
                <w:rFonts w:cs="Arial"/>
                <w:b/>
                <w:sz w:val="18"/>
                <w:szCs w:val="18"/>
              </w:rPr>
            </w:pPr>
            <w:r w:rsidRPr="00DA6D02">
              <w:rPr>
                <w:rFonts w:cs="Arial"/>
                <w:b/>
                <w:sz w:val="18"/>
                <w:szCs w:val="18"/>
              </w:rPr>
              <w:t>ADR</w:t>
            </w:r>
          </w:p>
        </w:tc>
      </w:tr>
      <w:tr w:rsidR="004C2A46" w:rsidRPr="002742BE" w14:paraId="380C3C8D" w14:textId="77777777" w:rsidTr="00A3254E">
        <w:tc>
          <w:tcPr>
            <w:tcW w:w="2052" w:type="dxa"/>
            <w:tcBorders>
              <w:top w:val="single" w:sz="4" w:space="0" w:color="auto"/>
              <w:left w:val="single" w:sz="4" w:space="0" w:color="auto"/>
              <w:right w:val="single" w:sz="4" w:space="0" w:color="auto"/>
            </w:tcBorders>
            <w:shd w:val="clear" w:color="auto" w:fill="auto"/>
          </w:tcPr>
          <w:p w14:paraId="1DF283A5" w14:textId="77777777" w:rsidR="004C2A46" w:rsidRPr="00DA6D02" w:rsidRDefault="004C2A46" w:rsidP="00161519">
            <w:pPr>
              <w:ind w:right="43"/>
              <w:rPr>
                <w:rFonts w:cs="Arial"/>
                <w:b/>
                <w:sz w:val="18"/>
                <w:szCs w:val="18"/>
              </w:rPr>
            </w:pPr>
            <w:r w:rsidRPr="00DA6D02">
              <w:rPr>
                <w:rFonts w:cs="Arial"/>
                <w:b/>
                <w:sz w:val="18"/>
                <w:szCs w:val="18"/>
              </w:rPr>
              <w:t>Blood and lymphatic system disorders</w:t>
            </w:r>
          </w:p>
        </w:tc>
        <w:tc>
          <w:tcPr>
            <w:tcW w:w="1620" w:type="dxa"/>
            <w:tcBorders>
              <w:top w:val="single" w:sz="4" w:space="0" w:color="auto"/>
              <w:left w:val="single" w:sz="4" w:space="0" w:color="auto"/>
              <w:right w:val="single" w:sz="4" w:space="0" w:color="auto"/>
            </w:tcBorders>
            <w:shd w:val="clear" w:color="auto" w:fill="auto"/>
          </w:tcPr>
          <w:p w14:paraId="7BB107C9" w14:textId="77777777" w:rsidR="004C2A46" w:rsidRPr="00DA6D02" w:rsidRDefault="004C2A46" w:rsidP="00161519">
            <w:pPr>
              <w:keepNext/>
              <w:tabs>
                <w:tab w:val="left" w:pos="1844"/>
              </w:tabs>
              <w:spacing w:before="60" w:after="60"/>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5184A8B9"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6949A10A" w14:textId="77777777" w:rsidR="004C2A46" w:rsidRPr="00DA6D02" w:rsidRDefault="004C2A46" w:rsidP="00161519">
            <w:pPr>
              <w:keepNext/>
              <w:spacing w:before="60" w:after="60"/>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48B3E2AF" w14:textId="77777777" w:rsidR="004C2A46" w:rsidRPr="00DA6D02" w:rsidRDefault="004C2A46" w:rsidP="00161519">
            <w:pPr>
              <w:keepNext/>
              <w:spacing w:before="60" w:after="60"/>
              <w:ind w:right="46"/>
              <w:jc w:val="center"/>
              <w:rPr>
                <w:rFonts w:cs="Arial"/>
                <w:sz w:val="18"/>
                <w:szCs w:val="18"/>
              </w:rPr>
            </w:pPr>
          </w:p>
        </w:tc>
      </w:tr>
      <w:tr w:rsidR="004C2A46" w:rsidRPr="002742BE" w14:paraId="50786774" w14:textId="77777777" w:rsidTr="00A3254E">
        <w:tc>
          <w:tcPr>
            <w:tcW w:w="2052" w:type="dxa"/>
            <w:tcBorders>
              <w:left w:val="single" w:sz="4" w:space="0" w:color="auto"/>
              <w:bottom w:val="single" w:sz="4" w:space="0" w:color="auto"/>
              <w:right w:val="single" w:sz="4" w:space="0" w:color="auto"/>
            </w:tcBorders>
            <w:shd w:val="clear" w:color="auto" w:fill="auto"/>
          </w:tcPr>
          <w:p w14:paraId="487BB30E" w14:textId="77777777" w:rsidR="004C2A46" w:rsidRPr="00DA6D02" w:rsidRDefault="004C2A46" w:rsidP="0080392D">
            <w:pPr>
              <w:ind w:right="43"/>
              <w:rPr>
                <w:rFonts w:cs="Arial"/>
                <w:sz w:val="18"/>
                <w:szCs w:val="18"/>
              </w:rPr>
            </w:pPr>
            <w:r w:rsidRPr="00DA6D02">
              <w:rPr>
                <w:rFonts w:cs="Arial"/>
                <w:sz w:val="18"/>
                <w:szCs w:val="18"/>
              </w:rPr>
              <w:t>Anaemia (incl. respective lab parameters)</w:t>
            </w:r>
          </w:p>
        </w:tc>
        <w:tc>
          <w:tcPr>
            <w:tcW w:w="1620" w:type="dxa"/>
            <w:tcBorders>
              <w:left w:val="single" w:sz="4" w:space="0" w:color="auto"/>
              <w:bottom w:val="single" w:sz="4" w:space="0" w:color="auto"/>
              <w:right w:val="single" w:sz="4" w:space="0" w:color="auto"/>
            </w:tcBorders>
            <w:shd w:val="clear" w:color="auto" w:fill="auto"/>
          </w:tcPr>
          <w:p w14:paraId="4C910504" w14:textId="77777777" w:rsidR="004C2A46" w:rsidRPr="00DA6D02" w:rsidRDefault="004C2A46" w:rsidP="00161519">
            <w:pPr>
              <w:keepNext/>
              <w:tabs>
                <w:tab w:val="left" w:pos="1844"/>
              </w:tabs>
              <w:spacing w:before="60" w:after="60"/>
              <w:ind w:right="46"/>
              <w:jc w:val="center"/>
              <w:rPr>
                <w:rFonts w:cs="Arial"/>
                <w:sz w:val="18"/>
                <w:szCs w:val="18"/>
              </w:rPr>
            </w:pPr>
          </w:p>
        </w:tc>
        <w:tc>
          <w:tcPr>
            <w:tcW w:w="1440" w:type="dxa"/>
            <w:tcBorders>
              <w:left w:val="single" w:sz="4" w:space="0" w:color="auto"/>
              <w:bottom w:val="single" w:sz="4" w:space="0" w:color="auto"/>
              <w:right w:val="single" w:sz="4" w:space="0" w:color="auto"/>
            </w:tcBorders>
            <w:shd w:val="clear" w:color="auto" w:fill="auto"/>
          </w:tcPr>
          <w:p w14:paraId="727A37A0"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54 (1.16%)</w:t>
            </w:r>
          </w:p>
        </w:tc>
        <w:tc>
          <w:tcPr>
            <w:tcW w:w="1620" w:type="dxa"/>
            <w:tcBorders>
              <w:left w:val="single" w:sz="4" w:space="0" w:color="auto"/>
              <w:bottom w:val="single" w:sz="4" w:space="0" w:color="auto"/>
              <w:right w:val="single" w:sz="4" w:space="0" w:color="auto"/>
            </w:tcBorders>
            <w:shd w:val="clear" w:color="auto" w:fill="auto"/>
          </w:tcPr>
          <w:p w14:paraId="55B4F8C6" w14:textId="77777777" w:rsidR="004C2A46" w:rsidRPr="00DA6D02" w:rsidRDefault="004C2A46" w:rsidP="00161519">
            <w:pPr>
              <w:keepNext/>
              <w:spacing w:before="60" w:after="60"/>
              <w:ind w:right="46"/>
              <w:jc w:val="center"/>
              <w:rPr>
                <w:rFonts w:cs="Arial"/>
                <w:sz w:val="18"/>
                <w:szCs w:val="18"/>
              </w:rPr>
            </w:pPr>
          </w:p>
        </w:tc>
        <w:tc>
          <w:tcPr>
            <w:tcW w:w="1440" w:type="dxa"/>
            <w:tcBorders>
              <w:left w:val="single" w:sz="4" w:space="0" w:color="auto"/>
              <w:bottom w:val="single" w:sz="4" w:space="0" w:color="auto"/>
              <w:right w:val="single" w:sz="4" w:space="0" w:color="auto"/>
            </w:tcBorders>
            <w:shd w:val="clear" w:color="auto" w:fill="auto"/>
          </w:tcPr>
          <w:p w14:paraId="1AB8A351" w14:textId="77777777" w:rsidR="004C2A46" w:rsidRDefault="004C2A46" w:rsidP="00161519">
            <w:pPr>
              <w:keepNext/>
              <w:spacing w:before="60" w:after="60"/>
              <w:ind w:right="46"/>
              <w:jc w:val="center"/>
              <w:rPr>
                <w:rFonts w:cs="Arial"/>
                <w:sz w:val="18"/>
                <w:szCs w:val="18"/>
              </w:rPr>
            </w:pPr>
            <w:r w:rsidRPr="00DA6D02">
              <w:rPr>
                <w:rFonts w:cs="Arial"/>
                <w:sz w:val="18"/>
                <w:szCs w:val="18"/>
              </w:rPr>
              <w:t>55 (1.17%)</w:t>
            </w:r>
          </w:p>
          <w:p w14:paraId="385E16AB" w14:textId="77777777" w:rsidR="000B038A" w:rsidRDefault="000B038A" w:rsidP="00161519">
            <w:pPr>
              <w:keepNext/>
              <w:spacing w:before="60" w:after="60"/>
              <w:ind w:right="46"/>
              <w:jc w:val="center"/>
              <w:rPr>
                <w:rFonts w:cs="Arial"/>
                <w:sz w:val="18"/>
                <w:szCs w:val="18"/>
              </w:rPr>
            </w:pPr>
          </w:p>
          <w:p w14:paraId="0C987976" w14:textId="77777777" w:rsidR="000B038A" w:rsidRPr="00DA6D02" w:rsidRDefault="000B038A" w:rsidP="00161519">
            <w:pPr>
              <w:keepNext/>
              <w:spacing w:before="60" w:after="60"/>
              <w:ind w:right="46"/>
              <w:jc w:val="center"/>
              <w:rPr>
                <w:rFonts w:cs="Arial"/>
                <w:sz w:val="18"/>
                <w:szCs w:val="18"/>
              </w:rPr>
            </w:pPr>
          </w:p>
        </w:tc>
      </w:tr>
      <w:tr w:rsidR="004C2A46" w:rsidRPr="002742BE" w14:paraId="2DB0710D" w14:textId="77777777" w:rsidTr="00A3254E">
        <w:tc>
          <w:tcPr>
            <w:tcW w:w="2052" w:type="dxa"/>
            <w:tcBorders>
              <w:top w:val="single" w:sz="4" w:space="0" w:color="auto"/>
              <w:left w:val="single" w:sz="4" w:space="0" w:color="auto"/>
              <w:right w:val="single" w:sz="4" w:space="0" w:color="auto"/>
            </w:tcBorders>
            <w:shd w:val="clear" w:color="auto" w:fill="auto"/>
          </w:tcPr>
          <w:p w14:paraId="3625A0D6" w14:textId="77777777" w:rsidR="004C2A46" w:rsidRPr="00DA6D02" w:rsidRDefault="004C2A46" w:rsidP="00161519">
            <w:pPr>
              <w:ind w:right="43"/>
              <w:jc w:val="both"/>
              <w:rPr>
                <w:rFonts w:cs="Arial"/>
                <w:b/>
                <w:sz w:val="18"/>
                <w:szCs w:val="18"/>
              </w:rPr>
            </w:pPr>
            <w:r w:rsidRPr="00DA6D02">
              <w:rPr>
                <w:rFonts w:cs="Arial"/>
                <w:b/>
                <w:sz w:val="18"/>
                <w:szCs w:val="18"/>
              </w:rPr>
              <w:t>Cardiac disorders</w:t>
            </w:r>
          </w:p>
        </w:tc>
        <w:tc>
          <w:tcPr>
            <w:tcW w:w="1620" w:type="dxa"/>
            <w:tcBorders>
              <w:top w:val="single" w:sz="4" w:space="0" w:color="auto"/>
              <w:left w:val="single" w:sz="4" w:space="0" w:color="auto"/>
              <w:right w:val="single" w:sz="4" w:space="0" w:color="auto"/>
            </w:tcBorders>
            <w:shd w:val="clear" w:color="auto" w:fill="auto"/>
          </w:tcPr>
          <w:p w14:paraId="5C980775" w14:textId="77777777" w:rsidR="004C2A46" w:rsidRPr="00DA6D02" w:rsidRDefault="004C2A46" w:rsidP="00161519">
            <w:pPr>
              <w:keepNext/>
              <w:tabs>
                <w:tab w:val="left" w:pos="1844"/>
              </w:tabs>
              <w:spacing w:before="60" w:after="60"/>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4F630BEA"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25CCE5E1" w14:textId="77777777" w:rsidR="004C2A46" w:rsidRPr="00DA6D02" w:rsidRDefault="004C2A46" w:rsidP="00161519">
            <w:pPr>
              <w:keepNext/>
              <w:spacing w:before="60" w:after="60"/>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409BA25C" w14:textId="77777777" w:rsidR="004C2A46" w:rsidRPr="00DA6D02" w:rsidRDefault="004C2A46" w:rsidP="00161519">
            <w:pPr>
              <w:keepNext/>
              <w:spacing w:before="60" w:after="60"/>
              <w:ind w:right="46"/>
              <w:jc w:val="center"/>
              <w:rPr>
                <w:rFonts w:cs="Arial"/>
                <w:sz w:val="18"/>
                <w:szCs w:val="18"/>
              </w:rPr>
            </w:pPr>
          </w:p>
        </w:tc>
      </w:tr>
      <w:tr w:rsidR="004C2A46" w:rsidRPr="002742BE" w14:paraId="216E5A9D" w14:textId="77777777" w:rsidTr="00A3254E">
        <w:tc>
          <w:tcPr>
            <w:tcW w:w="2052" w:type="dxa"/>
            <w:tcBorders>
              <w:left w:val="single" w:sz="4" w:space="0" w:color="auto"/>
              <w:right w:val="single" w:sz="4" w:space="0" w:color="auto"/>
            </w:tcBorders>
            <w:shd w:val="clear" w:color="auto" w:fill="auto"/>
          </w:tcPr>
          <w:p w14:paraId="64EDBA17" w14:textId="77777777" w:rsidR="004C2A46" w:rsidRPr="00DA6D02" w:rsidRDefault="004C2A46" w:rsidP="00161519">
            <w:pPr>
              <w:ind w:right="43"/>
              <w:jc w:val="both"/>
              <w:rPr>
                <w:rFonts w:cs="Arial"/>
                <w:sz w:val="18"/>
                <w:szCs w:val="18"/>
              </w:rPr>
            </w:pPr>
            <w:r w:rsidRPr="00DA6D02">
              <w:rPr>
                <w:rFonts w:cs="Arial"/>
                <w:sz w:val="18"/>
                <w:szCs w:val="18"/>
              </w:rPr>
              <w:t>Hypertension</w:t>
            </w:r>
          </w:p>
        </w:tc>
        <w:tc>
          <w:tcPr>
            <w:tcW w:w="1620" w:type="dxa"/>
            <w:tcBorders>
              <w:left w:val="single" w:sz="4" w:space="0" w:color="auto"/>
              <w:right w:val="single" w:sz="4" w:space="0" w:color="auto"/>
            </w:tcBorders>
            <w:shd w:val="clear" w:color="auto" w:fill="auto"/>
          </w:tcPr>
          <w:p w14:paraId="0F08F14E"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77 (1.65%)</w:t>
            </w:r>
          </w:p>
        </w:tc>
        <w:tc>
          <w:tcPr>
            <w:tcW w:w="1440" w:type="dxa"/>
            <w:tcBorders>
              <w:left w:val="single" w:sz="4" w:space="0" w:color="auto"/>
              <w:right w:val="single" w:sz="4" w:space="0" w:color="auto"/>
            </w:tcBorders>
            <w:shd w:val="clear" w:color="auto" w:fill="auto"/>
          </w:tcPr>
          <w:p w14:paraId="651DF4DB"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49476640" w14:textId="77777777" w:rsidR="004C2A46" w:rsidRPr="00DA6D02" w:rsidRDefault="004C2A46" w:rsidP="00161519">
            <w:pPr>
              <w:keepNext/>
              <w:spacing w:before="60" w:after="60"/>
              <w:ind w:right="46"/>
              <w:jc w:val="center"/>
              <w:rPr>
                <w:rFonts w:cs="Arial"/>
                <w:sz w:val="18"/>
                <w:szCs w:val="18"/>
              </w:rPr>
            </w:pPr>
            <w:r w:rsidRPr="00DA6D02">
              <w:rPr>
                <w:rFonts w:cs="Arial"/>
                <w:sz w:val="18"/>
                <w:szCs w:val="18"/>
              </w:rPr>
              <w:t>86 (1.83%)</w:t>
            </w:r>
          </w:p>
        </w:tc>
        <w:tc>
          <w:tcPr>
            <w:tcW w:w="1440" w:type="dxa"/>
            <w:tcBorders>
              <w:left w:val="single" w:sz="4" w:space="0" w:color="auto"/>
              <w:right w:val="single" w:sz="4" w:space="0" w:color="auto"/>
            </w:tcBorders>
            <w:shd w:val="clear" w:color="auto" w:fill="auto"/>
          </w:tcPr>
          <w:p w14:paraId="532A8648" w14:textId="77777777" w:rsidR="004C2A46" w:rsidRPr="00DA6D02" w:rsidRDefault="004C2A46" w:rsidP="00161519">
            <w:pPr>
              <w:keepNext/>
              <w:spacing w:before="60" w:after="60"/>
              <w:ind w:right="46"/>
              <w:jc w:val="center"/>
              <w:rPr>
                <w:rFonts w:cs="Arial"/>
                <w:sz w:val="18"/>
                <w:szCs w:val="18"/>
              </w:rPr>
            </w:pPr>
          </w:p>
        </w:tc>
      </w:tr>
      <w:tr w:rsidR="004C2A46" w:rsidRPr="002742BE" w14:paraId="2A058BFD" w14:textId="77777777" w:rsidTr="00A3254E">
        <w:tc>
          <w:tcPr>
            <w:tcW w:w="2052" w:type="dxa"/>
            <w:tcBorders>
              <w:left w:val="single" w:sz="4" w:space="0" w:color="auto"/>
              <w:right w:val="single" w:sz="4" w:space="0" w:color="auto"/>
            </w:tcBorders>
            <w:shd w:val="clear" w:color="auto" w:fill="auto"/>
          </w:tcPr>
          <w:p w14:paraId="21970670" w14:textId="77777777" w:rsidR="004C2A46" w:rsidRPr="00DA6D02" w:rsidRDefault="004C2A46" w:rsidP="00161519">
            <w:pPr>
              <w:ind w:right="43"/>
              <w:jc w:val="both"/>
              <w:rPr>
                <w:rFonts w:cs="Arial"/>
                <w:sz w:val="18"/>
                <w:szCs w:val="18"/>
              </w:rPr>
            </w:pPr>
            <w:r w:rsidRPr="00DA6D02">
              <w:rPr>
                <w:rFonts w:cs="Arial"/>
                <w:sz w:val="18"/>
                <w:szCs w:val="18"/>
              </w:rPr>
              <w:t>Hypotension</w:t>
            </w:r>
          </w:p>
        </w:tc>
        <w:tc>
          <w:tcPr>
            <w:tcW w:w="1620" w:type="dxa"/>
            <w:tcBorders>
              <w:left w:val="single" w:sz="4" w:space="0" w:color="auto"/>
              <w:right w:val="single" w:sz="4" w:space="0" w:color="auto"/>
            </w:tcBorders>
            <w:shd w:val="clear" w:color="auto" w:fill="auto"/>
          </w:tcPr>
          <w:p w14:paraId="39DEC284"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244 (5.24%)</w:t>
            </w:r>
          </w:p>
        </w:tc>
        <w:tc>
          <w:tcPr>
            <w:tcW w:w="1440" w:type="dxa"/>
            <w:tcBorders>
              <w:left w:val="single" w:sz="4" w:space="0" w:color="auto"/>
              <w:right w:val="single" w:sz="4" w:space="0" w:color="auto"/>
            </w:tcBorders>
            <w:shd w:val="clear" w:color="auto" w:fill="auto"/>
          </w:tcPr>
          <w:p w14:paraId="31D914E6"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70039850" w14:textId="77777777" w:rsidR="004C2A46" w:rsidRPr="00DA6D02" w:rsidRDefault="004C2A46" w:rsidP="00161519">
            <w:pPr>
              <w:keepNext/>
              <w:spacing w:before="60" w:after="60"/>
              <w:ind w:right="46"/>
              <w:jc w:val="center"/>
              <w:rPr>
                <w:rFonts w:cs="Arial"/>
                <w:sz w:val="18"/>
                <w:szCs w:val="18"/>
              </w:rPr>
            </w:pPr>
            <w:r w:rsidRPr="00DA6D02">
              <w:rPr>
                <w:rFonts w:cs="Arial"/>
                <w:sz w:val="18"/>
                <w:szCs w:val="18"/>
              </w:rPr>
              <w:t>238 (5.07%)</w:t>
            </w:r>
          </w:p>
        </w:tc>
        <w:tc>
          <w:tcPr>
            <w:tcW w:w="1440" w:type="dxa"/>
            <w:tcBorders>
              <w:left w:val="single" w:sz="4" w:space="0" w:color="auto"/>
              <w:right w:val="single" w:sz="4" w:space="0" w:color="auto"/>
            </w:tcBorders>
            <w:shd w:val="clear" w:color="auto" w:fill="auto"/>
          </w:tcPr>
          <w:p w14:paraId="54F73052" w14:textId="77777777" w:rsidR="004C2A46" w:rsidRPr="00DA6D02" w:rsidRDefault="004C2A46" w:rsidP="00161519">
            <w:pPr>
              <w:keepNext/>
              <w:spacing w:before="60" w:after="60"/>
              <w:ind w:right="46"/>
              <w:jc w:val="center"/>
              <w:rPr>
                <w:rFonts w:cs="Arial"/>
                <w:sz w:val="18"/>
                <w:szCs w:val="18"/>
              </w:rPr>
            </w:pPr>
          </w:p>
        </w:tc>
      </w:tr>
      <w:tr w:rsidR="004C2A46" w:rsidRPr="002742BE" w14:paraId="42B49316" w14:textId="77777777" w:rsidTr="00A3254E">
        <w:tc>
          <w:tcPr>
            <w:tcW w:w="2052" w:type="dxa"/>
            <w:tcBorders>
              <w:left w:val="single" w:sz="4" w:space="0" w:color="auto"/>
              <w:right w:val="single" w:sz="4" w:space="0" w:color="auto"/>
            </w:tcBorders>
            <w:shd w:val="clear" w:color="auto" w:fill="auto"/>
          </w:tcPr>
          <w:p w14:paraId="31D8265A" w14:textId="77777777" w:rsidR="004C2A46" w:rsidRPr="00DA6D02" w:rsidRDefault="004C2A46" w:rsidP="00161519">
            <w:pPr>
              <w:ind w:right="43"/>
              <w:jc w:val="both"/>
              <w:rPr>
                <w:rFonts w:cs="Arial"/>
                <w:sz w:val="18"/>
                <w:szCs w:val="18"/>
              </w:rPr>
            </w:pPr>
            <w:r w:rsidRPr="00DA6D02">
              <w:rPr>
                <w:rFonts w:cs="Arial"/>
                <w:sz w:val="18"/>
                <w:szCs w:val="18"/>
              </w:rPr>
              <w:t>Tachycardia</w:t>
            </w:r>
          </w:p>
        </w:tc>
        <w:tc>
          <w:tcPr>
            <w:tcW w:w="1620" w:type="dxa"/>
            <w:tcBorders>
              <w:left w:val="single" w:sz="4" w:space="0" w:color="auto"/>
              <w:right w:val="single" w:sz="4" w:space="0" w:color="auto"/>
            </w:tcBorders>
            <w:shd w:val="clear" w:color="auto" w:fill="auto"/>
          </w:tcPr>
          <w:p w14:paraId="4C442270"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74 (1.59%)</w:t>
            </w:r>
          </w:p>
        </w:tc>
        <w:tc>
          <w:tcPr>
            <w:tcW w:w="1440" w:type="dxa"/>
            <w:tcBorders>
              <w:left w:val="single" w:sz="4" w:space="0" w:color="auto"/>
              <w:right w:val="single" w:sz="4" w:space="0" w:color="auto"/>
            </w:tcBorders>
            <w:shd w:val="clear" w:color="auto" w:fill="auto"/>
          </w:tcPr>
          <w:p w14:paraId="6CE9F10F"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65D1CC80" w14:textId="77777777" w:rsidR="004C2A46" w:rsidRPr="00DA6D02" w:rsidRDefault="004C2A46" w:rsidP="00161519">
            <w:pPr>
              <w:keepNext/>
              <w:spacing w:before="60" w:after="60"/>
              <w:ind w:right="46"/>
              <w:jc w:val="center"/>
              <w:rPr>
                <w:rFonts w:cs="Arial"/>
                <w:sz w:val="18"/>
                <w:szCs w:val="18"/>
              </w:rPr>
            </w:pPr>
            <w:r w:rsidRPr="00DA6D02">
              <w:rPr>
                <w:rFonts w:cs="Arial"/>
                <w:sz w:val="18"/>
                <w:szCs w:val="18"/>
              </w:rPr>
              <w:t>71 (1.51%)</w:t>
            </w:r>
          </w:p>
        </w:tc>
        <w:tc>
          <w:tcPr>
            <w:tcW w:w="1440" w:type="dxa"/>
            <w:tcBorders>
              <w:left w:val="single" w:sz="4" w:space="0" w:color="auto"/>
              <w:right w:val="single" w:sz="4" w:space="0" w:color="auto"/>
            </w:tcBorders>
            <w:shd w:val="clear" w:color="auto" w:fill="auto"/>
          </w:tcPr>
          <w:p w14:paraId="3C9F34AD" w14:textId="77777777" w:rsidR="004C2A46" w:rsidRPr="00DA6D02" w:rsidRDefault="004C2A46" w:rsidP="00161519">
            <w:pPr>
              <w:keepNext/>
              <w:spacing w:before="60" w:after="60"/>
              <w:ind w:right="46"/>
              <w:jc w:val="center"/>
              <w:rPr>
                <w:rFonts w:cs="Arial"/>
                <w:sz w:val="18"/>
                <w:szCs w:val="18"/>
              </w:rPr>
            </w:pPr>
          </w:p>
        </w:tc>
      </w:tr>
      <w:tr w:rsidR="004C2A46" w:rsidRPr="002742BE" w14:paraId="3F24B711" w14:textId="77777777" w:rsidTr="00A3254E">
        <w:tc>
          <w:tcPr>
            <w:tcW w:w="2052" w:type="dxa"/>
            <w:tcBorders>
              <w:left w:val="single" w:sz="4" w:space="0" w:color="auto"/>
              <w:bottom w:val="single" w:sz="4" w:space="0" w:color="auto"/>
              <w:right w:val="single" w:sz="4" w:space="0" w:color="auto"/>
            </w:tcBorders>
            <w:shd w:val="clear" w:color="auto" w:fill="auto"/>
          </w:tcPr>
          <w:p w14:paraId="247B7C59" w14:textId="77777777" w:rsidR="004C2A46" w:rsidRPr="00DA6D02" w:rsidRDefault="004C2A46" w:rsidP="00161519">
            <w:pPr>
              <w:ind w:right="43"/>
              <w:jc w:val="both"/>
              <w:rPr>
                <w:rFonts w:cs="Arial"/>
                <w:sz w:val="18"/>
                <w:szCs w:val="18"/>
              </w:rPr>
            </w:pPr>
            <w:r w:rsidRPr="00DA6D02">
              <w:rPr>
                <w:rFonts w:cs="Arial"/>
                <w:sz w:val="18"/>
                <w:szCs w:val="18"/>
              </w:rPr>
              <w:t>Procedural hypotension</w:t>
            </w:r>
          </w:p>
        </w:tc>
        <w:tc>
          <w:tcPr>
            <w:tcW w:w="1620" w:type="dxa"/>
            <w:tcBorders>
              <w:left w:val="single" w:sz="4" w:space="0" w:color="auto"/>
              <w:bottom w:val="single" w:sz="4" w:space="0" w:color="auto"/>
              <w:right w:val="single" w:sz="4" w:space="0" w:color="auto"/>
            </w:tcBorders>
            <w:shd w:val="clear" w:color="auto" w:fill="auto"/>
          </w:tcPr>
          <w:p w14:paraId="305E3581"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47 (1.01%)</w:t>
            </w:r>
          </w:p>
        </w:tc>
        <w:tc>
          <w:tcPr>
            <w:tcW w:w="1440" w:type="dxa"/>
            <w:tcBorders>
              <w:left w:val="single" w:sz="4" w:space="0" w:color="auto"/>
              <w:bottom w:val="single" w:sz="4" w:space="0" w:color="auto"/>
              <w:right w:val="single" w:sz="4" w:space="0" w:color="auto"/>
            </w:tcBorders>
            <w:shd w:val="clear" w:color="auto" w:fill="auto"/>
          </w:tcPr>
          <w:p w14:paraId="2937612B"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4C977727" w14:textId="77777777" w:rsidR="004C2A46" w:rsidRPr="00DA6D02" w:rsidRDefault="004C2A46" w:rsidP="00161519">
            <w:pPr>
              <w:keepNext/>
              <w:spacing w:before="60" w:after="60"/>
              <w:ind w:right="46"/>
              <w:jc w:val="center"/>
              <w:rPr>
                <w:rFonts w:cs="Arial"/>
                <w:sz w:val="18"/>
                <w:szCs w:val="18"/>
              </w:rPr>
            </w:pPr>
            <w:r w:rsidRPr="00DA6D02">
              <w:rPr>
                <w:rFonts w:cs="Arial"/>
                <w:sz w:val="18"/>
                <w:szCs w:val="18"/>
              </w:rPr>
              <w:t>34 (0.72%)</w:t>
            </w:r>
          </w:p>
        </w:tc>
        <w:tc>
          <w:tcPr>
            <w:tcW w:w="1440" w:type="dxa"/>
            <w:tcBorders>
              <w:left w:val="single" w:sz="4" w:space="0" w:color="auto"/>
              <w:bottom w:val="single" w:sz="4" w:space="0" w:color="auto"/>
              <w:right w:val="single" w:sz="4" w:space="0" w:color="auto"/>
            </w:tcBorders>
            <w:shd w:val="clear" w:color="auto" w:fill="auto"/>
          </w:tcPr>
          <w:p w14:paraId="69C2E669" w14:textId="77777777" w:rsidR="004C2A46" w:rsidRDefault="004C2A46" w:rsidP="00161519">
            <w:pPr>
              <w:keepNext/>
              <w:spacing w:before="60" w:after="60"/>
              <w:ind w:right="46"/>
              <w:jc w:val="center"/>
              <w:rPr>
                <w:rFonts w:cs="Arial"/>
                <w:sz w:val="18"/>
                <w:szCs w:val="18"/>
              </w:rPr>
            </w:pPr>
          </w:p>
          <w:p w14:paraId="750E42C7" w14:textId="77777777" w:rsidR="000B038A" w:rsidRPr="00DA6D02" w:rsidRDefault="000B038A" w:rsidP="00161519">
            <w:pPr>
              <w:keepNext/>
              <w:spacing w:before="60" w:after="60"/>
              <w:ind w:right="46"/>
              <w:jc w:val="center"/>
              <w:rPr>
                <w:rFonts w:cs="Arial"/>
                <w:sz w:val="18"/>
                <w:szCs w:val="18"/>
              </w:rPr>
            </w:pPr>
          </w:p>
        </w:tc>
      </w:tr>
      <w:tr w:rsidR="004C2A46" w:rsidRPr="002742BE" w14:paraId="640B3145" w14:textId="77777777" w:rsidTr="00A3254E">
        <w:tc>
          <w:tcPr>
            <w:tcW w:w="2052" w:type="dxa"/>
            <w:tcBorders>
              <w:top w:val="single" w:sz="4" w:space="0" w:color="auto"/>
              <w:left w:val="single" w:sz="4" w:space="0" w:color="auto"/>
              <w:right w:val="single" w:sz="4" w:space="0" w:color="auto"/>
            </w:tcBorders>
            <w:shd w:val="clear" w:color="auto" w:fill="auto"/>
          </w:tcPr>
          <w:p w14:paraId="7E8FDADE" w14:textId="77777777" w:rsidR="004C2A46" w:rsidRPr="00DA6D02" w:rsidRDefault="004C2A46" w:rsidP="00161519">
            <w:pPr>
              <w:ind w:right="43"/>
              <w:jc w:val="both"/>
              <w:rPr>
                <w:rFonts w:cs="Arial"/>
                <w:b/>
                <w:sz w:val="18"/>
                <w:szCs w:val="18"/>
              </w:rPr>
            </w:pPr>
            <w:r w:rsidRPr="00DA6D02">
              <w:rPr>
                <w:rFonts w:cs="Arial"/>
                <w:b/>
                <w:sz w:val="18"/>
                <w:szCs w:val="18"/>
              </w:rPr>
              <w:t>Endocrine disorders</w:t>
            </w:r>
          </w:p>
        </w:tc>
        <w:tc>
          <w:tcPr>
            <w:tcW w:w="1620" w:type="dxa"/>
            <w:tcBorders>
              <w:top w:val="single" w:sz="4" w:space="0" w:color="auto"/>
              <w:left w:val="single" w:sz="4" w:space="0" w:color="auto"/>
              <w:right w:val="single" w:sz="4" w:space="0" w:color="auto"/>
            </w:tcBorders>
            <w:shd w:val="clear" w:color="auto" w:fill="auto"/>
          </w:tcPr>
          <w:p w14:paraId="6FCC72BA" w14:textId="77777777" w:rsidR="004C2A46" w:rsidRPr="00DA6D02" w:rsidRDefault="004C2A46" w:rsidP="00161519">
            <w:pPr>
              <w:keepNext/>
              <w:tabs>
                <w:tab w:val="left" w:pos="1844"/>
              </w:tabs>
              <w:spacing w:before="60" w:after="60"/>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115A41FC"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4EA21020" w14:textId="77777777" w:rsidR="004C2A46" w:rsidRPr="00DA6D02" w:rsidRDefault="004C2A46" w:rsidP="00161519">
            <w:pPr>
              <w:keepNext/>
              <w:spacing w:before="60" w:after="60"/>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3A518294" w14:textId="77777777" w:rsidR="004C2A46" w:rsidRPr="00DA6D02" w:rsidRDefault="004C2A46" w:rsidP="00161519">
            <w:pPr>
              <w:keepNext/>
              <w:spacing w:before="60" w:after="60"/>
              <w:ind w:right="46"/>
              <w:jc w:val="center"/>
              <w:rPr>
                <w:rFonts w:cs="Arial"/>
                <w:sz w:val="18"/>
                <w:szCs w:val="18"/>
              </w:rPr>
            </w:pPr>
          </w:p>
        </w:tc>
      </w:tr>
      <w:tr w:rsidR="004C2A46" w:rsidRPr="002742BE" w14:paraId="3D4222E2" w14:textId="77777777" w:rsidTr="00A3254E">
        <w:tc>
          <w:tcPr>
            <w:tcW w:w="2052" w:type="dxa"/>
            <w:tcBorders>
              <w:left w:val="single" w:sz="4" w:space="0" w:color="auto"/>
              <w:bottom w:val="single" w:sz="4" w:space="0" w:color="auto"/>
              <w:right w:val="single" w:sz="4" w:space="0" w:color="auto"/>
            </w:tcBorders>
            <w:shd w:val="clear" w:color="auto" w:fill="auto"/>
          </w:tcPr>
          <w:p w14:paraId="1C6E052D" w14:textId="77777777" w:rsidR="004C2A46" w:rsidRPr="00DA6D02" w:rsidRDefault="004C2A46" w:rsidP="00161519">
            <w:pPr>
              <w:ind w:right="43"/>
              <w:jc w:val="both"/>
              <w:rPr>
                <w:rFonts w:cs="Arial"/>
                <w:sz w:val="18"/>
                <w:szCs w:val="18"/>
              </w:rPr>
            </w:pPr>
            <w:r w:rsidRPr="00DA6D02">
              <w:rPr>
                <w:rFonts w:cs="Arial"/>
                <w:sz w:val="18"/>
                <w:szCs w:val="18"/>
              </w:rPr>
              <w:t>Hyperglycaemia</w:t>
            </w:r>
          </w:p>
        </w:tc>
        <w:tc>
          <w:tcPr>
            <w:tcW w:w="1620" w:type="dxa"/>
            <w:tcBorders>
              <w:left w:val="single" w:sz="4" w:space="0" w:color="auto"/>
              <w:bottom w:val="single" w:sz="4" w:space="0" w:color="auto"/>
              <w:right w:val="single" w:sz="4" w:space="0" w:color="auto"/>
            </w:tcBorders>
            <w:shd w:val="clear" w:color="auto" w:fill="auto"/>
          </w:tcPr>
          <w:p w14:paraId="43C95269"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43 (0.92%)</w:t>
            </w:r>
          </w:p>
        </w:tc>
        <w:tc>
          <w:tcPr>
            <w:tcW w:w="1440" w:type="dxa"/>
            <w:tcBorders>
              <w:left w:val="single" w:sz="4" w:space="0" w:color="auto"/>
              <w:bottom w:val="single" w:sz="4" w:space="0" w:color="auto"/>
              <w:right w:val="single" w:sz="4" w:space="0" w:color="auto"/>
            </w:tcBorders>
            <w:shd w:val="clear" w:color="auto" w:fill="auto"/>
          </w:tcPr>
          <w:p w14:paraId="1D6B4F6D"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38D2D4CD" w14:textId="77777777" w:rsidR="004C2A46" w:rsidRPr="00DA6D02" w:rsidRDefault="004C2A46" w:rsidP="00161519">
            <w:pPr>
              <w:keepNext/>
              <w:spacing w:before="60" w:after="60"/>
              <w:ind w:right="46"/>
              <w:jc w:val="center"/>
              <w:rPr>
                <w:rFonts w:cs="Arial"/>
                <w:sz w:val="18"/>
                <w:szCs w:val="18"/>
              </w:rPr>
            </w:pPr>
            <w:r w:rsidRPr="00DA6D02">
              <w:rPr>
                <w:rFonts w:cs="Arial"/>
                <w:sz w:val="18"/>
                <w:szCs w:val="18"/>
              </w:rPr>
              <w:t>53 (1.13%)</w:t>
            </w:r>
          </w:p>
        </w:tc>
        <w:tc>
          <w:tcPr>
            <w:tcW w:w="1440" w:type="dxa"/>
            <w:tcBorders>
              <w:left w:val="single" w:sz="4" w:space="0" w:color="auto"/>
              <w:bottom w:val="single" w:sz="4" w:space="0" w:color="auto"/>
              <w:right w:val="single" w:sz="4" w:space="0" w:color="auto"/>
            </w:tcBorders>
            <w:shd w:val="clear" w:color="auto" w:fill="auto"/>
          </w:tcPr>
          <w:p w14:paraId="0B3A8BE6" w14:textId="77777777" w:rsidR="004C2A46" w:rsidRDefault="004C2A46" w:rsidP="00161519">
            <w:pPr>
              <w:keepNext/>
              <w:spacing w:before="60" w:after="60"/>
              <w:ind w:right="46"/>
              <w:jc w:val="center"/>
              <w:rPr>
                <w:rFonts w:cs="Arial"/>
                <w:sz w:val="18"/>
                <w:szCs w:val="18"/>
              </w:rPr>
            </w:pPr>
          </w:p>
          <w:p w14:paraId="6015BEB6" w14:textId="77777777" w:rsidR="000B038A" w:rsidRPr="00DA6D02" w:rsidRDefault="000B038A" w:rsidP="00161519">
            <w:pPr>
              <w:keepNext/>
              <w:spacing w:before="60" w:after="60"/>
              <w:ind w:right="46"/>
              <w:jc w:val="center"/>
              <w:rPr>
                <w:rFonts w:cs="Arial"/>
                <w:sz w:val="18"/>
                <w:szCs w:val="18"/>
              </w:rPr>
            </w:pPr>
          </w:p>
        </w:tc>
      </w:tr>
      <w:tr w:rsidR="004C2A46" w:rsidRPr="002742BE" w14:paraId="241BC695" w14:textId="77777777" w:rsidTr="00A3254E">
        <w:tc>
          <w:tcPr>
            <w:tcW w:w="2052" w:type="dxa"/>
            <w:tcBorders>
              <w:top w:val="single" w:sz="4" w:space="0" w:color="auto"/>
              <w:left w:val="single" w:sz="4" w:space="0" w:color="auto"/>
              <w:right w:val="single" w:sz="4" w:space="0" w:color="auto"/>
            </w:tcBorders>
            <w:shd w:val="clear" w:color="auto" w:fill="auto"/>
          </w:tcPr>
          <w:p w14:paraId="2D411EFB" w14:textId="77777777" w:rsidR="004C2A46" w:rsidRPr="00DA6D02" w:rsidRDefault="004C2A46" w:rsidP="00161519">
            <w:pPr>
              <w:ind w:right="43"/>
              <w:jc w:val="both"/>
              <w:rPr>
                <w:rFonts w:cs="Arial"/>
                <w:b/>
                <w:sz w:val="18"/>
                <w:szCs w:val="18"/>
              </w:rPr>
            </w:pPr>
            <w:r w:rsidRPr="00DA6D02">
              <w:rPr>
                <w:rFonts w:cs="Arial"/>
                <w:b/>
                <w:sz w:val="18"/>
                <w:szCs w:val="18"/>
              </w:rPr>
              <w:t>Gastrointestinal disorders</w:t>
            </w:r>
          </w:p>
        </w:tc>
        <w:tc>
          <w:tcPr>
            <w:tcW w:w="1620" w:type="dxa"/>
            <w:tcBorders>
              <w:top w:val="single" w:sz="4" w:space="0" w:color="auto"/>
              <w:left w:val="single" w:sz="4" w:space="0" w:color="auto"/>
              <w:right w:val="single" w:sz="4" w:space="0" w:color="auto"/>
            </w:tcBorders>
            <w:shd w:val="clear" w:color="auto" w:fill="auto"/>
          </w:tcPr>
          <w:p w14:paraId="364E45B9" w14:textId="77777777" w:rsidR="004C2A46" w:rsidRPr="00DA6D02" w:rsidRDefault="004C2A46" w:rsidP="00161519">
            <w:pPr>
              <w:keepNext/>
              <w:tabs>
                <w:tab w:val="left" w:pos="1844"/>
              </w:tabs>
              <w:spacing w:before="60" w:after="60"/>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73D58912"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61F86096" w14:textId="77777777" w:rsidR="004C2A46" w:rsidRPr="00DA6D02" w:rsidRDefault="004C2A46" w:rsidP="00161519">
            <w:pPr>
              <w:keepNext/>
              <w:spacing w:before="60" w:after="60"/>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109E4DCF" w14:textId="77777777" w:rsidR="004C2A46" w:rsidRPr="00DA6D02" w:rsidRDefault="004C2A46" w:rsidP="00161519">
            <w:pPr>
              <w:keepNext/>
              <w:spacing w:before="60" w:after="60"/>
              <w:ind w:right="46"/>
              <w:jc w:val="center"/>
              <w:rPr>
                <w:rFonts w:cs="Arial"/>
                <w:sz w:val="18"/>
                <w:szCs w:val="18"/>
              </w:rPr>
            </w:pPr>
          </w:p>
        </w:tc>
      </w:tr>
      <w:tr w:rsidR="004C2A46" w:rsidRPr="002742BE" w14:paraId="01625D3D" w14:textId="77777777" w:rsidTr="00A3254E">
        <w:tc>
          <w:tcPr>
            <w:tcW w:w="2052" w:type="dxa"/>
            <w:tcBorders>
              <w:left w:val="single" w:sz="4" w:space="0" w:color="auto"/>
              <w:right w:val="single" w:sz="4" w:space="0" w:color="auto"/>
            </w:tcBorders>
            <w:shd w:val="clear" w:color="auto" w:fill="auto"/>
          </w:tcPr>
          <w:p w14:paraId="589E0770" w14:textId="77777777" w:rsidR="004C2A46" w:rsidRPr="00DA6D02" w:rsidRDefault="004C2A46" w:rsidP="00161519">
            <w:pPr>
              <w:ind w:right="43"/>
              <w:jc w:val="both"/>
              <w:rPr>
                <w:rFonts w:cs="Arial"/>
                <w:sz w:val="18"/>
                <w:szCs w:val="18"/>
              </w:rPr>
            </w:pPr>
            <w:r w:rsidRPr="00DA6D02">
              <w:rPr>
                <w:rFonts w:cs="Arial"/>
                <w:sz w:val="18"/>
                <w:szCs w:val="18"/>
              </w:rPr>
              <w:t>Nausea</w:t>
            </w:r>
          </w:p>
        </w:tc>
        <w:tc>
          <w:tcPr>
            <w:tcW w:w="1620" w:type="dxa"/>
            <w:tcBorders>
              <w:left w:val="single" w:sz="4" w:space="0" w:color="auto"/>
              <w:right w:val="single" w:sz="4" w:space="0" w:color="auto"/>
            </w:tcBorders>
            <w:shd w:val="clear" w:color="auto" w:fill="auto"/>
          </w:tcPr>
          <w:p w14:paraId="41902E33"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517 (11.10%)</w:t>
            </w:r>
          </w:p>
        </w:tc>
        <w:tc>
          <w:tcPr>
            <w:tcW w:w="1440" w:type="dxa"/>
            <w:tcBorders>
              <w:left w:val="single" w:sz="4" w:space="0" w:color="auto"/>
              <w:right w:val="single" w:sz="4" w:space="0" w:color="auto"/>
            </w:tcBorders>
            <w:shd w:val="clear" w:color="auto" w:fill="auto"/>
          </w:tcPr>
          <w:p w14:paraId="5349448D"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69 (1.48%)</w:t>
            </w:r>
          </w:p>
        </w:tc>
        <w:tc>
          <w:tcPr>
            <w:tcW w:w="1620" w:type="dxa"/>
            <w:tcBorders>
              <w:left w:val="single" w:sz="4" w:space="0" w:color="auto"/>
              <w:right w:val="single" w:sz="4" w:space="0" w:color="auto"/>
            </w:tcBorders>
            <w:shd w:val="clear" w:color="auto" w:fill="auto"/>
          </w:tcPr>
          <w:p w14:paraId="3CD7AFE3"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519 (11.06%)</w:t>
            </w:r>
          </w:p>
        </w:tc>
        <w:tc>
          <w:tcPr>
            <w:tcW w:w="1440" w:type="dxa"/>
            <w:tcBorders>
              <w:left w:val="single" w:sz="4" w:space="0" w:color="auto"/>
              <w:right w:val="single" w:sz="4" w:space="0" w:color="auto"/>
            </w:tcBorders>
            <w:shd w:val="clear" w:color="auto" w:fill="auto"/>
          </w:tcPr>
          <w:p w14:paraId="39836910" w14:textId="77777777" w:rsidR="004C2A46" w:rsidRPr="00DA6D02" w:rsidRDefault="004C2A46" w:rsidP="00161519">
            <w:pPr>
              <w:keepNext/>
              <w:spacing w:before="60" w:after="60"/>
              <w:ind w:right="46"/>
              <w:jc w:val="center"/>
              <w:rPr>
                <w:rFonts w:cs="Arial"/>
                <w:sz w:val="18"/>
                <w:szCs w:val="18"/>
              </w:rPr>
            </w:pPr>
            <w:r w:rsidRPr="00DA6D02">
              <w:rPr>
                <w:rFonts w:cs="Arial"/>
                <w:sz w:val="18"/>
                <w:szCs w:val="18"/>
              </w:rPr>
              <w:t>86 (1.83%)</w:t>
            </w:r>
          </w:p>
        </w:tc>
      </w:tr>
      <w:tr w:rsidR="004C2A46" w:rsidRPr="002742BE" w14:paraId="7E8F2C48" w14:textId="77777777" w:rsidTr="00A3254E">
        <w:tc>
          <w:tcPr>
            <w:tcW w:w="2052" w:type="dxa"/>
            <w:tcBorders>
              <w:left w:val="single" w:sz="4" w:space="0" w:color="auto"/>
              <w:right w:val="single" w:sz="4" w:space="0" w:color="auto"/>
            </w:tcBorders>
            <w:shd w:val="clear" w:color="auto" w:fill="auto"/>
          </w:tcPr>
          <w:p w14:paraId="359F9925" w14:textId="77777777" w:rsidR="004C2A46" w:rsidRPr="00DA6D02" w:rsidRDefault="004C2A46" w:rsidP="00161519">
            <w:pPr>
              <w:ind w:right="43"/>
              <w:jc w:val="both"/>
              <w:rPr>
                <w:rFonts w:cs="Arial"/>
                <w:sz w:val="18"/>
                <w:szCs w:val="18"/>
              </w:rPr>
            </w:pPr>
            <w:r w:rsidRPr="00DA6D02">
              <w:rPr>
                <w:rFonts w:cs="Arial"/>
                <w:sz w:val="18"/>
                <w:szCs w:val="18"/>
              </w:rPr>
              <w:t>Constipation</w:t>
            </w:r>
          </w:p>
        </w:tc>
        <w:tc>
          <w:tcPr>
            <w:tcW w:w="1620" w:type="dxa"/>
            <w:tcBorders>
              <w:left w:val="single" w:sz="4" w:space="0" w:color="auto"/>
              <w:right w:val="single" w:sz="4" w:space="0" w:color="auto"/>
            </w:tcBorders>
            <w:shd w:val="clear" w:color="auto" w:fill="auto"/>
          </w:tcPr>
          <w:p w14:paraId="46C2EBD2"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318 (6.83%)</w:t>
            </w:r>
          </w:p>
        </w:tc>
        <w:tc>
          <w:tcPr>
            <w:tcW w:w="1440" w:type="dxa"/>
            <w:tcBorders>
              <w:left w:val="single" w:sz="4" w:space="0" w:color="auto"/>
              <w:right w:val="single" w:sz="4" w:space="0" w:color="auto"/>
            </w:tcBorders>
            <w:shd w:val="clear" w:color="auto" w:fill="auto"/>
          </w:tcPr>
          <w:p w14:paraId="3EDDB241"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5A0C2EB8"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335 (7.14%)</w:t>
            </w:r>
          </w:p>
        </w:tc>
        <w:tc>
          <w:tcPr>
            <w:tcW w:w="1440" w:type="dxa"/>
            <w:tcBorders>
              <w:left w:val="single" w:sz="4" w:space="0" w:color="auto"/>
              <w:right w:val="single" w:sz="4" w:space="0" w:color="auto"/>
            </w:tcBorders>
            <w:shd w:val="clear" w:color="auto" w:fill="auto"/>
          </w:tcPr>
          <w:p w14:paraId="20693125" w14:textId="77777777" w:rsidR="004C2A46" w:rsidRPr="00DA6D02" w:rsidRDefault="004C2A46" w:rsidP="00161519">
            <w:pPr>
              <w:keepNext/>
              <w:spacing w:before="60" w:after="60"/>
              <w:ind w:right="46"/>
              <w:jc w:val="center"/>
              <w:rPr>
                <w:rFonts w:cs="Arial"/>
                <w:sz w:val="18"/>
                <w:szCs w:val="18"/>
              </w:rPr>
            </w:pPr>
          </w:p>
        </w:tc>
      </w:tr>
      <w:tr w:rsidR="004C2A46" w:rsidRPr="002742BE" w14:paraId="76D9F387" w14:textId="77777777" w:rsidTr="00A3254E">
        <w:tc>
          <w:tcPr>
            <w:tcW w:w="2052" w:type="dxa"/>
            <w:tcBorders>
              <w:left w:val="single" w:sz="4" w:space="0" w:color="auto"/>
              <w:right w:val="single" w:sz="4" w:space="0" w:color="auto"/>
            </w:tcBorders>
            <w:shd w:val="clear" w:color="auto" w:fill="auto"/>
          </w:tcPr>
          <w:p w14:paraId="55A2D02C" w14:textId="77777777" w:rsidR="004C2A46" w:rsidRPr="00DA6D02" w:rsidRDefault="004C2A46" w:rsidP="00161519">
            <w:pPr>
              <w:ind w:right="43"/>
              <w:jc w:val="both"/>
              <w:rPr>
                <w:rFonts w:cs="Arial"/>
                <w:sz w:val="18"/>
                <w:szCs w:val="18"/>
              </w:rPr>
            </w:pPr>
            <w:r w:rsidRPr="00DA6D02">
              <w:rPr>
                <w:rFonts w:cs="Arial"/>
                <w:sz w:val="18"/>
                <w:szCs w:val="18"/>
              </w:rPr>
              <w:t>Diarrhoea</w:t>
            </w:r>
          </w:p>
        </w:tc>
        <w:tc>
          <w:tcPr>
            <w:tcW w:w="1620" w:type="dxa"/>
            <w:tcBorders>
              <w:left w:val="single" w:sz="4" w:space="0" w:color="auto"/>
              <w:right w:val="single" w:sz="4" w:space="0" w:color="auto"/>
            </w:tcBorders>
            <w:shd w:val="clear" w:color="auto" w:fill="auto"/>
          </w:tcPr>
          <w:p w14:paraId="6219184D"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106 (2.28%)</w:t>
            </w:r>
          </w:p>
        </w:tc>
        <w:tc>
          <w:tcPr>
            <w:tcW w:w="1440" w:type="dxa"/>
            <w:tcBorders>
              <w:left w:val="single" w:sz="4" w:space="0" w:color="auto"/>
              <w:right w:val="single" w:sz="4" w:space="0" w:color="auto"/>
            </w:tcBorders>
            <w:shd w:val="clear" w:color="auto" w:fill="auto"/>
          </w:tcPr>
          <w:p w14:paraId="77C62686"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07C0D9BF"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137 (2.92%)</w:t>
            </w:r>
          </w:p>
        </w:tc>
        <w:tc>
          <w:tcPr>
            <w:tcW w:w="1440" w:type="dxa"/>
            <w:tcBorders>
              <w:left w:val="single" w:sz="4" w:space="0" w:color="auto"/>
              <w:right w:val="single" w:sz="4" w:space="0" w:color="auto"/>
            </w:tcBorders>
            <w:shd w:val="clear" w:color="auto" w:fill="auto"/>
          </w:tcPr>
          <w:p w14:paraId="0C6E19A1" w14:textId="77777777" w:rsidR="004C2A46" w:rsidRPr="00DA6D02" w:rsidRDefault="004C2A46" w:rsidP="00161519">
            <w:pPr>
              <w:keepNext/>
              <w:spacing w:before="60" w:after="60"/>
              <w:ind w:right="46"/>
              <w:jc w:val="center"/>
              <w:rPr>
                <w:rFonts w:cs="Arial"/>
                <w:sz w:val="18"/>
                <w:szCs w:val="18"/>
              </w:rPr>
            </w:pPr>
          </w:p>
        </w:tc>
      </w:tr>
      <w:tr w:rsidR="004C2A46" w:rsidRPr="002742BE" w14:paraId="01C52585" w14:textId="77777777" w:rsidTr="00A3254E">
        <w:tc>
          <w:tcPr>
            <w:tcW w:w="2052" w:type="dxa"/>
            <w:tcBorders>
              <w:left w:val="single" w:sz="4" w:space="0" w:color="auto"/>
              <w:right w:val="single" w:sz="4" w:space="0" w:color="auto"/>
            </w:tcBorders>
            <w:shd w:val="clear" w:color="auto" w:fill="auto"/>
          </w:tcPr>
          <w:p w14:paraId="22606B2B" w14:textId="77777777" w:rsidR="004C2A46" w:rsidRPr="00DA6D02" w:rsidRDefault="004C2A46" w:rsidP="00161519">
            <w:pPr>
              <w:ind w:right="43"/>
              <w:jc w:val="both"/>
              <w:rPr>
                <w:rFonts w:cs="Arial"/>
                <w:sz w:val="18"/>
                <w:szCs w:val="18"/>
              </w:rPr>
            </w:pPr>
            <w:r w:rsidRPr="00DA6D02">
              <w:rPr>
                <w:rFonts w:cs="Arial"/>
                <w:sz w:val="18"/>
                <w:szCs w:val="18"/>
              </w:rPr>
              <w:t>Dyspepsia</w:t>
            </w:r>
          </w:p>
        </w:tc>
        <w:tc>
          <w:tcPr>
            <w:tcW w:w="1620" w:type="dxa"/>
            <w:tcBorders>
              <w:left w:val="single" w:sz="4" w:space="0" w:color="auto"/>
              <w:right w:val="single" w:sz="4" w:space="0" w:color="auto"/>
            </w:tcBorders>
            <w:shd w:val="clear" w:color="auto" w:fill="auto"/>
          </w:tcPr>
          <w:p w14:paraId="67FC2477"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42 (0.90%)</w:t>
            </w:r>
          </w:p>
        </w:tc>
        <w:tc>
          <w:tcPr>
            <w:tcW w:w="1440" w:type="dxa"/>
            <w:tcBorders>
              <w:left w:val="single" w:sz="4" w:space="0" w:color="auto"/>
              <w:right w:val="single" w:sz="4" w:space="0" w:color="auto"/>
            </w:tcBorders>
            <w:shd w:val="clear" w:color="auto" w:fill="auto"/>
          </w:tcPr>
          <w:p w14:paraId="4F0FCCE2"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2C33EA45"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51 (1.09%)</w:t>
            </w:r>
          </w:p>
        </w:tc>
        <w:tc>
          <w:tcPr>
            <w:tcW w:w="1440" w:type="dxa"/>
            <w:tcBorders>
              <w:left w:val="single" w:sz="4" w:space="0" w:color="auto"/>
              <w:right w:val="single" w:sz="4" w:space="0" w:color="auto"/>
            </w:tcBorders>
            <w:shd w:val="clear" w:color="auto" w:fill="auto"/>
          </w:tcPr>
          <w:p w14:paraId="5EAF2FAF" w14:textId="77777777" w:rsidR="004C2A46" w:rsidRPr="00DA6D02" w:rsidRDefault="004C2A46" w:rsidP="00161519">
            <w:pPr>
              <w:keepNext/>
              <w:spacing w:before="60" w:after="60"/>
              <w:ind w:right="46"/>
              <w:jc w:val="center"/>
              <w:rPr>
                <w:rFonts w:cs="Arial"/>
                <w:sz w:val="18"/>
                <w:szCs w:val="18"/>
              </w:rPr>
            </w:pPr>
          </w:p>
        </w:tc>
      </w:tr>
      <w:tr w:rsidR="004C2A46" w:rsidRPr="002742BE" w14:paraId="27051C21" w14:textId="77777777" w:rsidTr="00A3254E">
        <w:tc>
          <w:tcPr>
            <w:tcW w:w="2052" w:type="dxa"/>
            <w:tcBorders>
              <w:left w:val="single" w:sz="4" w:space="0" w:color="auto"/>
              <w:right w:val="single" w:sz="4" w:space="0" w:color="auto"/>
            </w:tcBorders>
            <w:shd w:val="clear" w:color="auto" w:fill="auto"/>
          </w:tcPr>
          <w:p w14:paraId="033D03BC" w14:textId="77777777" w:rsidR="004C2A46" w:rsidRPr="00DA6D02" w:rsidRDefault="004C2A46" w:rsidP="00161519">
            <w:pPr>
              <w:ind w:right="43"/>
              <w:jc w:val="both"/>
              <w:rPr>
                <w:rFonts w:cs="Arial"/>
                <w:sz w:val="18"/>
                <w:szCs w:val="18"/>
              </w:rPr>
            </w:pPr>
            <w:r w:rsidRPr="00DA6D02">
              <w:rPr>
                <w:rFonts w:cs="Arial"/>
                <w:sz w:val="18"/>
                <w:szCs w:val="18"/>
              </w:rPr>
              <w:t>GI and abdominal pain</w:t>
            </w:r>
          </w:p>
        </w:tc>
        <w:tc>
          <w:tcPr>
            <w:tcW w:w="1620" w:type="dxa"/>
            <w:tcBorders>
              <w:left w:val="single" w:sz="4" w:space="0" w:color="auto"/>
              <w:right w:val="single" w:sz="4" w:space="0" w:color="auto"/>
            </w:tcBorders>
            <w:shd w:val="clear" w:color="auto" w:fill="auto"/>
          </w:tcPr>
          <w:p w14:paraId="56C5016A"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89 (1.91%)</w:t>
            </w:r>
          </w:p>
        </w:tc>
        <w:tc>
          <w:tcPr>
            <w:tcW w:w="1440" w:type="dxa"/>
            <w:tcBorders>
              <w:left w:val="single" w:sz="4" w:space="0" w:color="auto"/>
              <w:right w:val="single" w:sz="4" w:space="0" w:color="auto"/>
            </w:tcBorders>
            <w:shd w:val="clear" w:color="auto" w:fill="auto"/>
          </w:tcPr>
          <w:p w14:paraId="5ED4203C"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0AE5831A"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93 (1.98%)</w:t>
            </w:r>
          </w:p>
        </w:tc>
        <w:tc>
          <w:tcPr>
            <w:tcW w:w="1440" w:type="dxa"/>
            <w:tcBorders>
              <w:left w:val="single" w:sz="4" w:space="0" w:color="auto"/>
              <w:right w:val="single" w:sz="4" w:space="0" w:color="auto"/>
            </w:tcBorders>
            <w:shd w:val="clear" w:color="auto" w:fill="auto"/>
          </w:tcPr>
          <w:p w14:paraId="21E3461A" w14:textId="77777777" w:rsidR="004C2A46" w:rsidRPr="00DA6D02" w:rsidRDefault="004C2A46" w:rsidP="00161519">
            <w:pPr>
              <w:keepNext/>
              <w:spacing w:before="60" w:after="60"/>
              <w:ind w:right="46"/>
              <w:jc w:val="center"/>
              <w:rPr>
                <w:rFonts w:cs="Arial"/>
                <w:sz w:val="18"/>
                <w:szCs w:val="18"/>
              </w:rPr>
            </w:pPr>
          </w:p>
        </w:tc>
      </w:tr>
      <w:tr w:rsidR="004C2A46" w:rsidRPr="002742BE" w14:paraId="335D8FC9" w14:textId="77777777" w:rsidTr="00A3254E">
        <w:tc>
          <w:tcPr>
            <w:tcW w:w="2052" w:type="dxa"/>
            <w:tcBorders>
              <w:left w:val="single" w:sz="4" w:space="0" w:color="auto"/>
              <w:bottom w:val="single" w:sz="4" w:space="0" w:color="000000"/>
              <w:right w:val="single" w:sz="4" w:space="0" w:color="auto"/>
            </w:tcBorders>
            <w:shd w:val="clear" w:color="auto" w:fill="auto"/>
          </w:tcPr>
          <w:p w14:paraId="0A14D8D0" w14:textId="77777777" w:rsidR="004C2A46" w:rsidRPr="00DA6D02" w:rsidRDefault="004C2A46" w:rsidP="00161519">
            <w:pPr>
              <w:ind w:right="43"/>
              <w:jc w:val="both"/>
              <w:rPr>
                <w:rFonts w:cs="Arial"/>
                <w:sz w:val="18"/>
                <w:szCs w:val="18"/>
              </w:rPr>
            </w:pPr>
            <w:r w:rsidRPr="00DA6D02">
              <w:rPr>
                <w:rFonts w:cs="Arial"/>
                <w:sz w:val="18"/>
                <w:szCs w:val="18"/>
              </w:rPr>
              <w:t>Vomiting</w:t>
            </w:r>
          </w:p>
        </w:tc>
        <w:tc>
          <w:tcPr>
            <w:tcW w:w="1620" w:type="dxa"/>
            <w:tcBorders>
              <w:left w:val="single" w:sz="4" w:space="0" w:color="auto"/>
              <w:bottom w:val="single" w:sz="4" w:space="0" w:color="000000"/>
              <w:right w:val="single" w:sz="4" w:space="0" w:color="auto"/>
            </w:tcBorders>
            <w:shd w:val="clear" w:color="auto" w:fill="auto"/>
          </w:tcPr>
          <w:p w14:paraId="5CCE473A" w14:textId="77777777" w:rsidR="004C2A46" w:rsidRPr="00DA6D02" w:rsidRDefault="004C2A46" w:rsidP="00161519">
            <w:pPr>
              <w:keepNext/>
              <w:tabs>
                <w:tab w:val="left" w:pos="1844"/>
              </w:tabs>
              <w:spacing w:before="60" w:after="60"/>
              <w:ind w:right="46"/>
              <w:jc w:val="center"/>
              <w:rPr>
                <w:rFonts w:cs="Arial"/>
                <w:sz w:val="18"/>
                <w:szCs w:val="18"/>
              </w:rPr>
            </w:pPr>
            <w:r w:rsidRPr="00DA6D02">
              <w:rPr>
                <w:rFonts w:cs="Arial"/>
                <w:sz w:val="18"/>
                <w:szCs w:val="18"/>
              </w:rPr>
              <w:t>452 (9.71%)</w:t>
            </w:r>
          </w:p>
        </w:tc>
        <w:tc>
          <w:tcPr>
            <w:tcW w:w="1440" w:type="dxa"/>
            <w:tcBorders>
              <w:left w:val="single" w:sz="4" w:space="0" w:color="auto"/>
              <w:bottom w:val="single" w:sz="4" w:space="0" w:color="000000"/>
              <w:right w:val="single" w:sz="4" w:space="0" w:color="auto"/>
            </w:tcBorders>
            <w:shd w:val="clear" w:color="auto" w:fill="auto"/>
          </w:tcPr>
          <w:p w14:paraId="708F6797"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auto"/>
              <w:bottom w:val="single" w:sz="4" w:space="0" w:color="000000"/>
              <w:right w:val="single" w:sz="4" w:space="0" w:color="auto"/>
            </w:tcBorders>
            <w:shd w:val="clear" w:color="auto" w:fill="auto"/>
          </w:tcPr>
          <w:p w14:paraId="4885FECC"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482 (10.27%)</w:t>
            </w:r>
          </w:p>
        </w:tc>
        <w:tc>
          <w:tcPr>
            <w:tcW w:w="1440" w:type="dxa"/>
            <w:tcBorders>
              <w:left w:val="single" w:sz="4" w:space="0" w:color="auto"/>
              <w:bottom w:val="single" w:sz="4" w:space="0" w:color="000000"/>
              <w:right w:val="single" w:sz="4" w:space="0" w:color="auto"/>
            </w:tcBorders>
            <w:shd w:val="clear" w:color="auto" w:fill="auto"/>
          </w:tcPr>
          <w:p w14:paraId="578CA429" w14:textId="77777777" w:rsidR="004C2A46" w:rsidRDefault="004C2A46" w:rsidP="00161519">
            <w:pPr>
              <w:keepNext/>
              <w:spacing w:before="60" w:after="60"/>
              <w:ind w:right="46"/>
              <w:jc w:val="center"/>
              <w:rPr>
                <w:rFonts w:cs="Arial"/>
                <w:sz w:val="18"/>
                <w:szCs w:val="18"/>
              </w:rPr>
            </w:pPr>
          </w:p>
          <w:p w14:paraId="4982A0BF" w14:textId="77777777" w:rsidR="000B038A" w:rsidRPr="00DA6D02" w:rsidRDefault="000B038A" w:rsidP="00161519">
            <w:pPr>
              <w:keepNext/>
              <w:spacing w:before="60" w:after="60"/>
              <w:ind w:right="46"/>
              <w:jc w:val="center"/>
              <w:rPr>
                <w:rFonts w:cs="Arial"/>
                <w:sz w:val="18"/>
                <w:szCs w:val="18"/>
              </w:rPr>
            </w:pPr>
          </w:p>
        </w:tc>
      </w:tr>
      <w:tr w:rsidR="004C2A46" w:rsidRPr="002742BE" w14:paraId="57EE5F3A" w14:textId="77777777" w:rsidTr="00A3254E">
        <w:tc>
          <w:tcPr>
            <w:tcW w:w="2052" w:type="dxa"/>
            <w:tcBorders>
              <w:top w:val="single" w:sz="4" w:space="0" w:color="000000"/>
              <w:left w:val="single" w:sz="4" w:space="0" w:color="000000"/>
              <w:right w:val="single" w:sz="4" w:space="0" w:color="000000"/>
            </w:tcBorders>
            <w:shd w:val="clear" w:color="auto" w:fill="auto"/>
          </w:tcPr>
          <w:p w14:paraId="2761E80A" w14:textId="77777777" w:rsidR="004C2A46" w:rsidRPr="00DA6D02" w:rsidRDefault="004C2A46" w:rsidP="00161519">
            <w:pPr>
              <w:ind w:right="43"/>
              <w:rPr>
                <w:rFonts w:cs="Arial"/>
                <w:b/>
                <w:sz w:val="18"/>
                <w:szCs w:val="18"/>
              </w:rPr>
            </w:pPr>
            <w:r w:rsidRPr="00DA6D02">
              <w:rPr>
                <w:rFonts w:cs="Arial"/>
                <w:b/>
                <w:sz w:val="18"/>
                <w:szCs w:val="18"/>
              </w:rPr>
              <w:t xml:space="preserve">General disorders and administration site conditions </w:t>
            </w:r>
          </w:p>
        </w:tc>
        <w:tc>
          <w:tcPr>
            <w:tcW w:w="1620" w:type="dxa"/>
            <w:tcBorders>
              <w:top w:val="single" w:sz="4" w:space="0" w:color="000000"/>
              <w:left w:val="single" w:sz="4" w:space="0" w:color="000000"/>
              <w:right w:val="single" w:sz="4" w:space="0" w:color="000000"/>
            </w:tcBorders>
            <w:shd w:val="clear" w:color="auto" w:fill="auto"/>
          </w:tcPr>
          <w:p w14:paraId="720F8F30" w14:textId="77777777" w:rsidR="004C2A46" w:rsidRPr="00DA6D02" w:rsidRDefault="004C2A46" w:rsidP="00161519">
            <w:pPr>
              <w:keepNext/>
              <w:tabs>
                <w:tab w:val="left" w:pos="1844"/>
              </w:tabs>
              <w:spacing w:before="60" w:after="60"/>
              <w:ind w:right="46"/>
              <w:jc w:val="center"/>
              <w:rPr>
                <w:rFonts w:cs="Arial"/>
                <w:sz w:val="18"/>
                <w:szCs w:val="18"/>
              </w:rPr>
            </w:pPr>
          </w:p>
        </w:tc>
        <w:tc>
          <w:tcPr>
            <w:tcW w:w="1440" w:type="dxa"/>
            <w:tcBorders>
              <w:top w:val="single" w:sz="4" w:space="0" w:color="000000"/>
              <w:left w:val="single" w:sz="4" w:space="0" w:color="000000"/>
              <w:right w:val="single" w:sz="4" w:space="0" w:color="000000"/>
            </w:tcBorders>
            <w:shd w:val="clear" w:color="auto" w:fill="auto"/>
          </w:tcPr>
          <w:p w14:paraId="59F5102F"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top w:val="single" w:sz="4" w:space="0" w:color="000000"/>
              <w:left w:val="single" w:sz="4" w:space="0" w:color="000000"/>
              <w:right w:val="single" w:sz="4" w:space="0" w:color="000000"/>
            </w:tcBorders>
            <w:shd w:val="clear" w:color="auto" w:fill="auto"/>
          </w:tcPr>
          <w:p w14:paraId="297ABCB5" w14:textId="77777777" w:rsidR="004C2A46" w:rsidRPr="00DA6D02" w:rsidRDefault="004C2A46" w:rsidP="00161519">
            <w:pPr>
              <w:keepNext/>
              <w:spacing w:before="60" w:after="60"/>
              <w:ind w:right="46"/>
              <w:jc w:val="center"/>
              <w:rPr>
                <w:rFonts w:cs="Arial"/>
                <w:sz w:val="18"/>
                <w:szCs w:val="18"/>
              </w:rPr>
            </w:pPr>
          </w:p>
        </w:tc>
        <w:tc>
          <w:tcPr>
            <w:tcW w:w="1440" w:type="dxa"/>
            <w:tcBorders>
              <w:top w:val="single" w:sz="4" w:space="0" w:color="000000"/>
              <w:left w:val="single" w:sz="4" w:space="0" w:color="000000"/>
              <w:right w:val="single" w:sz="4" w:space="0" w:color="000000"/>
            </w:tcBorders>
            <w:shd w:val="clear" w:color="auto" w:fill="auto"/>
          </w:tcPr>
          <w:p w14:paraId="64A6393A" w14:textId="77777777" w:rsidR="004C2A46" w:rsidRPr="00DA6D02" w:rsidRDefault="004C2A46" w:rsidP="00161519">
            <w:pPr>
              <w:keepNext/>
              <w:spacing w:before="60" w:after="60"/>
              <w:ind w:right="46"/>
              <w:jc w:val="center"/>
              <w:rPr>
                <w:rFonts w:cs="Arial"/>
                <w:sz w:val="18"/>
                <w:szCs w:val="18"/>
              </w:rPr>
            </w:pPr>
          </w:p>
        </w:tc>
      </w:tr>
      <w:tr w:rsidR="004C2A46" w:rsidRPr="002742BE" w14:paraId="313FA6C4" w14:textId="77777777" w:rsidTr="00A3254E">
        <w:tc>
          <w:tcPr>
            <w:tcW w:w="2052" w:type="dxa"/>
            <w:tcBorders>
              <w:left w:val="single" w:sz="4" w:space="0" w:color="000000"/>
              <w:right w:val="single" w:sz="4" w:space="0" w:color="000000"/>
            </w:tcBorders>
            <w:shd w:val="clear" w:color="auto" w:fill="auto"/>
          </w:tcPr>
          <w:p w14:paraId="6EC82941" w14:textId="77777777" w:rsidR="004C2A46" w:rsidRPr="00DA6D02" w:rsidRDefault="004C2A46" w:rsidP="00161519">
            <w:pPr>
              <w:ind w:right="43"/>
              <w:jc w:val="both"/>
              <w:rPr>
                <w:rFonts w:cs="Arial"/>
                <w:sz w:val="18"/>
                <w:szCs w:val="18"/>
              </w:rPr>
            </w:pPr>
            <w:r w:rsidRPr="00DA6D02">
              <w:rPr>
                <w:rFonts w:cs="Arial"/>
                <w:sz w:val="18"/>
                <w:szCs w:val="18"/>
              </w:rPr>
              <w:t>Feeling unwell</w:t>
            </w:r>
          </w:p>
        </w:tc>
        <w:tc>
          <w:tcPr>
            <w:tcW w:w="1620" w:type="dxa"/>
            <w:tcBorders>
              <w:left w:val="single" w:sz="4" w:space="0" w:color="000000"/>
              <w:right w:val="single" w:sz="4" w:space="0" w:color="000000"/>
            </w:tcBorders>
            <w:shd w:val="clear" w:color="auto" w:fill="auto"/>
          </w:tcPr>
          <w:p w14:paraId="0FE3A61E"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92 (1.98%)</w:t>
            </w:r>
          </w:p>
        </w:tc>
        <w:tc>
          <w:tcPr>
            <w:tcW w:w="1440" w:type="dxa"/>
            <w:tcBorders>
              <w:left w:val="single" w:sz="4" w:space="0" w:color="000000"/>
              <w:right w:val="single" w:sz="4" w:space="0" w:color="000000"/>
            </w:tcBorders>
            <w:shd w:val="clear" w:color="auto" w:fill="auto"/>
          </w:tcPr>
          <w:p w14:paraId="2B6877FC"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000000"/>
              <w:right w:val="single" w:sz="4" w:space="0" w:color="000000"/>
            </w:tcBorders>
            <w:shd w:val="clear" w:color="auto" w:fill="auto"/>
          </w:tcPr>
          <w:p w14:paraId="61CFC308"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81 (1.73%)</w:t>
            </w:r>
          </w:p>
        </w:tc>
        <w:tc>
          <w:tcPr>
            <w:tcW w:w="1440" w:type="dxa"/>
            <w:tcBorders>
              <w:left w:val="single" w:sz="4" w:space="0" w:color="000000"/>
              <w:right w:val="single" w:sz="4" w:space="0" w:color="000000"/>
            </w:tcBorders>
            <w:shd w:val="clear" w:color="auto" w:fill="auto"/>
          </w:tcPr>
          <w:p w14:paraId="7A79E47E" w14:textId="77777777" w:rsidR="004C2A46" w:rsidRPr="00DA6D02" w:rsidRDefault="004C2A46" w:rsidP="00161519">
            <w:pPr>
              <w:keepNext/>
              <w:spacing w:before="60" w:after="60"/>
              <w:ind w:right="46"/>
              <w:jc w:val="center"/>
              <w:rPr>
                <w:rFonts w:cs="Arial"/>
                <w:sz w:val="18"/>
                <w:szCs w:val="18"/>
              </w:rPr>
            </w:pPr>
          </w:p>
        </w:tc>
      </w:tr>
      <w:tr w:rsidR="004C2A46" w:rsidRPr="002742BE" w14:paraId="6EED2EB5" w14:textId="77777777" w:rsidTr="00A3254E">
        <w:tc>
          <w:tcPr>
            <w:tcW w:w="2052" w:type="dxa"/>
            <w:tcBorders>
              <w:left w:val="single" w:sz="4" w:space="0" w:color="000000"/>
              <w:right w:val="single" w:sz="4" w:space="0" w:color="000000"/>
            </w:tcBorders>
            <w:shd w:val="clear" w:color="auto" w:fill="auto"/>
          </w:tcPr>
          <w:p w14:paraId="71ED83BE" w14:textId="77777777" w:rsidR="004C2A46" w:rsidRPr="00DA6D02" w:rsidRDefault="004C2A46" w:rsidP="00161519">
            <w:pPr>
              <w:ind w:right="43"/>
              <w:jc w:val="both"/>
              <w:rPr>
                <w:rFonts w:cs="Arial"/>
                <w:sz w:val="18"/>
                <w:szCs w:val="18"/>
              </w:rPr>
            </w:pPr>
            <w:r w:rsidRPr="00DA6D02">
              <w:rPr>
                <w:rFonts w:cs="Arial"/>
                <w:sz w:val="18"/>
                <w:szCs w:val="18"/>
              </w:rPr>
              <w:t>Fever</w:t>
            </w:r>
          </w:p>
        </w:tc>
        <w:tc>
          <w:tcPr>
            <w:tcW w:w="1620" w:type="dxa"/>
            <w:tcBorders>
              <w:left w:val="single" w:sz="4" w:space="0" w:color="000000"/>
              <w:right w:val="single" w:sz="4" w:space="0" w:color="000000"/>
            </w:tcBorders>
            <w:shd w:val="clear" w:color="auto" w:fill="auto"/>
          </w:tcPr>
          <w:p w14:paraId="3FE4085C"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430 (9.23%)</w:t>
            </w:r>
          </w:p>
        </w:tc>
        <w:tc>
          <w:tcPr>
            <w:tcW w:w="1440" w:type="dxa"/>
            <w:tcBorders>
              <w:left w:val="single" w:sz="4" w:space="0" w:color="000000"/>
              <w:right w:val="single" w:sz="4" w:space="0" w:color="000000"/>
            </w:tcBorders>
            <w:shd w:val="clear" w:color="auto" w:fill="auto"/>
          </w:tcPr>
          <w:p w14:paraId="2A218079"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000000"/>
              <w:right w:val="single" w:sz="4" w:space="0" w:color="000000"/>
            </w:tcBorders>
            <w:shd w:val="clear" w:color="auto" w:fill="auto"/>
          </w:tcPr>
          <w:p w14:paraId="624A6DA2"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444 (9.46%)</w:t>
            </w:r>
          </w:p>
        </w:tc>
        <w:tc>
          <w:tcPr>
            <w:tcW w:w="1440" w:type="dxa"/>
            <w:tcBorders>
              <w:left w:val="single" w:sz="4" w:space="0" w:color="000000"/>
              <w:right w:val="single" w:sz="4" w:space="0" w:color="000000"/>
            </w:tcBorders>
            <w:shd w:val="clear" w:color="auto" w:fill="auto"/>
          </w:tcPr>
          <w:p w14:paraId="5C5CCB39" w14:textId="77777777" w:rsidR="004C2A46" w:rsidRPr="00DA6D02" w:rsidRDefault="004C2A46" w:rsidP="00161519">
            <w:pPr>
              <w:keepNext/>
              <w:spacing w:before="60" w:after="60"/>
              <w:ind w:right="46"/>
              <w:jc w:val="center"/>
              <w:rPr>
                <w:rFonts w:cs="Arial"/>
                <w:sz w:val="18"/>
                <w:szCs w:val="18"/>
              </w:rPr>
            </w:pPr>
          </w:p>
        </w:tc>
      </w:tr>
      <w:tr w:rsidR="004C2A46" w:rsidRPr="002742BE" w14:paraId="3BDAC315" w14:textId="77777777" w:rsidTr="00A3254E">
        <w:tc>
          <w:tcPr>
            <w:tcW w:w="2052" w:type="dxa"/>
            <w:tcBorders>
              <w:left w:val="single" w:sz="4" w:space="0" w:color="000000"/>
              <w:right w:val="single" w:sz="4" w:space="0" w:color="000000"/>
            </w:tcBorders>
            <w:shd w:val="clear" w:color="auto" w:fill="auto"/>
          </w:tcPr>
          <w:p w14:paraId="1C25D044" w14:textId="77777777" w:rsidR="004C2A46" w:rsidRPr="00DA6D02" w:rsidRDefault="004C2A46" w:rsidP="00161519">
            <w:pPr>
              <w:tabs>
                <w:tab w:val="left" w:pos="567"/>
              </w:tabs>
              <w:spacing w:before="60" w:after="60"/>
              <w:ind w:right="46"/>
              <w:rPr>
                <w:rFonts w:cs="Arial"/>
                <w:sz w:val="18"/>
                <w:szCs w:val="18"/>
              </w:rPr>
            </w:pPr>
            <w:r w:rsidRPr="00DA6D02">
              <w:rPr>
                <w:rFonts w:cs="Arial"/>
                <w:sz w:val="18"/>
                <w:szCs w:val="18"/>
              </w:rPr>
              <w:t>Headache</w:t>
            </w:r>
          </w:p>
        </w:tc>
        <w:tc>
          <w:tcPr>
            <w:tcW w:w="1620" w:type="dxa"/>
            <w:tcBorders>
              <w:left w:val="single" w:sz="4" w:space="0" w:color="000000"/>
              <w:right w:val="single" w:sz="4" w:space="0" w:color="000000"/>
            </w:tcBorders>
            <w:shd w:val="clear" w:color="auto" w:fill="auto"/>
          </w:tcPr>
          <w:p w14:paraId="71B37394"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108 (2.32%)</w:t>
            </w:r>
          </w:p>
        </w:tc>
        <w:tc>
          <w:tcPr>
            <w:tcW w:w="1440" w:type="dxa"/>
            <w:tcBorders>
              <w:left w:val="single" w:sz="4" w:space="0" w:color="000000"/>
              <w:right w:val="single" w:sz="4" w:space="0" w:color="000000"/>
            </w:tcBorders>
            <w:shd w:val="clear" w:color="auto" w:fill="auto"/>
          </w:tcPr>
          <w:p w14:paraId="0C65DB6C"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000000"/>
              <w:right w:val="single" w:sz="4" w:space="0" w:color="000000"/>
            </w:tcBorders>
            <w:shd w:val="clear" w:color="auto" w:fill="auto"/>
          </w:tcPr>
          <w:p w14:paraId="3A9F6C04"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108 (2.30%)</w:t>
            </w:r>
          </w:p>
        </w:tc>
        <w:tc>
          <w:tcPr>
            <w:tcW w:w="1440" w:type="dxa"/>
            <w:tcBorders>
              <w:left w:val="single" w:sz="4" w:space="0" w:color="000000"/>
              <w:right w:val="single" w:sz="4" w:space="0" w:color="000000"/>
            </w:tcBorders>
            <w:shd w:val="clear" w:color="auto" w:fill="auto"/>
          </w:tcPr>
          <w:p w14:paraId="10FFAE9F" w14:textId="77777777" w:rsidR="004C2A46" w:rsidRPr="00DA6D02" w:rsidRDefault="004C2A46" w:rsidP="00161519">
            <w:pPr>
              <w:keepNext/>
              <w:spacing w:before="60" w:after="60"/>
              <w:ind w:right="46"/>
              <w:jc w:val="center"/>
              <w:rPr>
                <w:rFonts w:cs="Arial"/>
                <w:sz w:val="18"/>
                <w:szCs w:val="18"/>
              </w:rPr>
            </w:pPr>
          </w:p>
        </w:tc>
      </w:tr>
      <w:tr w:rsidR="004C2A46" w:rsidRPr="002742BE" w14:paraId="2AF49F41" w14:textId="77777777" w:rsidTr="00A3254E">
        <w:tc>
          <w:tcPr>
            <w:tcW w:w="2052" w:type="dxa"/>
            <w:tcBorders>
              <w:left w:val="single" w:sz="4" w:space="0" w:color="000000"/>
              <w:right w:val="single" w:sz="4" w:space="0" w:color="000000"/>
            </w:tcBorders>
            <w:shd w:val="clear" w:color="auto" w:fill="auto"/>
          </w:tcPr>
          <w:p w14:paraId="527AD4BE" w14:textId="77777777" w:rsidR="004C2A46" w:rsidRPr="00DA6D02" w:rsidRDefault="004C2A46" w:rsidP="00161519">
            <w:pPr>
              <w:tabs>
                <w:tab w:val="left" w:pos="567"/>
              </w:tabs>
              <w:spacing w:before="60" w:after="60"/>
              <w:ind w:right="46"/>
              <w:rPr>
                <w:rFonts w:cs="Arial"/>
                <w:sz w:val="18"/>
                <w:szCs w:val="18"/>
              </w:rPr>
            </w:pPr>
            <w:r w:rsidRPr="00DA6D02">
              <w:rPr>
                <w:rFonts w:cs="Arial"/>
                <w:sz w:val="18"/>
                <w:szCs w:val="18"/>
              </w:rPr>
              <w:t>Peripheral Oedema</w:t>
            </w:r>
          </w:p>
        </w:tc>
        <w:tc>
          <w:tcPr>
            <w:tcW w:w="1620" w:type="dxa"/>
            <w:tcBorders>
              <w:left w:val="single" w:sz="4" w:space="0" w:color="000000"/>
              <w:right w:val="single" w:sz="4" w:space="0" w:color="000000"/>
            </w:tcBorders>
            <w:shd w:val="clear" w:color="auto" w:fill="auto"/>
          </w:tcPr>
          <w:p w14:paraId="4D406E3D"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202 (4.34%)</w:t>
            </w:r>
          </w:p>
        </w:tc>
        <w:tc>
          <w:tcPr>
            <w:tcW w:w="1440" w:type="dxa"/>
            <w:tcBorders>
              <w:left w:val="single" w:sz="4" w:space="0" w:color="000000"/>
              <w:right w:val="single" w:sz="4" w:space="0" w:color="000000"/>
            </w:tcBorders>
            <w:shd w:val="clear" w:color="auto" w:fill="auto"/>
          </w:tcPr>
          <w:p w14:paraId="3BD2059C"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000000"/>
              <w:right w:val="single" w:sz="4" w:space="0" w:color="000000"/>
            </w:tcBorders>
            <w:shd w:val="clear" w:color="auto" w:fill="auto"/>
          </w:tcPr>
          <w:p w14:paraId="032DF749"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168 (3.58%)</w:t>
            </w:r>
          </w:p>
        </w:tc>
        <w:tc>
          <w:tcPr>
            <w:tcW w:w="1440" w:type="dxa"/>
            <w:tcBorders>
              <w:left w:val="single" w:sz="4" w:space="0" w:color="000000"/>
              <w:right w:val="single" w:sz="4" w:space="0" w:color="000000"/>
            </w:tcBorders>
            <w:shd w:val="clear" w:color="auto" w:fill="auto"/>
          </w:tcPr>
          <w:p w14:paraId="1574552F" w14:textId="77777777" w:rsidR="004C2A46" w:rsidRPr="00DA6D02" w:rsidRDefault="004C2A46" w:rsidP="00161519">
            <w:pPr>
              <w:keepNext/>
              <w:spacing w:before="60" w:after="60"/>
              <w:ind w:right="46"/>
              <w:jc w:val="center"/>
              <w:rPr>
                <w:rFonts w:cs="Arial"/>
                <w:sz w:val="18"/>
                <w:szCs w:val="18"/>
              </w:rPr>
            </w:pPr>
          </w:p>
        </w:tc>
      </w:tr>
      <w:tr w:rsidR="004C2A46" w:rsidRPr="002742BE" w14:paraId="266182B3" w14:textId="77777777" w:rsidTr="00A3254E">
        <w:tc>
          <w:tcPr>
            <w:tcW w:w="2052" w:type="dxa"/>
            <w:tcBorders>
              <w:left w:val="single" w:sz="4" w:space="0" w:color="000000"/>
              <w:bottom w:val="single" w:sz="4" w:space="0" w:color="000000"/>
              <w:right w:val="single" w:sz="4" w:space="0" w:color="000000"/>
            </w:tcBorders>
            <w:shd w:val="clear" w:color="auto" w:fill="auto"/>
          </w:tcPr>
          <w:p w14:paraId="058E4D6B" w14:textId="77777777" w:rsidR="004C2A46" w:rsidRPr="00DA6D02" w:rsidRDefault="004C2A46" w:rsidP="00161519">
            <w:pPr>
              <w:tabs>
                <w:tab w:val="left" w:pos="567"/>
              </w:tabs>
              <w:spacing w:before="60" w:after="60"/>
              <w:ind w:right="46"/>
              <w:rPr>
                <w:rFonts w:cs="Arial"/>
                <w:sz w:val="18"/>
                <w:szCs w:val="18"/>
              </w:rPr>
            </w:pPr>
            <w:r w:rsidRPr="00DA6D02">
              <w:rPr>
                <w:rFonts w:cs="Arial"/>
                <w:sz w:val="18"/>
                <w:szCs w:val="18"/>
              </w:rPr>
              <w:t>Unspecific pain</w:t>
            </w:r>
          </w:p>
        </w:tc>
        <w:tc>
          <w:tcPr>
            <w:tcW w:w="1620" w:type="dxa"/>
            <w:tcBorders>
              <w:left w:val="single" w:sz="4" w:space="0" w:color="000000"/>
              <w:bottom w:val="single" w:sz="4" w:space="0" w:color="000000"/>
              <w:right w:val="single" w:sz="4" w:space="0" w:color="000000"/>
            </w:tcBorders>
            <w:shd w:val="clear" w:color="auto" w:fill="auto"/>
          </w:tcPr>
          <w:p w14:paraId="3F3CBC51"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285 (6.12%)</w:t>
            </w:r>
          </w:p>
        </w:tc>
        <w:tc>
          <w:tcPr>
            <w:tcW w:w="1440" w:type="dxa"/>
            <w:tcBorders>
              <w:left w:val="single" w:sz="4" w:space="0" w:color="000000"/>
              <w:bottom w:val="single" w:sz="4" w:space="0" w:color="000000"/>
              <w:right w:val="single" w:sz="4" w:space="0" w:color="000000"/>
            </w:tcBorders>
            <w:shd w:val="clear" w:color="auto" w:fill="auto"/>
          </w:tcPr>
          <w:p w14:paraId="18113CFB"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000000"/>
              <w:bottom w:val="single" w:sz="4" w:space="0" w:color="000000"/>
              <w:right w:val="single" w:sz="4" w:space="0" w:color="000000"/>
            </w:tcBorders>
            <w:shd w:val="clear" w:color="auto" w:fill="auto"/>
          </w:tcPr>
          <w:p w14:paraId="685D1C95"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295 (6.29%)</w:t>
            </w:r>
          </w:p>
        </w:tc>
        <w:tc>
          <w:tcPr>
            <w:tcW w:w="1440" w:type="dxa"/>
            <w:tcBorders>
              <w:left w:val="single" w:sz="4" w:space="0" w:color="000000"/>
              <w:bottom w:val="single" w:sz="4" w:space="0" w:color="000000"/>
              <w:right w:val="single" w:sz="4" w:space="0" w:color="000000"/>
            </w:tcBorders>
            <w:shd w:val="clear" w:color="auto" w:fill="auto"/>
          </w:tcPr>
          <w:p w14:paraId="571E7132" w14:textId="77777777" w:rsidR="004C2A46" w:rsidRDefault="004C2A46" w:rsidP="00161519">
            <w:pPr>
              <w:keepNext/>
              <w:spacing w:before="60" w:after="60"/>
              <w:ind w:right="46"/>
              <w:jc w:val="center"/>
              <w:rPr>
                <w:rFonts w:cs="Arial"/>
                <w:sz w:val="18"/>
                <w:szCs w:val="18"/>
              </w:rPr>
            </w:pPr>
          </w:p>
          <w:p w14:paraId="45E968AD" w14:textId="77777777" w:rsidR="000B038A" w:rsidRPr="00DA6D02" w:rsidRDefault="000B038A" w:rsidP="00161519">
            <w:pPr>
              <w:keepNext/>
              <w:spacing w:before="60" w:after="60"/>
              <w:ind w:right="46"/>
              <w:jc w:val="center"/>
              <w:rPr>
                <w:rFonts w:cs="Arial"/>
                <w:sz w:val="18"/>
                <w:szCs w:val="18"/>
              </w:rPr>
            </w:pPr>
          </w:p>
        </w:tc>
      </w:tr>
      <w:tr w:rsidR="004C2A46" w:rsidRPr="002742BE" w14:paraId="23C0DEB9" w14:textId="77777777" w:rsidTr="00A3254E">
        <w:tc>
          <w:tcPr>
            <w:tcW w:w="2052" w:type="dxa"/>
            <w:tcBorders>
              <w:top w:val="single" w:sz="4" w:space="0" w:color="000000"/>
              <w:left w:val="single" w:sz="4" w:space="0" w:color="auto"/>
              <w:right w:val="single" w:sz="4" w:space="0" w:color="auto"/>
            </w:tcBorders>
            <w:shd w:val="clear" w:color="auto" w:fill="auto"/>
          </w:tcPr>
          <w:p w14:paraId="05DFDC4E" w14:textId="77777777" w:rsidR="004C2A46" w:rsidRPr="00DA6D02" w:rsidRDefault="004C2A46" w:rsidP="00161519">
            <w:pPr>
              <w:ind w:right="43"/>
              <w:rPr>
                <w:rFonts w:cs="Arial"/>
                <w:caps/>
                <w:noProof/>
                <w:sz w:val="18"/>
                <w:szCs w:val="18"/>
              </w:rPr>
            </w:pPr>
            <w:r w:rsidRPr="00DA6D02">
              <w:rPr>
                <w:rFonts w:cs="Arial"/>
                <w:b/>
                <w:sz w:val="18"/>
                <w:szCs w:val="18"/>
              </w:rPr>
              <w:t>Infections and infestations</w:t>
            </w:r>
          </w:p>
        </w:tc>
        <w:tc>
          <w:tcPr>
            <w:tcW w:w="1620" w:type="dxa"/>
            <w:tcBorders>
              <w:top w:val="single" w:sz="4" w:space="0" w:color="000000"/>
              <w:left w:val="single" w:sz="4" w:space="0" w:color="auto"/>
              <w:right w:val="single" w:sz="4" w:space="0" w:color="auto"/>
            </w:tcBorders>
            <w:shd w:val="clear" w:color="auto" w:fill="auto"/>
          </w:tcPr>
          <w:p w14:paraId="7813568D" w14:textId="77777777" w:rsidR="004C2A46" w:rsidRPr="00DA6D02" w:rsidRDefault="004C2A46" w:rsidP="00161519">
            <w:pPr>
              <w:tabs>
                <w:tab w:val="left" w:pos="567"/>
              </w:tabs>
              <w:spacing w:before="60" w:after="60"/>
              <w:ind w:right="46"/>
              <w:jc w:val="center"/>
              <w:rPr>
                <w:rFonts w:cs="Arial"/>
                <w:sz w:val="18"/>
                <w:szCs w:val="18"/>
              </w:rPr>
            </w:pPr>
          </w:p>
        </w:tc>
        <w:tc>
          <w:tcPr>
            <w:tcW w:w="1440" w:type="dxa"/>
            <w:tcBorders>
              <w:top w:val="single" w:sz="4" w:space="0" w:color="000000"/>
              <w:left w:val="single" w:sz="4" w:space="0" w:color="auto"/>
              <w:right w:val="single" w:sz="4" w:space="0" w:color="auto"/>
            </w:tcBorders>
            <w:shd w:val="clear" w:color="auto" w:fill="auto"/>
          </w:tcPr>
          <w:p w14:paraId="18EC6499" w14:textId="77777777" w:rsidR="004C2A46" w:rsidRPr="00DA6D02" w:rsidRDefault="004C2A46" w:rsidP="00161519">
            <w:pPr>
              <w:keepNext/>
              <w:tabs>
                <w:tab w:val="left" w:pos="567"/>
                <w:tab w:val="left" w:pos="1844"/>
              </w:tabs>
              <w:spacing w:before="60" w:after="60"/>
              <w:ind w:right="46"/>
              <w:jc w:val="center"/>
              <w:rPr>
                <w:rFonts w:cs="Arial"/>
                <w:sz w:val="18"/>
                <w:szCs w:val="18"/>
              </w:rPr>
            </w:pPr>
          </w:p>
        </w:tc>
        <w:tc>
          <w:tcPr>
            <w:tcW w:w="1620" w:type="dxa"/>
            <w:tcBorders>
              <w:top w:val="single" w:sz="4" w:space="0" w:color="000000"/>
              <w:left w:val="single" w:sz="4" w:space="0" w:color="auto"/>
              <w:right w:val="single" w:sz="4" w:space="0" w:color="auto"/>
            </w:tcBorders>
            <w:shd w:val="clear" w:color="auto" w:fill="auto"/>
          </w:tcPr>
          <w:p w14:paraId="3FDC0159" w14:textId="77777777" w:rsidR="004C2A46" w:rsidRPr="00DA6D02" w:rsidRDefault="004C2A46" w:rsidP="00161519">
            <w:pPr>
              <w:tabs>
                <w:tab w:val="left" w:pos="567"/>
              </w:tabs>
              <w:spacing w:before="60" w:after="60"/>
              <w:ind w:right="46"/>
              <w:jc w:val="center"/>
              <w:rPr>
                <w:rFonts w:cs="Arial"/>
                <w:sz w:val="18"/>
                <w:szCs w:val="18"/>
              </w:rPr>
            </w:pPr>
          </w:p>
        </w:tc>
        <w:tc>
          <w:tcPr>
            <w:tcW w:w="1440" w:type="dxa"/>
            <w:tcBorders>
              <w:top w:val="single" w:sz="4" w:space="0" w:color="000000"/>
              <w:left w:val="single" w:sz="4" w:space="0" w:color="auto"/>
              <w:right w:val="single" w:sz="4" w:space="0" w:color="auto"/>
            </w:tcBorders>
            <w:shd w:val="clear" w:color="auto" w:fill="auto"/>
          </w:tcPr>
          <w:p w14:paraId="762C7CE9" w14:textId="77777777" w:rsidR="004C2A46" w:rsidRPr="00DA6D02" w:rsidRDefault="004C2A46" w:rsidP="00161519">
            <w:pPr>
              <w:keepNext/>
              <w:tabs>
                <w:tab w:val="left" w:pos="567"/>
              </w:tabs>
              <w:spacing w:before="60" w:after="60"/>
              <w:ind w:right="46"/>
              <w:jc w:val="center"/>
              <w:rPr>
                <w:rFonts w:cs="Arial"/>
                <w:sz w:val="18"/>
                <w:szCs w:val="18"/>
              </w:rPr>
            </w:pPr>
          </w:p>
        </w:tc>
      </w:tr>
      <w:tr w:rsidR="004C2A46" w:rsidRPr="002742BE" w14:paraId="4652E1A5" w14:textId="77777777" w:rsidTr="00A3254E">
        <w:tc>
          <w:tcPr>
            <w:tcW w:w="2052" w:type="dxa"/>
            <w:tcBorders>
              <w:left w:val="single" w:sz="4" w:space="0" w:color="auto"/>
              <w:bottom w:val="single" w:sz="4" w:space="0" w:color="000000"/>
              <w:right w:val="single" w:sz="4" w:space="0" w:color="auto"/>
            </w:tcBorders>
            <w:shd w:val="clear" w:color="auto" w:fill="auto"/>
          </w:tcPr>
          <w:p w14:paraId="392D1E39" w14:textId="77777777" w:rsidR="004C2A46" w:rsidRPr="00DA6D02" w:rsidRDefault="004C2A46" w:rsidP="00161519">
            <w:pPr>
              <w:tabs>
                <w:tab w:val="left" w:pos="567"/>
              </w:tabs>
              <w:spacing w:before="60" w:after="60"/>
              <w:ind w:right="46"/>
              <w:rPr>
                <w:rFonts w:cs="Arial"/>
                <w:sz w:val="18"/>
                <w:szCs w:val="18"/>
              </w:rPr>
            </w:pPr>
            <w:r w:rsidRPr="00DA6D02">
              <w:rPr>
                <w:rFonts w:cs="Arial"/>
                <w:sz w:val="18"/>
                <w:szCs w:val="18"/>
              </w:rPr>
              <w:t>Urinary tract infection</w:t>
            </w:r>
          </w:p>
        </w:tc>
        <w:tc>
          <w:tcPr>
            <w:tcW w:w="1620" w:type="dxa"/>
            <w:tcBorders>
              <w:left w:val="single" w:sz="4" w:space="0" w:color="auto"/>
              <w:bottom w:val="single" w:sz="4" w:space="0" w:color="000000"/>
              <w:right w:val="single" w:sz="4" w:space="0" w:color="auto"/>
            </w:tcBorders>
            <w:shd w:val="clear" w:color="auto" w:fill="auto"/>
          </w:tcPr>
          <w:p w14:paraId="12ED4155"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82 (1.76%)</w:t>
            </w:r>
          </w:p>
        </w:tc>
        <w:tc>
          <w:tcPr>
            <w:tcW w:w="1440" w:type="dxa"/>
            <w:tcBorders>
              <w:left w:val="single" w:sz="4" w:space="0" w:color="auto"/>
              <w:bottom w:val="single" w:sz="4" w:space="0" w:color="000000"/>
              <w:right w:val="single" w:sz="4" w:space="0" w:color="auto"/>
            </w:tcBorders>
            <w:shd w:val="clear" w:color="auto" w:fill="auto"/>
          </w:tcPr>
          <w:p w14:paraId="32F01E70" w14:textId="77777777" w:rsidR="004C2A46" w:rsidRPr="00DA6D02" w:rsidRDefault="004C2A46" w:rsidP="00161519">
            <w:pPr>
              <w:keepNext/>
              <w:tabs>
                <w:tab w:val="left" w:pos="567"/>
                <w:tab w:val="left" w:pos="1844"/>
              </w:tabs>
              <w:spacing w:before="60" w:after="60"/>
              <w:ind w:right="46"/>
              <w:jc w:val="center"/>
              <w:rPr>
                <w:rFonts w:cs="Arial"/>
                <w:sz w:val="18"/>
                <w:szCs w:val="18"/>
              </w:rPr>
            </w:pPr>
          </w:p>
        </w:tc>
        <w:tc>
          <w:tcPr>
            <w:tcW w:w="1620" w:type="dxa"/>
            <w:tcBorders>
              <w:left w:val="single" w:sz="4" w:space="0" w:color="auto"/>
              <w:bottom w:val="single" w:sz="4" w:space="0" w:color="000000"/>
              <w:right w:val="single" w:sz="4" w:space="0" w:color="auto"/>
            </w:tcBorders>
            <w:shd w:val="clear" w:color="auto" w:fill="auto"/>
          </w:tcPr>
          <w:p w14:paraId="40CC903F" w14:textId="77777777" w:rsidR="004C2A46" w:rsidRPr="00DA6D02" w:rsidRDefault="004C2A46" w:rsidP="00161519">
            <w:pPr>
              <w:tabs>
                <w:tab w:val="left" w:pos="567"/>
              </w:tabs>
              <w:spacing w:before="60" w:after="60"/>
              <w:ind w:right="46"/>
              <w:jc w:val="center"/>
              <w:rPr>
                <w:rFonts w:cs="Arial"/>
                <w:sz w:val="18"/>
                <w:szCs w:val="18"/>
              </w:rPr>
            </w:pPr>
            <w:r w:rsidRPr="00DA6D02">
              <w:rPr>
                <w:rFonts w:cs="Arial"/>
                <w:sz w:val="18"/>
                <w:szCs w:val="18"/>
              </w:rPr>
              <w:t>90 (1.92%)</w:t>
            </w:r>
          </w:p>
        </w:tc>
        <w:tc>
          <w:tcPr>
            <w:tcW w:w="1440" w:type="dxa"/>
            <w:tcBorders>
              <w:left w:val="single" w:sz="4" w:space="0" w:color="auto"/>
              <w:bottom w:val="single" w:sz="4" w:space="0" w:color="000000"/>
              <w:right w:val="single" w:sz="4" w:space="0" w:color="auto"/>
            </w:tcBorders>
            <w:shd w:val="clear" w:color="auto" w:fill="auto"/>
          </w:tcPr>
          <w:p w14:paraId="02C68766" w14:textId="77777777" w:rsidR="004C2A46" w:rsidRDefault="004C2A46" w:rsidP="00161519">
            <w:pPr>
              <w:keepNext/>
              <w:tabs>
                <w:tab w:val="left" w:pos="567"/>
              </w:tabs>
              <w:spacing w:before="60" w:after="60"/>
              <w:ind w:right="46"/>
              <w:jc w:val="center"/>
              <w:rPr>
                <w:rFonts w:cs="Arial"/>
                <w:sz w:val="18"/>
                <w:szCs w:val="18"/>
              </w:rPr>
            </w:pPr>
          </w:p>
          <w:p w14:paraId="1545049C" w14:textId="77777777" w:rsidR="000B038A" w:rsidRDefault="000B038A" w:rsidP="00161519">
            <w:pPr>
              <w:keepNext/>
              <w:tabs>
                <w:tab w:val="left" w:pos="567"/>
              </w:tabs>
              <w:spacing w:before="60" w:after="60"/>
              <w:ind w:right="46"/>
              <w:jc w:val="center"/>
              <w:rPr>
                <w:rFonts w:cs="Arial"/>
                <w:sz w:val="18"/>
                <w:szCs w:val="18"/>
              </w:rPr>
            </w:pPr>
          </w:p>
          <w:p w14:paraId="13CEA321" w14:textId="77777777" w:rsidR="000B038A" w:rsidRDefault="000B038A" w:rsidP="00161519">
            <w:pPr>
              <w:keepNext/>
              <w:tabs>
                <w:tab w:val="left" w:pos="567"/>
              </w:tabs>
              <w:spacing w:before="60" w:after="60"/>
              <w:ind w:right="46"/>
              <w:jc w:val="center"/>
              <w:rPr>
                <w:rFonts w:cs="Arial"/>
                <w:sz w:val="18"/>
                <w:szCs w:val="18"/>
              </w:rPr>
            </w:pPr>
          </w:p>
          <w:p w14:paraId="7954D3EB" w14:textId="77777777" w:rsidR="000B038A" w:rsidRPr="00DA6D02" w:rsidRDefault="000B038A" w:rsidP="00161519">
            <w:pPr>
              <w:keepNext/>
              <w:tabs>
                <w:tab w:val="left" w:pos="567"/>
              </w:tabs>
              <w:spacing w:before="60" w:after="60"/>
              <w:ind w:right="46"/>
              <w:jc w:val="center"/>
              <w:rPr>
                <w:rFonts w:cs="Arial"/>
                <w:sz w:val="18"/>
                <w:szCs w:val="18"/>
              </w:rPr>
            </w:pPr>
          </w:p>
        </w:tc>
      </w:tr>
      <w:tr w:rsidR="004C2A46" w:rsidRPr="002742BE" w14:paraId="18B02D0D" w14:textId="77777777" w:rsidTr="00A3254E">
        <w:tc>
          <w:tcPr>
            <w:tcW w:w="2052" w:type="dxa"/>
            <w:tcBorders>
              <w:top w:val="single" w:sz="4" w:space="0" w:color="000000"/>
              <w:left w:val="single" w:sz="4" w:space="0" w:color="000000"/>
              <w:right w:val="single" w:sz="4" w:space="0" w:color="000000"/>
            </w:tcBorders>
            <w:shd w:val="clear" w:color="auto" w:fill="auto"/>
          </w:tcPr>
          <w:p w14:paraId="74A759C5" w14:textId="77777777" w:rsidR="004C2A46" w:rsidRPr="00DA6D02" w:rsidRDefault="004C2A46" w:rsidP="00161519">
            <w:pPr>
              <w:ind w:right="43"/>
              <w:rPr>
                <w:rFonts w:cs="Arial"/>
                <w:b/>
                <w:sz w:val="18"/>
                <w:szCs w:val="18"/>
              </w:rPr>
            </w:pPr>
            <w:r w:rsidRPr="00DA6D02">
              <w:rPr>
                <w:rFonts w:cs="Arial"/>
                <w:b/>
                <w:sz w:val="18"/>
                <w:szCs w:val="18"/>
              </w:rPr>
              <w:lastRenderedPageBreak/>
              <w:t xml:space="preserve">Injury, Poisoning and </w:t>
            </w:r>
          </w:p>
          <w:p w14:paraId="532BCACF" w14:textId="77777777" w:rsidR="004C2A46" w:rsidRPr="00DA6D02" w:rsidRDefault="004C2A46" w:rsidP="00161519">
            <w:pPr>
              <w:ind w:right="43"/>
              <w:rPr>
                <w:rFonts w:cs="Arial"/>
                <w:b/>
                <w:sz w:val="18"/>
                <w:szCs w:val="18"/>
              </w:rPr>
            </w:pPr>
            <w:r w:rsidRPr="00DA6D02">
              <w:rPr>
                <w:rFonts w:cs="Arial"/>
                <w:b/>
                <w:sz w:val="18"/>
                <w:szCs w:val="18"/>
              </w:rPr>
              <w:t>Procedural Complications</w:t>
            </w:r>
          </w:p>
        </w:tc>
        <w:tc>
          <w:tcPr>
            <w:tcW w:w="1620" w:type="dxa"/>
            <w:tcBorders>
              <w:top w:val="single" w:sz="4" w:space="0" w:color="000000"/>
              <w:left w:val="single" w:sz="4" w:space="0" w:color="000000"/>
              <w:right w:val="single" w:sz="4" w:space="0" w:color="000000"/>
            </w:tcBorders>
            <w:shd w:val="clear" w:color="auto" w:fill="auto"/>
          </w:tcPr>
          <w:p w14:paraId="521044EF"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000000"/>
              <w:left w:val="single" w:sz="4" w:space="0" w:color="000000"/>
              <w:right w:val="single" w:sz="4" w:space="0" w:color="000000"/>
            </w:tcBorders>
            <w:shd w:val="clear" w:color="auto" w:fill="auto"/>
          </w:tcPr>
          <w:p w14:paraId="55316794"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top w:val="single" w:sz="4" w:space="0" w:color="000000"/>
              <w:left w:val="single" w:sz="4" w:space="0" w:color="000000"/>
              <w:right w:val="single" w:sz="4" w:space="0" w:color="000000"/>
            </w:tcBorders>
            <w:shd w:val="clear" w:color="auto" w:fill="auto"/>
          </w:tcPr>
          <w:p w14:paraId="635F820A"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000000"/>
              <w:left w:val="single" w:sz="4" w:space="0" w:color="000000"/>
              <w:right w:val="single" w:sz="4" w:space="0" w:color="000000"/>
            </w:tcBorders>
            <w:shd w:val="clear" w:color="auto" w:fill="auto"/>
          </w:tcPr>
          <w:p w14:paraId="620C9B56"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2D6B6A21" w14:textId="77777777" w:rsidTr="00A3254E">
        <w:tc>
          <w:tcPr>
            <w:tcW w:w="2052" w:type="dxa"/>
            <w:tcBorders>
              <w:left w:val="single" w:sz="4" w:space="0" w:color="000000"/>
              <w:right w:val="single" w:sz="4" w:space="0" w:color="000000"/>
            </w:tcBorders>
            <w:shd w:val="clear" w:color="auto" w:fill="auto"/>
          </w:tcPr>
          <w:p w14:paraId="39BD1A66"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Arthralgia</w:t>
            </w:r>
          </w:p>
        </w:tc>
        <w:tc>
          <w:tcPr>
            <w:tcW w:w="1620" w:type="dxa"/>
            <w:tcBorders>
              <w:left w:val="single" w:sz="4" w:space="0" w:color="000000"/>
              <w:right w:val="single" w:sz="4" w:space="0" w:color="000000"/>
            </w:tcBorders>
            <w:shd w:val="clear" w:color="auto" w:fill="auto"/>
          </w:tcPr>
          <w:p w14:paraId="26AA8A41"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65 (1.40%)</w:t>
            </w:r>
          </w:p>
        </w:tc>
        <w:tc>
          <w:tcPr>
            <w:tcW w:w="1440" w:type="dxa"/>
            <w:tcBorders>
              <w:left w:val="single" w:sz="4" w:space="0" w:color="000000"/>
              <w:right w:val="single" w:sz="4" w:space="0" w:color="000000"/>
            </w:tcBorders>
            <w:shd w:val="clear" w:color="auto" w:fill="auto"/>
          </w:tcPr>
          <w:p w14:paraId="7786B939"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000000"/>
              <w:right w:val="single" w:sz="4" w:space="0" w:color="000000"/>
            </w:tcBorders>
            <w:shd w:val="clear" w:color="auto" w:fill="auto"/>
          </w:tcPr>
          <w:p w14:paraId="067CC934"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81 (1.73%)</w:t>
            </w:r>
          </w:p>
        </w:tc>
        <w:tc>
          <w:tcPr>
            <w:tcW w:w="1440" w:type="dxa"/>
            <w:tcBorders>
              <w:left w:val="single" w:sz="4" w:space="0" w:color="000000"/>
              <w:right w:val="single" w:sz="4" w:space="0" w:color="000000"/>
            </w:tcBorders>
            <w:shd w:val="clear" w:color="auto" w:fill="auto"/>
          </w:tcPr>
          <w:p w14:paraId="7C3F8F5A"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5C488FB3" w14:textId="77777777" w:rsidTr="00A3254E">
        <w:tc>
          <w:tcPr>
            <w:tcW w:w="2052" w:type="dxa"/>
            <w:tcBorders>
              <w:left w:val="single" w:sz="4" w:space="0" w:color="000000"/>
              <w:right w:val="single" w:sz="4" w:space="0" w:color="000000"/>
            </w:tcBorders>
            <w:shd w:val="clear" w:color="auto" w:fill="auto"/>
          </w:tcPr>
          <w:p w14:paraId="0CD34657"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Post procedural haemorrhage (incl. postoperative anaemia and wound haemorrhage)</w:t>
            </w:r>
          </w:p>
        </w:tc>
        <w:tc>
          <w:tcPr>
            <w:tcW w:w="1620" w:type="dxa"/>
            <w:tcBorders>
              <w:left w:val="single" w:sz="4" w:space="0" w:color="000000"/>
              <w:right w:val="single" w:sz="4" w:space="0" w:color="000000"/>
            </w:tcBorders>
            <w:shd w:val="clear" w:color="auto" w:fill="auto"/>
          </w:tcPr>
          <w:p w14:paraId="203E1C9F"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292 (6.27%)</w:t>
            </w:r>
          </w:p>
        </w:tc>
        <w:tc>
          <w:tcPr>
            <w:tcW w:w="1440" w:type="dxa"/>
            <w:tcBorders>
              <w:left w:val="single" w:sz="4" w:space="0" w:color="000000"/>
              <w:right w:val="single" w:sz="4" w:space="0" w:color="000000"/>
            </w:tcBorders>
            <w:shd w:val="clear" w:color="auto" w:fill="auto"/>
          </w:tcPr>
          <w:p w14:paraId="09DCCF44"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r w:rsidRPr="00DA6D02">
              <w:rPr>
                <w:rFonts w:cs="Arial"/>
                <w:sz w:val="18"/>
                <w:szCs w:val="18"/>
              </w:rPr>
              <w:t>123 (2.64%)</w:t>
            </w:r>
          </w:p>
        </w:tc>
        <w:tc>
          <w:tcPr>
            <w:tcW w:w="1620" w:type="dxa"/>
            <w:tcBorders>
              <w:left w:val="single" w:sz="4" w:space="0" w:color="000000"/>
              <w:right w:val="single" w:sz="4" w:space="0" w:color="000000"/>
            </w:tcBorders>
            <w:shd w:val="clear" w:color="auto" w:fill="auto"/>
          </w:tcPr>
          <w:p w14:paraId="77080C76"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279 (5.95%)</w:t>
            </w:r>
          </w:p>
        </w:tc>
        <w:tc>
          <w:tcPr>
            <w:tcW w:w="1440" w:type="dxa"/>
            <w:tcBorders>
              <w:left w:val="single" w:sz="4" w:space="0" w:color="000000"/>
              <w:right w:val="single" w:sz="4" w:space="0" w:color="000000"/>
            </w:tcBorders>
            <w:shd w:val="clear" w:color="auto" w:fill="auto"/>
          </w:tcPr>
          <w:p w14:paraId="0AD303E1" w14:textId="77777777" w:rsidR="004C2A46" w:rsidRPr="00DA6D02" w:rsidRDefault="004C2A46" w:rsidP="00161519">
            <w:pPr>
              <w:keepNext/>
              <w:tabs>
                <w:tab w:val="left" w:pos="567"/>
              </w:tabs>
              <w:spacing w:before="60" w:after="60" w:line="260" w:lineRule="exact"/>
              <w:ind w:right="46"/>
              <w:jc w:val="center"/>
              <w:rPr>
                <w:rFonts w:cs="Arial"/>
                <w:sz w:val="18"/>
                <w:szCs w:val="18"/>
              </w:rPr>
            </w:pPr>
            <w:r w:rsidRPr="00DA6D02">
              <w:rPr>
                <w:rFonts w:cs="Arial"/>
                <w:sz w:val="18"/>
                <w:szCs w:val="18"/>
              </w:rPr>
              <w:t>109 (2.32%)</w:t>
            </w:r>
          </w:p>
        </w:tc>
      </w:tr>
      <w:tr w:rsidR="004C2A46" w:rsidRPr="002742BE" w14:paraId="1DDEA26D" w14:textId="77777777" w:rsidTr="00A3254E">
        <w:tc>
          <w:tcPr>
            <w:tcW w:w="2052" w:type="dxa"/>
            <w:tcBorders>
              <w:left w:val="single" w:sz="4" w:space="0" w:color="000000"/>
              <w:bottom w:val="single" w:sz="4" w:space="0" w:color="000000"/>
              <w:right w:val="single" w:sz="4" w:space="0" w:color="000000"/>
            </w:tcBorders>
            <w:shd w:val="clear" w:color="auto" w:fill="auto"/>
          </w:tcPr>
          <w:p w14:paraId="66BDB25F"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Wound healing complications</w:t>
            </w:r>
          </w:p>
        </w:tc>
        <w:tc>
          <w:tcPr>
            <w:tcW w:w="1620" w:type="dxa"/>
            <w:tcBorders>
              <w:left w:val="single" w:sz="4" w:space="0" w:color="000000"/>
              <w:bottom w:val="single" w:sz="4" w:space="0" w:color="000000"/>
              <w:right w:val="single" w:sz="4" w:space="0" w:color="000000"/>
            </w:tcBorders>
            <w:shd w:val="clear" w:color="auto" w:fill="auto"/>
          </w:tcPr>
          <w:p w14:paraId="1670D961"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199 (4.27%)</w:t>
            </w:r>
          </w:p>
        </w:tc>
        <w:tc>
          <w:tcPr>
            <w:tcW w:w="1440" w:type="dxa"/>
            <w:tcBorders>
              <w:left w:val="single" w:sz="4" w:space="0" w:color="000000"/>
              <w:bottom w:val="single" w:sz="4" w:space="0" w:color="000000"/>
              <w:right w:val="single" w:sz="4" w:space="0" w:color="000000"/>
            </w:tcBorders>
            <w:shd w:val="clear" w:color="auto" w:fill="auto"/>
          </w:tcPr>
          <w:p w14:paraId="0250232D"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left w:val="single" w:sz="4" w:space="0" w:color="000000"/>
              <w:bottom w:val="single" w:sz="4" w:space="0" w:color="000000"/>
              <w:right w:val="single" w:sz="4" w:space="0" w:color="000000"/>
            </w:tcBorders>
            <w:shd w:val="clear" w:color="auto" w:fill="auto"/>
          </w:tcPr>
          <w:p w14:paraId="57622D05" w14:textId="77777777" w:rsidR="004C2A46" w:rsidRPr="00DA6D02" w:rsidRDefault="004C2A46" w:rsidP="00161519">
            <w:pPr>
              <w:keepNext/>
              <w:spacing w:before="60" w:after="60"/>
              <w:ind w:right="46"/>
              <w:jc w:val="center"/>
              <w:rPr>
                <w:rFonts w:cs="Arial"/>
                <w:sz w:val="18"/>
                <w:szCs w:val="18"/>
              </w:rPr>
            </w:pPr>
            <w:r w:rsidRPr="00DA6D02">
              <w:rPr>
                <w:rFonts w:cs="Arial"/>
                <w:sz w:val="18"/>
                <w:szCs w:val="18"/>
              </w:rPr>
              <w:t>161 (3.43%)</w:t>
            </w:r>
          </w:p>
        </w:tc>
        <w:tc>
          <w:tcPr>
            <w:tcW w:w="1440" w:type="dxa"/>
            <w:tcBorders>
              <w:left w:val="single" w:sz="4" w:space="0" w:color="000000"/>
              <w:bottom w:val="single" w:sz="4" w:space="0" w:color="000000"/>
              <w:right w:val="single" w:sz="4" w:space="0" w:color="000000"/>
            </w:tcBorders>
            <w:shd w:val="clear" w:color="auto" w:fill="auto"/>
          </w:tcPr>
          <w:p w14:paraId="6C65F115" w14:textId="77777777" w:rsidR="004C2A46" w:rsidRPr="00DA6D02" w:rsidRDefault="004C2A46" w:rsidP="00161519">
            <w:pPr>
              <w:keepNext/>
              <w:spacing w:before="60" w:after="60"/>
              <w:ind w:right="46"/>
              <w:jc w:val="center"/>
              <w:rPr>
                <w:rFonts w:cs="Arial"/>
                <w:sz w:val="18"/>
                <w:szCs w:val="18"/>
              </w:rPr>
            </w:pPr>
          </w:p>
        </w:tc>
      </w:tr>
      <w:tr w:rsidR="004C2A46" w:rsidRPr="002742BE" w14:paraId="266D2A25" w14:textId="77777777" w:rsidTr="00A3254E">
        <w:tc>
          <w:tcPr>
            <w:tcW w:w="2052" w:type="dxa"/>
            <w:tcBorders>
              <w:top w:val="single" w:sz="4" w:space="0" w:color="000000"/>
              <w:left w:val="single" w:sz="4" w:space="0" w:color="auto"/>
              <w:right w:val="single" w:sz="4" w:space="0" w:color="auto"/>
            </w:tcBorders>
            <w:shd w:val="clear" w:color="auto" w:fill="auto"/>
          </w:tcPr>
          <w:p w14:paraId="0109E361" w14:textId="77777777" w:rsidR="004C2A46" w:rsidRPr="00DA6D02" w:rsidRDefault="004C2A46" w:rsidP="00161519">
            <w:pPr>
              <w:ind w:right="43"/>
              <w:rPr>
                <w:rFonts w:cs="Arial"/>
                <w:b/>
                <w:sz w:val="18"/>
                <w:szCs w:val="18"/>
              </w:rPr>
            </w:pPr>
            <w:r w:rsidRPr="00DA6D02">
              <w:rPr>
                <w:rFonts w:cs="Arial"/>
                <w:b/>
                <w:sz w:val="18"/>
                <w:szCs w:val="18"/>
              </w:rPr>
              <w:t>Investigations</w:t>
            </w:r>
          </w:p>
        </w:tc>
        <w:tc>
          <w:tcPr>
            <w:tcW w:w="1620" w:type="dxa"/>
            <w:tcBorders>
              <w:top w:val="single" w:sz="4" w:space="0" w:color="000000"/>
              <w:left w:val="single" w:sz="4" w:space="0" w:color="auto"/>
              <w:right w:val="single" w:sz="4" w:space="0" w:color="auto"/>
            </w:tcBorders>
            <w:shd w:val="clear" w:color="auto" w:fill="auto"/>
          </w:tcPr>
          <w:p w14:paraId="7364A10E" w14:textId="77777777" w:rsidR="004C2A46" w:rsidRPr="00DA6D02" w:rsidRDefault="004C2A46" w:rsidP="00161519">
            <w:pPr>
              <w:keepNext/>
              <w:tabs>
                <w:tab w:val="left" w:pos="1844"/>
              </w:tabs>
              <w:spacing w:before="60" w:after="60"/>
              <w:ind w:right="46"/>
              <w:jc w:val="center"/>
              <w:rPr>
                <w:rFonts w:cs="Arial"/>
                <w:sz w:val="18"/>
                <w:szCs w:val="18"/>
              </w:rPr>
            </w:pPr>
          </w:p>
        </w:tc>
        <w:tc>
          <w:tcPr>
            <w:tcW w:w="1440" w:type="dxa"/>
            <w:tcBorders>
              <w:top w:val="single" w:sz="4" w:space="0" w:color="000000"/>
              <w:left w:val="single" w:sz="4" w:space="0" w:color="auto"/>
              <w:right w:val="single" w:sz="4" w:space="0" w:color="auto"/>
            </w:tcBorders>
            <w:shd w:val="clear" w:color="auto" w:fill="auto"/>
          </w:tcPr>
          <w:p w14:paraId="7683855A" w14:textId="77777777" w:rsidR="004C2A46" w:rsidRPr="00DA6D02" w:rsidRDefault="004C2A46" w:rsidP="00161519">
            <w:pPr>
              <w:keepNext/>
              <w:tabs>
                <w:tab w:val="left" w:pos="1844"/>
              </w:tabs>
              <w:spacing w:before="60" w:after="60"/>
              <w:ind w:right="46"/>
              <w:jc w:val="center"/>
              <w:rPr>
                <w:rFonts w:cs="Arial"/>
                <w:sz w:val="18"/>
                <w:szCs w:val="18"/>
              </w:rPr>
            </w:pPr>
          </w:p>
        </w:tc>
        <w:tc>
          <w:tcPr>
            <w:tcW w:w="1620" w:type="dxa"/>
            <w:tcBorders>
              <w:top w:val="single" w:sz="4" w:space="0" w:color="000000"/>
              <w:left w:val="single" w:sz="4" w:space="0" w:color="auto"/>
              <w:right w:val="single" w:sz="4" w:space="0" w:color="auto"/>
            </w:tcBorders>
            <w:shd w:val="clear" w:color="auto" w:fill="auto"/>
          </w:tcPr>
          <w:p w14:paraId="2E9FCF66" w14:textId="77777777" w:rsidR="004C2A46" w:rsidRPr="00DA6D02" w:rsidRDefault="004C2A46" w:rsidP="00161519">
            <w:pPr>
              <w:keepNext/>
              <w:spacing w:before="60" w:after="60"/>
              <w:ind w:right="46"/>
              <w:jc w:val="center"/>
              <w:rPr>
                <w:rFonts w:cs="Arial"/>
                <w:sz w:val="18"/>
                <w:szCs w:val="18"/>
              </w:rPr>
            </w:pPr>
          </w:p>
        </w:tc>
        <w:tc>
          <w:tcPr>
            <w:tcW w:w="1440" w:type="dxa"/>
            <w:tcBorders>
              <w:top w:val="single" w:sz="4" w:space="0" w:color="000000"/>
              <w:left w:val="single" w:sz="4" w:space="0" w:color="auto"/>
              <w:right w:val="single" w:sz="4" w:space="0" w:color="auto"/>
            </w:tcBorders>
            <w:shd w:val="clear" w:color="auto" w:fill="auto"/>
          </w:tcPr>
          <w:p w14:paraId="43E43FB7" w14:textId="77777777" w:rsidR="004C2A46" w:rsidRPr="00DA6D02" w:rsidRDefault="004C2A46" w:rsidP="00161519">
            <w:pPr>
              <w:keepNext/>
              <w:spacing w:before="60" w:after="60"/>
              <w:ind w:right="46"/>
              <w:jc w:val="center"/>
              <w:rPr>
                <w:rFonts w:cs="Arial"/>
                <w:sz w:val="18"/>
                <w:szCs w:val="18"/>
              </w:rPr>
            </w:pPr>
          </w:p>
        </w:tc>
      </w:tr>
      <w:tr w:rsidR="004C2A46" w:rsidRPr="002742BE" w14:paraId="378CF2F4" w14:textId="77777777" w:rsidTr="00A3254E">
        <w:tc>
          <w:tcPr>
            <w:tcW w:w="2052" w:type="dxa"/>
            <w:tcBorders>
              <w:left w:val="single" w:sz="4" w:space="0" w:color="auto"/>
              <w:right w:val="single" w:sz="4" w:space="0" w:color="auto"/>
            </w:tcBorders>
            <w:shd w:val="clear" w:color="auto" w:fill="auto"/>
          </w:tcPr>
          <w:p w14:paraId="44F69F0A"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Increase in blood alkaline phosphatase</w:t>
            </w:r>
          </w:p>
        </w:tc>
        <w:tc>
          <w:tcPr>
            <w:tcW w:w="1620" w:type="dxa"/>
            <w:tcBorders>
              <w:left w:val="single" w:sz="4" w:space="0" w:color="auto"/>
              <w:right w:val="single" w:sz="4" w:space="0" w:color="auto"/>
            </w:tcBorders>
            <w:shd w:val="clear" w:color="auto" w:fill="auto"/>
          </w:tcPr>
          <w:p w14:paraId="4440150E"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r w:rsidRPr="00DA6D02">
              <w:rPr>
                <w:rFonts w:cs="Arial"/>
                <w:sz w:val="18"/>
                <w:szCs w:val="18"/>
              </w:rPr>
              <w:t>38 (0.82%)</w:t>
            </w:r>
          </w:p>
        </w:tc>
        <w:tc>
          <w:tcPr>
            <w:tcW w:w="1440" w:type="dxa"/>
            <w:tcBorders>
              <w:left w:val="single" w:sz="4" w:space="0" w:color="auto"/>
              <w:right w:val="single" w:sz="4" w:space="0" w:color="auto"/>
            </w:tcBorders>
            <w:shd w:val="clear" w:color="auto" w:fill="auto"/>
          </w:tcPr>
          <w:p w14:paraId="69748C6E"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373C49B4" w14:textId="77777777" w:rsidR="004C2A46" w:rsidRPr="00DA6D02" w:rsidRDefault="004C2A46" w:rsidP="00161519">
            <w:pPr>
              <w:keepNext/>
              <w:tabs>
                <w:tab w:val="left" w:pos="567"/>
              </w:tabs>
              <w:spacing w:before="60" w:after="60" w:line="260" w:lineRule="exact"/>
              <w:ind w:right="46"/>
              <w:jc w:val="center"/>
              <w:rPr>
                <w:rFonts w:cs="Arial"/>
                <w:sz w:val="18"/>
                <w:szCs w:val="18"/>
              </w:rPr>
            </w:pPr>
            <w:r w:rsidRPr="00DA6D02">
              <w:rPr>
                <w:rFonts w:cs="Arial"/>
                <w:sz w:val="18"/>
                <w:szCs w:val="18"/>
              </w:rPr>
              <w:t>57 (1.21%)</w:t>
            </w:r>
          </w:p>
        </w:tc>
        <w:tc>
          <w:tcPr>
            <w:tcW w:w="1440" w:type="dxa"/>
            <w:tcBorders>
              <w:left w:val="single" w:sz="4" w:space="0" w:color="auto"/>
              <w:right w:val="single" w:sz="4" w:space="0" w:color="auto"/>
            </w:tcBorders>
            <w:shd w:val="clear" w:color="auto" w:fill="auto"/>
          </w:tcPr>
          <w:p w14:paraId="1EE44DE4"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73F267DB" w14:textId="77777777" w:rsidTr="00A3254E">
        <w:tc>
          <w:tcPr>
            <w:tcW w:w="2052" w:type="dxa"/>
            <w:tcBorders>
              <w:left w:val="single" w:sz="4" w:space="0" w:color="auto"/>
              <w:right w:val="single" w:sz="4" w:space="0" w:color="auto"/>
            </w:tcBorders>
            <w:shd w:val="clear" w:color="auto" w:fill="auto"/>
          </w:tcPr>
          <w:p w14:paraId="35514D4A"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Increase in transaminases (incl. ALT increase, AST increase)</w:t>
            </w:r>
          </w:p>
        </w:tc>
        <w:tc>
          <w:tcPr>
            <w:tcW w:w="1620" w:type="dxa"/>
            <w:tcBorders>
              <w:left w:val="single" w:sz="4" w:space="0" w:color="auto"/>
              <w:right w:val="single" w:sz="4" w:space="0" w:color="auto"/>
            </w:tcBorders>
            <w:shd w:val="clear" w:color="auto" w:fill="auto"/>
          </w:tcPr>
          <w:p w14:paraId="0B0ED0C6"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150 (3.22%)</w:t>
            </w:r>
          </w:p>
        </w:tc>
        <w:tc>
          <w:tcPr>
            <w:tcW w:w="1440" w:type="dxa"/>
            <w:tcBorders>
              <w:left w:val="single" w:sz="4" w:space="0" w:color="auto"/>
              <w:right w:val="single" w:sz="4" w:space="0" w:color="auto"/>
            </w:tcBorders>
            <w:shd w:val="clear" w:color="auto" w:fill="auto"/>
          </w:tcPr>
          <w:p w14:paraId="526BFAF2"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r w:rsidRPr="00DA6D02">
              <w:rPr>
                <w:rFonts w:cs="Arial"/>
                <w:sz w:val="18"/>
                <w:szCs w:val="18"/>
              </w:rPr>
              <w:t>102 (2.19%)</w:t>
            </w:r>
          </w:p>
        </w:tc>
        <w:tc>
          <w:tcPr>
            <w:tcW w:w="1620" w:type="dxa"/>
            <w:tcBorders>
              <w:left w:val="single" w:sz="4" w:space="0" w:color="auto"/>
              <w:right w:val="single" w:sz="4" w:space="0" w:color="auto"/>
            </w:tcBorders>
            <w:shd w:val="clear" w:color="auto" w:fill="auto"/>
          </w:tcPr>
          <w:p w14:paraId="1386E68A"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208 (4.43%)</w:t>
            </w:r>
          </w:p>
        </w:tc>
        <w:tc>
          <w:tcPr>
            <w:tcW w:w="1440" w:type="dxa"/>
            <w:tcBorders>
              <w:left w:val="single" w:sz="4" w:space="0" w:color="auto"/>
              <w:right w:val="single" w:sz="4" w:space="0" w:color="auto"/>
            </w:tcBorders>
            <w:shd w:val="clear" w:color="auto" w:fill="auto"/>
          </w:tcPr>
          <w:p w14:paraId="394700B1" w14:textId="77777777" w:rsidR="004C2A46" w:rsidRPr="00DA6D02" w:rsidRDefault="004C2A46" w:rsidP="00161519">
            <w:pPr>
              <w:keepNext/>
              <w:tabs>
                <w:tab w:val="left" w:pos="567"/>
              </w:tabs>
              <w:spacing w:before="60" w:after="60" w:line="260" w:lineRule="exact"/>
              <w:ind w:right="46"/>
              <w:jc w:val="center"/>
              <w:rPr>
                <w:rFonts w:cs="Arial"/>
                <w:sz w:val="18"/>
                <w:szCs w:val="18"/>
              </w:rPr>
            </w:pPr>
            <w:r w:rsidRPr="00DA6D02">
              <w:rPr>
                <w:rFonts w:cs="Arial"/>
                <w:sz w:val="18"/>
                <w:szCs w:val="18"/>
              </w:rPr>
              <w:t>137 (2.92%)</w:t>
            </w:r>
          </w:p>
        </w:tc>
      </w:tr>
      <w:tr w:rsidR="004C2A46" w:rsidRPr="002742BE" w14:paraId="1B49D30B" w14:textId="77777777" w:rsidTr="00A3254E">
        <w:tc>
          <w:tcPr>
            <w:tcW w:w="2052" w:type="dxa"/>
            <w:tcBorders>
              <w:left w:val="single" w:sz="4" w:space="0" w:color="auto"/>
              <w:right w:val="single" w:sz="4" w:space="0" w:color="auto"/>
            </w:tcBorders>
            <w:shd w:val="clear" w:color="auto" w:fill="auto"/>
          </w:tcPr>
          <w:p w14:paraId="3587296E"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Increased gamma-glutamyltransferase</w:t>
            </w:r>
          </w:p>
        </w:tc>
        <w:tc>
          <w:tcPr>
            <w:tcW w:w="1620" w:type="dxa"/>
            <w:tcBorders>
              <w:left w:val="single" w:sz="4" w:space="0" w:color="auto"/>
              <w:right w:val="single" w:sz="4" w:space="0" w:color="auto"/>
            </w:tcBorders>
            <w:shd w:val="clear" w:color="auto" w:fill="auto"/>
          </w:tcPr>
          <w:p w14:paraId="1D4D37F5"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84 (1.80%)</w:t>
            </w:r>
          </w:p>
        </w:tc>
        <w:tc>
          <w:tcPr>
            <w:tcW w:w="1440" w:type="dxa"/>
            <w:tcBorders>
              <w:left w:val="single" w:sz="4" w:space="0" w:color="auto"/>
              <w:right w:val="single" w:sz="4" w:space="0" w:color="auto"/>
            </w:tcBorders>
            <w:shd w:val="clear" w:color="auto" w:fill="auto"/>
          </w:tcPr>
          <w:p w14:paraId="3668610F"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r w:rsidRPr="00DA6D02">
              <w:rPr>
                <w:rFonts w:cs="Arial"/>
                <w:sz w:val="18"/>
                <w:szCs w:val="18"/>
              </w:rPr>
              <w:t>56 (1.20%)</w:t>
            </w:r>
          </w:p>
        </w:tc>
        <w:tc>
          <w:tcPr>
            <w:tcW w:w="1620" w:type="dxa"/>
            <w:tcBorders>
              <w:left w:val="single" w:sz="4" w:space="0" w:color="auto"/>
              <w:right w:val="single" w:sz="4" w:space="0" w:color="auto"/>
            </w:tcBorders>
            <w:shd w:val="clear" w:color="auto" w:fill="auto"/>
          </w:tcPr>
          <w:p w14:paraId="5D6058FC"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126 (2.69%)</w:t>
            </w:r>
          </w:p>
        </w:tc>
        <w:tc>
          <w:tcPr>
            <w:tcW w:w="1440" w:type="dxa"/>
            <w:tcBorders>
              <w:left w:val="single" w:sz="4" w:space="0" w:color="auto"/>
              <w:right w:val="single" w:sz="4" w:space="0" w:color="auto"/>
            </w:tcBorders>
            <w:shd w:val="clear" w:color="auto" w:fill="auto"/>
          </w:tcPr>
          <w:p w14:paraId="5442A1E6" w14:textId="77777777" w:rsidR="004C2A46" w:rsidRPr="00DA6D02" w:rsidRDefault="004C2A46" w:rsidP="00161519">
            <w:pPr>
              <w:keepNext/>
              <w:tabs>
                <w:tab w:val="left" w:pos="567"/>
              </w:tabs>
              <w:spacing w:before="60" w:after="60" w:line="260" w:lineRule="exact"/>
              <w:ind w:right="46"/>
              <w:jc w:val="center"/>
              <w:rPr>
                <w:rFonts w:cs="Arial"/>
                <w:sz w:val="18"/>
                <w:szCs w:val="18"/>
              </w:rPr>
            </w:pPr>
            <w:r w:rsidRPr="00DA6D02">
              <w:rPr>
                <w:rFonts w:cs="Arial"/>
                <w:sz w:val="18"/>
                <w:szCs w:val="18"/>
              </w:rPr>
              <w:t>73 (1.56%)</w:t>
            </w:r>
          </w:p>
        </w:tc>
      </w:tr>
      <w:tr w:rsidR="004C2A46" w:rsidRPr="002742BE" w14:paraId="44CC83C7" w14:textId="77777777" w:rsidTr="00A3254E">
        <w:tc>
          <w:tcPr>
            <w:tcW w:w="2052" w:type="dxa"/>
            <w:tcBorders>
              <w:left w:val="single" w:sz="4" w:space="0" w:color="auto"/>
              <w:bottom w:val="single" w:sz="4" w:space="0" w:color="auto"/>
              <w:right w:val="single" w:sz="4" w:space="0" w:color="auto"/>
            </w:tcBorders>
            <w:shd w:val="clear" w:color="auto" w:fill="auto"/>
          </w:tcPr>
          <w:p w14:paraId="7A320258"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Increased lactate dehydrogenase</w:t>
            </w:r>
          </w:p>
        </w:tc>
        <w:tc>
          <w:tcPr>
            <w:tcW w:w="1620" w:type="dxa"/>
            <w:tcBorders>
              <w:left w:val="single" w:sz="4" w:space="0" w:color="auto"/>
              <w:bottom w:val="single" w:sz="4" w:space="0" w:color="auto"/>
              <w:right w:val="single" w:sz="4" w:space="0" w:color="auto"/>
            </w:tcBorders>
            <w:shd w:val="clear" w:color="auto" w:fill="auto"/>
          </w:tcPr>
          <w:p w14:paraId="6B90D065"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45 (0.97%)</w:t>
            </w:r>
          </w:p>
        </w:tc>
        <w:tc>
          <w:tcPr>
            <w:tcW w:w="1440" w:type="dxa"/>
            <w:tcBorders>
              <w:left w:val="single" w:sz="4" w:space="0" w:color="auto"/>
              <w:bottom w:val="single" w:sz="4" w:space="0" w:color="auto"/>
              <w:right w:val="single" w:sz="4" w:space="0" w:color="auto"/>
            </w:tcBorders>
            <w:shd w:val="clear" w:color="auto" w:fill="auto"/>
          </w:tcPr>
          <w:p w14:paraId="2D979838"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2BB77AFB"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56 (1.19%)</w:t>
            </w:r>
          </w:p>
        </w:tc>
        <w:tc>
          <w:tcPr>
            <w:tcW w:w="1440" w:type="dxa"/>
            <w:tcBorders>
              <w:left w:val="single" w:sz="4" w:space="0" w:color="auto"/>
              <w:bottom w:val="single" w:sz="4" w:space="0" w:color="auto"/>
              <w:right w:val="single" w:sz="4" w:space="0" w:color="auto"/>
            </w:tcBorders>
            <w:shd w:val="clear" w:color="auto" w:fill="auto"/>
          </w:tcPr>
          <w:p w14:paraId="38F5B278"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1A0642FE" w14:textId="77777777" w:rsidTr="00A3254E">
        <w:tc>
          <w:tcPr>
            <w:tcW w:w="2052" w:type="dxa"/>
            <w:tcBorders>
              <w:top w:val="single" w:sz="4" w:space="0" w:color="auto"/>
              <w:left w:val="single" w:sz="4" w:space="0" w:color="auto"/>
              <w:right w:val="single" w:sz="4" w:space="0" w:color="auto"/>
            </w:tcBorders>
            <w:shd w:val="clear" w:color="auto" w:fill="auto"/>
          </w:tcPr>
          <w:p w14:paraId="74E84F7E" w14:textId="77777777" w:rsidR="004C2A46" w:rsidRPr="00DA6D02" w:rsidRDefault="004C2A46" w:rsidP="00161519">
            <w:pPr>
              <w:ind w:right="43"/>
              <w:rPr>
                <w:rFonts w:cs="Arial"/>
                <w:b/>
                <w:sz w:val="18"/>
                <w:szCs w:val="18"/>
              </w:rPr>
            </w:pPr>
            <w:r w:rsidRPr="00DA6D02">
              <w:rPr>
                <w:rFonts w:cs="Arial"/>
                <w:b/>
                <w:sz w:val="18"/>
                <w:szCs w:val="18"/>
              </w:rPr>
              <w:t>Musculoskeletal and connective tissue disorders</w:t>
            </w:r>
          </w:p>
        </w:tc>
        <w:tc>
          <w:tcPr>
            <w:tcW w:w="1620" w:type="dxa"/>
            <w:tcBorders>
              <w:top w:val="single" w:sz="4" w:space="0" w:color="auto"/>
              <w:left w:val="single" w:sz="4" w:space="0" w:color="auto"/>
              <w:right w:val="single" w:sz="4" w:space="0" w:color="auto"/>
            </w:tcBorders>
            <w:shd w:val="clear" w:color="auto" w:fill="auto"/>
          </w:tcPr>
          <w:p w14:paraId="0F3E8BB0"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6D819C9A"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2061AC98"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5E270561"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6C43BD02" w14:textId="77777777" w:rsidTr="00A3254E">
        <w:tc>
          <w:tcPr>
            <w:tcW w:w="2052" w:type="dxa"/>
            <w:tcBorders>
              <w:left w:val="single" w:sz="4" w:space="0" w:color="auto"/>
              <w:bottom w:val="single" w:sz="4" w:space="0" w:color="auto"/>
              <w:right w:val="single" w:sz="4" w:space="0" w:color="auto"/>
            </w:tcBorders>
            <w:shd w:val="clear" w:color="auto" w:fill="auto"/>
          </w:tcPr>
          <w:p w14:paraId="7D44BB33"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Increased muscle tone and cramping</w:t>
            </w:r>
          </w:p>
        </w:tc>
        <w:tc>
          <w:tcPr>
            <w:tcW w:w="1620" w:type="dxa"/>
            <w:tcBorders>
              <w:left w:val="single" w:sz="4" w:space="0" w:color="auto"/>
              <w:bottom w:val="single" w:sz="4" w:space="0" w:color="auto"/>
              <w:right w:val="single" w:sz="4" w:space="0" w:color="auto"/>
            </w:tcBorders>
            <w:shd w:val="clear" w:color="auto" w:fill="auto"/>
          </w:tcPr>
          <w:p w14:paraId="50CE84D1"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62 (1.33%)</w:t>
            </w:r>
          </w:p>
        </w:tc>
        <w:tc>
          <w:tcPr>
            <w:tcW w:w="1440" w:type="dxa"/>
            <w:tcBorders>
              <w:left w:val="single" w:sz="4" w:space="0" w:color="auto"/>
              <w:bottom w:val="single" w:sz="4" w:space="0" w:color="auto"/>
              <w:right w:val="single" w:sz="4" w:space="0" w:color="auto"/>
            </w:tcBorders>
            <w:shd w:val="clear" w:color="auto" w:fill="auto"/>
          </w:tcPr>
          <w:p w14:paraId="1DCA3858"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71E04974"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39 (0.83%)</w:t>
            </w:r>
          </w:p>
        </w:tc>
        <w:tc>
          <w:tcPr>
            <w:tcW w:w="1440" w:type="dxa"/>
            <w:tcBorders>
              <w:left w:val="single" w:sz="4" w:space="0" w:color="auto"/>
              <w:bottom w:val="single" w:sz="4" w:space="0" w:color="auto"/>
              <w:right w:val="single" w:sz="4" w:space="0" w:color="auto"/>
            </w:tcBorders>
            <w:shd w:val="clear" w:color="auto" w:fill="auto"/>
          </w:tcPr>
          <w:p w14:paraId="446EDDE7"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6F5DAD8F" w14:textId="77777777" w:rsidTr="00A3254E">
        <w:tc>
          <w:tcPr>
            <w:tcW w:w="2052" w:type="dxa"/>
            <w:tcBorders>
              <w:top w:val="single" w:sz="4" w:space="0" w:color="auto"/>
              <w:left w:val="single" w:sz="4" w:space="0" w:color="auto"/>
              <w:right w:val="single" w:sz="4" w:space="0" w:color="auto"/>
            </w:tcBorders>
            <w:shd w:val="clear" w:color="auto" w:fill="auto"/>
          </w:tcPr>
          <w:p w14:paraId="7DB6EA9C" w14:textId="77777777" w:rsidR="004C2A46" w:rsidRPr="00DA6D02" w:rsidRDefault="004C2A46" w:rsidP="00161519">
            <w:pPr>
              <w:ind w:right="43"/>
              <w:rPr>
                <w:rFonts w:cs="Arial"/>
                <w:b/>
                <w:sz w:val="18"/>
                <w:szCs w:val="18"/>
              </w:rPr>
            </w:pPr>
            <w:r w:rsidRPr="00DA6D02">
              <w:rPr>
                <w:rFonts w:cs="Arial"/>
                <w:b/>
                <w:sz w:val="18"/>
                <w:szCs w:val="18"/>
              </w:rPr>
              <w:t>Nervous system disorders</w:t>
            </w:r>
          </w:p>
        </w:tc>
        <w:tc>
          <w:tcPr>
            <w:tcW w:w="1620" w:type="dxa"/>
            <w:tcBorders>
              <w:top w:val="single" w:sz="4" w:space="0" w:color="auto"/>
              <w:left w:val="single" w:sz="4" w:space="0" w:color="auto"/>
              <w:right w:val="single" w:sz="4" w:space="0" w:color="auto"/>
            </w:tcBorders>
            <w:shd w:val="clear" w:color="auto" w:fill="auto"/>
          </w:tcPr>
          <w:p w14:paraId="6D5370A9"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3515E554"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240B8A94"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69D0190B"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1C1E7452" w14:textId="77777777" w:rsidTr="00A3254E">
        <w:tc>
          <w:tcPr>
            <w:tcW w:w="2052" w:type="dxa"/>
            <w:tcBorders>
              <w:left w:val="single" w:sz="4" w:space="0" w:color="auto"/>
              <w:right w:val="single" w:sz="4" w:space="0" w:color="auto"/>
            </w:tcBorders>
            <w:shd w:val="clear" w:color="auto" w:fill="auto"/>
          </w:tcPr>
          <w:p w14:paraId="77D83CBC"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Dizziness</w:t>
            </w:r>
          </w:p>
        </w:tc>
        <w:tc>
          <w:tcPr>
            <w:tcW w:w="1620" w:type="dxa"/>
            <w:tcBorders>
              <w:left w:val="single" w:sz="4" w:space="0" w:color="auto"/>
              <w:right w:val="single" w:sz="4" w:space="0" w:color="auto"/>
            </w:tcBorders>
            <w:shd w:val="clear" w:color="auto" w:fill="auto"/>
          </w:tcPr>
          <w:p w14:paraId="3D9EE6D1"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156 (3.35%)</w:t>
            </w:r>
          </w:p>
        </w:tc>
        <w:tc>
          <w:tcPr>
            <w:tcW w:w="1440" w:type="dxa"/>
            <w:tcBorders>
              <w:left w:val="single" w:sz="4" w:space="0" w:color="auto"/>
              <w:right w:val="single" w:sz="4" w:space="0" w:color="auto"/>
            </w:tcBorders>
            <w:shd w:val="clear" w:color="auto" w:fill="auto"/>
          </w:tcPr>
          <w:p w14:paraId="1409B6C5"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53B56B0C"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144 (3.07%)</w:t>
            </w:r>
          </w:p>
        </w:tc>
        <w:tc>
          <w:tcPr>
            <w:tcW w:w="1440" w:type="dxa"/>
            <w:tcBorders>
              <w:left w:val="single" w:sz="4" w:space="0" w:color="auto"/>
              <w:right w:val="single" w:sz="4" w:space="0" w:color="auto"/>
            </w:tcBorders>
            <w:shd w:val="clear" w:color="auto" w:fill="auto"/>
          </w:tcPr>
          <w:p w14:paraId="71D89023"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153E765E" w14:textId="77777777" w:rsidTr="00A3254E">
        <w:tc>
          <w:tcPr>
            <w:tcW w:w="2052" w:type="dxa"/>
            <w:tcBorders>
              <w:left w:val="single" w:sz="4" w:space="0" w:color="auto"/>
              <w:right w:val="single" w:sz="4" w:space="0" w:color="auto"/>
            </w:tcBorders>
            <w:shd w:val="clear" w:color="auto" w:fill="auto"/>
          </w:tcPr>
          <w:p w14:paraId="57612CF4"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Sleep disorders</w:t>
            </w:r>
          </w:p>
        </w:tc>
        <w:tc>
          <w:tcPr>
            <w:tcW w:w="1620" w:type="dxa"/>
            <w:tcBorders>
              <w:left w:val="single" w:sz="4" w:space="0" w:color="auto"/>
              <w:right w:val="single" w:sz="4" w:space="0" w:color="auto"/>
            </w:tcBorders>
            <w:shd w:val="clear" w:color="auto" w:fill="auto"/>
          </w:tcPr>
          <w:p w14:paraId="46066B33"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191 (4.10%)</w:t>
            </w:r>
          </w:p>
        </w:tc>
        <w:tc>
          <w:tcPr>
            <w:tcW w:w="1440" w:type="dxa"/>
            <w:tcBorders>
              <w:left w:val="single" w:sz="4" w:space="0" w:color="auto"/>
              <w:right w:val="single" w:sz="4" w:space="0" w:color="auto"/>
            </w:tcBorders>
            <w:shd w:val="clear" w:color="auto" w:fill="auto"/>
          </w:tcPr>
          <w:p w14:paraId="7F4B6634"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0A9CE190"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196 (4.18%)</w:t>
            </w:r>
          </w:p>
        </w:tc>
        <w:tc>
          <w:tcPr>
            <w:tcW w:w="1440" w:type="dxa"/>
            <w:tcBorders>
              <w:left w:val="single" w:sz="4" w:space="0" w:color="auto"/>
              <w:right w:val="single" w:sz="4" w:space="0" w:color="auto"/>
            </w:tcBorders>
            <w:shd w:val="clear" w:color="auto" w:fill="auto"/>
          </w:tcPr>
          <w:p w14:paraId="3F8610C7"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143ABB6B" w14:textId="77777777" w:rsidTr="00A3254E">
        <w:tc>
          <w:tcPr>
            <w:tcW w:w="2052" w:type="dxa"/>
            <w:tcBorders>
              <w:left w:val="single" w:sz="4" w:space="0" w:color="auto"/>
              <w:bottom w:val="single" w:sz="4" w:space="0" w:color="auto"/>
              <w:right w:val="single" w:sz="4" w:space="0" w:color="auto"/>
            </w:tcBorders>
            <w:shd w:val="clear" w:color="auto" w:fill="auto"/>
          </w:tcPr>
          <w:p w14:paraId="184F9FFC"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Syncope</w:t>
            </w:r>
          </w:p>
        </w:tc>
        <w:tc>
          <w:tcPr>
            <w:tcW w:w="1620" w:type="dxa"/>
            <w:tcBorders>
              <w:left w:val="single" w:sz="4" w:space="0" w:color="auto"/>
              <w:bottom w:val="single" w:sz="4" w:space="0" w:color="auto"/>
              <w:right w:val="single" w:sz="4" w:space="0" w:color="auto"/>
            </w:tcBorders>
            <w:shd w:val="clear" w:color="auto" w:fill="auto"/>
          </w:tcPr>
          <w:p w14:paraId="41B943FD"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60 (1.29%)</w:t>
            </w:r>
          </w:p>
        </w:tc>
        <w:tc>
          <w:tcPr>
            <w:tcW w:w="1440" w:type="dxa"/>
            <w:tcBorders>
              <w:left w:val="single" w:sz="4" w:space="0" w:color="auto"/>
              <w:bottom w:val="single" w:sz="4" w:space="0" w:color="auto"/>
              <w:right w:val="single" w:sz="4" w:space="0" w:color="auto"/>
            </w:tcBorders>
            <w:shd w:val="clear" w:color="auto" w:fill="auto"/>
          </w:tcPr>
          <w:p w14:paraId="7B7218A6"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63288D0B"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33 (0.70%)</w:t>
            </w:r>
          </w:p>
        </w:tc>
        <w:tc>
          <w:tcPr>
            <w:tcW w:w="1440" w:type="dxa"/>
            <w:tcBorders>
              <w:left w:val="single" w:sz="4" w:space="0" w:color="auto"/>
              <w:bottom w:val="single" w:sz="4" w:space="0" w:color="auto"/>
              <w:right w:val="single" w:sz="4" w:space="0" w:color="auto"/>
            </w:tcBorders>
            <w:shd w:val="clear" w:color="auto" w:fill="auto"/>
          </w:tcPr>
          <w:p w14:paraId="25B7B8D6"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4355AAB9" w14:textId="77777777" w:rsidTr="00A3254E">
        <w:tc>
          <w:tcPr>
            <w:tcW w:w="2052" w:type="dxa"/>
            <w:tcBorders>
              <w:top w:val="single" w:sz="4" w:space="0" w:color="auto"/>
              <w:left w:val="single" w:sz="4" w:space="0" w:color="auto"/>
              <w:right w:val="single" w:sz="4" w:space="0" w:color="auto"/>
            </w:tcBorders>
            <w:shd w:val="clear" w:color="auto" w:fill="auto"/>
          </w:tcPr>
          <w:p w14:paraId="2C34AAE6" w14:textId="77777777" w:rsidR="004C2A46" w:rsidRPr="00DA6D02" w:rsidRDefault="004C2A46" w:rsidP="00161519">
            <w:pPr>
              <w:ind w:right="43"/>
              <w:rPr>
                <w:rFonts w:cs="Arial"/>
                <w:b/>
                <w:sz w:val="18"/>
                <w:szCs w:val="18"/>
              </w:rPr>
            </w:pPr>
            <w:r w:rsidRPr="00DA6D02">
              <w:rPr>
                <w:rFonts w:cs="Arial"/>
                <w:b/>
                <w:sz w:val="18"/>
                <w:szCs w:val="18"/>
              </w:rPr>
              <w:t>Renal and urinary disorders</w:t>
            </w:r>
          </w:p>
        </w:tc>
        <w:tc>
          <w:tcPr>
            <w:tcW w:w="1620" w:type="dxa"/>
            <w:tcBorders>
              <w:top w:val="single" w:sz="4" w:space="0" w:color="auto"/>
              <w:left w:val="single" w:sz="4" w:space="0" w:color="auto"/>
              <w:right w:val="single" w:sz="4" w:space="0" w:color="auto"/>
            </w:tcBorders>
            <w:shd w:val="clear" w:color="auto" w:fill="auto"/>
          </w:tcPr>
          <w:p w14:paraId="7B8D07C7"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6C704F68"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2BA33B33"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3022D517"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41B0D63F" w14:textId="77777777" w:rsidTr="00A3254E">
        <w:tc>
          <w:tcPr>
            <w:tcW w:w="2052" w:type="dxa"/>
            <w:tcBorders>
              <w:left w:val="single" w:sz="4" w:space="0" w:color="auto"/>
              <w:bottom w:val="single" w:sz="4" w:space="0" w:color="auto"/>
              <w:right w:val="single" w:sz="4" w:space="0" w:color="auto"/>
            </w:tcBorders>
            <w:shd w:val="clear" w:color="auto" w:fill="auto"/>
          </w:tcPr>
          <w:p w14:paraId="48834D1A"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Urinary retention</w:t>
            </w:r>
          </w:p>
        </w:tc>
        <w:tc>
          <w:tcPr>
            <w:tcW w:w="1620" w:type="dxa"/>
            <w:tcBorders>
              <w:left w:val="single" w:sz="4" w:space="0" w:color="auto"/>
              <w:bottom w:val="single" w:sz="4" w:space="0" w:color="auto"/>
              <w:right w:val="single" w:sz="4" w:space="0" w:color="auto"/>
            </w:tcBorders>
            <w:shd w:val="clear" w:color="auto" w:fill="auto"/>
          </w:tcPr>
          <w:p w14:paraId="7031CCBD"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84 (1.80%)</w:t>
            </w:r>
          </w:p>
        </w:tc>
        <w:tc>
          <w:tcPr>
            <w:tcW w:w="1440" w:type="dxa"/>
            <w:tcBorders>
              <w:left w:val="single" w:sz="4" w:space="0" w:color="auto"/>
              <w:bottom w:val="single" w:sz="4" w:space="0" w:color="auto"/>
              <w:right w:val="single" w:sz="4" w:space="0" w:color="auto"/>
            </w:tcBorders>
            <w:shd w:val="clear" w:color="auto" w:fill="auto"/>
          </w:tcPr>
          <w:p w14:paraId="418856E3"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267A0F6B"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84 (1.79%)</w:t>
            </w:r>
          </w:p>
          <w:p w14:paraId="33AE4441"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left w:val="single" w:sz="4" w:space="0" w:color="auto"/>
              <w:bottom w:val="single" w:sz="4" w:space="0" w:color="auto"/>
              <w:right w:val="single" w:sz="4" w:space="0" w:color="auto"/>
            </w:tcBorders>
            <w:shd w:val="clear" w:color="auto" w:fill="auto"/>
          </w:tcPr>
          <w:p w14:paraId="3F7D36EC"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30B914FE" w14:textId="77777777" w:rsidTr="00A3254E">
        <w:tc>
          <w:tcPr>
            <w:tcW w:w="2052" w:type="dxa"/>
            <w:tcBorders>
              <w:top w:val="single" w:sz="4" w:space="0" w:color="auto"/>
              <w:left w:val="single" w:sz="4" w:space="0" w:color="auto"/>
              <w:right w:val="single" w:sz="4" w:space="0" w:color="auto"/>
            </w:tcBorders>
            <w:shd w:val="clear" w:color="auto" w:fill="auto"/>
          </w:tcPr>
          <w:p w14:paraId="381818E9" w14:textId="77777777" w:rsidR="004C2A46" w:rsidRPr="00DA6D02" w:rsidRDefault="004C2A46" w:rsidP="00161519">
            <w:pPr>
              <w:ind w:right="43"/>
              <w:rPr>
                <w:rFonts w:cs="Arial"/>
                <w:b/>
                <w:sz w:val="18"/>
                <w:szCs w:val="18"/>
              </w:rPr>
            </w:pPr>
            <w:r w:rsidRPr="00DA6D02">
              <w:rPr>
                <w:rFonts w:cs="Arial"/>
                <w:b/>
                <w:sz w:val="18"/>
                <w:szCs w:val="18"/>
              </w:rPr>
              <w:t>Respiratory, thoracic and mediastinal disorders</w:t>
            </w:r>
          </w:p>
        </w:tc>
        <w:tc>
          <w:tcPr>
            <w:tcW w:w="1620" w:type="dxa"/>
            <w:tcBorders>
              <w:top w:val="single" w:sz="4" w:space="0" w:color="auto"/>
              <w:left w:val="single" w:sz="4" w:space="0" w:color="auto"/>
              <w:right w:val="single" w:sz="4" w:space="0" w:color="auto"/>
            </w:tcBorders>
            <w:shd w:val="clear" w:color="auto" w:fill="auto"/>
          </w:tcPr>
          <w:p w14:paraId="0F807D50"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4F54114C"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67286307"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136BFC41"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324263A2" w14:textId="77777777" w:rsidTr="00A3254E">
        <w:tc>
          <w:tcPr>
            <w:tcW w:w="2052" w:type="dxa"/>
            <w:tcBorders>
              <w:left w:val="single" w:sz="4" w:space="0" w:color="auto"/>
              <w:bottom w:val="single" w:sz="4" w:space="0" w:color="auto"/>
              <w:right w:val="single" w:sz="4" w:space="0" w:color="auto"/>
            </w:tcBorders>
            <w:shd w:val="clear" w:color="auto" w:fill="auto"/>
          </w:tcPr>
          <w:p w14:paraId="476723C6"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lastRenderedPageBreak/>
              <w:t>Dyspnoea</w:t>
            </w:r>
          </w:p>
        </w:tc>
        <w:tc>
          <w:tcPr>
            <w:tcW w:w="1620" w:type="dxa"/>
            <w:tcBorders>
              <w:left w:val="single" w:sz="4" w:space="0" w:color="auto"/>
              <w:bottom w:val="single" w:sz="4" w:space="0" w:color="auto"/>
              <w:right w:val="single" w:sz="4" w:space="0" w:color="auto"/>
            </w:tcBorders>
            <w:shd w:val="clear" w:color="auto" w:fill="auto"/>
          </w:tcPr>
          <w:p w14:paraId="5AD4320D"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49 (1.05%)</w:t>
            </w:r>
          </w:p>
        </w:tc>
        <w:tc>
          <w:tcPr>
            <w:tcW w:w="1440" w:type="dxa"/>
            <w:tcBorders>
              <w:left w:val="single" w:sz="4" w:space="0" w:color="auto"/>
              <w:bottom w:val="single" w:sz="4" w:space="0" w:color="auto"/>
              <w:right w:val="single" w:sz="4" w:space="0" w:color="auto"/>
            </w:tcBorders>
            <w:shd w:val="clear" w:color="auto" w:fill="auto"/>
          </w:tcPr>
          <w:p w14:paraId="199115BC"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6DFB8E2F"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58 (1.24%)</w:t>
            </w:r>
          </w:p>
          <w:p w14:paraId="668A8673"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left w:val="single" w:sz="4" w:space="0" w:color="auto"/>
              <w:bottom w:val="single" w:sz="4" w:space="0" w:color="auto"/>
              <w:right w:val="single" w:sz="4" w:space="0" w:color="auto"/>
            </w:tcBorders>
            <w:shd w:val="clear" w:color="auto" w:fill="auto"/>
          </w:tcPr>
          <w:p w14:paraId="6B54E0D6"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47236B61" w14:textId="77777777" w:rsidTr="00A3254E">
        <w:tc>
          <w:tcPr>
            <w:tcW w:w="2052" w:type="dxa"/>
            <w:tcBorders>
              <w:top w:val="single" w:sz="4" w:space="0" w:color="auto"/>
              <w:left w:val="single" w:sz="4" w:space="0" w:color="auto"/>
              <w:right w:val="single" w:sz="4" w:space="0" w:color="auto"/>
            </w:tcBorders>
            <w:shd w:val="clear" w:color="auto" w:fill="auto"/>
          </w:tcPr>
          <w:p w14:paraId="37F51B4A" w14:textId="77777777" w:rsidR="004C2A46" w:rsidRPr="00DA6D02" w:rsidRDefault="004C2A46" w:rsidP="00161519">
            <w:pPr>
              <w:ind w:right="43"/>
              <w:rPr>
                <w:rFonts w:cs="Arial"/>
                <w:b/>
                <w:sz w:val="18"/>
                <w:szCs w:val="18"/>
              </w:rPr>
            </w:pPr>
            <w:r w:rsidRPr="00DA6D02">
              <w:rPr>
                <w:rFonts w:cs="Arial"/>
                <w:b/>
                <w:sz w:val="18"/>
                <w:szCs w:val="18"/>
              </w:rPr>
              <w:t>Skin and subcutaneous tissue disorders</w:t>
            </w:r>
          </w:p>
        </w:tc>
        <w:tc>
          <w:tcPr>
            <w:tcW w:w="1620" w:type="dxa"/>
            <w:tcBorders>
              <w:top w:val="single" w:sz="4" w:space="0" w:color="auto"/>
              <w:left w:val="single" w:sz="4" w:space="0" w:color="auto"/>
              <w:right w:val="single" w:sz="4" w:space="0" w:color="auto"/>
            </w:tcBorders>
            <w:shd w:val="clear" w:color="auto" w:fill="auto"/>
          </w:tcPr>
          <w:p w14:paraId="5124ACC4"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0704AE9A"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59AB03CA"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10BD3EEB"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5DCB923C" w14:textId="77777777" w:rsidTr="00A3254E">
        <w:tc>
          <w:tcPr>
            <w:tcW w:w="2052" w:type="dxa"/>
            <w:tcBorders>
              <w:left w:val="single" w:sz="4" w:space="0" w:color="auto"/>
              <w:right w:val="single" w:sz="4" w:space="0" w:color="auto"/>
            </w:tcBorders>
            <w:shd w:val="clear" w:color="auto" w:fill="auto"/>
          </w:tcPr>
          <w:p w14:paraId="34DB2FF2"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Pruritus</w:t>
            </w:r>
          </w:p>
        </w:tc>
        <w:tc>
          <w:tcPr>
            <w:tcW w:w="1620" w:type="dxa"/>
            <w:tcBorders>
              <w:left w:val="single" w:sz="4" w:space="0" w:color="auto"/>
              <w:right w:val="single" w:sz="4" w:space="0" w:color="auto"/>
            </w:tcBorders>
            <w:shd w:val="clear" w:color="auto" w:fill="auto"/>
          </w:tcPr>
          <w:p w14:paraId="57CB2A3C"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110 (2.36%)</w:t>
            </w:r>
          </w:p>
        </w:tc>
        <w:tc>
          <w:tcPr>
            <w:tcW w:w="1440" w:type="dxa"/>
            <w:tcBorders>
              <w:left w:val="single" w:sz="4" w:space="0" w:color="auto"/>
              <w:right w:val="single" w:sz="4" w:space="0" w:color="auto"/>
            </w:tcBorders>
            <w:shd w:val="clear" w:color="auto" w:fill="auto"/>
          </w:tcPr>
          <w:p w14:paraId="2820190A"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726D54EB"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87 (1.85%)</w:t>
            </w:r>
          </w:p>
        </w:tc>
        <w:tc>
          <w:tcPr>
            <w:tcW w:w="1440" w:type="dxa"/>
            <w:tcBorders>
              <w:left w:val="single" w:sz="4" w:space="0" w:color="auto"/>
              <w:right w:val="single" w:sz="4" w:space="0" w:color="auto"/>
            </w:tcBorders>
            <w:shd w:val="clear" w:color="auto" w:fill="auto"/>
          </w:tcPr>
          <w:p w14:paraId="675FB5BA"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507AFD9E" w14:textId="77777777" w:rsidTr="00A3254E">
        <w:tc>
          <w:tcPr>
            <w:tcW w:w="2052" w:type="dxa"/>
            <w:tcBorders>
              <w:left w:val="single" w:sz="4" w:space="0" w:color="auto"/>
              <w:right w:val="single" w:sz="4" w:space="0" w:color="auto"/>
            </w:tcBorders>
            <w:shd w:val="clear" w:color="auto" w:fill="auto"/>
          </w:tcPr>
          <w:p w14:paraId="65B5F6B0"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Rash</w:t>
            </w:r>
          </w:p>
        </w:tc>
        <w:tc>
          <w:tcPr>
            <w:tcW w:w="1620" w:type="dxa"/>
            <w:tcBorders>
              <w:left w:val="single" w:sz="4" w:space="0" w:color="auto"/>
              <w:right w:val="single" w:sz="4" w:space="0" w:color="auto"/>
            </w:tcBorders>
            <w:shd w:val="clear" w:color="auto" w:fill="auto"/>
          </w:tcPr>
          <w:p w14:paraId="10C5B78D"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60 (1.29%)</w:t>
            </w:r>
          </w:p>
        </w:tc>
        <w:tc>
          <w:tcPr>
            <w:tcW w:w="1440" w:type="dxa"/>
            <w:tcBorders>
              <w:left w:val="single" w:sz="4" w:space="0" w:color="auto"/>
              <w:right w:val="single" w:sz="4" w:space="0" w:color="auto"/>
            </w:tcBorders>
            <w:shd w:val="clear" w:color="auto" w:fill="auto"/>
          </w:tcPr>
          <w:p w14:paraId="0C1F4822"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271F04C3"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57 (1.21%)</w:t>
            </w:r>
          </w:p>
        </w:tc>
        <w:tc>
          <w:tcPr>
            <w:tcW w:w="1440" w:type="dxa"/>
            <w:tcBorders>
              <w:left w:val="single" w:sz="4" w:space="0" w:color="auto"/>
              <w:right w:val="single" w:sz="4" w:space="0" w:color="auto"/>
            </w:tcBorders>
            <w:shd w:val="clear" w:color="auto" w:fill="auto"/>
          </w:tcPr>
          <w:p w14:paraId="6C068075"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1C7B0CB2" w14:textId="77777777" w:rsidTr="00A3254E">
        <w:tc>
          <w:tcPr>
            <w:tcW w:w="2052" w:type="dxa"/>
            <w:tcBorders>
              <w:left w:val="single" w:sz="4" w:space="0" w:color="auto"/>
              <w:bottom w:val="single" w:sz="4" w:space="0" w:color="auto"/>
              <w:right w:val="single" w:sz="4" w:space="0" w:color="auto"/>
            </w:tcBorders>
            <w:shd w:val="clear" w:color="auto" w:fill="auto"/>
          </w:tcPr>
          <w:p w14:paraId="19606CA5"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Unspecific blistering</w:t>
            </w:r>
          </w:p>
          <w:p w14:paraId="2334AC0B" w14:textId="77777777" w:rsidR="00100151" w:rsidRPr="00DA6D02" w:rsidRDefault="00100151" w:rsidP="00161519">
            <w:pPr>
              <w:tabs>
                <w:tab w:val="left" w:pos="567"/>
              </w:tabs>
              <w:spacing w:before="60" w:after="60" w:line="260" w:lineRule="exact"/>
              <w:ind w:right="46"/>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36B8DB04"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68 (1.46%)</w:t>
            </w:r>
          </w:p>
        </w:tc>
        <w:tc>
          <w:tcPr>
            <w:tcW w:w="1440" w:type="dxa"/>
            <w:tcBorders>
              <w:left w:val="single" w:sz="4" w:space="0" w:color="auto"/>
              <w:bottom w:val="single" w:sz="4" w:space="0" w:color="auto"/>
              <w:right w:val="single" w:sz="4" w:space="0" w:color="auto"/>
            </w:tcBorders>
            <w:shd w:val="clear" w:color="auto" w:fill="auto"/>
          </w:tcPr>
          <w:p w14:paraId="6CB70B0E"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453019C9"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43 (0.92%)</w:t>
            </w:r>
          </w:p>
        </w:tc>
        <w:tc>
          <w:tcPr>
            <w:tcW w:w="1440" w:type="dxa"/>
            <w:tcBorders>
              <w:left w:val="single" w:sz="4" w:space="0" w:color="auto"/>
              <w:bottom w:val="single" w:sz="4" w:space="0" w:color="auto"/>
              <w:right w:val="single" w:sz="4" w:space="0" w:color="auto"/>
            </w:tcBorders>
            <w:shd w:val="clear" w:color="auto" w:fill="auto"/>
          </w:tcPr>
          <w:p w14:paraId="615A1E0B" w14:textId="77777777" w:rsidR="004C2A46" w:rsidRDefault="004C2A46" w:rsidP="00161519">
            <w:pPr>
              <w:keepNext/>
              <w:tabs>
                <w:tab w:val="left" w:pos="567"/>
              </w:tabs>
              <w:spacing w:before="60" w:after="60" w:line="260" w:lineRule="exact"/>
              <w:ind w:right="46"/>
              <w:jc w:val="center"/>
              <w:rPr>
                <w:rFonts w:cs="Arial"/>
                <w:sz w:val="18"/>
                <w:szCs w:val="18"/>
              </w:rPr>
            </w:pPr>
          </w:p>
          <w:p w14:paraId="593F66A8" w14:textId="77777777" w:rsidR="000B038A" w:rsidRDefault="000B038A" w:rsidP="00161519">
            <w:pPr>
              <w:keepNext/>
              <w:tabs>
                <w:tab w:val="left" w:pos="567"/>
              </w:tabs>
              <w:spacing w:before="60" w:after="60" w:line="260" w:lineRule="exact"/>
              <w:ind w:right="46"/>
              <w:jc w:val="center"/>
              <w:rPr>
                <w:rFonts w:cs="Arial"/>
                <w:sz w:val="18"/>
                <w:szCs w:val="18"/>
              </w:rPr>
            </w:pPr>
          </w:p>
          <w:p w14:paraId="705232FD" w14:textId="77777777" w:rsidR="000B038A" w:rsidRPr="00DA6D02" w:rsidRDefault="000B038A" w:rsidP="00161519">
            <w:pPr>
              <w:keepNext/>
              <w:tabs>
                <w:tab w:val="left" w:pos="567"/>
              </w:tabs>
              <w:spacing w:before="60" w:after="60" w:line="260" w:lineRule="exact"/>
              <w:ind w:right="46"/>
              <w:jc w:val="center"/>
              <w:rPr>
                <w:rFonts w:cs="Arial"/>
                <w:sz w:val="18"/>
                <w:szCs w:val="18"/>
              </w:rPr>
            </w:pPr>
          </w:p>
        </w:tc>
      </w:tr>
      <w:tr w:rsidR="004C2A46" w:rsidRPr="002742BE" w14:paraId="5880A9AD" w14:textId="77777777" w:rsidTr="00A3254E">
        <w:tc>
          <w:tcPr>
            <w:tcW w:w="2052" w:type="dxa"/>
            <w:tcBorders>
              <w:top w:val="single" w:sz="4" w:space="0" w:color="auto"/>
              <w:left w:val="single" w:sz="4" w:space="0" w:color="auto"/>
              <w:right w:val="single" w:sz="4" w:space="0" w:color="auto"/>
            </w:tcBorders>
            <w:shd w:val="clear" w:color="auto" w:fill="auto"/>
          </w:tcPr>
          <w:p w14:paraId="37A2DB03" w14:textId="77777777" w:rsidR="004C2A46" w:rsidRPr="00DA6D02" w:rsidRDefault="004C2A46" w:rsidP="00161519">
            <w:pPr>
              <w:ind w:right="43"/>
              <w:rPr>
                <w:rFonts w:cs="Arial"/>
                <w:b/>
                <w:sz w:val="18"/>
                <w:szCs w:val="18"/>
              </w:rPr>
            </w:pPr>
            <w:r w:rsidRPr="00DA6D02">
              <w:rPr>
                <w:rFonts w:cs="Arial"/>
                <w:b/>
                <w:sz w:val="18"/>
                <w:szCs w:val="18"/>
              </w:rPr>
              <w:t>Social circumstances</w:t>
            </w:r>
          </w:p>
        </w:tc>
        <w:tc>
          <w:tcPr>
            <w:tcW w:w="1620" w:type="dxa"/>
            <w:tcBorders>
              <w:top w:val="single" w:sz="4" w:space="0" w:color="auto"/>
              <w:left w:val="single" w:sz="4" w:space="0" w:color="auto"/>
              <w:right w:val="single" w:sz="4" w:space="0" w:color="auto"/>
            </w:tcBorders>
            <w:shd w:val="clear" w:color="auto" w:fill="auto"/>
          </w:tcPr>
          <w:p w14:paraId="7DB8CD77"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35AF4418"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1FD41BEC"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273FDFFD"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283214F0" w14:textId="77777777" w:rsidTr="00A3254E">
        <w:tc>
          <w:tcPr>
            <w:tcW w:w="2052" w:type="dxa"/>
            <w:tcBorders>
              <w:left w:val="single" w:sz="4" w:space="0" w:color="auto"/>
              <w:bottom w:val="single" w:sz="4" w:space="0" w:color="auto"/>
              <w:right w:val="single" w:sz="4" w:space="0" w:color="auto"/>
            </w:tcBorders>
            <w:shd w:val="clear" w:color="auto" w:fill="auto"/>
          </w:tcPr>
          <w:p w14:paraId="5AFA3799"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Anxiety reaction</w:t>
            </w:r>
          </w:p>
        </w:tc>
        <w:tc>
          <w:tcPr>
            <w:tcW w:w="1620" w:type="dxa"/>
            <w:tcBorders>
              <w:left w:val="single" w:sz="4" w:space="0" w:color="auto"/>
              <w:bottom w:val="single" w:sz="4" w:space="0" w:color="auto"/>
              <w:right w:val="single" w:sz="4" w:space="0" w:color="auto"/>
            </w:tcBorders>
            <w:shd w:val="clear" w:color="auto" w:fill="auto"/>
          </w:tcPr>
          <w:p w14:paraId="4C33DC0C"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52 (1.12%)</w:t>
            </w:r>
          </w:p>
        </w:tc>
        <w:tc>
          <w:tcPr>
            <w:tcW w:w="1440" w:type="dxa"/>
            <w:tcBorders>
              <w:left w:val="single" w:sz="4" w:space="0" w:color="auto"/>
              <w:bottom w:val="single" w:sz="4" w:space="0" w:color="auto"/>
              <w:right w:val="single" w:sz="4" w:space="0" w:color="auto"/>
            </w:tcBorders>
            <w:shd w:val="clear" w:color="auto" w:fill="auto"/>
          </w:tcPr>
          <w:p w14:paraId="7C8D8EAC"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5DA76647"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39 (0.83%)</w:t>
            </w:r>
          </w:p>
        </w:tc>
        <w:tc>
          <w:tcPr>
            <w:tcW w:w="1440" w:type="dxa"/>
            <w:tcBorders>
              <w:left w:val="single" w:sz="4" w:space="0" w:color="auto"/>
              <w:bottom w:val="single" w:sz="4" w:space="0" w:color="auto"/>
              <w:right w:val="single" w:sz="4" w:space="0" w:color="auto"/>
            </w:tcBorders>
            <w:shd w:val="clear" w:color="auto" w:fill="auto"/>
          </w:tcPr>
          <w:p w14:paraId="7A0B8D21"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1DFFA7F9" w14:textId="77777777" w:rsidTr="00A3254E">
        <w:tc>
          <w:tcPr>
            <w:tcW w:w="2052" w:type="dxa"/>
            <w:tcBorders>
              <w:top w:val="single" w:sz="4" w:space="0" w:color="auto"/>
              <w:left w:val="single" w:sz="4" w:space="0" w:color="auto"/>
              <w:right w:val="single" w:sz="4" w:space="0" w:color="auto"/>
            </w:tcBorders>
            <w:shd w:val="clear" w:color="auto" w:fill="auto"/>
          </w:tcPr>
          <w:p w14:paraId="245A0F09" w14:textId="77777777" w:rsidR="004C2A46" w:rsidRPr="00DA6D02" w:rsidRDefault="004C2A46" w:rsidP="00161519">
            <w:pPr>
              <w:ind w:right="43"/>
              <w:rPr>
                <w:rFonts w:cs="Arial"/>
                <w:b/>
                <w:sz w:val="18"/>
                <w:szCs w:val="18"/>
              </w:rPr>
            </w:pPr>
            <w:r w:rsidRPr="00DA6D02">
              <w:rPr>
                <w:rFonts w:cs="Arial"/>
                <w:b/>
                <w:sz w:val="18"/>
                <w:szCs w:val="18"/>
              </w:rPr>
              <w:t>Vascular disorders</w:t>
            </w:r>
          </w:p>
        </w:tc>
        <w:tc>
          <w:tcPr>
            <w:tcW w:w="1620" w:type="dxa"/>
            <w:tcBorders>
              <w:top w:val="single" w:sz="4" w:space="0" w:color="auto"/>
              <w:left w:val="single" w:sz="4" w:space="0" w:color="auto"/>
              <w:right w:val="single" w:sz="4" w:space="0" w:color="auto"/>
            </w:tcBorders>
            <w:shd w:val="clear" w:color="auto" w:fill="auto"/>
          </w:tcPr>
          <w:p w14:paraId="2DFF8990"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3F4D231E"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top w:val="single" w:sz="4" w:space="0" w:color="auto"/>
              <w:left w:val="single" w:sz="4" w:space="0" w:color="auto"/>
              <w:right w:val="single" w:sz="4" w:space="0" w:color="auto"/>
            </w:tcBorders>
            <w:shd w:val="clear" w:color="auto" w:fill="auto"/>
          </w:tcPr>
          <w:p w14:paraId="0D490C85" w14:textId="77777777" w:rsidR="004C2A46" w:rsidRPr="00DA6D02" w:rsidRDefault="004C2A46" w:rsidP="00161519">
            <w:pPr>
              <w:tabs>
                <w:tab w:val="left" w:pos="567"/>
              </w:tabs>
              <w:spacing w:before="60" w:after="60" w:line="260" w:lineRule="exact"/>
              <w:ind w:right="46"/>
              <w:jc w:val="center"/>
              <w:rPr>
                <w:rFonts w:cs="Arial"/>
                <w:sz w:val="18"/>
                <w:szCs w:val="18"/>
              </w:rPr>
            </w:pPr>
          </w:p>
        </w:tc>
        <w:tc>
          <w:tcPr>
            <w:tcW w:w="1440" w:type="dxa"/>
            <w:tcBorders>
              <w:top w:val="single" w:sz="4" w:space="0" w:color="auto"/>
              <w:left w:val="single" w:sz="4" w:space="0" w:color="auto"/>
              <w:right w:val="single" w:sz="4" w:space="0" w:color="auto"/>
            </w:tcBorders>
            <w:shd w:val="clear" w:color="auto" w:fill="auto"/>
          </w:tcPr>
          <w:p w14:paraId="4671FCE5"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325F890F" w14:textId="77777777" w:rsidTr="00A3254E">
        <w:tc>
          <w:tcPr>
            <w:tcW w:w="2052" w:type="dxa"/>
            <w:tcBorders>
              <w:left w:val="single" w:sz="4" w:space="0" w:color="auto"/>
              <w:right w:val="single" w:sz="4" w:space="0" w:color="auto"/>
            </w:tcBorders>
            <w:shd w:val="clear" w:color="auto" w:fill="auto"/>
          </w:tcPr>
          <w:p w14:paraId="73DBB992"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Haemorrhage</w:t>
            </w:r>
          </w:p>
        </w:tc>
        <w:tc>
          <w:tcPr>
            <w:tcW w:w="1620" w:type="dxa"/>
            <w:tcBorders>
              <w:left w:val="single" w:sz="4" w:space="0" w:color="auto"/>
              <w:right w:val="single" w:sz="4" w:space="0" w:color="auto"/>
            </w:tcBorders>
            <w:shd w:val="clear" w:color="auto" w:fill="auto"/>
          </w:tcPr>
          <w:p w14:paraId="4F6B0622"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67 (1.44%)</w:t>
            </w:r>
          </w:p>
        </w:tc>
        <w:tc>
          <w:tcPr>
            <w:tcW w:w="1440" w:type="dxa"/>
            <w:tcBorders>
              <w:left w:val="single" w:sz="4" w:space="0" w:color="auto"/>
              <w:right w:val="single" w:sz="4" w:space="0" w:color="auto"/>
            </w:tcBorders>
            <w:shd w:val="clear" w:color="auto" w:fill="auto"/>
          </w:tcPr>
          <w:p w14:paraId="57D71600"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7173DB0F"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72 (1.53%)</w:t>
            </w:r>
          </w:p>
        </w:tc>
        <w:tc>
          <w:tcPr>
            <w:tcW w:w="1440" w:type="dxa"/>
            <w:tcBorders>
              <w:left w:val="single" w:sz="4" w:space="0" w:color="auto"/>
              <w:right w:val="single" w:sz="4" w:space="0" w:color="auto"/>
            </w:tcBorders>
            <w:shd w:val="clear" w:color="auto" w:fill="auto"/>
          </w:tcPr>
          <w:p w14:paraId="04A7BF38"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0800F7C2" w14:textId="77777777" w:rsidTr="00A3254E">
        <w:tc>
          <w:tcPr>
            <w:tcW w:w="2052" w:type="dxa"/>
            <w:tcBorders>
              <w:left w:val="single" w:sz="4" w:space="0" w:color="auto"/>
              <w:right w:val="single" w:sz="4" w:space="0" w:color="auto"/>
            </w:tcBorders>
            <w:shd w:val="clear" w:color="auto" w:fill="auto"/>
          </w:tcPr>
          <w:p w14:paraId="1619C364"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Thrombocytosis</w:t>
            </w:r>
          </w:p>
        </w:tc>
        <w:tc>
          <w:tcPr>
            <w:tcW w:w="1620" w:type="dxa"/>
            <w:tcBorders>
              <w:left w:val="single" w:sz="4" w:space="0" w:color="auto"/>
              <w:right w:val="single" w:sz="4" w:space="0" w:color="auto"/>
            </w:tcBorders>
            <w:shd w:val="clear" w:color="auto" w:fill="auto"/>
          </w:tcPr>
          <w:p w14:paraId="75699CFB"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79 (1.70%)</w:t>
            </w:r>
          </w:p>
        </w:tc>
        <w:tc>
          <w:tcPr>
            <w:tcW w:w="1440" w:type="dxa"/>
            <w:tcBorders>
              <w:left w:val="single" w:sz="4" w:space="0" w:color="auto"/>
              <w:right w:val="single" w:sz="4" w:space="0" w:color="auto"/>
            </w:tcBorders>
            <w:shd w:val="clear" w:color="auto" w:fill="auto"/>
          </w:tcPr>
          <w:p w14:paraId="6FB8383A"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right w:val="single" w:sz="4" w:space="0" w:color="auto"/>
            </w:tcBorders>
            <w:shd w:val="clear" w:color="auto" w:fill="auto"/>
          </w:tcPr>
          <w:p w14:paraId="0951EA68"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87 (1.85%)</w:t>
            </w:r>
          </w:p>
        </w:tc>
        <w:tc>
          <w:tcPr>
            <w:tcW w:w="1440" w:type="dxa"/>
            <w:tcBorders>
              <w:left w:val="single" w:sz="4" w:space="0" w:color="auto"/>
              <w:right w:val="single" w:sz="4" w:space="0" w:color="auto"/>
            </w:tcBorders>
            <w:shd w:val="clear" w:color="auto" w:fill="auto"/>
          </w:tcPr>
          <w:p w14:paraId="269A4976"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r w:rsidR="004C2A46" w:rsidRPr="002742BE" w14:paraId="399FEB8F" w14:textId="77777777" w:rsidTr="00A3254E">
        <w:tc>
          <w:tcPr>
            <w:tcW w:w="2052" w:type="dxa"/>
            <w:tcBorders>
              <w:left w:val="single" w:sz="4" w:space="0" w:color="auto"/>
              <w:bottom w:val="single" w:sz="4" w:space="0" w:color="auto"/>
              <w:right w:val="single" w:sz="4" w:space="0" w:color="auto"/>
            </w:tcBorders>
            <w:shd w:val="clear" w:color="auto" w:fill="auto"/>
          </w:tcPr>
          <w:p w14:paraId="282D7052" w14:textId="77777777" w:rsidR="004C2A46" w:rsidRPr="00DA6D02" w:rsidRDefault="004C2A46" w:rsidP="00161519">
            <w:pPr>
              <w:tabs>
                <w:tab w:val="left" w:pos="567"/>
              </w:tabs>
              <w:spacing w:before="60" w:after="60" w:line="260" w:lineRule="exact"/>
              <w:ind w:right="46"/>
              <w:rPr>
                <w:rFonts w:cs="Arial"/>
                <w:sz w:val="18"/>
                <w:szCs w:val="18"/>
              </w:rPr>
            </w:pPr>
            <w:r w:rsidRPr="00DA6D02">
              <w:rPr>
                <w:rFonts w:cs="Arial"/>
                <w:sz w:val="18"/>
                <w:szCs w:val="18"/>
              </w:rPr>
              <w:t>Deep vein thrombosis</w:t>
            </w:r>
          </w:p>
        </w:tc>
        <w:tc>
          <w:tcPr>
            <w:tcW w:w="1620" w:type="dxa"/>
            <w:tcBorders>
              <w:left w:val="single" w:sz="4" w:space="0" w:color="auto"/>
              <w:bottom w:val="single" w:sz="4" w:space="0" w:color="auto"/>
              <w:right w:val="single" w:sz="4" w:space="0" w:color="auto"/>
            </w:tcBorders>
            <w:shd w:val="clear" w:color="auto" w:fill="auto"/>
          </w:tcPr>
          <w:p w14:paraId="723ABF05"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198 (4.25%)</w:t>
            </w:r>
          </w:p>
        </w:tc>
        <w:tc>
          <w:tcPr>
            <w:tcW w:w="1440" w:type="dxa"/>
            <w:tcBorders>
              <w:left w:val="single" w:sz="4" w:space="0" w:color="auto"/>
              <w:bottom w:val="single" w:sz="4" w:space="0" w:color="auto"/>
              <w:right w:val="single" w:sz="4" w:space="0" w:color="auto"/>
            </w:tcBorders>
            <w:shd w:val="clear" w:color="auto" w:fill="auto"/>
          </w:tcPr>
          <w:p w14:paraId="52BF1CB9" w14:textId="77777777" w:rsidR="004C2A46" w:rsidRPr="00DA6D02" w:rsidRDefault="004C2A46" w:rsidP="00161519">
            <w:pPr>
              <w:keepNext/>
              <w:tabs>
                <w:tab w:val="left" w:pos="567"/>
                <w:tab w:val="left" w:pos="1844"/>
              </w:tabs>
              <w:spacing w:before="60" w:after="60" w:line="260" w:lineRule="exact"/>
              <w:ind w:right="46"/>
              <w:jc w:val="center"/>
              <w:rPr>
                <w:rFonts w:cs="Arial"/>
                <w:sz w:val="18"/>
                <w:szCs w:val="18"/>
              </w:rPr>
            </w:pPr>
          </w:p>
        </w:tc>
        <w:tc>
          <w:tcPr>
            <w:tcW w:w="1620" w:type="dxa"/>
            <w:tcBorders>
              <w:left w:val="single" w:sz="4" w:space="0" w:color="auto"/>
              <w:bottom w:val="single" w:sz="4" w:space="0" w:color="auto"/>
              <w:right w:val="single" w:sz="4" w:space="0" w:color="auto"/>
            </w:tcBorders>
            <w:shd w:val="clear" w:color="auto" w:fill="auto"/>
          </w:tcPr>
          <w:p w14:paraId="08BDD36E" w14:textId="77777777" w:rsidR="004C2A46" w:rsidRPr="00DA6D02" w:rsidRDefault="004C2A46" w:rsidP="00161519">
            <w:pPr>
              <w:tabs>
                <w:tab w:val="left" w:pos="567"/>
              </w:tabs>
              <w:spacing w:before="60" w:after="60" w:line="260" w:lineRule="exact"/>
              <w:ind w:right="46"/>
              <w:jc w:val="center"/>
              <w:rPr>
                <w:rFonts w:cs="Arial"/>
                <w:sz w:val="18"/>
                <w:szCs w:val="18"/>
              </w:rPr>
            </w:pPr>
            <w:r w:rsidRPr="00DA6D02">
              <w:rPr>
                <w:rFonts w:cs="Arial"/>
                <w:sz w:val="18"/>
                <w:szCs w:val="18"/>
              </w:rPr>
              <w:t>363 (7.74%)</w:t>
            </w:r>
          </w:p>
        </w:tc>
        <w:tc>
          <w:tcPr>
            <w:tcW w:w="1440" w:type="dxa"/>
            <w:tcBorders>
              <w:left w:val="single" w:sz="4" w:space="0" w:color="auto"/>
              <w:bottom w:val="single" w:sz="4" w:space="0" w:color="auto"/>
              <w:right w:val="single" w:sz="4" w:space="0" w:color="auto"/>
            </w:tcBorders>
            <w:shd w:val="clear" w:color="auto" w:fill="auto"/>
          </w:tcPr>
          <w:p w14:paraId="7564DDDA" w14:textId="77777777" w:rsidR="004C2A46" w:rsidRPr="00DA6D02" w:rsidRDefault="004C2A46" w:rsidP="00161519">
            <w:pPr>
              <w:keepNext/>
              <w:tabs>
                <w:tab w:val="left" w:pos="567"/>
              </w:tabs>
              <w:spacing w:before="60" w:after="60" w:line="260" w:lineRule="exact"/>
              <w:ind w:right="46"/>
              <w:jc w:val="center"/>
              <w:rPr>
                <w:rFonts w:cs="Arial"/>
                <w:sz w:val="18"/>
                <w:szCs w:val="18"/>
              </w:rPr>
            </w:pPr>
          </w:p>
        </w:tc>
      </w:tr>
    </w:tbl>
    <w:p w14:paraId="471C8E10" w14:textId="4F85926A" w:rsidR="00DA6D02" w:rsidRDefault="00DA6D02">
      <w:pPr>
        <w:rPr>
          <w:rFonts w:cs="Arial"/>
          <w:b/>
          <w:sz w:val="21"/>
          <w:szCs w:val="21"/>
        </w:rPr>
      </w:pPr>
    </w:p>
    <w:p w14:paraId="2D82CFBC" w14:textId="77777777" w:rsidR="004C2A46" w:rsidRPr="00371E70" w:rsidRDefault="004C2A46" w:rsidP="004C2A46">
      <w:pPr>
        <w:tabs>
          <w:tab w:val="left" w:pos="4500"/>
        </w:tabs>
        <w:spacing w:before="240" w:after="120"/>
        <w:ind w:right="46"/>
        <w:rPr>
          <w:rFonts w:cs="Arial"/>
          <w:b/>
          <w:szCs w:val="22"/>
        </w:rPr>
      </w:pPr>
      <w:r w:rsidRPr="00371E70">
        <w:rPr>
          <w:rFonts w:cs="Arial"/>
          <w:b/>
          <w:szCs w:val="22"/>
        </w:rPr>
        <w:t>Less frequent Clinical Trial Adverse Drug Reactions &lt; 1% in the Phase III studies; 11354, 11357, 11356 (RECORD 1 to 3)</w:t>
      </w:r>
      <w:r w:rsidRPr="00371E70">
        <w:rPr>
          <w:rFonts w:cs="Arial"/>
          <w:b/>
          <w:caps/>
          <w:szCs w:val="22"/>
        </w:rPr>
        <w:t>:</w:t>
      </w:r>
    </w:p>
    <w:tbl>
      <w:tblPr>
        <w:tblW w:w="0" w:type="auto"/>
        <w:tblLook w:val="04A0" w:firstRow="1" w:lastRow="0" w:firstColumn="1" w:lastColumn="0" w:noHBand="0" w:noVBand="1"/>
      </w:tblPr>
      <w:tblGrid>
        <w:gridCol w:w="2802"/>
        <w:gridCol w:w="6095"/>
      </w:tblGrid>
      <w:tr w:rsidR="004C2A46" w:rsidRPr="00371E70" w14:paraId="58BE1FD8" w14:textId="77777777" w:rsidTr="00161519">
        <w:tc>
          <w:tcPr>
            <w:tcW w:w="2802" w:type="dxa"/>
            <w:shd w:val="clear" w:color="auto" w:fill="auto"/>
          </w:tcPr>
          <w:p w14:paraId="0E68238F"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Blood and the Lymphatic System Disorders:</w:t>
            </w:r>
          </w:p>
        </w:tc>
        <w:tc>
          <w:tcPr>
            <w:tcW w:w="6095" w:type="dxa"/>
            <w:shd w:val="clear" w:color="auto" w:fill="auto"/>
          </w:tcPr>
          <w:p w14:paraId="4C28EAA2"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Thrombocytosis (incl. platelet count increased)</w:t>
            </w:r>
          </w:p>
        </w:tc>
      </w:tr>
      <w:tr w:rsidR="004C2A46" w:rsidRPr="00371E70" w14:paraId="038D495B" w14:textId="77777777" w:rsidTr="00161519">
        <w:tc>
          <w:tcPr>
            <w:tcW w:w="2802" w:type="dxa"/>
            <w:shd w:val="clear" w:color="auto" w:fill="auto"/>
          </w:tcPr>
          <w:p w14:paraId="10D876E4"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Cardiac Disorders:</w:t>
            </w:r>
          </w:p>
        </w:tc>
        <w:tc>
          <w:tcPr>
            <w:tcW w:w="6095" w:type="dxa"/>
            <w:shd w:val="clear" w:color="auto" w:fill="auto"/>
          </w:tcPr>
          <w:p w14:paraId="5B55BF00"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Tachycardia</w:t>
            </w:r>
          </w:p>
        </w:tc>
      </w:tr>
      <w:tr w:rsidR="004C2A46" w:rsidRPr="00371E70" w14:paraId="1F74B5AA" w14:textId="77777777" w:rsidTr="00161519">
        <w:tc>
          <w:tcPr>
            <w:tcW w:w="2802" w:type="dxa"/>
            <w:shd w:val="clear" w:color="auto" w:fill="auto"/>
          </w:tcPr>
          <w:p w14:paraId="5E43E02E"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Gastrointestinal Disorders:</w:t>
            </w:r>
          </w:p>
        </w:tc>
        <w:tc>
          <w:tcPr>
            <w:tcW w:w="6095" w:type="dxa"/>
            <w:shd w:val="clear" w:color="auto" w:fill="auto"/>
          </w:tcPr>
          <w:p w14:paraId="6CFC206C"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Constipation, diarrhoea, abdominal and gastrointestinal pain (incl. upper abdominal pain, stomach discomfort), dyspepsia (incl. epigastric discomfort), dry mouth, vomiting</w:t>
            </w:r>
          </w:p>
        </w:tc>
      </w:tr>
      <w:tr w:rsidR="004C2A46" w:rsidRPr="00371E70" w14:paraId="6E8F6CED" w14:textId="77777777" w:rsidTr="00161519">
        <w:tc>
          <w:tcPr>
            <w:tcW w:w="2802" w:type="dxa"/>
            <w:shd w:val="clear" w:color="auto" w:fill="auto"/>
          </w:tcPr>
          <w:p w14:paraId="5B69F9EC"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General Disorders and Administration Site Conditions:</w:t>
            </w:r>
          </w:p>
        </w:tc>
        <w:tc>
          <w:tcPr>
            <w:tcW w:w="6095" w:type="dxa"/>
            <w:shd w:val="clear" w:color="auto" w:fill="auto"/>
          </w:tcPr>
          <w:p w14:paraId="0BA5B14C"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Localised oedema, decreased general strength and energy (incl. fatigue, asthenia), feeling unwell (incl. malaise)</w:t>
            </w:r>
          </w:p>
        </w:tc>
      </w:tr>
      <w:tr w:rsidR="004C2A46" w:rsidRPr="00371E70" w14:paraId="107A57F6" w14:textId="77777777" w:rsidTr="00161519">
        <w:tc>
          <w:tcPr>
            <w:tcW w:w="2802" w:type="dxa"/>
            <w:shd w:val="clear" w:color="auto" w:fill="auto"/>
          </w:tcPr>
          <w:p w14:paraId="0F52A268"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Hepatobiliary disorders:</w:t>
            </w:r>
          </w:p>
        </w:tc>
        <w:tc>
          <w:tcPr>
            <w:tcW w:w="6095" w:type="dxa"/>
            <w:shd w:val="clear" w:color="auto" w:fill="auto"/>
          </w:tcPr>
          <w:p w14:paraId="702D2F3E"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szCs w:val="22"/>
              </w:rPr>
              <w:t>Hepatic impairment</w:t>
            </w:r>
          </w:p>
        </w:tc>
      </w:tr>
      <w:tr w:rsidR="004C2A46" w:rsidRPr="00371E70" w14:paraId="18B11467" w14:textId="77777777" w:rsidTr="00161519">
        <w:tc>
          <w:tcPr>
            <w:tcW w:w="2802" w:type="dxa"/>
            <w:shd w:val="clear" w:color="auto" w:fill="auto"/>
          </w:tcPr>
          <w:p w14:paraId="408D245A"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Immune system disorders:</w:t>
            </w:r>
          </w:p>
        </w:tc>
        <w:tc>
          <w:tcPr>
            <w:tcW w:w="6095" w:type="dxa"/>
            <w:shd w:val="clear" w:color="auto" w:fill="auto"/>
          </w:tcPr>
          <w:p w14:paraId="01B85C14"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szCs w:val="22"/>
              </w:rPr>
              <w:t>Dermatitis allergic</w:t>
            </w:r>
          </w:p>
        </w:tc>
      </w:tr>
      <w:tr w:rsidR="004C2A46" w:rsidRPr="00371E70" w14:paraId="2C9081A1" w14:textId="77777777" w:rsidTr="00161519">
        <w:tc>
          <w:tcPr>
            <w:tcW w:w="2802" w:type="dxa"/>
            <w:shd w:val="clear" w:color="auto" w:fill="auto"/>
          </w:tcPr>
          <w:p w14:paraId="5C68828B"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Injury, Poisoning and Procedural Complications:</w:t>
            </w:r>
          </w:p>
        </w:tc>
        <w:tc>
          <w:tcPr>
            <w:tcW w:w="6095" w:type="dxa"/>
            <w:shd w:val="clear" w:color="auto" w:fill="auto"/>
          </w:tcPr>
          <w:p w14:paraId="3064F825"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Wound secretion</w:t>
            </w:r>
          </w:p>
        </w:tc>
      </w:tr>
      <w:tr w:rsidR="004C2A46" w:rsidRPr="00371E70" w14:paraId="788219C4" w14:textId="77777777" w:rsidTr="00161519">
        <w:tc>
          <w:tcPr>
            <w:tcW w:w="2802" w:type="dxa"/>
            <w:shd w:val="clear" w:color="auto" w:fill="auto"/>
          </w:tcPr>
          <w:p w14:paraId="3EC9BD54"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lastRenderedPageBreak/>
              <w:t>Investigations:</w:t>
            </w:r>
          </w:p>
        </w:tc>
        <w:tc>
          <w:tcPr>
            <w:tcW w:w="6095" w:type="dxa"/>
            <w:shd w:val="clear" w:color="auto" w:fill="auto"/>
          </w:tcPr>
          <w:p w14:paraId="5C711010"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Increased lipase, increased amylase, blood bilirubin increased, increased LDH, increased alkaline phosphatase, bilirubin conjugated increased (with or without concomitant increase of ALT)</w:t>
            </w:r>
          </w:p>
        </w:tc>
      </w:tr>
      <w:tr w:rsidR="004C2A46" w:rsidRPr="00371E70" w14:paraId="44D82D1B" w14:textId="77777777" w:rsidTr="00161519">
        <w:tc>
          <w:tcPr>
            <w:tcW w:w="2802" w:type="dxa"/>
            <w:shd w:val="clear" w:color="auto" w:fill="auto"/>
          </w:tcPr>
          <w:p w14:paraId="322359E2"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Musculoskeletal, Connective Tissue and Bone Disorders:</w:t>
            </w:r>
          </w:p>
        </w:tc>
        <w:tc>
          <w:tcPr>
            <w:tcW w:w="6095" w:type="dxa"/>
            <w:shd w:val="clear" w:color="auto" w:fill="auto"/>
          </w:tcPr>
          <w:p w14:paraId="113BF950"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Pain in extremity</w:t>
            </w:r>
          </w:p>
        </w:tc>
      </w:tr>
      <w:tr w:rsidR="004C2A46" w:rsidRPr="00371E70" w14:paraId="41936BC6" w14:textId="77777777" w:rsidTr="00161519">
        <w:tc>
          <w:tcPr>
            <w:tcW w:w="2802" w:type="dxa"/>
            <w:shd w:val="clear" w:color="auto" w:fill="auto"/>
          </w:tcPr>
          <w:p w14:paraId="344743BE"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Nervous System Disorders:</w:t>
            </w:r>
          </w:p>
        </w:tc>
        <w:tc>
          <w:tcPr>
            <w:tcW w:w="6095" w:type="dxa"/>
            <w:shd w:val="clear" w:color="auto" w:fill="auto"/>
          </w:tcPr>
          <w:p w14:paraId="2CFEAF2F"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Dizziness, headache, syncope (incl. loss of consciousness)</w:t>
            </w:r>
          </w:p>
        </w:tc>
      </w:tr>
      <w:tr w:rsidR="004C2A46" w:rsidRPr="00371E70" w14:paraId="0B50A253" w14:textId="77777777" w:rsidTr="00161519">
        <w:tc>
          <w:tcPr>
            <w:tcW w:w="2802" w:type="dxa"/>
            <w:shd w:val="clear" w:color="auto" w:fill="auto"/>
          </w:tcPr>
          <w:p w14:paraId="4F9A72A1"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Renal and Urinary Disorders:</w:t>
            </w:r>
          </w:p>
        </w:tc>
        <w:tc>
          <w:tcPr>
            <w:tcW w:w="6095" w:type="dxa"/>
            <w:shd w:val="clear" w:color="auto" w:fill="auto"/>
          </w:tcPr>
          <w:p w14:paraId="732C734F"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Renal impairment (incl. blood creatinine increased, blood urea increased)</w:t>
            </w:r>
          </w:p>
        </w:tc>
      </w:tr>
      <w:tr w:rsidR="004C2A46" w:rsidRPr="00371E70" w14:paraId="22A518DC" w14:textId="77777777" w:rsidTr="00161519">
        <w:tc>
          <w:tcPr>
            <w:tcW w:w="2802" w:type="dxa"/>
            <w:shd w:val="clear" w:color="auto" w:fill="auto"/>
          </w:tcPr>
          <w:p w14:paraId="2F70111C"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Skin and Subcutaneous Tissue Disorders:</w:t>
            </w:r>
          </w:p>
        </w:tc>
        <w:tc>
          <w:tcPr>
            <w:tcW w:w="6095" w:type="dxa"/>
            <w:shd w:val="clear" w:color="auto" w:fill="auto"/>
          </w:tcPr>
          <w:p w14:paraId="794D3988"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pruritus (incl. rare cases of generalised pruritus), rash, urticaria (incl. rare cases of generalised urticaria), contusion</w:t>
            </w:r>
          </w:p>
        </w:tc>
      </w:tr>
      <w:tr w:rsidR="004C2A46" w:rsidRPr="00371E70" w14:paraId="40DC5C9F" w14:textId="77777777" w:rsidTr="00161519">
        <w:tc>
          <w:tcPr>
            <w:tcW w:w="2802" w:type="dxa"/>
            <w:shd w:val="clear" w:color="auto" w:fill="auto"/>
          </w:tcPr>
          <w:p w14:paraId="32B76C8A" w14:textId="77777777" w:rsidR="004C2A46" w:rsidRPr="00371E70" w:rsidRDefault="004C2A46" w:rsidP="00161519">
            <w:pPr>
              <w:tabs>
                <w:tab w:val="left" w:pos="567"/>
              </w:tabs>
              <w:spacing w:before="60" w:after="60" w:line="260" w:lineRule="exact"/>
              <w:ind w:right="45"/>
              <w:rPr>
                <w:rFonts w:cs="Arial"/>
                <w:b/>
                <w:szCs w:val="22"/>
              </w:rPr>
            </w:pPr>
            <w:r w:rsidRPr="00371E70">
              <w:rPr>
                <w:rFonts w:cs="Arial"/>
                <w:b/>
                <w:szCs w:val="22"/>
              </w:rPr>
              <w:t>Vascular Disorders</w:t>
            </w:r>
            <w:r w:rsidRPr="00371E70">
              <w:rPr>
                <w:rFonts w:cs="Arial"/>
                <w:szCs w:val="22"/>
              </w:rPr>
              <w:t>:</w:t>
            </w:r>
          </w:p>
        </w:tc>
        <w:tc>
          <w:tcPr>
            <w:tcW w:w="6095" w:type="dxa"/>
            <w:shd w:val="clear" w:color="auto" w:fill="auto"/>
          </w:tcPr>
          <w:p w14:paraId="41CBC1F3" w14:textId="77777777" w:rsidR="004C2A46" w:rsidRPr="00371E70" w:rsidRDefault="004C2A46" w:rsidP="00161519">
            <w:pPr>
              <w:tabs>
                <w:tab w:val="left" w:pos="567"/>
              </w:tabs>
              <w:spacing w:before="60" w:after="60" w:line="260" w:lineRule="exact"/>
              <w:ind w:right="45"/>
              <w:rPr>
                <w:rFonts w:cs="Arial"/>
                <w:szCs w:val="22"/>
              </w:rPr>
            </w:pPr>
            <w:r w:rsidRPr="00371E70">
              <w:rPr>
                <w:rFonts w:cs="Arial"/>
                <w:szCs w:val="22"/>
              </w:rPr>
              <w:t>hypotension (incl. blood pressure decrease, procedural hypotension), haematoma (incl. rare cases of muscle haemorrhage), gastrointestinal tract haemorrhage (incl. gingival bleeding, rectal haemorrhage, haematemesis), urogenital tract haemorrhage, nose bleed</w:t>
            </w:r>
          </w:p>
        </w:tc>
      </w:tr>
    </w:tbl>
    <w:p w14:paraId="60DA1554" w14:textId="77777777" w:rsidR="00371E70" w:rsidRDefault="00371E70" w:rsidP="00161519">
      <w:pPr>
        <w:pStyle w:val="Default"/>
        <w:tabs>
          <w:tab w:val="left" w:pos="9900"/>
        </w:tabs>
        <w:spacing w:before="120" w:after="240"/>
        <w:ind w:right="46"/>
        <w:jc w:val="both"/>
        <w:rPr>
          <w:rFonts w:ascii="Arial" w:hAnsi="Arial" w:cs="Arial"/>
          <w:b/>
          <w:sz w:val="22"/>
          <w:szCs w:val="22"/>
        </w:rPr>
      </w:pPr>
    </w:p>
    <w:p w14:paraId="297121FE" w14:textId="77777777" w:rsidR="004C2A46" w:rsidRPr="00371E70" w:rsidRDefault="004C2A46" w:rsidP="000202B5">
      <w:pPr>
        <w:pStyle w:val="Heading3"/>
      </w:pPr>
      <w:r w:rsidRPr="00371E70">
        <w:t xml:space="preserve">Treatment of DVT, PE and Prevention of Recurrent VTE </w:t>
      </w:r>
    </w:p>
    <w:p w14:paraId="7431C504" w14:textId="77777777" w:rsidR="004C2A46" w:rsidRPr="00371E70" w:rsidRDefault="004C2A46" w:rsidP="00AB3AD6">
      <w:pPr>
        <w:pStyle w:val="Default"/>
        <w:tabs>
          <w:tab w:val="left" w:pos="9900"/>
        </w:tabs>
        <w:spacing w:before="120" w:after="240"/>
        <w:ind w:left="630" w:right="46"/>
        <w:rPr>
          <w:rFonts w:ascii="Arial" w:hAnsi="Arial" w:cs="Arial"/>
          <w:sz w:val="22"/>
          <w:szCs w:val="22"/>
        </w:rPr>
      </w:pPr>
      <w:r w:rsidRPr="00371E70">
        <w:rPr>
          <w:rFonts w:ascii="Arial" w:hAnsi="Arial" w:cs="Arial"/>
          <w:sz w:val="22"/>
          <w:szCs w:val="22"/>
        </w:rPr>
        <w:t xml:space="preserve">The safety of </w:t>
      </w:r>
      <w:r w:rsidR="005F6704" w:rsidRPr="00371E70">
        <w:rPr>
          <w:rFonts w:ascii="Arial" w:hAnsi="Arial" w:cs="Arial"/>
          <w:sz w:val="22"/>
          <w:szCs w:val="22"/>
        </w:rPr>
        <w:t>XARELTO</w:t>
      </w:r>
      <w:r w:rsidRPr="00371E70">
        <w:rPr>
          <w:rFonts w:ascii="Arial" w:hAnsi="Arial" w:cs="Arial"/>
          <w:sz w:val="22"/>
          <w:szCs w:val="22"/>
        </w:rPr>
        <w:t xml:space="preserve"> has been evaluated in three Phase III trials with 4</w:t>
      </w:r>
      <w:r w:rsidR="0080392D" w:rsidRPr="00371E70">
        <w:rPr>
          <w:rFonts w:ascii="Arial" w:hAnsi="Arial" w:cs="Arial"/>
          <w:sz w:val="22"/>
          <w:szCs w:val="22"/>
        </w:rPr>
        <w:t>,</w:t>
      </w:r>
      <w:r w:rsidRPr="00371E70">
        <w:rPr>
          <w:rFonts w:ascii="Arial" w:hAnsi="Arial" w:cs="Arial"/>
          <w:sz w:val="22"/>
          <w:szCs w:val="22"/>
        </w:rPr>
        <w:t xml:space="preserve">556 patients treated up to 21 months and exposed to either 15 mg </w:t>
      </w:r>
      <w:r w:rsidR="005F6704" w:rsidRPr="00371E70">
        <w:rPr>
          <w:rFonts w:ascii="Arial" w:hAnsi="Arial" w:cs="Arial"/>
          <w:sz w:val="22"/>
          <w:szCs w:val="22"/>
        </w:rPr>
        <w:t>XARELTO</w:t>
      </w:r>
      <w:r w:rsidRPr="00371E70">
        <w:rPr>
          <w:rFonts w:ascii="Arial" w:hAnsi="Arial" w:cs="Arial"/>
          <w:sz w:val="22"/>
          <w:szCs w:val="22"/>
        </w:rPr>
        <w:t xml:space="preserve"> twice daily for 3 weeks followed by 20 mg once daily (EINSTEIN DVT and EINSTEIN PE) or 20 mg once daily (EINSTEIN Extension).</w:t>
      </w:r>
    </w:p>
    <w:p w14:paraId="3460300D" w14:textId="77777777" w:rsidR="004C2A46" w:rsidRPr="00371E70" w:rsidRDefault="004C2A46" w:rsidP="00AB3AD6">
      <w:pPr>
        <w:pStyle w:val="Default"/>
        <w:tabs>
          <w:tab w:val="left" w:pos="9900"/>
        </w:tabs>
        <w:spacing w:before="120" w:after="240"/>
        <w:ind w:left="630" w:right="46"/>
        <w:rPr>
          <w:rFonts w:ascii="Arial" w:hAnsi="Arial" w:cs="Arial"/>
          <w:sz w:val="22"/>
          <w:szCs w:val="22"/>
        </w:rPr>
      </w:pPr>
      <w:r w:rsidRPr="00371E70">
        <w:rPr>
          <w:rFonts w:ascii="Arial" w:hAnsi="Arial" w:cs="Arial"/>
          <w:sz w:val="22"/>
          <w:szCs w:val="22"/>
        </w:rPr>
        <w:t xml:space="preserve">Treatment-emergent drug-related adverse events were reported by 28.5% of rivaroxaban treated subjects and by 28.6% of enoxaparin/VKA treated subjects (pooled studies 11702 DVT and 11702 PE). </w:t>
      </w:r>
      <w:r w:rsidR="000D76B8" w:rsidRPr="00371E70">
        <w:rPr>
          <w:rFonts w:ascii="Arial" w:hAnsi="Arial" w:cs="Arial"/>
          <w:sz w:val="22"/>
          <w:szCs w:val="22"/>
        </w:rPr>
        <w:t xml:space="preserve"> </w:t>
      </w:r>
      <w:r w:rsidRPr="00371E70">
        <w:rPr>
          <w:rFonts w:ascii="Arial" w:hAnsi="Arial" w:cs="Arial"/>
          <w:sz w:val="22"/>
          <w:szCs w:val="22"/>
        </w:rPr>
        <w:t>The respective incidence rates for the study 11899 were 16% rivaroxaban vs. 11% placebo</w:t>
      </w:r>
      <w:r w:rsidR="00161519" w:rsidRPr="00371E70">
        <w:rPr>
          <w:rFonts w:ascii="Arial" w:hAnsi="Arial" w:cs="Arial"/>
          <w:sz w:val="22"/>
          <w:szCs w:val="22"/>
        </w:rPr>
        <w:t>.</w:t>
      </w:r>
    </w:p>
    <w:p w14:paraId="69203777" w14:textId="337531FF" w:rsidR="004C2A46" w:rsidRPr="00DA6D02" w:rsidRDefault="004C2A46" w:rsidP="00AB3AD6">
      <w:pPr>
        <w:pStyle w:val="Default"/>
        <w:tabs>
          <w:tab w:val="left" w:pos="9900"/>
        </w:tabs>
        <w:spacing w:before="120" w:after="240"/>
        <w:ind w:left="630" w:right="46"/>
        <w:rPr>
          <w:rFonts w:ascii="Arial" w:hAnsi="Arial" w:cs="Arial"/>
          <w:sz w:val="22"/>
          <w:szCs w:val="22"/>
        </w:rPr>
      </w:pPr>
      <w:r w:rsidRPr="00DA6D02">
        <w:rPr>
          <w:rFonts w:ascii="Arial" w:hAnsi="Arial" w:cs="Arial"/>
          <w:sz w:val="22"/>
          <w:szCs w:val="22"/>
        </w:rPr>
        <w:t xml:space="preserve">The most common treatment-emergent adverse reactions reported in patients valid for safety analysis in the three Phase III studies for DVT or PE treatment and prevention of recurrent VTE are </w:t>
      </w:r>
      <w:r w:rsidRPr="005403C3">
        <w:rPr>
          <w:rFonts w:ascii="Arial" w:hAnsi="Arial" w:cs="Arial"/>
          <w:sz w:val="22"/>
          <w:szCs w:val="22"/>
        </w:rPr>
        <w:t>presented in</w:t>
      </w:r>
      <w:r w:rsidR="00277068" w:rsidRPr="005403C3">
        <w:rPr>
          <w:rFonts w:ascii="Arial" w:hAnsi="Arial" w:cs="Arial"/>
          <w:sz w:val="22"/>
          <w:szCs w:val="22"/>
        </w:rPr>
        <w:t xml:space="preserve"> </w:t>
      </w:r>
      <w:r w:rsidR="003860D3" w:rsidRPr="005403C3">
        <w:rPr>
          <w:rFonts w:ascii="Arial" w:hAnsi="Arial" w:cs="Arial"/>
          <w:sz w:val="22"/>
          <w:szCs w:val="22"/>
        </w:rPr>
        <w:fldChar w:fldCharType="begin"/>
      </w:r>
      <w:r w:rsidR="003860D3" w:rsidRPr="005403C3">
        <w:rPr>
          <w:rFonts w:ascii="Arial" w:hAnsi="Arial" w:cs="Arial"/>
          <w:sz w:val="22"/>
          <w:szCs w:val="22"/>
        </w:rPr>
        <w:instrText xml:space="preserve"> REF _Ref501396487 \h </w:instrText>
      </w:r>
      <w:r w:rsidR="00100151" w:rsidRPr="005403C3">
        <w:rPr>
          <w:rFonts w:ascii="Arial" w:hAnsi="Arial" w:cs="Arial"/>
          <w:sz w:val="22"/>
          <w:szCs w:val="22"/>
        </w:rPr>
        <w:instrText xml:space="preserve"> \* MERGEFORMAT </w:instrText>
      </w:r>
      <w:r w:rsidR="003860D3" w:rsidRPr="005403C3">
        <w:rPr>
          <w:rFonts w:ascii="Arial" w:hAnsi="Arial" w:cs="Arial"/>
          <w:sz w:val="22"/>
          <w:szCs w:val="22"/>
        </w:rPr>
      </w:r>
      <w:r w:rsidR="003860D3" w:rsidRPr="005403C3">
        <w:rPr>
          <w:rFonts w:ascii="Arial" w:hAnsi="Arial" w:cs="Arial"/>
          <w:sz w:val="22"/>
          <w:szCs w:val="22"/>
        </w:rPr>
        <w:fldChar w:fldCharType="separate"/>
      </w:r>
      <w:r w:rsidR="00C51DA4" w:rsidRPr="00C51DA4">
        <w:rPr>
          <w:rFonts w:ascii="Arial" w:hAnsi="Arial" w:cs="Arial"/>
          <w:sz w:val="22"/>
          <w:szCs w:val="22"/>
        </w:rPr>
        <w:t xml:space="preserve">Table </w:t>
      </w:r>
      <w:r w:rsidR="00C51DA4" w:rsidRPr="00C51DA4">
        <w:rPr>
          <w:rFonts w:ascii="Arial" w:hAnsi="Arial" w:cs="Arial"/>
          <w:noProof/>
          <w:sz w:val="22"/>
          <w:szCs w:val="22"/>
        </w:rPr>
        <w:t>7</w:t>
      </w:r>
      <w:r w:rsidR="003860D3" w:rsidRPr="005403C3">
        <w:rPr>
          <w:rFonts w:ascii="Arial" w:hAnsi="Arial" w:cs="Arial"/>
          <w:sz w:val="22"/>
          <w:szCs w:val="22"/>
        </w:rPr>
        <w:fldChar w:fldCharType="end"/>
      </w:r>
      <w:r w:rsidRPr="00DA6D02">
        <w:rPr>
          <w:rFonts w:ascii="Arial" w:hAnsi="Arial" w:cs="Arial"/>
          <w:sz w:val="22"/>
          <w:szCs w:val="22"/>
        </w:rPr>
        <w:t>.</w:t>
      </w:r>
    </w:p>
    <w:p w14:paraId="13FCBAC8" w14:textId="0A4559A1" w:rsidR="004C2A46" w:rsidRPr="00476145" w:rsidRDefault="004A2647" w:rsidP="00DA6D02">
      <w:pPr>
        <w:pStyle w:val="Caption"/>
        <w:ind w:left="1080" w:hanging="1080"/>
        <w:jc w:val="left"/>
      </w:pPr>
      <w:bookmarkStart w:id="29" w:name="_Ref501396487"/>
      <w:r w:rsidRPr="00476145">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7</w:t>
      </w:r>
      <w:r w:rsidR="005D4DAE">
        <w:rPr>
          <w:noProof/>
        </w:rPr>
        <w:fldChar w:fldCharType="end"/>
      </w:r>
      <w:bookmarkEnd w:id="29"/>
      <w:r w:rsidRPr="00476145">
        <w:t>: Treatment-Emergent Adverse Reactions grouped by System Organ Class occurring in &gt; 1% of any treatment group – pooled EINSTEIN-DVT and EINSTEIN-PE studies (11702-DVT and 11702-PE) and EINSTEIN-Extension (11899) (patients valid for safety analysis)</w:t>
      </w:r>
    </w:p>
    <w:tbl>
      <w:tblPr>
        <w:tblW w:w="0" w:type="auto"/>
        <w:tblInd w:w="108" w:type="dxa"/>
        <w:tblLook w:val="01E0" w:firstRow="1" w:lastRow="1" w:firstColumn="1" w:lastColumn="1" w:noHBand="0" w:noVBand="0"/>
      </w:tblPr>
      <w:tblGrid>
        <w:gridCol w:w="2448"/>
        <w:gridCol w:w="1620"/>
        <w:gridCol w:w="1620"/>
        <w:gridCol w:w="1440"/>
        <w:gridCol w:w="1620"/>
      </w:tblGrid>
      <w:tr w:rsidR="004C2A46" w:rsidRPr="002742BE" w14:paraId="5B6400AE" w14:textId="77777777" w:rsidTr="007423A3">
        <w:trPr>
          <w:tblHeader/>
        </w:trPr>
        <w:tc>
          <w:tcPr>
            <w:tcW w:w="2448" w:type="dxa"/>
            <w:tcBorders>
              <w:bottom w:val="single" w:sz="4" w:space="0" w:color="auto"/>
              <w:right w:val="single" w:sz="4" w:space="0" w:color="auto"/>
            </w:tcBorders>
            <w:shd w:val="clear" w:color="auto" w:fill="D9D9D9" w:themeFill="background1" w:themeFillShade="D9"/>
          </w:tcPr>
          <w:p w14:paraId="6196495F"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99C9F" w14:textId="77777777" w:rsidR="004C2A46" w:rsidRPr="00261231" w:rsidRDefault="004C2A46" w:rsidP="00161519">
            <w:pPr>
              <w:spacing w:before="60" w:after="60"/>
              <w:ind w:right="46"/>
              <w:jc w:val="center"/>
              <w:rPr>
                <w:rFonts w:cs="Arial"/>
                <w:b/>
                <w:sz w:val="18"/>
                <w:szCs w:val="18"/>
                <w:lang w:val="de-DE"/>
              </w:rPr>
            </w:pPr>
            <w:r w:rsidRPr="002A03C2">
              <w:rPr>
                <w:rFonts w:cs="Arial"/>
                <w:b/>
                <w:sz w:val="18"/>
                <w:szCs w:val="18"/>
                <w:lang w:val="de-DE"/>
              </w:rPr>
              <w:t>Pooled</w:t>
            </w:r>
            <w:r w:rsidRPr="00261231">
              <w:rPr>
                <w:rFonts w:cs="Arial"/>
                <w:b/>
                <w:sz w:val="18"/>
                <w:szCs w:val="18"/>
                <w:lang w:val="de-DE"/>
              </w:rPr>
              <w:t xml:space="preserve"> EINSTEIN-DVT </w:t>
            </w:r>
            <w:r w:rsidRPr="002A03C2">
              <w:rPr>
                <w:rFonts w:cs="Arial"/>
                <w:b/>
                <w:sz w:val="18"/>
                <w:szCs w:val="18"/>
                <w:lang w:val="de-DE"/>
              </w:rPr>
              <w:t>and</w:t>
            </w:r>
            <w:r w:rsidRPr="00261231">
              <w:rPr>
                <w:rFonts w:cs="Arial"/>
                <w:b/>
                <w:sz w:val="18"/>
                <w:szCs w:val="18"/>
                <w:lang w:val="de-DE"/>
              </w:rPr>
              <w:t xml:space="preserve"> EINSTEIN-PE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A7B2C" w14:textId="77777777" w:rsidR="004C2A46" w:rsidRPr="002742BE" w:rsidRDefault="004C2A46" w:rsidP="00161519">
            <w:pPr>
              <w:spacing w:before="60" w:after="60"/>
              <w:ind w:right="46"/>
              <w:jc w:val="center"/>
              <w:rPr>
                <w:rFonts w:cs="Arial"/>
                <w:b/>
                <w:sz w:val="18"/>
                <w:szCs w:val="18"/>
              </w:rPr>
            </w:pPr>
            <w:r w:rsidRPr="002742BE">
              <w:rPr>
                <w:rFonts w:cs="Arial"/>
                <w:b/>
                <w:sz w:val="18"/>
                <w:szCs w:val="18"/>
              </w:rPr>
              <w:t>EINSTEIN-Extension</w:t>
            </w:r>
          </w:p>
        </w:tc>
      </w:tr>
      <w:tr w:rsidR="004C2A46" w:rsidRPr="002742BE" w14:paraId="30475B39" w14:textId="77777777" w:rsidTr="007423A3">
        <w:trPr>
          <w:trHeight w:val="417"/>
          <w:tblHeader/>
        </w:trPr>
        <w:tc>
          <w:tcPr>
            <w:tcW w:w="2448" w:type="dxa"/>
            <w:vMerge w:val="restart"/>
            <w:tcBorders>
              <w:top w:val="single" w:sz="4" w:space="0" w:color="auto"/>
              <w:left w:val="single" w:sz="4" w:space="0" w:color="auto"/>
              <w:right w:val="single" w:sz="4" w:space="0" w:color="auto"/>
            </w:tcBorders>
            <w:shd w:val="clear" w:color="auto" w:fill="D9D9D9" w:themeFill="background1" w:themeFillShade="D9"/>
          </w:tcPr>
          <w:p w14:paraId="267AE7CF"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bCs/>
                <w:sz w:val="18"/>
                <w:szCs w:val="18"/>
              </w:rPr>
              <w:t>System Organ Class /PT MedDRA</w:t>
            </w:r>
          </w:p>
        </w:tc>
        <w:tc>
          <w:tcPr>
            <w:tcW w:w="1620" w:type="dxa"/>
            <w:tcBorders>
              <w:top w:val="single" w:sz="4" w:space="0" w:color="auto"/>
              <w:left w:val="single" w:sz="4" w:space="0" w:color="auto"/>
              <w:right w:val="single" w:sz="4" w:space="0" w:color="auto"/>
            </w:tcBorders>
            <w:shd w:val="clear" w:color="auto" w:fill="D9D9D9" w:themeFill="background1" w:themeFillShade="D9"/>
          </w:tcPr>
          <w:p w14:paraId="541BBD73" w14:textId="77777777" w:rsidR="004C2A46" w:rsidRPr="002742BE" w:rsidRDefault="005F6704" w:rsidP="00161519">
            <w:pPr>
              <w:spacing w:before="60"/>
              <w:ind w:right="46"/>
              <w:jc w:val="center"/>
              <w:rPr>
                <w:rFonts w:cs="Arial"/>
                <w:b/>
                <w:sz w:val="18"/>
                <w:szCs w:val="18"/>
              </w:rPr>
            </w:pPr>
            <w:r>
              <w:rPr>
                <w:rFonts w:cs="Arial"/>
                <w:b/>
                <w:sz w:val="18"/>
                <w:szCs w:val="18"/>
              </w:rPr>
              <w:t>XARELTO</w:t>
            </w:r>
          </w:p>
          <w:p w14:paraId="473FC908" w14:textId="77777777" w:rsidR="004C2A46" w:rsidRPr="002742BE" w:rsidRDefault="004C2A46" w:rsidP="00161519">
            <w:pPr>
              <w:autoSpaceDE w:val="0"/>
              <w:autoSpaceDN w:val="0"/>
              <w:adjustRightInd w:val="0"/>
              <w:spacing w:before="60"/>
              <w:ind w:right="46"/>
              <w:jc w:val="center"/>
              <w:rPr>
                <w:rFonts w:cs="Arial"/>
                <w:b/>
                <w:bCs/>
                <w:sz w:val="18"/>
                <w:szCs w:val="18"/>
              </w:rPr>
            </w:pPr>
          </w:p>
        </w:tc>
        <w:tc>
          <w:tcPr>
            <w:tcW w:w="1620" w:type="dxa"/>
            <w:tcBorders>
              <w:top w:val="single" w:sz="4" w:space="0" w:color="auto"/>
              <w:left w:val="single" w:sz="4" w:space="0" w:color="auto"/>
              <w:right w:val="single" w:sz="4" w:space="0" w:color="auto"/>
            </w:tcBorders>
            <w:shd w:val="clear" w:color="auto" w:fill="D9D9D9" w:themeFill="background1" w:themeFillShade="D9"/>
          </w:tcPr>
          <w:p w14:paraId="75101317" w14:textId="77777777" w:rsidR="004C2A46" w:rsidRPr="002742BE" w:rsidRDefault="004C2A46" w:rsidP="00161519">
            <w:pPr>
              <w:autoSpaceDE w:val="0"/>
              <w:autoSpaceDN w:val="0"/>
              <w:adjustRightInd w:val="0"/>
              <w:spacing w:before="60"/>
              <w:ind w:right="46"/>
              <w:jc w:val="center"/>
              <w:rPr>
                <w:rFonts w:cs="Arial"/>
                <w:b/>
                <w:bCs/>
                <w:sz w:val="18"/>
                <w:szCs w:val="18"/>
              </w:rPr>
            </w:pPr>
            <w:r w:rsidRPr="002742BE">
              <w:rPr>
                <w:rFonts w:cs="Arial"/>
                <w:b/>
                <w:sz w:val="18"/>
                <w:szCs w:val="18"/>
              </w:rPr>
              <w:t>ENOXAPARIN /VKA</w:t>
            </w:r>
          </w:p>
        </w:tc>
        <w:tc>
          <w:tcPr>
            <w:tcW w:w="1440" w:type="dxa"/>
            <w:tcBorders>
              <w:top w:val="single" w:sz="4" w:space="0" w:color="auto"/>
              <w:left w:val="single" w:sz="4" w:space="0" w:color="auto"/>
              <w:right w:val="single" w:sz="4" w:space="0" w:color="auto"/>
            </w:tcBorders>
            <w:shd w:val="clear" w:color="auto" w:fill="D9D9D9" w:themeFill="background1" w:themeFillShade="D9"/>
          </w:tcPr>
          <w:p w14:paraId="04B95BBC" w14:textId="77777777" w:rsidR="004C2A46" w:rsidRPr="002742BE" w:rsidRDefault="005F6704" w:rsidP="00161519">
            <w:pPr>
              <w:spacing w:before="60"/>
              <w:ind w:right="46"/>
              <w:jc w:val="center"/>
              <w:rPr>
                <w:rFonts w:cs="Arial"/>
                <w:b/>
                <w:sz w:val="18"/>
                <w:szCs w:val="18"/>
              </w:rPr>
            </w:pPr>
            <w:r>
              <w:rPr>
                <w:rFonts w:cs="Arial"/>
                <w:b/>
                <w:sz w:val="18"/>
                <w:szCs w:val="18"/>
              </w:rPr>
              <w:t>XARELTO</w:t>
            </w:r>
          </w:p>
          <w:p w14:paraId="5600F0DF" w14:textId="77777777" w:rsidR="004C2A46" w:rsidRPr="002742BE" w:rsidRDefault="004C2A46" w:rsidP="00161519">
            <w:pPr>
              <w:autoSpaceDE w:val="0"/>
              <w:autoSpaceDN w:val="0"/>
              <w:adjustRightInd w:val="0"/>
              <w:spacing w:before="60"/>
              <w:ind w:right="46"/>
              <w:jc w:val="center"/>
              <w:rPr>
                <w:rFonts w:cs="Arial"/>
                <w:b/>
                <w:bCs/>
                <w:sz w:val="18"/>
                <w:szCs w:val="18"/>
              </w:rPr>
            </w:pPr>
          </w:p>
        </w:tc>
        <w:tc>
          <w:tcPr>
            <w:tcW w:w="1620" w:type="dxa"/>
            <w:tcBorders>
              <w:top w:val="single" w:sz="4" w:space="0" w:color="auto"/>
              <w:left w:val="single" w:sz="4" w:space="0" w:color="auto"/>
              <w:right w:val="single" w:sz="4" w:space="0" w:color="auto"/>
            </w:tcBorders>
            <w:shd w:val="clear" w:color="auto" w:fill="D9D9D9" w:themeFill="background1" w:themeFillShade="D9"/>
          </w:tcPr>
          <w:p w14:paraId="7D256FFA" w14:textId="77777777" w:rsidR="004C2A46" w:rsidRPr="002742BE" w:rsidRDefault="004C2A46" w:rsidP="00161519">
            <w:pPr>
              <w:spacing w:before="60"/>
              <w:ind w:right="46"/>
              <w:jc w:val="center"/>
              <w:rPr>
                <w:rFonts w:cs="Arial"/>
                <w:b/>
                <w:sz w:val="18"/>
                <w:szCs w:val="18"/>
              </w:rPr>
            </w:pPr>
            <w:r w:rsidRPr="002742BE">
              <w:rPr>
                <w:rFonts w:cs="Arial"/>
                <w:b/>
                <w:sz w:val="18"/>
                <w:szCs w:val="18"/>
              </w:rPr>
              <w:t>Placebo</w:t>
            </w:r>
          </w:p>
          <w:p w14:paraId="2045C947" w14:textId="77777777" w:rsidR="004C2A46" w:rsidRPr="002742BE" w:rsidRDefault="004C2A46" w:rsidP="00161519">
            <w:pPr>
              <w:autoSpaceDE w:val="0"/>
              <w:autoSpaceDN w:val="0"/>
              <w:adjustRightInd w:val="0"/>
              <w:spacing w:before="60"/>
              <w:ind w:right="46"/>
              <w:jc w:val="center"/>
              <w:rPr>
                <w:rFonts w:cs="Arial"/>
                <w:b/>
                <w:bCs/>
                <w:sz w:val="18"/>
                <w:szCs w:val="18"/>
              </w:rPr>
            </w:pPr>
          </w:p>
        </w:tc>
      </w:tr>
      <w:tr w:rsidR="004C2A46" w:rsidRPr="002742BE" w14:paraId="5DA6C40D" w14:textId="77777777" w:rsidTr="007423A3">
        <w:trPr>
          <w:tblHeader/>
        </w:trPr>
        <w:tc>
          <w:tcPr>
            <w:tcW w:w="2448" w:type="dxa"/>
            <w:vMerge/>
            <w:tcBorders>
              <w:left w:val="single" w:sz="4" w:space="0" w:color="auto"/>
              <w:bottom w:val="single" w:sz="4" w:space="0" w:color="auto"/>
              <w:right w:val="single" w:sz="4" w:space="0" w:color="auto"/>
            </w:tcBorders>
            <w:shd w:val="clear" w:color="auto" w:fill="D9D9D9" w:themeFill="background1" w:themeFillShade="D9"/>
          </w:tcPr>
          <w:p w14:paraId="3C83568D"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left w:val="single" w:sz="4" w:space="0" w:color="auto"/>
              <w:bottom w:val="single" w:sz="4" w:space="0" w:color="auto"/>
              <w:right w:val="single" w:sz="4" w:space="0" w:color="auto"/>
            </w:tcBorders>
            <w:shd w:val="clear" w:color="auto" w:fill="D9D9D9" w:themeFill="background1" w:themeFillShade="D9"/>
          </w:tcPr>
          <w:p w14:paraId="159C2595" w14:textId="77777777" w:rsidR="004C2A46" w:rsidRPr="002742BE" w:rsidRDefault="004C2A46" w:rsidP="00161519">
            <w:pPr>
              <w:autoSpaceDE w:val="0"/>
              <w:autoSpaceDN w:val="0"/>
              <w:adjustRightInd w:val="0"/>
              <w:spacing w:before="60" w:after="60"/>
              <w:ind w:right="46"/>
              <w:jc w:val="center"/>
              <w:rPr>
                <w:rFonts w:cs="Arial"/>
                <w:b/>
                <w:bCs/>
                <w:sz w:val="18"/>
                <w:szCs w:val="18"/>
              </w:rPr>
            </w:pPr>
            <w:r w:rsidRPr="002742BE">
              <w:rPr>
                <w:rFonts w:cs="Arial"/>
                <w:b/>
                <w:bCs/>
                <w:sz w:val="18"/>
                <w:szCs w:val="18"/>
              </w:rPr>
              <w:t xml:space="preserve">(N = </w:t>
            </w:r>
            <w:r>
              <w:rPr>
                <w:rFonts w:cs="Arial"/>
                <w:b/>
                <w:bCs/>
                <w:sz w:val="18"/>
                <w:szCs w:val="18"/>
              </w:rPr>
              <w:t>4130</w:t>
            </w:r>
            <w:r w:rsidRPr="002742BE">
              <w:rPr>
                <w:rFonts w:cs="Arial"/>
                <w:b/>
                <w:bCs/>
                <w:sz w:val="18"/>
                <w:szCs w:val="18"/>
              </w:rPr>
              <w:t>)</w:t>
            </w:r>
          </w:p>
          <w:p w14:paraId="225A8E1C" w14:textId="77777777" w:rsidR="004C2A46" w:rsidRPr="002742BE" w:rsidRDefault="004C2A46" w:rsidP="00161519">
            <w:pPr>
              <w:autoSpaceDE w:val="0"/>
              <w:autoSpaceDN w:val="0"/>
              <w:adjustRightInd w:val="0"/>
              <w:spacing w:before="60" w:after="60"/>
              <w:ind w:right="46"/>
              <w:jc w:val="center"/>
              <w:rPr>
                <w:rFonts w:cs="Arial"/>
                <w:b/>
                <w:bCs/>
                <w:sz w:val="18"/>
                <w:szCs w:val="18"/>
              </w:rPr>
            </w:pPr>
            <w:r w:rsidRPr="002742BE">
              <w:rPr>
                <w:rFonts w:cs="Arial"/>
                <w:b/>
                <w:bCs/>
                <w:sz w:val="18"/>
                <w:szCs w:val="18"/>
              </w:rPr>
              <w:t>n (%)</w:t>
            </w:r>
          </w:p>
        </w:tc>
        <w:tc>
          <w:tcPr>
            <w:tcW w:w="1620" w:type="dxa"/>
            <w:tcBorders>
              <w:left w:val="single" w:sz="4" w:space="0" w:color="auto"/>
              <w:bottom w:val="single" w:sz="4" w:space="0" w:color="auto"/>
              <w:right w:val="single" w:sz="4" w:space="0" w:color="auto"/>
            </w:tcBorders>
            <w:shd w:val="clear" w:color="auto" w:fill="D9D9D9" w:themeFill="background1" w:themeFillShade="D9"/>
          </w:tcPr>
          <w:p w14:paraId="070A9EDE" w14:textId="77777777" w:rsidR="004C2A46" w:rsidRPr="002742BE" w:rsidRDefault="004C2A46" w:rsidP="00161519">
            <w:pPr>
              <w:autoSpaceDE w:val="0"/>
              <w:autoSpaceDN w:val="0"/>
              <w:adjustRightInd w:val="0"/>
              <w:spacing w:before="60" w:after="60"/>
              <w:ind w:right="46"/>
              <w:jc w:val="center"/>
              <w:rPr>
                <w:rFonts w:cs="Arial"/>
                <w:b/>
                <w:bCs/>
                <w:sz w:val="18"/>
                <w:szCs w:val="18"/>
              </w:rPr>
            </w:pPr>
            <w:r w:rsidRPr="002742BE">
              <w:rPr>
                <w:rFonts w:cs="Arial"/>
                <w:b/>
                <w:bCs/>
                <w:sz w:val="18"/>
                <w:szCs w:val="18"/>
              </w:rPr>
              <w:t xml:space="preserve">(N = </w:t>
            </w:r>
            <w:r>
              <w:rPr>
                <w:rFonts w:cs="Arial"/>
                <w:b/>
                <w:bCs/>
                <w:sz w:val="18"/>
                <w:szCs w:val="18"/>
              </w:rPr>
              <w:t>4116</w:t>
            </w:r>
            <w:r w:rsidRPr="002742BE">
              <w:rPr>
                <w:rFonts w:cs="Arial"/>
                <w:b/>
                <w:bCs/>
                <w:sz w:val="18"/>
                <w:szCs w:val="18"/>
              </w:rPr>
              <w:t>)</w:t>
            </w:r>
          </w:p>
          <w:p w14:paraId="3D7D6432" w14:textId="77777777" w:rsidR="004C2A46" w:rsidRPr="002742BE" w:rsidRDefault="004C2A46" w:rsidP="00161519">
            <w:pPr>
              <w:autoSpaceDE w:val="0"/>
              <w:autoSpaceDN w:val="0"/>
              <w:adjustRightInd w:val="0"/>
              <w:spacing w:before="60" w:after="60"/>
              <w:ind w:right="46"/>
              <w:jc w:val="center"/>
              <w:rPr>
                <w:rFonts w:cs="Arial"/>
                <w:b/>
                <w:bCs/>
                <w:sz w:val="18"/>
                <w:szCs w:val="18"/>
              </w:rPr>
            </w:pPr>
            <w:r w:rsidRPr="002742BE">
              <w:rPr>
                <w:rFonts w:cs="Arial"/>
                <w:b/>
                <w:bCs/>
                <w:sz w:val="18"/>
                <w:szCs w:val="18"/>
              </w:rPr>
              <w:t>n (%)</w:t>
            </w:r>
          </w:p>
        </w:tc>
        <w:tc>
          <w:tcPr>
            <w:tcW w:w="1440" w:type="dxa"/>
            <w:tcBorders>
              <w:left w:val="single" w:sz="4" w:space="0" w:color="auto"/>
              <w:bottom w:val="single" w:sz="4" w:space="0" w:color="auto"/>
              <w:right w:val="single" w:sz="4" w:space="0" w:color="auto"/>
            </w:tcBorders>
            <w:shd w:val="clear" w:color="auto" w:fill="D9D9D9" w:themeFill="background1" w:themeFillShade="D9"/>
          </w:tcPr>
          <w:p w14:paraId="0E7998D3" w14:textId="77777777" w:rsidR="004C2A46" w:rsidRPr="002742BE" w:rsidRDefault="004C2A46" w:rsidP="00161519">
            <w:pPr>
              <w:autoSpaceDE w:val="0"/>
              <w:autoSpaceDN w:val="0"/>
              <w:adjustRightInd w:val="0"/>
              <w:spacing w:before="60" w:after="60"/>
              <w:ind w:right="46"/>
              <w:jc w:val="center"/>
              <w:rPr>
                <w:rFonts w:cs="Arial"/>
                <w:b/>
                <w:bCs/>
                <w:sz w:val="18"/>
                <w:szCs w:val="18"/>
              </w:rPr>
            </w:pPr>
            <w:r w:rsidRPr="002742BE">
              <w:rPr>
                <w:rFonts w:cs="Arial"/>
                <w:b/>
                <w:bCs/>
                <w:sz w:val="18"/>
                <w:szCs w:val="18"/>
              </w:rPr>
              <w:t>(N = 598)</w:t>
            </w:r>
          </w:p>
          <w:p w14:paraId="69E89524" w14:textId="77777777" w:rsidR="004C2A46" w:rsidRPr="002742BE" w:rsidRDefault="004C2A46" w:rsidP="00161519">
            <w:pPr>
              <w:autoSpaceDE w:val="0"/>
              <w:autoSpaceDN w:val="0"/>
              <w:adjustRightInd w:val="0"/>
              <w:spacing w:before="60" w:after="60"/>
              <w:ind w:right="46"/>
              <w:jc w:val="center"/>
              <w:rPr>
                <w:rFonts w:cs="Arial"/>
                <w:b/>
                <w:bCs/>
                <w:sz w:val="18"/>
                <w:szCs w:val="18"/>
              </w:rPr>
            </w:pPr>
            <w:r w:rsidRPr="002742BE">
              <w:rPr>
                <w:rFonts w:cs="Arial"/>
                <w:b/>
                <w:bCs/>
                <w:sz w:val="18"/>
                <w:szCs w:val="18"/>
              </w:rPr>
              <w:t>n (%)</w:t>
            </w:r>
          </w:p>
        </w:tc>
        <w:tc>
          <w:tcPr>
            <w:tcW w:w="1620" w:type="dxa"/>
            <w:tcBorders>
              <w:left w:val="single" w:sz="4" w:space="0" w:color="auto"/>
              <w:bottom w:val="single" w:sz="4" w:space="0" w:color="auto"/>
              <w:right w:val="single" w:sz="4" w:space="0" w:color="auto"/>
            </w:tcBorders>
            <w:shd w:val="clear" w:color="auto" w:fill="D9D9D9" w:themeFill="background1" w:themeFillShade="D9"/>
          </w:tcPr>
          <w:p w14:paraId="1AAE72A7" w14:textId="77777777" w:rsidR="004C2A46" w:rsidRPr="002742BE" w:rsidRDefault="004C2A46" w:rsidP="00161519">
            <w:pPr>
              <w:autoSpaceDE w:val="0"/>
              <w:autoSpaceDN w:val="0"/>
              <w:adjustRightInd w:val="0"/>
              <w:spacing w:before="60" w:after="60"/>
              <w:ind w:right="46"/>
              <w:jc w:val="center"/>
              <w:rPr>
                <w:rFonts w:cs="Arial"/>
                <w:b/>
                <w:bCs/>
                <w:sz w:val="18"/>
                <w:szCs w:val="18"/>
              </w:rPr>
            </w:pPr>
            <w:r w:rsidRPr="002742BE">
              <w:rPr>
                <w:rFonts w:cs="Arial"/>
                <w:b/>
                <w:bCs/>
                <w:sz w:val="18"/>
                <w:szCs w:val="18"/>
              </w:rPr>
              <w:t>(N = 590)</w:t>
            </w:r>
          </w:p>
          <w:p w14:paraId="31712BB6" w14:textId="77777777" w:rsidR="004C2A46" w:rsidRPr="002742BE" w:rsidRDefault="004C2A46" w:rsidP="00161519">
            <w:pPr>
              <w:autoSpaceDE w:val="0"/>
              <w:autoSpaceDN w:val="0"/>
              <w:adjustRightInd w:val="0"/>
              <w:spacing w:before="60" w:after="60"/>
              <w:ind w:right="46"/>
              <w:jc w:val="center"/>
              <w:rPr>
                <w:rFonts w:cs="Arial"/>
                <w:b/>
                <w:bCs/>
                <w:sz w:val="18"/>
                <w:szCs w:val="18"/>
              </w:rPr>
            </w:pPr>
            <w:r w:rsidRPr="002742BE">
              <w:rPr>
                <w:rFonts w:cs="Arial"/>
                <w:b/>
                <w:bCs/>
                <w:sz w:val="18"/>
                <w:szCs w:val="18"/>
              </w:rPr>
              <w:t>n</w:t>
            </w:r>
            <w:r>
              <w:rPr>
                <w:rFonts w:cs="Arial"/>
                <w:b/>
                <w:bCs/>
                <w:sz w:val="18"/>
                <w:szCs w:val="18"/>
              </w:rPr>
              <w:t xml:space="preserve"> </w:t>
            </w:r>
            <w:r w:rsidRPr="002742BE">
              <w:rPr>
                <w:rFonts w:cs="Arial"/>
                <w:b/>
                <w:bCs/>
                <w:sz w:val="18"/>
                <w:szCs w:val="18"/>
              </w:rPr>
              <w:t>(%)</w:t>
            </w:r>
          </w:p>
        </w:tc>
      </w:tr>
      <w:tr w:rsidR="004C2A46" w:rsidRPr="002742BE" w14:paraId="6F0EC8AC" w14:textId="77777777" w:rsidTr="00161519">
        <w:tc>
          <w:tcPr>
            <w:tcW w:w="2448" w:type="dxa"/>
            <w:tcBorders>
              <w:top w:val="single" w:sz="4" w:space="0" w:color="auto"/>
              <w:left w:val="single" w:sz="4" w:space="0" w:color="auto"/>
              <w:right w:val="single" w:sz="4" w:space="0" w:color="auto"/>
            </w:tcBorders>
            <w:shd w:val="clear" w:color="auto" w:fill="auto"/>
          </w:tcPr>
          <w:p w14:paraId="61BC05E1"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bCs/>
                <w:sz w:val="18"/>
                <w:szCs w:val="18"/>
              </w:rPr>
              <w:t>Blood and lymphatic system disorders</w:t>
            </w:r>
          </w:p>
        </w:tc>
        <w:tc>
          <w:tcPr>
            <w:tcW w:w="1620" w:type="dxa"/>
            <w:tcBorders>
              <w:top w:val="single" w:sz="4" w:space="0" w:color="auto"/>
              <w:left w:val="single" w:sz="4" w:space="0" w:color="auto"/>
              <w:right w:val="single" w:sz="4" w:space="0" w:color="auto"/>
            </w:tcBorders>
            <w:shd w:val="clear" w:color="auto" w:fill="auto"/>
          </w:tcPr>
          <w:p w14:paraId="053A7CCE"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2FD2AC2D"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440" w:type="dxa"/>
            <w:tcBorders>
              <w:top w:val="single" w:sz="4" w:space="0" w:color="auto"/>
              <w:left w:val="single" w:sz="4" w:space="0" w:color="auto"/>
              <w:right w:val="single" w:sz="4" w:space="0" w:color="auto"/>
            </w:tcBorders>
            <w:shd w:val="clear" w:color="auto" w:fill="auto"/>
          </w:tcPr>
          <w:p w14:paraId="4023FCCF"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3FA66F76" w14:textId="77777777" w:rsidR="004C2A46" w:rsidRPr="002742BE" w:rsidRDefault="004C2A46" w:rsidP="00161519">
            <w:pPr>
              <w:autoSpaceDE w:val="0"/>
              <w:autoSpaceDN w:val="0"/>
              <w:adjustRightInd w:val="0"/>
              <w:spacing w:before="60" w:after="60"/>
              <w:ind w:right="46"/>
              <w:rPr>
                <w:rFonts w:cs="Arial"/>
                <w:b/>
                <w:bCs/>
                <w:sz w:val="18"/>
                <w:szCs w:val="18"/>
              </w:rPr>
            </w:pPr>
          </w:p>
        </w:tc>
      </w:tr>
      <w:tr w:rsidR="004C2A46" w:rsidRPr="002742BE" w14:paraId="593BE5B0" w14:textId="77777777" w:rsidTr="00161519">
        <w:trPr>
          <w:trHeight w:val="213"/>
        </w:trPr>
        <w:tc>
          <w:tcPr>
            <w:tcW w:w="2448" w:type="dxa"/>
            <w:tcBorders>
              <w:left w:val="single" w:sz="4" w:space="0" w:color="auto"/>
              <w:bottom w:val="single" w:sz="4" w:space="0" w:color="auto"/>
              <w:right w:val="single" w:sz="4" w:space="0" w:color="auto"/>
            </w:tcBorders>
            <w:shd w:val="clear" w:color="auto" w:fill="auto"/>
          </w:tcPr>
          <w:p w14:paraId="25356147"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sz w:val="18"/>
                <w:szCs w:val="18"/>
              </w:rPr>
              <w:lastRenderedPageBreak/>
              <w:t xml:space="preserve">Anaemia </w:t>
            </w:r>
          </w:p>
        </w:tc>
        <w:tc>
          <w:tcPr>
            <w:tcW w:w="1620" w:type="dxa"/>
            <w:tcBorders>
              <w:left w:val="single" w:sz="4" w:space="0" w:color="auto"/>
              <w:bottom w:val="single" w:sz="4" w:space="0" w:color="auto"/>
              <w:right w:val="single" w:sz="4" w:space="0" w:color="auto"/>
            </w:tcBorders>
            <w:shd w:val="clear" w:color="auto" w:fill="auto"/>
          </w:tcPr>
          <w:p w14:paraId="0BE19EC3"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84 (2.03)</w:t>
            </w:r>
          </w:p>
        </w:tc>
        <w:tc>
          <w:tcPr>
            <w:tcW w:w="1620" w:type="dxa"/>
            <w:tcBorders>
              <w:left w:val="single" w:sz="4" w:space="0" w:color="auto"/>
              <w:bottom w:val="single" w:sz="4" w:space="0" w:color="auto"/>
              <w:right w:val="single" w:sz="4" w:space="0" w:color="auto"/>
            </w:tcBorders>
            <w:shd w:val="clear" w:color="auto" w:fill="auto"/>
          </w:tcPr>
          <w:p w14:paraId="69945AA1"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62 (1.51)</w:t>
            </w:r>
          </w:p>
        </w:tc>
        <w:tc>
          <w:tcPr>
            <w:tcW w:w="1440" w:type="dxa"/>
            <w:tcBorders>
              <w:left w:val="single" w:sz="4" w:space="0" w:color="auto"/>
              <w:bottom w:val="single" w:sz="4" w:space="0" w:color="auto"/>
              <w:right w:val="single" w:sz="4" w:space="0" w:color="auto"/>
            </w:tcBorders>
            <w:shd w:val="clear" w:color="auto" w:fill="auto"/>
          </w:tcPr>
          <w:p w14:paraId="7B65D0BD"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4 (0.67)</w:t>
            </w:r>
          </w:p>
        </w:tc>
        <w:tc>
          <w:tcPr>
            <w:tcW w:w="1620" w:type="dxa"/>
            <w:tcBorders>
              <w:left w:val="single" w:sz="4" w:space="0" w:color="auto"/>
              <w:bottom w:val="single" w:sz="4" w:space="0" w:color="auto"/>
              <w:right w:val="single" w:sz="4" w:space="0" w:color="auto"/>
            </w:tcBorders>
            <w:shd w:val="clear" w:color="auto" w:fill="auto"/>
          </w:tcPr>
          <w:p w14:paraId="0C05E557"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 (0.34)</w:t>
            </w:r>
          </w:p>
        </w:tc>
      </w:tr>
      <w:tr w:rsidR="004C2A46" w:rsidRPr="002742BE" w14:paraId="78064508" w14:textId="77777777" w:rsidTr="00161519">
        <w:tc>
          <w:tcPr>
            <w:tcW w:w="2448" w:type="dxa"/>
            <w:tcBorders>
              <w:top w:val="single" w:sz="4" w:space="0" w:color="auto"/>
              <w:left w:val="single" w:sz="4" w:space="0" w:color="auto"/>
              <w:right w:val="single" w:sz="4" w:space="0" w:color="auto"/>
            </w:tcBorders>
            <w:shd w:val="clear" w:color="auto" w:fill="auto"/>
          </w:tcPr>
          <w:p w14:paraId="69E77BC8" w14:textId="77777777" w:rsidR="004C2A46" w:rsidRDefault="004C2A46" w:rsidP="00161519">
            <w:pPr>
              <w:autoSpaceDE w:val="0"/>
              <w:autoSpaceDN w:val="0"/>
              <w:adjustRightInd w:val="0"/>
              <w:spacing w:before="60" w:after="60"/>
              <w:ind w:right="46"/>
              <w:rPr>
                <w:rFonts w:cs="Arial"/>
                <w:b/>
                <w:bCs/>
                <w:sz w:val="18"/>
                <w:szCs w:val="18"/>
              </w:rPr>
            </w:pPr>
            <w:r>
              <w:rPr>
                <w:rFonts w:cs="Arial"/>
                <w:b/>
                <w:bCs/>
                <w:sz w:val="18"/>
                <w:szCs w:val="18"/>
              </w:rPr>
              <w:t>Cardiac disorder</w:t>
            </w:r>
          </w:p>
          <w:p w14:paraId="7084A89B" w14:textId="77777777" w:rsidR="004C2A46" w:rsidRPr="00261231" w:rsidRDefault="004C2A46" w:rsidP="00161519">
            <w:pPr>
              <w:autoSpaceDE w:val="0"/>
              <w:autoSpaceDN w:val="0"/>
              <w:adjustRightInd w:val="0"/>
              <w:spacing w:before="60" w:after="60"/>
              <w:ind w:right="46"/>
              <w:rPr>
                <w:rFonts w:cs="Arial"/>
                <w:bCs/>
                <w:sz w:val="18"/>
                <w:szCs w:val="18"/>
              </w:rPr>
            </w:pPr>
            <w:r w:rsidRPr="00261231">
              <w:rPr>
                <w:rFonts w:cs="Arial"/>
                <w:bCs/>
                <w:sz w:val="18"/>
                <w:szCs w:val="18"/>
              </w:rPr>
              <w:t>Tachycardia</w:t>
            </w:r>
          </w:p>
        </w:tc>
        <w:tc>
          <w:tcPr>
            <w:tcW w:w="1620" w:type="dxa"/>
            <w:tcBorders>
              <w:top w:val="single" w:sz="4" w:space="0" w:color="auto"/>
              <w:left w:val="single" w:sz="4" w:space="0" w:color="auto"/>
              <w:right w:val="single" w:sz="4" w:space="0" w:color="auto"/>
            </w:tcBorders>
            <w:shd w:val="clear" w:color="auto" w:fill="auto"/>
          </w:tcPr>
          <w:p w14:paraId="2C45334D" w14:textId="77777777" w:rsidR="004C2A46" w:rsidRPr="00261231" w:rsidRDefault="004C2A46" w:rsidP="00161519">
            <w:pPr>
              <w:autoSpaceDE w:val="0"/>
              <w:autoSpaceDN w:val="0"/>
              <w:adjustRightInd w:val="0"/>
              <w:spacing w:before="60" w:after="60"/>
              <w:ind w:right="46"/>
              <w:jc w:val="center"/>
              <w:rPr>
                <w:rFonts w:cs="Arial"/>
                <w:bCs/>
                <w:sz w:val="18"/>
                <w:szCs w:val="18"/>
              </w:rPr>
            </w:pPr>
          </w:p>
          <w:p w14:paraId="75CDE783" w14:textId="77777777" w:rsidR="004C2A46" w:rsidRPr="00261231"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55 (1.33)</w:t>
            </w:r>
          </w:p>
        </w:tc>
        <w:tc>
          <w:tcPr>
            <w:tcW w:w="1620" w:type="dxa"/>
            <w:tcBorders>
              <w:top w:val="single" w:sz="4" w:space="0" w:color="auto"/>
              <w:left w:val="single" w:sz="4" w:space="0" w:color="auto"/>
              <w:right w:val="single" w:sz="4" w:space="0" w:color="auto"/>
            </w:tcBorders>
            <w:shd w:val="clear" w:color="auto" w:fill="auto"/>
          </w:tcPr>
          <w:p w14:paraId="773784EC" w14:textId="77777777" w:rsidR="004C2A46" w:rsidRPr="00261231" w:rsidRDefault="004C2A46" w:rsidP="00161519">
            <w:pPr>
              <w:autoSpaceDE w:val="0"/>
              <w:autoSpaceDN w:val="0"/>
              <w:adjustRightInd w:val="0"/>
              <w:spacing w:before="60" w:after="60"/>
              <w:ind w:right="46"/>
              <w:jc w:val="center"/>
              <w:rPr>
                <w:rFonts w:cs="Arial"/>
                <w:bCs/>
                <w:sz w:val="18"/>
                <w:szCs w:val="18"/>
              </w:rPr>
            </w:pPr>
          </w:p>
          <w:p w14:paraId="27F34726" w14:textId="77777777" w:rsidR="004C2A46" w:rsidRPr="00261231"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43 (1.04)</w:t>
            </w:r>
          </w:p>
        </w:tc>
        <w:tc>
          <w:tcPr>
            <w:tcW w:w="1440" w:type="dxa"/>
            <w:tcBorders>
              <w:top w:val="single" w:sz="4" w:space="0" w:color="auto"/>
              <w:left w:val="single" w:sz="4" w:space="0" w:color="auto"/>
              <w:right w:val="single" w:sz="4" w:space="0" w:color="auto"/>
            </w:tcBorders>
            <w:shd w:val="clear" w:color="auto" w:fill="auto"/>
          </w:tcPr>
          <w:p w14:paraId="3AFD488F" w14:textId="77777777" w:rsidR="004C2A46" w:rsidRPr="00261231" w:rsidRDefault="004C2A46" w:rsidP="00161519">
            <w:pPr>
              <w:autoSpaceDE w:val="0"/>
              <w:autoSpaceDN w:val="0"/>
              <w:adjustRightInd w:val="0"/>
              <w:spacing w:before="60" w:after="60"/>
              <w:ind w:right="46"/>
              <w:jc w:val="center"/>
              <w:rPr>
                <w:rFonts w:cs="Arial"/>
                <w:bCs/>
                <w:sz w:val="18"/>
                <w:szCs w:val="18"/>
              </w:rPr>
            </w:pPr>
          </w:p>
          <w:p w14:paraId="21D561EE" w14:textId="77777777" w:rsidR="004C2A46" w:rsidRPr="00261231"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2 (0.33)</w:t>
            </w:r>
          </w:p>
        </w:tc>
        <w:tc>
          <w:tcPr>
            <w:tcW w:w="1620" w:type="dxa"/>
            <w:tcBorders>
              <w:top w:val="single" w:sz="4" w:space="0" w:color="auto"/>
              <w:left w:val="single" w:sz="4" w:space="0" w:color="auto"/>
              <w:right w:val="single" w:sz="4" w:space="0" w:color="auto"/>
            </w:tcBorders>
            <w:shd w:val="clear" w:color="auto" w:fill="auto"/>
          </w:tcPr>
          <w:p w14:paraId="121AA1FC" w14:textId="77777777" w:rsidR="004C2A46" w:rsidRPr="00261231" w:rsidRDefault="004C2A46" w:rsidP="00161519">
            <w:pPr>
              <w:autoSpaceDE w:val="0"/>
              <w:autoSpaceDN w:val="0"/>
              <w:adjustRightInd w:val="0"/>
              <w:spacing w:before="60" w:after="60"/>
              <w:ind w:right="46"/>
              <w:jc w:val="center"/>
              <w:rPr>
                <w:rFonts w:cs="Arial"/>
                <w:bCs/>
                <w:sz w:val="18"/>
                <w:szCs w:val="18"/>
              </w:rPr>
            </w:pPr>
          </w:p>
          <w:p w14:paraId="22C4EEB4" w14:textId="77777777" w:rsidR="004C2A46" w:rsidRPr="00261231"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0</w:t>
            </w:r>
          </w:p>
        </w:tc>
      </w:tr>
      <w:tr w:rsidR="004C2A46" w:rsidRPr="002742BE" w14:paraId="3051A4F8" w14:textId="77777777" w:rsidTr="00161519">
        <w:tc>
          <w:tcPr>
            <w:tcW w:w="2448" w:type="dxa"/>
            <w:tcBorders>
              <w:top w:val="single" w:sz="4" w:space="0" w:color="auto"/>
              <w:left w:val="single" w:sz="4" w:space="0" w:color="auto"/>
              <w:right w:val="single" w:sz="4" w:space="0" w:color="auto"/>
            </w:tcBorders>
            <w:shd w:val="clear" w:color="auto" w:fill="auto"/>
          </w:tcPr>
          <w:p w14:paraId="2393355A"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bCs/>
                <w:sz w:val="18"/>
                <w:szCs w:val="18"/>
              </w:rPr>
              <w:t>Eye disorders</w:t>
            </w:r>
          </w:p>
        </w:tc>
        <w:tc>
          <w:tcPr>
            <w:tcW w:w="1620" w:type="dxa"/>
            <w:tcBorders>
              <w:top w:val="single" w:sz="4" w:space="0" w:color="auto"/>
              <w:left w:val="single" w:sz="4" w:space="0" w:color="auto"/>
              <w:right w:val="single" w:sz="4" w:space="0" w:color="auto"/>
            </w:tcBorders>
            <w:shd w:val="clear" w:color="auto" w:fill="auto"/>
          </w:tcPr>
          <w:p w14:paraId="61727178"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7E77F623"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440" w:type="dxa"/>
            <w:tcBorders>
              <w:top w:val="single" w:sz="4" w:space="0" w:color="auto"/>
              <w:left w:val="single" w:sz="4" w:space="0" w:color="auto"/>
              <w:right w:val="single" w:sz="4" w:space="0" w:color="auto"/>
            </w:tcBorders>
            <w:shd w:val="clear" w:color="auto" w:fill="auto"/>
          </w:tcPr>
          <w:p w14:paraId="5B2A8BFB"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0A491259" w14:textId="77777777" w:rsidR="004C2A46" w:rsidRPr="002742BE" w:rsidRDefault="004C2A46" w:rsidP="00161519">
            <w:pPr>
              <w:autoSpaceDE w:val="0"/>
              <w:autoSpaceDN w:val="0"/>
              <w:adjustRightInd w:val="0"/>
              <w:spacing w:before="60" w:after="60"/>
              <w:ind w:right="46"/>
              <w:rPr>
                <w:rFonts w:cs="Arial"/>
                <w:b/>
                <w:bCs/>
                <w:sz w:val="18"/>
                <w:szCs w:val="18"/>
              </w:rPr>
            </w:pPr>
          </w:p>
        </w:tc>
      </w:tr>
      <w:tr w:rsidR="004C2A46" w:rsidRPr="002742BE" w14:paraId="225697DF" w14:textId="77777777" w:rsidTr="004C2A46">
        <w:trPr>
          <w:trHeight w:val="261"/>
        </w:trPr>
        <w:tc>
          <w:tcPr>
            <w:tcW w:w="2448" w:type="dxa"/>
            <w:tcBorders>
              <w:left w:val="single" w:sz="4" w:space="0" w:color="auto"/>
              <w:bottom w:val="single" w:sz="4" w:space="0" w:color="000000"/>
              <w:right w:val="single" w:sz="4" w:space="0" w:color="auto"/>
            </w:tcBorders>
            <w:shd w:val="clear" w:color="auto" w:fill="auto"/>
          </w:tcPr>
          <w:p w14:paraId="47328041"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Cs/>
                <w:sz w:val="18"/>
                <w:szCs w:val="18"/>
              </w:rPr>
              <w:t>Conjunctival haemorrhage</w:t>
            </w:r>
          </w:p>
        </w:tc>
        <w:tc>
          <w:tcPr>
            <w:tcW w:w="1620" w:type="dxa"/>
            <w:tcBorders>
              <w:left w:val="single" w:sz="4" w:space="0" w:color="auto"/>
              <w:bottom w:val="single" w:sz="4" w:space="0" w:color="auto"/>
              <w:right w:val="single" w:sz="4" w:space="0" w:color="auto"/>
            </w:tcBorders>
            <w:shd w:val="clear" w:color="auto" w:fill="auto"/>
          </w:tcPr>
          <w:p w14:paraId="776F265C"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12 (0.70)</w:t>
            </w:r>
          </w:p>
        </w:tc>
        <w:tc>
          <w:tcPr>
            <w:tcW w:w="1620" w:type="dxa"/>
            <w:tcBorders>
              <w:left w:val="single" w:sz="4" w:space="0" w:color="auto"/>
              <w:bottom w:val="single" w:sz="4" w:space="0" w:color="000000"/>
              <w:right w:val="single" w:sz="4" w:space="0" w:color="auto"/>
            </w:tcBorders>
            <w:shd w:val="clear" w:color="auto" w:fill="auto"/>
          </w:tcPr>
          <w:p w14:paraId="7E1F9513"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21 (1.23)</w:t>
            </w:r>
          </w:p>
        </w:tc>
        <w:tc>
          <w:tcPr>
            <w:tcW w:w="1440" w:type="dxa"/>
            <w:tcBorders>
              <w:left w:val="single" w:sz="4" w:space="0" w:color="auto"/>
              <w:bottom w:val="single" w:sz="4" w:space="0" w:color="auto"/>
              <w:right w:val="single" w:sz="4" w:space="0" w:color="auto"/>
            </w:tcBorders>
            <w:shd w:val="clear" w:color="auto" w:fill="auto"/>
          </w:tcPr>
          <w:p w14:paraId="1CA6EB45"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6 (1.00)</w:t>
            </w:r>
          </w:p>
        </w:tc>
        <w:tc>
          <w:tcPr>
            <w:tcW w:w="1620" w:type="dxa"/>
            <w:tcBorders>
              <w:left w:val="single" w:sz="4" w:space="0" w:color="auto"/>
              <w:bottom w:val="single" w:sz="4" w:space="0" w:color="000000"/>
              <w:right w:val="single" w:sz="4" w:space="0" w:color="auto"/>
            </w:tcBorders>
            <w:shd w:val="clear" w:color="auto" w:fill="auto"/>
          </w:tcPr>
          <w:p w14:paraId="4A9C8929" w14:textId="77777777" w:rsidR="004C2A46"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 xml:space="preserve">0 </w:t>
            </w:r>
          </w:p>
          <w:p w14:paraId="7246D497" w14:textId="77777777" w:rsidR="007423A3" w:rsidRPr="002742BE" w:rsidRDefault="007423A3" w:rsidP="00161519">
            <w:pPr>
              <w:autoSpaceDE w:val="0"/>
              <w:autoSpaceDN w:val="0"/>
              <w:adjustRightInd w:val="0"/>
              <w:spacing w:before="60" w:after="60"/>
              <w:ind w:right="46"/>
              <w:jc w:val="center"/>
              <w:rPr>
                <w:rFonts w:cs="Arial"/>
                <w:bCs/>
                <w:sz w:val="18"/>
                <w:szCs w:val="18"/>
              </w:rPr>
            </w:pPr>
          </w:p>
        </w:tc>
      </w:tr>
      <w:tr w:rsidR="004C2A46" w:rsidRPr="002742BE" w14:paraId="51EB1ED6" w14:textId="77777777" w:rsidTr="004C2A46">
        <w:tc>
          <w:tcPr>
            <w:tcW w:w="2448" w:type="dxa"/>
            <w:tcBorders>
              <w:top w:val="single" w:sz="4" w:space="0" w:color="000000"/>
              <w:left w:val="single" w:sz="4" w:space="0" w:color="000000"/>
              <w:right w:val="single" w:sz="4" w:space="0" w:color="000000"/>
            </w:tcBorders>
            <w:shd w:val="clear" w:color="auto" w:fill="auto"/>
          </w:tcPr>
          <w:p w14:paraId="6F0D18F4"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bCs/>
                <w:sz w:val="18"/>
                <w:szCs w:val="18"/>
              </w:rPr>
              <w:t>Gastrointestinal disorders</w:t>
            </w:r>
          </w:p>
        </w:tc>
        <w:tc>
          <w:tcPr>
            <w:tcW w:w="1620" w:type="dxa"/>
            <w:tcBorders>
              <w:top w:val="single" w:sz="4" w:space="0" w:color="auto"/>
              <w:left w:val="single" w:sz="4" w:space="0" w:color="000000"/>
              <w:right w:val="single" w:sz="4" w:space="0" w:color="000000"/>
            </w:tcBorders>
            <w:shd w:val="clear" w:color="auto" w:fill="auto"/>
          </w:tcPr>
          <w:p w14:paraId="64834BC3"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000000"/>
              <w:left w:val="single" w:sz="4" w:space="0" w:color="000000"/>
              <w:right w:val="single" w:sz="4" w:space="0" w:color="000000"/>
            </w:tcBorders>
            <w:shd w:val="clear" w:color="auto" w:fill="auto"/>
          </w:tcPr>
          <w:p w14:paraId="1BFE7340"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440" w:type="dxa"/>
            <w:tcBorders>
              <w:top w:val="single" w:sz="4" w:space="0" w:color="auto"/>
              <w:left w:val="single" w:sz="4" w:space="0" w:color="000000"/>
              <w:right w:val="single" w:sz="4" w:space="0" w:color="000000"/>
            </w:tcBorders>
            <w:shd w:val="clear" w:color="auto" w:fill="auto"/>
          </w:tcPr>
          <w:p w14:paraId="0B9817F3"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000000"/>
              <w:left w:val="single" w:sz="4" w:space="0" w:color="000000"/>
              <w:right w:val="single" w:sz="4" w:space="0" w:color="000000"/>
            </w:tcBorders>
            <w:shd w:val="clear" w:color="auto" w:fill="auto"/>
          </w:tcPr>
          <w:p w14:paraId="64DB7382" w14:textId="77777777" w:rsidR="004C2A46" w:rsidRPr="002742BE" w:rsidRDefault="004C2A46" w:rsidP="00161519">
            <w:pPr>
              <w:autoSpaceDE w:val="0"/>
              <w:autoSpaceDN w:val="0"/>
              <w:adjustRightInd w:val="0"/>
              <w:spacing w:before="60" w:after="60"/>
              <w:ind w:right="46"/>
              <w:rPr>
                <w:rFonts w:cs="Arial"/>
                <w:b/>
                <w:bCs/>
                <w:sz w:val="18"/>
                <w:szCs w:val="18"/>
              </w:rPr>
            </w:pPr>
          </w:p>
        </w:tc>
      </w:tr>
      <w:tr w:rsidR="004C2A46" w:rsidRPr="002742BE" w14:paraId="0BB1C584" w14:textId="77777777" w:rsidTr="004C2A46">
        <w:tc>
          <w:tcPr>
            <w:tcW w:w="2448" w:type="dxa"/>
            <w:tcBorders>
              <w:left w:val="single" w:sz="4" w:space="0" w:color="000000"/>
              <w:right w:val="single" w:sz="4" w:space="0" w:color="000000"/>
            </w:tcBorders>
            <w:shd w:val="clear" w:color="auto" w:fill="auto"/>
          </w:tcPr>
          <w:p w14:paraId="440AE510"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sz w:val="18"/>
                <w:szCs w:val="18"/>
              </w:rPr>
              <w:t>Gingival bleeding</w:t>
            </w:r>
          </w:p>
        </w:tc>
        <w:tc>
          <w:tcPr>
            <w:tcW w:w="1620" w:type="dxa"/>
            <w:tcBorders>
              <w:left w:val="single" w:sz="4" w:space="0" w:color="000000"/>
              <w:right w:val="single" w:sz="4" w:space="0" w:color="000000"/>
            </w:tcBorders>
            <w:shd w:val="clear" w:color="auto" w:fill="auto"/>
          </w:tcPr>
          <w:p w14:paraId="7102712C"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93 (2.25)</w:t>
            </w:r>
          </w:p>
        </w:tc>
        <w:tc>
          <w:tcPr>
            <w:tcW w:w="1620" w:type="dxa"/>
            <w:tcBorders>
              <w:left w:val="single" w:sz="4" w:space="0" w:color="000000"/>
              <w:right w:val="single" w:sz="4" w:space="0" w:color="000000"/>
            </w:tcBorders>
            <w:shd w:val="clear" w:color="auto" w:fill="auto"/>
          </w:tcPr>
          <w:p w14:paraId="05BCA770"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104 (2.53)</w:t>
            </w:r>
          </w:p>
        </w:tc>
        <w:tc>
          <w:tcPr>
            <w:tcW w:w="1440" w:type="dxa"/>
            <w:tcBorders>
              <w:left w:val="single" w:sz="4" w:space="0" w:color="000000"/>
              <w:right w:val="single" w:sz="4" w:space="0" w:color="000000"/>
            </w:tcBorders>
            <w:shd w:val="clear" w:color="auto" w:fill="auto"/>
          </w:tcPr>
          <w:p w14:paraId="3170304E"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11 (1.84)</w:t>
            </w:r>
          </w:p>
        </w:tc>
        <w:tc>
          <w:tcPr>
            <w:tcW w:w="1620" w:type="dxa"/>
            <w:tcBorders>
              <w:left w:val="single" w:sz="4" w:space="0" w:color="000000"/>
              <w:right w:val="single" w:sz="4" w:space="0" w:color="000000"/>
            </w:tcBorders>
            <w:shd w:val="clear" w:color="auto" w:fill="auto"/>
          </w:tcPr>
          <w:p w14:paraId="37F9F827"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 (0.34)</w:t>
            </w:r>
          </w:p>
        </w:tc>
      </w:tr>
      <w:tr w:rsidR="004C2A46" w:rsidRPr="002742BE" w14:paraId="767E592C" w14:textId="77777777" w:rsidTr="004C2A46">
        <w:tc>
          <w:tcPr>
            <w:tcW w:w="2448" w:type="dxa"/>
            <w:tcBorders>
              <w:left w:val="single" w:sz="4" w:space="0" w:color="000000"/>
              <w:right w:val="single" w:sz="4" w:space="0" w:color="000000"/>
            </w:tcBorders>
            <w:shd w:val="clear" w:color="auto" w:fill="auto"/>
          </w:tcPr>
          <w:p w14:paraId="3DF30829" w14:textId="77777777" w:rsidR="004C2A46" w:rsidRPr="002742BE" w:rsidRDefault="004C2A46" w:rsidP="00161519">
            <w:pPr>
              <w:autoSpaceDE w:val="0"/>
              <w:autoSpaceDN w:val="0"/>
              <w:adjustRightInd w:val="0"/>
              <w:spacing w:before="60" w:after="60"/>
              <w:ind w:right="46"/>
              <w:rPr>
                <w:rFonts w:cs="Arial"/>
                <w:sz w:val="18"/>
                <w:szCs w:val="18"/>
              </w:rPr>
            </w:pPr>
            <w:r w:rsidRPr="002742BE">
              <w:rPr>
                <w:rFonts w:cs="Arial"/>
                <w:sz w:val="18"/>
                <w:szCs w:val="18"/>
              </w:rPr>
              <w:t>Rectal h</w:t>
            </w:r>
            <w:r>
              <w:rPr>
                <w:rFonts w:cs="Arial"/>
                <w:sz w:val="18"/>
                <w:szCs w:val="18"/>
              </w:rPr>
              <w:t>a</w:t>
            </w:r>
            <w:r w:rsidRPr="002742BE">
              <w:rPr>
                <w:rFonts w:cs="Arial"/>
                <w:sz w:val="18"/>
                <w:szCs w:val="18"/>
              </w:rPr>
              <w:t>emorrhage</w:t>
            </w:r>
          </w:p>
        </w:tc>
        <w:tc>
          <w:tcPr>
            <w:tcW w:w="1620" w:type="dxa"/>
            <w:tcBorders>
              <w:left w:val="single" w:sz="4" w:space="0" w:color="000000"/>
              <w:right w:val="single" w:sz="4" w:space="0" w:color="000000"/>
            </w:tcBorders>
            <w:shd w:val="clear" w:color="auto" w:fill="auto"/>
          </w:tcPr>
          <w:p w14:paraId="2F8CD101"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90 (2.18)</w:t>
            </w:r>
          </w:p>
        </w:tc>
        <w:tc>
          <w:tcPr>
            <w:tcW w:w="1620" w:type="dxa"/>
            <w:tcBorders>
              <w:left w:val="single" w:sz="4" w:space="0" w:color="000000"/>
              <w:right w:val="single" w:sz="4" w:space="0" w:color="000000"/>
            </w:tcBorders>
            <w:shd w:val="clear" w:color="auto" w:fill="auto"/>
          </w:tcPr>
          <w:p w14:paraId="483AF179"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56 (1.36)</w:t>
            </w:r>
          </w:p>
        </w:tc>
        <w:tc>
          <w:tcPr>
            <w:tcW w:w="1440" w:type="dxa"/>
            <w:tcBorders>
              <w:left w:val="single" w:sz="4" w:space="0" w:color="000000"/>
              <w:right w:val="single" w:sz="4" w:space="0" w:color="000000"/>
            </w:tcBorders>
            <w:shd w:val="clear" w:color="auto" w:fill="auto"/>
          </w:tcPr>
          <w:p w14:paraId="184E8E32"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4 (0.67)</w:t>
            </w:r>
          </w:p>
        </w:tc>
        <w:tc>
          <w:tcPr>
            <w:tcW w:w="1620" w:type="dxa"/>
            <w:tcBorders>
              <w:left w:val="single" w:sz="4" w:space="0" w:color="000000"/>
              <w:right w:val="single" w:sz="4" w:space="0" w:color="000000"/>
            </w:tcBorders>
            <w:shd w:val="clear" w:color="auto" w:fill="auto"/>
          </w:tcPr>
          <w:p w14:paraId="18B1C279"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4 (0.68)</w:t>
            </w:r>
          </w:p>
        </w:tc>
      </w:tr>
      <w:tr w:rsidR="004C2A46" w:rsidRPr="002742BE" w14:paraId="17E78E2B" w14:textId="77777777" w:rsidTr="004C2A46">
        <w:tc>
          <w:tcPr>
            <w:tcW w:w="2448" w:type="dxa"/>
            <w:tcBorders>
              <w:left w:val="single" w:sz="4" w:space="0" w:color="000000"/>
              <w:right w:val="single" w:sz="4" w:space="0" w:color="000000"/>
            </w:tcBorders>
            <w:shd w:val="clear" w:color="auto" w:fill="auto"/>
          </w:tcPr>
          <w:p w14:paraId="682FD62E"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sz w:val="18"/>
                <w:szCs w:val="18"/>
              </w:rPr>
              <w:t>Abdominal pain</w:t>
            </w:r>
          </w:p>
        </w:tc>
        <w:tc>
          <w:tcPr>
            <w:tcW w:w="1620" w:type="dxa"/>
            <w:tcBorders>
              <w:left w:val="single" w:sz="4" w:space="0" w:color="000000"/>
              <w:right w:val="single" w:sz="4" w:space="0" w:color="000000"/>
            </w:tcBorders>
            <w:shd w:val="clear" w:color="auto" w:fill="auto"/>
          </w:tcPr>
          <w:p w14:paraId="0E38A3D1"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69 (1.67)</w:t>
            </w:r>
          </w:p>
        </w:tc>
        <w:tc>
          <w:tcPr>
            <w:tcW w:w="1620" w:type="dxa"/>
            <w:tcBorders>
              <w:left w:val="single" w:sz="4" w:space="0" w:color="000000"/>
              <w:right w:val="single" w:sz="4" w:space="0" w:color="000000"/>
            </w:tcBorders>
            <w:shd w:val="clear" w:color="auto" w:fill="auto"/>
          </w:tcPr>
          <w:p w14:paraId="2DF13B21"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53 (1.29)</w:t>
            </w:r>
          </w:p>
        </w:tc>
        <w:tc>
          <w:tcPr>
            <w:tcW w:w="1440" w:type="dxa"/>
            <w:tcBorders>
              <w:left w:val="single" w:sz="4" w:space="0" w:color="000000"/>
              <w:right w:val="single" w:sz="4" w:space="0" w:color="000000"/>
            </w:tcBorders>
            <w:shd w:val="clear" w:color="auto" w:fill="auto"/>
          </w:tcPr>
          <w:p w14:paraId="1A762F4A"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 (0.33)</w:t>
            </w:r>
          </w:p>
        </w:tc>
        <w:tc>
          <w:tcPr>
            <w:tcW w:w="1620" w:type="dxa"/>
            <w:tcBorders>
              <w:left w:val="single" w:sz="4" w:space="0" w:color="000000"/>
              <w:right w:val="single" w:sz="4" w:space="0" w:color="000000"/>
            </w:tcBorders>
            <w:shd w:val="clear" w:color="auto" w:fill="auto"/>
          </w:tcPr>
          <w:p w14:paraId="4300FC9B"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7 (1.19)</w:t>
            </w:r>
          </w:p>
        </w:tc>
      </w:tr>
      <w:tr w:rsidR="004C2A46" w:rsidRPr="002742BE" w14:paraId="4BDD46C2" w14:textId="77777777" w:rsidTr="004C2A46">
        <w:tc>
          <w:tcPr>
            <w:tcW w:w="2448" w:type="dxa"/>
            <w:tcBorders>
              <w:left w:val="single" w:sz="4" w:space="0" w:color="000000"/>
              <w:right w:val="single" w:sz="4" w:space="0" w:color="000000"/>
            </w:tcBorders>
            <w:shd w:val="clear" w:color="auto" w:fill="auto"/>
          </w:tcPr>
          <w:p w14:paraId="2945C284" w14:textId="77777777" w:rsidR="004C2A46" w:rsidRPr="002742BE" w:rsidRDefault="004C2A46" w:rsidP="00161519">
            <w:pPr>
              <w:autoSpaceDE w:val="0"/>
              <w:autoSpaceDN w:val="0"/>
              <w:adjustRightInd w:val="0"/>
              <w:spacing w:before="60" w:after="60"/>
              <w:ind w:right="46"/>
              <w:rPr>
                <w:rFonts w:cs="Arial"/>
                <w:sz w:val="18"/>
                <w:szCs w:val="18"/>
              </w:rPr>
            </w:pPr>
            <w:r w:rsidRPr="002742BE">
              <w:rPr>
                <w:rFonts w:cs="Arial"/>
                <w:sz w:val="18"/>
                <w:szCs w:val="18"/>
              </w:rPr>
              <w:t xml:space="preserve">Abdominal pain upper </w:t>
            </w:r>
          </w:p>
        </w:tc>
        <w:tc>
          <w:tcPr>
            <w:tcW w:w="1620" w:type="dxa"/>
            <w:tcBorders>
              <w:left w:val="single" w:sz="4" w:space="0" w:color="000000"/>
              <w:right w:val="single" w:sz="4" w:space="0" w:color="000000"/>
            </w:tcBorders>
            <w:shd w:val="clear" w:color="auto" w:fill="auto"/>
          </w:tcPr>
          <w:p w14:paraId="744412F3"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71 (1.72)</w:t>
            </w:r>
          </w:p>
        </w:tc>
        <w:tc>
          <w:tcPr>
            <w:tcW w:w="1620" w:type="dxa"/>
            <w:tcBorders>
              <w:left w:val="single" w:sz="4" w:space="0" w:color="000000"/>
              <w:right w:val="single" w:sz="4" w:space="0" w:color="000000"/>
            </w:tcBorders>
            <w:shd w:val="clear" w:color="auto" w:fill="auto"/>
          </w:tcPr>
          <w:p w14:paraId="7297DBAD"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50 (1.21)</w:t>
            </w:r>
          </w:p>
        </w:tc>
        <w:tc>
          <w:tcPr>
            <w:tcW w:w="1440" w:type="dxa"/>
            <w:tcBorders>
              <w:left w:val="single" w:sz="4" w:space="0" w:color="000000"/>
              <w:right w:val="single" w:sz="4" w:space="0" w:color="000000"/>
            </w:tcBorders>
            <w:shd w:val="clear" w:color="auto" w:fill="auto"/>
          </w:tcPr>
          <w:p w14:paraId="46D36F2A"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10 (1.67)</w:t>
            </w:r>
          </w:p>
        </w:tc>
        <w:tc>
          <w:tcPr>
            <w:tcW w:w="1620" w:type="dxa"/>
            <w:tcBorders>
              <w:left w:val="single" w:sz="4" w:space="0" w:color="000000"/>
              <w:right w:val="single" w:sz="4" w:space="0" w:color="000000"/>
            </w:tcBorders>
            <w:shd w:val="clear" w:color="auto" w:fill="auto"/>
          </w:tcPr>
          <w:p w14:paraId="385C66B7"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 (0.17)</w:t>
            </w:r>
          </w:p>
        </w:tc>
      </w:tr>
      <w:tr w:rsidR="004C2A46" w:rsidRPr="002742BE" w14:paraId="485204BB" w14:textId="77777777" w:rsidTr="004C2A46">
        <w:tc>
          <w:tcPr>
            <w:tcW w:w="2448" w:type="dxa"/>
            <w:tcBorders>
              <w:left w:val="single" w:sz="4" w:space="0" w:color="000000"/>
              <w:right w:val="single" w:sz="4" w:space="0" w:color="000000"/>
            </w:tcBorders>
            <w:shd w:val="clear" w:color="auto" w:fill="auto"/>
          </w:tcPr>
          <w:p w14:paraId="02F056DF"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sz w:val="18"/>
                <w:szCs w:val="18"/>
              </w:rPr>
              <w:t xml:space="preserve">Constipation </w:t>
            </w:r>
          </w:p>
        </w:tc>
        <w:tc>
          <w:tcPr>
            <w:tcW w:w="1620" w:type="dxa"/>
            <w:tcBorders>
              <w:left w:val="single" w:sz="4" w:space="0" w:color="000000"/>
              <w:right w:val="single" w:sz="4" w:space="0" w:color="000000"/>
            </w:tcBorders>
            <w:shd w:val="clear" w:color="auto" w:fill="auto"/>
          </w:tcPr>
          <w:p w14:paraId="59416D0C"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187 (4.53)</w:t>
            </w:r>
          </w:p>
        </w:tc>
        <w:tc>
          <w:tcPr>
            <w:tcW w:w="1620" w:type="dxa"/>
            <w:tcBorders>
              <w:left w:val="single" w:sz="4" w:space="0" w:color="000000"/>
              <w:right w:val="single" w:sz="4" w:space="0" w:color="000000"/>
            </w:tcBorders>
            <w:shd w:val="clear" w:color="auto" w:fill="auto"/>
          </w:tcPr>
          <w:p w14:paraId="3E013C81"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174 (4.23)</w:t>
            </w:r>
          </w:p>
        </w:tc>
        <w:tc>
          <w:tcPr>
            <w:tcW w:w="1440" w:type="dxa"/>
            <w:tcBorders>
              <w:left w:val="single" w:sz="4" w:space="0" w:color="000000"/>
              <w:right w:val="single" w:sz="4" w:space="0" w:color="000000"/>
            </w:tcBorders>
            <w:shd w:val="clear" w:color="auto" w:fill="auto"/>
          </w:tcPr>
          <w:p w14:paraId="507AF4DB"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6 (1.00)</w:t>
            </w:r>
          </w:p>
        </w:tc>
        <w:tc>
          <w:tcPr>
            <w:tcW w:w="1620" w:type="dxa"/>
            <w:tcBorders>
              <w:left w:val="single" w:sz="4" w:space="0" w:color="000000"/>
              <w:right w:val="single" w:sz="4" w:space="0" w:color="000000"/>
            </w:tcBorders>
            <w:shd w:val="clear" w:color="auto" w:fill="auto"/>
          </w:tcPr>
          <w:p w14:paraId="18106727"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5 (0.85)</w:t>
            </w:r>
          </w:p>
        </w:tc>
      </w:tr>
      <w:tr w:rsidR="004C2A46" w:rsidRPr="002742BE" w14:paraId="57304B65" w14:textId="77777777" w:rsidTr="004C2A46">
        <w:tc>
          <w:tcPr>
            <w:tcW w:w="2448" w:type="dxa"/>
            <w:tcBorders>
              <w:left w:val="single" w:sz="4" w:space="0" w:color="000000"/>
              <w:right w:val="single" w:sz="4" w:space="0" w:color="000000"/>
            </w:tcBorders>
            <w:shd w:val="clear" w:color="auto" w:fill="auto"/>
          </w:tcPr>
          <w:p w14:paraId="0D8C514E"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sz w:val="18"/>
                <w:szCs w:val="18"/>
              </w:rPr>
              <w:t>Diarrh</w:t>
            </w:r>
            <w:r>
              <w:rPr>
                <w:rFonts w:cs="Arial"/>
                <w:sz w:val="18"/>
                <w:szCs w:val="18"/>
              </w:rPr>
              <w:t>o</w:t>
            </w:r>
            <w:r w:rsidRPr="002742BE">
              <w:rPr>
                <w:rFonts w:cs="Arial"/>
                <w:sz w:val="18"/>
                <w:szCs w:val="18"/>
              </w:rPr>
              <w:t>ea</w:t>
            </w:r>
          </w:p>
        </w:tc>
        <w:tc>
          <w:tcPr>
            <w:tcW w:w="1620" w:type="dxa"/>
            <w:tcBorders>
              <w:left w:val="single" w:sz="4" w:space="0" w:color="000000"/>
              <w:right w:val="single" w:sz="4" w:space="0" w:color="000000"/>
            </w:tcBorders>
            <w:shd w:val="clear" w:color="auto" w:fill="auto"/>
          </w:tcPr>
          <w:p w14:paraId="5B17C8DE"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179 (4.33)</w:t>
            </w:r>
          </w:p>
        </w:tc>
        <w:tc>
          <w:tcPr>
            <w:tcW w:w="1620" w:type="dxa"/>
            <w:tcBorders>
              <w:left w:val="single" w:sz="4" w:space="0" w:color="000000"/>
              <w:right w:val="single" w:sz="4" w:space="0" w:color="000000"/>
            </w:tcBorders>
            <w:shd w:val="clear" w:color="auto" w:fill="auto"/>
          </w:tcPr>
          <w:p w14:paraId="3A81DAF2"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164 (3.98)</w:t>
            </w:r>
          </w:p>
        </w:tc>
        <w:tc>
          <w:tcPr>
            <w:tcW w:w="1440" w:type="dxa"/>
            <w:tcBorders>
              <w:left w:val="single" w:sz="4" w:space="0" w:color="000000"/>
              <w:right w:val="single" w:sz="4" w:space="0" w:color="000000"/>
            </w:tcBorders>
            <w:shd w:val="clear" w:color="auto" w:fill="auto"/>
          </w:tcPr>
          <w:p w14:paraId="22B937C7"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7 (1.17)</w:t>
            </w:r>
          </w:p>
        </w:tc>
        <w:tc>
          <w:tcPr>
            <w:tcW w:w="1620" w:type="dxa"/>
            <w:tcBorders>
              <w:left w:val="single" w:sz="4" w:space="0" w:color="000000"/>
              <w:right w:val="single" w:sz="4" w:space="0" w:color="000000"/>
            </w:tcBorders>
            <w:shd w:val="clear" w:color="auto" w:fill="auto"/>
          </w:tcPr>
          <w:p w14:paraId="369D9A2C"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8 (1.36)</w:t>
            </w:r>
          </w:p>
        </w:tc>
      </w:tr>
      <w:tr w:rsidR="004C2A46" w:rsidRPr="002742BE" w14:paraId="4826D5B4" w14:textId="77777777" w:rsidTr="004C2A46">
        <w:tc>
          <w:tcPr>
            <w:tcW w:w="2448" w:type="dxa"/>
            <w:tcBorders>
              <w:left w:val="single" w:sz="4" w:space="0" w:color="000000"/>
              <w:right w:val="single" w:sz="4" w:space="0" w:color="000000"/>
            </w:tcBorders>
            <w:shd w:val="clear" w:color="auto" w:fill="auto"/>
          </w:tcPr>
          <w:p w14:paraId="72C9517B"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sz w:val="18"/>
                <w:szCs w:val="18"/>
              </w:rPr>
              <w:t>Dyspepsia</w:t>
            </w:r>
          </w:p>
        </w:tc>
        <w:tc>
          <w:tcPr>
            <w:tcW w:w="1620" w:type="dxa"/>
            <w:tcBorders>
              <w:left w:val="single" w:sz="4" w:space="0" w:color="000000"/>
              <w:right w:val="single" w:sz="4" w:space="0" w:color="000000"/>
            </w:tcBorders>
            <w:shd w:val="clear" w:color="auto" w:fill="auto"/>
          </w:tcPr>
          <w:p w14:paraId="3047DC30"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60 (1.45)</w:t>
            </w:r>
          </w:p>
        </w:tc>
        <w:tc>
          <w:tcPr>
            <w:tcW w:w="1620" w:type="dxa"/>
            <w:tcBorders>
              <w:left w:val="single" w:sz="4" w:space="0" w:color="000000"/>
              <w:right w:val="single" w:sz="4" w:space="0" w:color="000000"/>
            </w:tcBorders>
            <w:shd w:val="clear" w:color="auto" w:fill="auto"/>
          </w:tcPr>
          <w:p w14:paraId="4FD6E4B2"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54 (1.31)</w:t>
            </w:r>
          </w:p>
        </w:tc>
        <w:tc>
          <w:tcPr>
            <w:tcW w:w="1440" w:type="dxa"/>
            <w:tcBorders>
              <w:left w:val="single" w:sz="4" w:space="0" w:color="000000"/>
              <w:right w:val="single" w:sz="4" w:space="0" w:color="000000"/>
            </w:tcBorders>
            <w:shd w:val="clear" w:color="auto" w:fill="auto"/>
          </w:tcPr>
          <w:p w14:paraId="0210508B"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8 (1.34)</w:t>
            </w:r>
          </w:p>
        </w:tc>
        <w:tc>
          <w:tcPr>
            <w:tcW w:w="1620" w:type="dxa"/>
            <w:tcBorders>
              <w:left w:val="single" w:sz="4" w:space="0" w:color="000000"/>
              <w:right w:val="single" w:sz="4" w:space="0" w:color="000000"/>
            </w:tcBorders>
            <w:shd w:val="clear" w:color="auto" w:fill="auto"/>
          </w:tcPr>
          <w:p w14:paraId="46EE89BC"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4 (0.68)</w:t>
            </w:r>
          </w:p>
        </w:tc>
      </w:tr>
      <w:tr w:rsidR="004C2A46" w:rsidRPr="002742BE" w14:paraId="46E860DE" w14:textId="77777777" w:rsidTr="004C2A46">
        <w:tc>
          <w:tcPr>
            <w:tcW w:w="2448" w:type="dxa"/>
            <w:tcBorders>
              <w:left w:val="single" w:sz="4" w:space="0" w:color="000000"/>
              <w:right w:val="single" w:sz="4" w:space="0" w:color="000000"/>
            </w:tcBorders>
            <w:shd w:val="clear" w:color="auto" w:fill="auto"/>
          </w:tcPr>
          <w:p w14:paraId="14E13428"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sz w:val="18"/>
                <w:szCs w:val="18"/>
              </w:rPr>
              <w:t>Nausea</w:t>
            </w:r>
          </w:p>
        </w:tc>
        <w:tc>
          <w:tcPr>
            <w:tcW w:w="1620" w:type="dxa"/>
            <w:tcBorders>
              <w:left w:val="single" w:sz="4" w:space="0" w:color="000000"/>
              <w:right w:val="single" w:sz="4" w:space="0" w:color="000000"/>
            </w:tcBorders>
            <w:shd w:val="clear" w:color="auto" w:fill="auto"/>
          </w:tcPr>
          <w:p w14:paraId="1E9AAD3D"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153 (3.70)</w:t>
            </w:r>
          </w:p>
        </w:tc>
        <w:tc>
          <w:tcPr>
            <w:tcW w:w="1620" w:type="dxa"/>
            <w:tcBorders>
              <w:left w:val="single" w:sz="4" w:space="0" w:color="000000"/>
              <w:right w:val="single" w:sz="4" w:space="0" w:color="000000"/>
            </w:tcBorders>
            <w:shd w:val="clear" w:color="auto" w:fill="auto"/>
          </w:tcPr>
          <w:p w14:paraId="2EF4B44F"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160 (3.89)</w:t>
            </w:r>
          </w:p>
        </w:tc>
        <w:tc>
          <w:tcPr>
            <w:tcW w:w="1440" w:type="dxa"/>
            <w:tcBorders>
              <w:left w:val="single" w:sz="4" w:space="0" w:color="000000"/>
              <w:right w:val="single" w:sz="4" w:space="0" w:color="000000"/>
            </w:tcBorders>
            <w:shd w:val="clear" w:color="auto" w:fill="auto"/>
          </w:tcPr>
          <w:p w14:paraId="7CB6088C"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7 (1.17)</w:t>
            </w:r>
          </w:p>
        </w:tc>
        <w:tc>
          <w:tcPr>
            <w:tcW w:w="1620" w:type="dxa"/>
            <w:tcBorders>
              <w:left w:val="single" w:sz="4" w:space="0" w:color="000000"/>
              <w:right w:val="single" w:sz="4" w:space="0" w:color="000000"/>
            </w:tcBorders>
            <w:shd w:val="clear" w:color="auto" w:fill="auto"/>
          </w:tcPr>
          <w:p w14:paraId="6E72D87F"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6 (1.02)</w:t>
            </w:r>
          </w:p>
        </w:tc>
      </w:tr>
      <w:tr w:rsidR="004C2A46" w:rsidRPr="002742BE" w14:paraId="5C5C42C6" w14:textId="77777777" w:rsidTr="004C2A46">
        <w:trPr>
          <w:trHeight w:val="74"/>
        </w:trPr>
        <w:tc>
          <w:tcPr>
            <w:tcW w:w="2448" w:type="dxa"/>
            <w:tcBorders>
              <w:left w:val="single" w:sz="4" w:space="0" w:color="000000"/>
              <w:bottom w:val="single" w:sz="4" w:space="0" w:color="000000"/>
              <w:right w:val="single" w:sz="4" w:space="0" w:color="000000"/>
            </w:tcBorders>
            <w:shd w:val="clear" w:color="auto" w:fill="auto"/>
          </w:tcPr>
          <w:p w14:paraId="5BD911AB" w14:textId="77777777" w:rsidR="004C2A46" w:rsidRPr="000E7AAE" w:rsidRDefault="004C2A46" w:rsidP="00161519">
            <w:pPr>
              <w:autoSpaceDE w:val="0"/>
              <w:autoSpaceDN w:val="0"/>
              <w:adjustRightInd w:val="0"/>
              <w:spacing w:before="60" w:after="60"/>
              <w:ind w:right="46"/>
              <w:rPr>
                <w:rFonts w:cs="Arial"/>
                <w:sz w:val="18"/>
                <w:szCs w:val="18"/>
              </w:rPr>
            </w:pPr>
            <w:r w:rsidRPr="002742BE">
              <w:rPr>
                <w:rFonts w:cs="Arial"/>
                <w:sz w:val="18"/>
                <w:szCs w:val="18"/>
              </w:rPr>
              <w:t>Vomiting</w:t>
            </w:r>
          </w:p>
        </w:tc>
        <w:tc>
          <w:tcPr>
            <w:tcW w:w="1620" w:type="dxa"/>
            <w:tcBorders>
              <w:left w:val="single" w:sz="4" w:space="0" w:color="000000"/>
              <w:bottom w:val="single" w:sz="4" w:space="0" w:color="auto"/>
              <w:right w:val="single" w:sz="4" w:space="0" w:color="000000"/>
            </w:tcBorders>
            <w:shd w:val="clear" w:color="auto" w:fill="auto"/>
          </w:tcPr>
          <w:p w14:paraId="3187B1FA"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69 (1.67)</w:t>
            </w:r>
          </w:p>
        </w:tc>
        <w:tc>
          <w:tcPr>
            <w:tcW w:w="1620" w:type="dxa"/>
            <w:tcBorders>
              <w:left w:val="single" w:sz="4" w:space="0" w:color="000000"/>
              <w:bottom w:val="single" w:sz="4" w:space="0" w:color="000000"/>
              <w:right w:val="single" w:sz="4" w:space="0" w:color="000000"/>
            </w:tcBorders>
            <w:shd w:val="clear" w:color="auto" w:fill="auto"/>
          </w:tcPr>
          <w:p w14:paraId="3DC38A07"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96 (2.33)</w:t>
            </w:r>
          </w:p>
        </w:tc>
        <w:tc>
          <w:tcPr>
            <w:tcW w:w="1440" w:type="dxa"/>
            <w:tcBorders>
              <w:left w:val="single" w:sz="4" w:space="0" w:color="000000"/>
              <w:bottom w:val="single" w:sz="4" w:space="0" w:color="auto"/>
              <w:right w:val="single" w:sz="4" w:space="0" w:color="000000"/>
            </w:tcBorders>
            <w:shd w:val="clear" w:color="auto" w:fill="auto"/>
          </w:tcPr>
          <w:p w14:paraId="11930FF4"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3 (0.50)</w:t>
            </w:r>
          </w:p>
        </w:tc>
        <w:tc>
          <w:tcPr>
            <w:tcW w:w="1620" w:type="dxa"/>
            <w:tcBorders>
              <w:left w:val="single" w:sz="4" w:space="0" w:color="000000"/>
              <w:bottom w:val="single" w:sz="4" w:space="0" w:color="000000"/>
              <w:right w:val="single" w:sz="4" w:space="0" w:color="000000"/>
            </w:tcBorders>
            <w:shd w:val="clear" w:color="auto" w:fill="auto"/>
          </w:tcPr>
          <w:p w14:paraId="51D7BC36"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6 (1.02)</w:t>
            </w:r>
          </w:p>
        </w:tc>
      </w:tr>
      <w:tr w:rsidR="004C2A46" w:rsidRPr="002742BE" w14:paraId="6F4E63A3" w14:textId="77777777" w:rsidTr="004C2A46">
        <w:tc>
          <w:tcPr>
            <w:tcW w:w="2448" w:type="dxa"/>
            <w:tcBorders>
              <w:top w:val="single" w:sz="4" w:space="0" w:color="000000"/>
              <w:left w:val="single" w:sz="4" w:space="0" w:color="auto"/>
              <w:right w:val="single" w:sz="4" w:space="0" w:color="auto"/>
            </w:tcBorders>
            <w:shd w:val="clear" w:color="auto" w:fill="auto"/>
          </w:tcPr>
          <w:p w14:paraId="5A7A99FE"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sz w:val="18"/>
                <w:szCs w:val="18"/>
              </w:rPr>
              <w:t>General disorders and administration site conditions</w:t>
            </w:r>
          </w:p>
        </w:tc>
        <w:tc>
          <w:tcPr>
            <w:tcW w:w="1620" w:type="dxa"/>
            <w:tcBorders>
              <w:top w:val="single" w:sz="4" w:space="0" w:color="auto"/>
              <w:left w:val="single" w:sz="4" w:space="0" w:color="auto"/>
              <w:right w:val="single" w:sz="4" w:space="0" w:color="auto"/>
            </w:tcBorders>
            <w:shd w:val="clear" w:color="auto" w:fill="auto"/>
          </w:tcPr>
          <w:p w14:paraId="2C728CFA"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000000"/>
              <w:left w:val="single" w:sz="4" w:space="0" w:color="auto"/>
              <w:right w:val="single" w:sz="4" w:space="0" w:color="auto"/>
            </w:tcBorders>
            <w:shd w:val="clear" w:color="auto" w:fill="auto"/>
          </w:tcPr>
          <w:p w14:paraId="41971548"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440" w:type="dxa"/>
            <w:tcBorders>
              <w:top w:val="single" w:sz="4" w:space="0" w:color="auto"/>
              <w:left w:val="single" w:sz="4" w:space="0" w:color="auto"/>
              <w:right w:val="single" w:sz="4" w:space="0" w:color="auto"/>
            </w:tcBorders>
            <w:shd w:val="clear" w:color="auto" w:fill="auto"/>
          </w:tcPr>
          <w:p w14:paraId="5C18496A"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000000"/>
              <w:left w:val="single" w:sz="4" w:space="0" w:color="auto"/>
              <w:right w:val="single" w:sz="4" w:space="0" w:color="auto"/>
            </w:tcBorders>
            <w:shd w:val="clear" w:color="auto" w:fill="auto"/>
          </w:tcPr>
          <w:p w14:paraId="2AC554AE" w14:textId="77777777" w:rsidR="004C2A46" w:rsidRPr="002742BE" w:rsidRDefault="004C2A46" w:rsidP="00161519">
            <w:pPr>
              <w:autoSpaceDE w:val="0"/>
              <w:autoSpaceDN w:val="0"/>
              <w:adjustRightInd w:val="0"/>
              <w:spacing w:before="60" w:after="60"/>
              <w:ind w:right="46"/>
              <w:rPr>
                <w:rFonts w:cs="Arial"/>
                <w:b/>
                <w:bCs/>
                <w:sz w:val="18"/>
                <w:szCs w:val="18"/>
              </w:rPr>
            </w:pPr>
          </w:p>
        </w:tc>
      </w:tr>
      <w:tr w:rsidR="004C2A46" w:rsidRPr="002742BE" w14:paraId="55361E3C" w14:textId="77777777" w:rsidTr="00161519">
        <w:tc>
          <w:tcPr>
            <w:tcW w:w="2448" w:type="dxa"/>
            <w:tcBorders>
              <w:left w:val="single" w:sz="4" w:space="0" w:color="auto"/>
              <w:right w:val="single" w:sz="4" w:space="0" w:color="auto"/>
            </w:tcBorders>
            <w:shd w:val="clear" w:color="auto" w:fill="auto"/>
          </w:tcPr>
          <w:p w14:paraId="2D51488C" w14:textId="77777777" w:rsidR="004C2A46" w:rsidRPr="002742BE" w:rsidRDefault="004C2A46" w:rsidP="00161519">
            <w:pPr>
              <w:spacing w:before="60" w:after="60"/>
              <w:ind w:right="46"/>
              <w:rPr>
                <w:rFonts w:cs="Arial"/>
                <w:sz w:val="18"/>
                <w:szCs w:val="18"/>
              </w:rPr>
            </w:pPr>
            <w:r w:rsidRPr="002742BE">
              <w:rPr>
                <w:rFonts w:cs="Arial"/>
                <w:sz w:val="18"/>
                <w:szCs w:val="18"/>
              </w:rPr>
              <w:t>Pyrexia</w:t>
            </w:r>
          </w:p>
        </w:tc>
        <w:tc>
          <w:tcPr>
            <w:tcW w:w="1620" w:type="dxa"/>
            <w:tcBorders>
              <w:left w:val="single" w:sz="4" w:space="0" w:color="auto"/>
              <w:right w:val="single" w:sz="4" w:space="0" w:color="auto"/>
            </w:tcBorders>
            <w:shd w:val="clear" w:color="auto" w:fill="auto"/>
          </w:tcPr>
          <w:p w14:paraId="2258DEBB"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111 (2.69)</w:t>
            </w:r>
          </w:p>
        </w:tc>
        <w:tc>
          <w:tcPr>
            <w:tcW w:w="1620" w:type="dxa"/>
            <w:tcBorders>
              <w:left w:val="single" w:sz="4" w:space="0" w:color="auto"/>
              <w:right w:val="single" w:sz="4" w:space="0" w:color="auto"/>
            </w:tcBorders>
            <w:shd w:val="clear" w:color="auto" w:fill="auto"/>
          </w:tcPr>
          <w:p w14:paraId="4665646E"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108 (2.62)</w:t>
            </w:r>
          </w:p>
        </w:tc>
        <w:tc>
          <w:tcPr>
            <w:tcW w:w="1440" w:type="dxa"/>
            <w:tcBorders>
              <w:left w:val="single" w:sz="4" w:space="0" w:color="auto"/>
              <w:right w:val="single" w:sz="4" w:space="0" w:color="auto"/>
            </w:tcBorders>
            <w:shd w:val="clear" w:color="auto" w:fill="auto"/>
          </w:tcPr>
          <w:p w14:paraId="3ACAA827"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5 (0.84)</w:t>
            </w:r>
          </w:p>
        </w:tc>
        <w:tc>
          <w:tcPr>
            <w:tcW w:w="1620" w:type="dxa"/>
            <w:tcBorders>
              <w:left w:val="single" w:sz="4" w:space="0" w:color="auto"/>
              <w:right w:val="single" w:sz="4" w:space="0" w:color="auto"/>
            </w:tcBorders>
            <w:shd w:val="clear" w:color="auto" w:fill="auto"/>
          </w:tcPr>
          <w:p w14:paraId="0BA1B1FE"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7 (1.19)</w:t>
            </w:r>
          </w:p>
        </w:tc>
      </w:tr>
      <w:tr w:rsidR="004C2A46" w:rsidRPr="002742BE" w14:paraId="2A0DC6CD" w14:textId="77777777" w:rsidTr="00161519">
        <w:tc>
          <w:tcPr>
            <w:tcW w:w="2448" w:type="dxa"/>
            <w:tcBorders>
              <w:left w:val="single" w:sz="4" w:space="0" w:color="auto"/>
              <w:right w:val="single" w:sz="4" w:space="0" w:color="auto"/>
            </w:tcBorders>
            <w:shd w:val="clear" w:color="auto" w:fill="auto"/>
          </w:tcPr>
          <w:p w14:paraId="1832D025" w14:textId="77777777" w:rsidR="004C2A46" w:rsidRPr="002742BE" w:rsidRDefault="004C2A46" w:rsidP="00161519">
            <w:pPr>
              <w:spacing w:before="60" w:after="60"/>
              <w:ind w:right="46"/>
              <w:rPr>
                <w:rFonts w:cs="Arial"/>
                <w:sz w:val="18"/>
                <w:szCs w:val="18"/>
              </w:rPr>
            </w:pPr>
            <w:r w:rsidRPr="002742BE">
              <w:rPr>
                <w:rFonts w:cs="Arial"/>
                <w:sz w:val="18"/>
                <w:szCs w:val="18"/>
              </w:rPr>
              <w:t xml:space="preserve">Oedema peripheral </w:t>
            </w:r>
          </w:p>
        </w:tc>
        <w:tc>
          <w:tcPr>
            <w:tcW w:w="1620" w:type="dxa"/>
            <w:tcBorders>
              <w:left w:val="single" w:sz="4" w:space="0" w:color="auto"/>
              <w:right w:val="single" w:sz="4" w:space="0" w:color="auto"/>
            </w:tcBorders>
            <w:shd w:val="clear" w:color="auto" w:fill="auto"/>
          </w:tcPr>
          <w:p w14:paraId="7067E7F1"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128 (3.10)</w:t>
            </w:r>
          </w:p>
        </w:tc>
        <w:tc>
          <w:tcPr>
            <w:tcW w:w="1620" w:type="dxa"/>
            <w:tcBorders>
              <w:left w:val="single" w:sz="4" w:space="0" w:color="auto"/>
              <w:right w:val="single" w:sz="4" w:space="0" w:color="auto"/>
            </w:tcBorders>
            <w:shd w:val="clear" w:color="auto" w:fill="auto"/>
          </w:tcPr>
          <w:p w14:paraId="5D39F3D9"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135 (3.28)</w:t>
            </w:r>
          </w:p>
        </w:tc>
        <w:tc>
          <w:tcPr>
            <w:tcW w:w="1440" w:type="dxa"/>
            <w:tcBorders>
              <w:left w:val="single" w:sz="4" w:space="0" w:color="auto"/>
              <w:right w:val="single" w:sz="4" w:space="0" w:color="auto"/>
            </w:tcBorders>
            <w:shd w:val="clear" w:color="auto" w:fill="auto"/>
          </w:tcPr>
          <w:p w14:paraId="134CA9DF"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13 (2.17)</w:t>
            </w:r>
          </w:p>
        </w:tc>
        <w:tc>
          <w:tcPr>
            <w:tcW w:w="1620" w:type="dxa"/>
            <w:tcBorders>
              <w:left w:val="single" w:sz="4" w:space="0" w:color="auto"/>
              <w:right w:val="single" w:sz="4" w:space="0" w:color="auto"/>
            </w:tcBorders>
            <w:shd w:val="clear" w:color="auto" w:fill="auto"/>
          </w:tcPr>
          <w:p w14:paraId="7F1D81E9"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17 (2.88)</w:t>
            </w:r>
          </w:p>
        </w:tc>
      </w:tr>
      <w:tr w:rsidR="004C2A46" w:rsidRPr="002742BE" w14:paraId="468C9D2E" w14:textId="77777777" w:rsidTr="00161519">
        <w:tc>
          <w:tcPr>
            <w:tcW w:w="2448" w:type="dxa"/>
            <w:tcBorders>
              <w:left w:val="single" w:sz="4" w:space="0" w:color="auto"/>
              <w:right w:val="single" w:sz="4" w:space="0" w:color="auto"/>
            </w:tcBorders>
            <w:shd w:val="clear" w:color="auto" w:fill="auto"/>
          </w:tcPr>
          <w:p w14:paraId="6D906363" w14:textId="77777777" w:rsidR="004C2A46" w:rsidRPr="002742BE" w:rsidRDefault="004C2A46" w:rsidP="00161519">
            <w:pPr>
              <w:spacing w:before="60" w:after="60"/>
              <w:ind w:right="46"/>
              <w:rPr>
                <w:rFonts w:cs="Arial"/>
                <w:sz w:val="18"/>
                <w:szCs w:val="18"/>
              </w:rPr>
            </w:pPr>
            <w:r>
              <w:rPr>
                <w:rFonts w:cs="Arial"/>
                <w:sz w:val="18"/>
                <w:szCs w:val="18"/>
              </w:rPr>
              <w:t>Asthenia</w:t>
            </w:r>
          </w:p>
        </w:tc>
        <w:tc>
          <w:tcPr>
            <w:tcW w:w="1620" w:type="dxa"/>
            <w:tcBorders>
              <w:left w:val="single" w:sz="4" w:space="0" w:color="auto"/>
              <w:right w:val="single" w:sz="4" w:space="0" w:color="auto"/>
            </w:tcBorders>
            <w:shd w:val="clear" w:color="auto" w:fill="auto"/>
          </w:tcPr>
          <w:p w14:paraId="5741C0A7" w14:textId="77777777" w:rsidR="004C2A46"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61 (1.48)</w:t>
            </w:r>
          </w:p>
        </w:tc>
        <w:tc>
          <w:tcPr>
            <w:tcW w:w="1620" w:type="dxa"/>
            <w:tcBorders>
              <w:left w:val="single" w:sz="4" w:space="0" w:color="auto"/>
              <w:right w:val="single" w:sz="4" w:space="0" w:color="auto"/>
            </w:tcBorders>
            <w:shd w:val="clear" w:color="auto" w:fill="auto"/>
          </w:tcPr>
          <w:p w14:paraId="1088B1E5" w14:textId="77777777" w:rsidR="004C2A46"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60 (1.46)</w:t>
            </w:r>
          </w:p>
        </w:tc>
        <w:tc>
          <w:tcPr>
            <w:tcW w:w="1440" w:type="dxa"/>
            <w:tcBorders>
              <w:left w:val="single" w:sz="4" w:space="0" w:color="auto"/>
              <w:right w:val="single" w:sz="4" w:space="0" w:color="auto"/>
            </w:tcBorders>
            <w:shd w:val="clear" w:color="auto" w:fill="auto"/>
          </w:tcPr>
          <w:p w14:paraId="671D4EE5"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4 (0.67)</w:t>
            </w:r>
          </w:p>
        </w:tc>
        <w:tc>
          <w:tcPr>
            <w:tcW w:w="1620" w:type="dxa"/>
            <w:tcBorders>
              <w:left w:val="single" w:sz="4" w:space="0" w:color="auto"/>
              <w:right w:val="single" w:sz="4" w:space="0" w:color="auto"/>
            </w:tcBorders>
            <w:shd w:val="clear" w:color="auto" w:fill="auto"/>
          </w:tcPr>
          <w:p w14:paraId="6A688393"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6 (1.02)</w:t>
            </w:r>
          </w:p>
        </w:tc>
      </w:tr>
      <w:tr w:rsidR="004C2A46" w:rsidRPr="002742BE" w14:paraId="40D8F188" w14:textId="77777777" w:rsidTr="004C2A46">
        <w:tc>
          <w:tcPr>
            <w:tcW w:w="2448" w:type="dxa"/>
            <w:tcBorders>
              <w:left w:val="single" w:sz="4" w:space="0" w:color="auto"/>
              <w:bottom w:val="single" w:sz="4" w:space="0" w:color="000000"/>
              <w:right w:val="single" w:sz="4" w:space="0" w:color="auto"/>
            </w:tcBorders>
            <w:shd w:val="clear" w:color="auto" w:fill="auto"/>
          </w:tcPr>
          <w:p w14:paraId="1B76D471" w14:textId="77777777" w:rsidR="004C2A46" w:rsidRPr="002742BE" w:rsidRDefault="004C2A46" w:rsidP="00161519">
            <w:pPr>
              <w:spacing w:before="60" w:after="60"/>
              <w:ind w:right="46"/>
              <w:rPr>
                <w:rFonts w:cs="Arial"/>
                <w:sz w:val="18"/>
                <w:szCs w:val="18"/>
              </w:rPr>
            </w:pPr>
            <w:r w:rsidRPr="002742BE">
              <w:rPr>
                <w:rFonts w:cs="Arial"/>
                <w:sz w:val="18"/>
                <w:szCs w:val="18"/>
              </w:rPr>
              <w:t>Fatigue</w:t>
            </w:r>
          </w:p>
        </w:tc>
        <w:tc>
          <w:tcPr>
            <w:tcW w:w="1620" w:type="dxa"/>
            <w:tcBorders>
              <w:left w:val="single" w:sz="4" w:space="0" w:color="auto"/>
              <w:bottom w:val="single" w:sz="4" w:space="0" w:color="000000"/>
              <w:right w:val="single" w:sz="4" w:space="0" w:color="auto"/>
            </w:tcBorders>
            <w:shd w:val="clear" w:color="auto" w:fill="auto"/>
          </w:tcPr>
          <w:p w14:paraId="38C0A7A7" w14:textId="77777777" w:rsidR="004C2A46"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90 (2.18)</w:t>
            </w:r>
          </w:p>
          <w:p w14:paraId="51EC78C6" w14:textId="77777777" w:rsidR="00D14BEC" w:rsidRDefault="00D14BEC" w:rsidP="00161519">
            <w:pPr>
              <w:autoSpaceDE w:val="0"/>
              <w:autoSpaceDN w:val="0"/>
              <w:adjustRightInd w:val="0"/>
              <w:spacing w:before="60" w:after="60"/>
              <w:ind w:right="46"/>
              <w:jc w:val="center"/>
              <w:rPr>
                <w:rFonts w:cs="Arial"/>
                <w:bCs/>
                <w:sz w:val="18"/>
                <w:szCs w:val="18"/>
              </w:rPr>
            </w:pPr>
          </w:p>
          <w:p w14:paraId="77E22C3A" w14:textId="77777777" w:rsidR="00D14BEC" w:rsidRDefault="00D14BEC" w:rsidP="00161519">
            <w:pPr>
              <w:autoSpaceDE w:val="0"/>
              <w:autoSpaceDN w:val="0"/>
              <w:adjustRightInd w:val="0"/>
              <w:spacing w:before="60" w:after="60"/>
              <w:ind w:right="46"/>
              <w:jc w:val="center"/>
              <w:rPr>
                <w:rFonts w:cs="Arial"/>
                <w:bCs/>
                <w:sz w:val="18"/>
                <w:szCs w:val="18"/>
              </w:rPr>
            </w:pPr>
          </w:p>
          <w:p w14:paraId="3AC7A747" w14:textId="77777777" w:rsidR="00D14BEC" w:rsidRPr="002742BE" w:rsidRDefault="00D14BEC" w:rsidP="00161519">
            <w:pPr>
              <w:autoSpaceDE w:val="0"/>
              <w:autoSpaceDN w:val="0"/>
              <w:adjustRightInd w:val="0"/>
              <w:spacing w:before="60" w:after="60"/>
              <w:ind w:right="46"/>
              <w:jc w:val="center"/>
              <w:rPr>
                <w:rFonts w:cs="Arial"/>
                <w:bCs/>
                <w:sz w:val="18"/>
                <w:szCs w:val="18"/>
              </w:rPr>
            </w:pPr>
          </w:p>
        </w:tc>
        <w:tc>
          <w:tcPr>
            <w:tcW w:w="1620" w:type="dxa"/>
            <w:tcBorders>
              <w:left w:val="single" w:sz="4" w:space="0" w:color="auto"/>
              <w:bottom w:val="single" w:sz="4" w:space="0" w:color="000000"/>
              <w:right w:val="single" w:sz="4" w:space="0" w:color="auto"/>
            </w:tcBorders>
            <w:shd w:val="clear" w:color="auto" w:fill="auto"/>
          </w:tcPr>
          <w:p w14:paraId="18693286"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68 (1.65)</w:t>
            </w:r>
          </w:p>
        </w:tc>
        <w:tc>
          <w:tcPr>
            <w:tcW w:w="1440" w:type="dxa"/>
            <w:tcBorders>
              <w:left w:val="single" w:sz="4" w:space="0" w:color="auto"/>
              <w:bottom w:val="single" w:sz="4" w:space="0" w:color="000000"/>
              <w:right w:val="single" w:sz="4" w:space="0" w:color="auto"/>
            </w:tcBorders>
            <w:shd w:val="clear" w:color="auto" w:fill="auto"/>
          </w:tcPr>
          <w:p w14:paraId="16C40F75"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6 (1.00)</w:t>
            </w:r>
          </w:p>
        </w:tc>
        <w:tc>
          <w:tcPr>
            <w:tcW w:w="1620" w:type="dxa"/>
            <w:tcBorders>
              <w:left w:val="single" w:sz="4" w:space="0" w:color="auto"/>
              <w:bottom w:val="single" w:sz="4" w:space="0" w:color="000000"/>
              <w:right w:val="single" w:sz="4" w:space="0" w:color="auto"/>
            </w:tcBorders>
            <w:shd w:val="clear" w:color="auto" w:fill="auto"/>
          </w:tcPr>
          <w:p w14:paraId="7A91A7A2"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3 (0.51)</w:t>
            </w:r>
          </w:p>
        </w:tc>
      </w:tr>
      <w:tr w:rsidR="004C2A46" w:rsidRPr="002742BE" w14:paraId="5162CA88" w14:textId="77777777" w:rsidTr="004C2A46">
        <w:tc>
          <w:tcPr>
            <w:tcW w:w="2448" w:type="dxa"/>
            <w:tcBorders>
              <w:top w:val="single" w:sz="4" w:space="0" w:color="000000"/>
              <w:left w:val="single" w:sz="4" w:space="0" w:color="000000"/>
              <w:right w:val="single" w:sz="4" w:space="0" w:color="000000"/>
            </w:tcBorders>
            <w:shd w:val="clear" w:color="auto" w:fill="auto"/>
          </w:tcPr>
          <w:p w14:paraId="5DB6B5A9"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sz w:val="18"/>
                <w:szCs w:val="18"/>
              </w:rPr>
              <w:t xml:space="preserve">Injury, poisoning and </w:t>
            </w:r>
            <w:r w:rsidR="005E3B11" w:rsidRPr="002742BE">
              <w:rPr>
                <w:rFonts w:cs="Arial"/>
                <w:b/>
                <w:sz w:val="18"/>
                <w:szCs w:val="18"/>
              </w:rPr>
              <w:t>post procedural</w:t>
            </w:r>
            <w:r w:rsidRPr="002742BE">
              <w:rPr>
                <w:rFonts w:cs="Arial"/>
                <w:b/>
                <w:sz w:val="18"/>
                <w:szCs w:val="18"/>
              </w:rPr>
              <w:t xml:space="preserve"> complications</w:t>
            </w:r>
          </w:p>
        </w:tc>
        <w:tc>
          <w:tcPr>
            <w:tcW w:w="1620" w:type="dxa"/>
            <w:tcBorders>
              <w:top w:val="single" w:sz="4" w:space="0" w:color="000000"/>
              <w:left w:val="single" w:sz="4" w:space="0" w:color="000000"/>
              <w:right w:val="single" w:sz="4" w:space="0" w:color="000000"/>
            </w:tcBorders>
            <w:shd w:val="clear" w:color="auto" w:fill="auto"/>
          </w:tcPr>
          <w:p w14:paraId="45640AA2"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000000"/>
              <w:left w:val="single" w:sz="4" w:space="0" w:color="000000"/>
              <w:right w:val="single" w:sz="4" w:space="0" w:color="000000"/>
            </w:tcBorders>
            <w:shd w:val="clear" w:color="auto" w:fill="auto"/>
          </w:tcPr>
          <w:p w14:paraId="29F8B475"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440" w:type="dxa"/>
            <w:tcBorders>
              <w:top w:val="single" w:sz="4" w:space="0" w:color="000000"/>
              <w:left w:val="single" w:sz="4" w:space="0" w:color="000000"/>
              <w:right w:val="single" w:sz="4" w:space="0" w:color="000000"/>
            </w:tcBorders>
            <w:shd w:val="clear" w:color="auto" w:fill="auto"/>
          </w:tcPr>
          <w:p w14:paraId="452FAA8B"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000000"/>
              <w:left w:val="single" w:sz="4" w:space="0" w:color="000000"/>
              <w:right w:val="single" w:sz="4" w:space="0" w:color="000000"/>
            </w:tcBorders>
            <w:shd w:val="clear" w:color="auto" w:fill="auto"/>
          </w:tcPr>
          <w:p w14:paraId="50AE7F9F" w14:textId="77777777" w:rsidR="004C2A46" w:rsidRPr="002742BE" w:rsidRDefault="004C2A46" w:rsidP="00161519">
            <w:pPr>
              <w:autoSpaceDE w:val="0"/>
              <w:autoSpaceDN w:val="0"/>
              <w:adjustRightInd w:val="0"/>
              <w:spacing w:before="60" w:after="60"/>
              <w:ind w:right="46"/>
              <w:rPr>
                <w:rFonts w:cs="Arial"/>
                <w:b/>
                <w:bCs/>
                <w:sz w:val="18"/>
                <w:szCs w:val="18"/>
              </w:rPr>
            </w:pPr>
          </w:p>
        </w:tc>
      </w:tr>
      <w:tr w:rsidR="004C2A46" w:rsidRPr="002742BE" w14:paraId="7CAE24A9" w14:textId="77777777" w:rsidTr="004C2A46">
        <w:tc>
          <w:tcPr>
            <w:tcW w:w="2448" w:type="dxa"/>
            <w:tcBorders>
              <w:left w:val="single" w:sz="4" w:space="0" w:color="000000"/>
              <w:right w:val="single" w:sz="4" w:space="0" w:color="000000"/>
            </w:tcBorders>
            <w:shd w:val="clear" w:color="auto" w:fill="auto"/>
          </w:tcPr>
          <w:p w14:paraId="5600A017" w14:textId="77777777" w:rsidR="004C2A46" w:rsidRPr="002742BE" w:rsidRDefault="004C2A46" w:rsidP="00161519">
            <w:pPr>
              <w:autoSpaceDE w:val="0"/>
              <w:autoSpaceDN w:val="0"/>
              <w:adjustRightInd w:val="0"/>
              <w:spacing w:before="60" w:after="60"/>
              <w:ind w:right="45"/>
              <w:rPr>
                <w:rFonts w:cs="Arial"/>
                <w:b/>
                <w:bCs/>
                <w:sz w:val="18"/>
                <w:szCs w:val="18"/>
              </w:rPr>
            </w:pPr>
            <w:r w:rsidRPr="002742BE">
              <w:rPr>
                <w:rFonts w:cs="Arial"/>
                <w:sz w:val="18"/>
                <w:szCs w:val="18"/>
              </w:rPr>
              <w:t>Wound haemorrhage</w:t>
            </w:r>
          </w:p>
        </w:tc>
        <w:tc>
          <w:tcPr>
            <w:tcW w:w="1620" w:type="dxa"/>
            <w:tcBorders>
              <w:left w:val="single" w:sz="4" w:space="0" w:color="000000"/>
              <w:right w:val="single" w:sz="4" w:space="0" w:color="000000"/>
            </w:tcBorders>
            <w:shd w:val="clear" w:color="auto" w:fill="auto"/>
          </w:tcPr>
          <w:p w14:paraId="710A86A4" w14:textId="77777777" w:rsidR="004C2A46" w:rsidRPr="002742BE" w:rsidRDefault="004C2A46" w:rsidP="00161519">
            <w:pPr>
              <w:autoSpaceDE w:val="0"/>
              <w:autoSpaceDN w:val="0"/>
              <w:adjustRightInd w:val="0"/>
              <w:spacing w:before="60" w:after="60"/>
              <w:ind w:right="45"/>
              <w:jc w:val="center"/>
              <w:rPr>
                <w:rFonts w:cs="Arial"/>
                <w:bCs/>
                <w:sz w:val="18"/>
                <w:szCs w:val="18"/>
              </w:rPr>
            </w:pPr>
            <w:r>
              <w:rPr>
                <w:rFonts w:cs="Arial"/>
                <w:bCs/>
                <w:sz w:val="18"/>
                <w:szCs w:val="18"/>
              </w:rPr>
              <w:t>59 (1.43)</w:t>
            </w:r>
          </w:p>
        </w:tc>
        <w:tc>
          <w:tcPr>
            <w:tcW w:w="1620" w:type="dxa"/>
            <w:tcBorders>
              <w:left w:val="single" w:sz="4" w:space="0" w:color="000000"/>
              <w:right w:val="single" w:sz="4" w:space="0" w:color="000000"/>
            </w:tcBorders>
            <w:shd w:val="clear" w:color="auto" w:fill="auto"/>
          </w:tcPr>
          <w:p w14:paraId="3BDC3E2F" w14:textId="77777777" w:rsidR="004C2A46" w:rsidRPr="002742BE" w:rsidRDefault="004C2A46" w:rsidP="00161519">
            <w:pPr>
              <w:autoSpaceDE w:val="0"/>
              <w:autoSpaceDN w:val="0"/>
              <w:adjustRightInd w:val="0"/>
              <w:spacing w:before="60" w:after="60"/>
              <w:ind w:right="45"/>
              <w:jc w:val="center"/>
              <w:rPr>
                <w:rFonts w:cs="Arial"/>
                <w:bCs/>
                <w:sz w:val="18"/>
                <w:szCs w:val="18"/>
              </w:rPr>
            </w:pPr>
            <w:r>
              <w:rPr>
                <w:rFonts w:cs="Arial"/>
                <w:bCs/>
                <w:sz w:val="18"/>
                <w:szCs w:val="18"/>
              </w:rPr>
              <w:t>65 (1.58)</w:t>
            </w:r>
          </w:p>
        </w:tc>
        <w:tc>
          <w:tcPr>
            <w:tcW w:w="1440" w:type="dxa"/>
            <w:tcBorders>
              <w:left w:val="single" w:sz="4" w:space="0" w:color="000000"/>
              <w:right w:val="single" w:sz="4" w:space="0" w:color="000000"/>
            </w:tcBorders>
            <w:shd w:val="clear" w:color="auto" w:fill="auto"/>
          </w:tcPr>
          <w:p w14:paraId="0B4A6D9D" w14:textId="77777777" w:rsidR="004C2A46" w:rsidRPr="002742BE" w:rsidRDefault="004C2A46" w:rsidP="00161519">
            <w:pPr>
              <w:autoSpaceDE w:val="0"/>
              <w:autoSpaceDN w:val="0"/>
              <w:adjustRightInd w:val="0"/>
              <w:spacing w:before="60" w:after="60"/>
              <w:ind w:right="45"/>
              <w:jc w:val="center"/>
              <w:rPr>
                <w:rFonts w:cs="Arial"/>
                <w:bCs/>
                <w:sz w:val="18"/>
                <w:szCs w:val="18"/>
              </w:rPr>
            </w:pPr>
            <w:r w:rsidRPr="002742BE">
              <w:rPr>
                <w:rFonts w:cs="Arial"/>
                <w:bCs/>
                <w:sz w:val="18"/>
                <w:szCs w:val="18"/>
              </w:rPr>
              <w:t>11 (1.84)</w:t>
            </w:r>
          </w:p>
        </w:tc>
        <w:tc>
          <w:tcPr>
            <w:tcW w:w="1620" w:type="dxa"/>
            <w:tcBorders>
              <w:left w:val="single" w:sz="4" w:space="0" w:color="000000"/>
              <w:right w:val="single" w:sz="4" w:space="0" w:color="000000"/>
            </w:tcBorders>
            <w:shd w:val="clear" w:color="auto" w:fill="auto"/>
          </w:tcPr>
          <w:p w14:paraId="415BE006" w14:textId="77777777" w:rsidR="004C2A46" w:rsidRPr="002742BE" w:rsidRDefault="004C2A46" w:rsidP="00161519">
            <w:pPr>
              <w:autoSpaceDE w:val="0"/>
              <w:autoSpaceDN w:val="0"/>
              <w:adjustRightInd w:val="0"/>
              <w:spacing w:before="60" w:after="60"/>
              <w:ind w:right="45"/>
              <w:jc w:val="center"/>
              <w:rPr>
                <w:rFonts w:cs="Arial"/>
                <w:bCs/>
                <w:sz w:val="18"/>
                <w:szCs w:val="18"/>
              </w:rPr>
            </w:pPr>
            <w:r w:rsidRPr="002742BE">
              <w:rPr>
                <w:rFonts w:cs="Arial"/>
                <w:bCs/>
                <w:sz w:val="18"/>
                <w:szCs w:val="18"/>
              </w:rPr>
              <w:t>7 (1.19 )</w:t>
            </w:r>
          </w:p>
        </w:tc>
      </w:tr>
      <w:tr w:rsidR="004C2A46" w:rsidRPr="002742BE" w14:paraId="1D049618" w14:textId="77777777" w:rsidTr="004C2A46">
        <w:trPr>
          <w:trHeight w:val="151"/>
        </w:trPr>
        <w:tc>
          <w:tcPr>
            <w:tcW w:w="2448" w:type="dxa"/>
            <w:tcBorders>
              <w:left w:val="single" w:sz="4" w:space="0" w:color="000000"/>
              <w:right w:val="single" w:sz="4" w:space="0" w:color="000000"/>
            </w:tcBorders>
            <w:shd w:val="clear" w:color="auto" w:fill="auto"/>
          </w:tcPr>
          <w:p w14:paraId="3FC16978" w14:textId="77777777" w:rsidR="004C2A46" w:rsidRPr="000E7AAE" w:rsidRDefault="004C2A46" w:rsidP="00161519">
            <w:pPr>
              <w:autoSpaceDE w:val="0"/>
              <w:autoSpaceDN w:val="0"/>
              <w:adjustRightInd w:val="0"/>
              <w:spacing w:before="60" w:after="60"/>
              <w:ind w:right="45"/>
              <w:rPr>
                <w:rFonts w:cs="Arial"/>
                <w:sz w:val="18"/>
                <w:szCs w:val="18"/>
              </w:rPr>
            </w:pPr>
            <w:r w:rsidRPr="002742BE">
              <w:rPr>
                <w:rFonts w:cs="Arial"/>
                <w:sz w:val="18"/>
                <w:szCs w:val="18"/>
              </w:rPr>
              <w:t>Contusion</w:t>
            </w:r>
          </w:p>
        </w:tc>
        <w:tc>
          <w:tcPr>
            <w:tcW w:w="1620" w:type="dxa"/>
            <w:tcBorders>
              <w:left w:val="single" w:sz="4" w:space="0" w:color="000000"/>
              <w:right w:val="single" w:sz="4" w:space="0" w:color="000000"/>
            </w:tcBorders>
            <w:shd w:val="clear" w:color="auto" w:fill="auto"/>
          </w:tcPr>
          <w:p w14:paraId="79F80704" w14:textId="77777777" w:rsidR="004C2A46" w:rsidRPr="002742BE" w:rsidRDefault="004C2A46" w:rsidP="00161519">
            <w:pPr>
              <w:autoSpaceDE w:val="0"/>
              <w:autoSpaceDN w:val="0"/>
              <w:adjustRightInd w:val="0"/>
              <w:spacing w:before="60" w:after="60"/>
              <w:ind w:right="45"/>
              <w:jc w:val="center"/>
              <w:rPr>
                <w:rFonts w:cs="Arial"/>
                <w:bCs/>
                <w:sz w:val="18"/>
                <w:szCs w:val="18"/>
              </w:rPr>
            </w:pPr>
            <w:r>
              <w:rPr>
                <w:rFonts w:cs="Arial"/>
                <w:bCs/>
                <w:sz w:val="18"/>
                <w:szCs w:val="18"/>
              </w:rPr>
              <w:t>145 (3.51)</w:t>
            </w:r>
          </w:p>
        </w:tc>
        <w:tc>
          <w:tcPr>
            <w:tcW w:w="1620" w:type="dxa"/>
            <w:tcBorders>
              <w:left w:val="single" w:sz="4" w:space="0" w:color="000000"/>
              <w:right w:val="single" w:sz="4" w:space="0" w:color="000000"/>
            </w:tcBorders>
            <w:shd w:val="clear" w:color="auto" w:fill="auto"/>
          </w:tcPr>
          <w:p w14:paraId="3B323045" w14:textId="77777777" w:rsidR="004C2A46" w:rsidRPr="002742BE" w:rsidRDefault="004C2A46" w:rsidP="00161519">
            <w:pPr>
              <w:autoSpaceDE w:val="0"/>
              <w:autoSpaceDN w:val="0"/>
              <w:adjustRightInd w:val="0"/>
              <w:spacing w:before="60" w:after="60"/>
              <w:ind w:right="45"/>
              <w:jc w:val="center"/>
              <w:rPr>
                <w:rFonts w:cs="Arial"/>
                <w:bCs/>
                <w:sz w:val="18"/>
                <w:szCs w:val="18"/>
              </w:rPr>
            </w:pPr>
            <w:r>
              <w:rPr>
                <w:rFonts w:cs="Arial"/>
                <w:bCs/>
                <w:sz w:val="18"/>
                <w:szCs w:val="18"/>
              </w:rPr>
              <w:t>197 (4.79)</w:t>
            </w:r>
          </w:p>
        </w:tc>
        <w:tc>
          <w:tcPr>
            <w:tcW w:w="1440" w:type="dxa"/>
            <w:tcBorders>
              <w:left w:val="single" w:sz="4" w:space="0" w:color="000000"/>
              <w:right w:val="single" w:sz="4" w:space="0" w:color="000000"/>
            </w:tcBorders>
            <w:shd w:val="clear" w:color="auto" w:fill="auto"/>
          </w:tcPr>
          <w:p w14:paraId="0F729ED0" w14:textId="77777777" w:rsidR="004C2A46" w:rsidRPr="002742BE" w:rsidRDefault="004C2A46" w:rsidP="00161519">
            <w:pPr>
              <w:autoSpaceDE w:val="0"/>
              <w:autoSpaceDN w:val="0"/>
              <w:adjustRightInd w:val="0"/>
              <w:spacing w:before="60" w:after="60"/>
              <w:ind w:right="45"/>
              <w:jc w:val="center"/>
              <w:rPr>
                <w:rFonts w:cs="Arial"/>
                <w:bCs/>
                <w:sz w:val="18"/>
                <w:szCs w:val="18"/>
              </w:rPr>
            </w:pPr>
            <w:r w:rsidRPr="002742BE">
              <w:rPr>
                <w:rFonts w:cs="Arial"/>
                <w:bCs/>
                <w:sz w:val="18"/>
                <w:szCs w:val="18"/>
              </w:rPr>
              <w:t>19 (3.18)</w:t>
            </w:r>
          </w:p>
        </w:tc>
        <w:tc>
          <w:tcPr>
            <w:tcW w:w="1620" w:type="dxa"/>
            <w:tcBorders>
              <w:left w:val="single" w:sz="4" w:space="0" w:color="000000"/>
              <w:right w:val="single" w:sz="4" w:space="0" w:color="000000"/>
            </w:tcBorders>
            <w:shd w:val="clear" w:color="auto" w:fill="auto"/>
          </w:tcPr>
          <w:p w14:paraId="3B433993" w14:textId="77777777" w:rsidR="004C2A46" w:rsidRPr="002742BE" w:rsidRDefault="004C2A46" w:rsidP="00161519">
            <w:pPr>
              <w:autoSpaceDE w:val="0"/>
              <w:autoSpaceDN w:val="0"/>
              <w:adjustRightInd w:val="0"/>
              <w:spacing w:before="60" w:after="60"/>
              <w:ind w:right="45"/>
              <w:jc w:val="center"/>
              <w:rPr>
                <w:rFonts w:cs="Arial"/>
                <w:bCs/>
                <w:sz w:val="18"/>
                <w:szCs w:val="18"/>
              </w:rPr>
            </w:pPr>
            <w:r w:rsidRPr="002742BE">
              <w:rPr>
                <w:rFonts w:cs="Arial"/>
                <w:bCs/>
                <w:sz w:val="18"/>
                <w:szCs w:val="18"/>
              </w:rPr>
              <w:t>16 (2.71)</w:t>
            </w:r>
          </w:p>
        </w:tc>
      </w:tr>
      <w:tr w:rsidR="004C2A46" w:rsidRPr="002742BE" w14:paraId="26C77490" w14:textId="77777777" w:rsidTr="004C2A46">
        <w:trPr>
          <w:trHeight w:val="151"/>
        </w:trPr>
        <w:tc>
          <w:tcPr>
            <w:tcW w:w="2448" w:type="dxa"/>
            <w:tcBorders>
              <w:left w:val="single" w:sz="4" w:space="0" w:color="000000"/>
              <w:bottom w:val="single" w:sz="4" w:space="0" w:color="000000"/>
              <w:right w:val="single" w:sz="4" w:space="0" w:color="000000"/>
            </w:tcBorders>
            <w:shd w:val="clear" w:color="auto" w:fill="auto"/>
          </w:tcPr>
          <w:p w14:paraId="53FEDA74" w14:textId="77777777" w:rsidR="004C2A46" w:rsidRDefault="004C2A46" w:rsidP="00161519">
            <w:pPr>
              <w:autoSpaceDE w:val="0"/>
              <w:autoSpaceDN w:val="0"/>
              <w:adjustRightInd w:val="0"/>
              <w:spacing w:before="60" w:after="60"/>
              <w:ind w:right="45"/>
              <w:rPr>
                <w:rFonts w:cs="Arial"/>
                <w:sz w:val="18"/>
                <w:szCs w:val="18"/>
              </w:rPr>
            </w:pPr>
            <w:r w:rsidRPr="000E7AAE">
              <w:rPr>
                <w:rFonts w:cs="Arial"/>
                <w:sz w:val="18"/>
                <w:szCs w:val="18"/>
              </w:rPr>
              <w:t>Subcutaneous haematoma</w:t>
            </w:r>
          </w:p>
          <w:p w14:paraId="730F75C5" w14:textId="77777777" w:rsidR="00DA6D02" w:rsidRDefault="00DA6D02" w:rsidP="00161519">
            <w:pPr>
              <w:autoSpaceDE w:val="0"/>
              <w:autoSpaceDN w:val="0"/>
              <w:adjustRightInd w:val="0"/>
              <w:spacing w:before="60" w:after="60"/>
              <w:ind w:right="45"/>
              <w:rPr>
                <w:rFonts w:cs="Arial"/>
                <w:sz w:val="18"/>
                <w:szCs w:val="18"/>
              </w:rPr>
            </w:pPr>
          </w:p>
          <w:p w14:paraId="3325FA68" w14:textId="77777777" w:rsidR="00DA6D02" w:rsidRPr="002742BE" w:rsidRDefault="00DA6D02" w:rsidP="00161519">
            <w:pPr>
              <w:autoSpaceDE w:val="0"/>
              <w:autoSpaceDN w:val="0"/>
              <w:adjustRightInd w:val="0"/>
              <w:spacing w:before="60" w:after="60"/>
              <w:ind w:right="45"/>
              <w:rPr>
                <w:rFonts w:cs="Arial"/>
                <w:sz w:val="18"/>
                <w:szCs w:val="18"/>
              </w:rPr>
            </w:pPr>
          </w:p>
        </w:tc>
        <w:tc>
          <w:tcPr>
            <w:tcW w:w="1620" w:type="dxa"/>
            <w:tcBorders>
              <w:left w:val="single" w:sz="4" w:space="0" w:color="000000"/>
              <w:bottom w:val="single" w:sz="4" w:space="0" w:color="000000"/>
              <w:right w:val="single" w:sz="4" w:space="0" w:color="000000"/>
            </w:tcBorders>
            <w:shd w:val="clear" w:color="auto" w:fill="auto"/>
          </w:tcPr>
          <w:p w14:paraId="53043ABA" w14:textId="77777777" w:rsidR="004C2A46" w:rsidRDefault="004C2A46" w:rsidP="00161519">
            <w:pPr>
              <w:autoSpaceDE w:val="0"/>
              <w:autoSpaceDN w:val="0"/>
              <w:adjustRightInd w:val="0"/>
              <w:spacing w:before="60" w:after="60"/>
              <w:ind w:right="45"/>
              <w:jc w:val="center"/>
              <w:rPr>
                <w:rFonts w:cs="Arial"/>
                <w:bCs/>
                <w:sz w:val="18"/>
                <w:szCs w:val="18"/>
              </w:rPr>
            </w:pPr>
            <w:r w:rsidRPr="000E7AAE">
              <w:rPr>
                <w:rFonts w:cs="Arial"/>
                <w:bCs/>
                <w:sz w:val="18"/>
                <w:szCs w:val="18"/>
              </w:rPr>
              <w:t>44 (1.07)</w:t>
            </w:r>
          </w:p>
        </w:tc>
        <w:tc>
          <w:tcPr>
            <w:tcW w:w="1620" w:type="dxa"/>
            <w:tcBorders>
              <w:left w:val="single" w:sz="4" w:space="0" w:color="000000"/>
              <w:bottom w:val="single" w:sz="4" w:space="0" w:color="000000"/>
              <w:right w:val="single" w:sz="4" w:space="0" w:color="000000"/>
            </w:tcBorders>
            <w:shd w:val="clear" w:color="auto" w:fill="auto"/>
          </w:tcPr>
          <w:p w14:paraId="644DCE54" w14:textId="77777777" w:rsidR="004C2A46" w:rsidRDefault="004C2A46" w:rsidP="00161519">
            <w:pPr>
              <w:autoSpaceDE w:val="0"/>
              <w:autoSpaceDN w:val="0"/>
              <w:adjustRightInd w:val="0"/>
              <w:spacing w:before="60" w:after="60"/>
              <w:ind w:right="45"/>
              <w:jc w:val="center"/>
              <w:rPr>
                <w:rFonts w:cs="Arial"/>
                <w:bCs/>
                <w:sz w:val="18"/>
                <w:szCs w:val="18"/>
              </w:rPr>
            </w:pPr>
            <w:r w:rsidRPr="000E7AAE">
              <w:rPr>
                <w:rFonts w:cs="Arial"/>
                <w:bCs/>
                <w:sz w:val="18"/>
                <w:szCs w:val="18"/>
              </w:rPr>
              <w:t>61 (1.48)</w:t>
            </w:r>
          </w:p>
        </w:tc>
        <w:tc>
          <w:tcPr>
            <w:tcW w:w="1440" w:type="dxa"/>
            <w:tcBorders>
              <w:left w:val="single" w:sz="4" w:space="0" w:color="000000"/>
              <w:bottom w:val="single" w:sz="4" w:space="0" w:color="000000"/>
              <w:right w:val="single" w:sz="4" w:space="0" w:color="000000"/>
            </w:tcBorders>
            <w:shd w:val="clear" w:color="auto" w:fill="auto"/>
          </w:tcPr>
          <w:p w14:paraId="17F167C7" w14:textId="77777777" w:rsidR="004C2A46" w:rsidRPr="002742BE" w:rsidRDefault="004C2A46" w:rsidP="00161519">
            <w:pPr>
              <w:autoSpaceDE w:val="0"/>
              <w:autoSpaceDN w:val="0"/>
              <w:adjustRightInd w:val="0"/>
              <w:spacing w:before="60" w:after="60"/>
              <w:ind w:right="45"/>
              <w:jc w:val="center"/>
              <w:rPr>
                <w:rFonts w:cs="Arial"/>
                <w:bCs/>
                <w:sz w:val="18"/>
                <w:szCs w:val="18"/>
              </w:rPr>
            </w:pPr>
            <w:r w:rsidRPr="000E7AAE">
              <w:rPr>
                <w:rFonts w:cs="Arial"/>
                <w:bCs/>
                <w:sz w:val="18"/>
                <w:szCs w:val="18"/>
              </w:rPr>
              <w:t>0</w:t>
            </w:r>
          </w:p>
        </w:tc>
        <w:tc>
          <w:tcPr>
            <w:tcW w:w="1620" w:type="dxa"/>
            <w:tcBorders>
              <w:left w:val="single" w:sz="4" w:space="0" w:color="000000"/>
              <w:bottom w:val="single" w:sz="4" w:space="0" w:color="000000"/>
              <w:right w:val="single" w:sz="4" w:space="0" w:color="000000"/>
            </w:tcBorders>
            <w:shd w:val="clear" w:color="auto" w:fill="auto"/>
          </w:tcPr>
          <w:p w14:paraId="2326E90E" w14:textId="77777777" w:rsidR="004C2A46" w:rsidRPr="002742BE" w:rsidRDefault="004C2A46" w:rsidP="00161519">
            <w:pPr>
              <w:autoSpaceDE w:val="0"/>
              <w:autoSpaceDN w:val="0"/>
              <w:adjustRightInd w:val="0"/>
              <w:spacing w:before="60" w:after="60"/>
              <w:ind w:right="45"/>
              <w:jc w:val="center"/>
              <w:rPr>
                <w:rFonts w:cs="Arial"/>
                <w:bCs/>
                <w:sz w:val="18"/>
                <w:szCs w:val="18"/>
              </w:rPr>
            </w:pPr>
            <w:r w:rsidRPr="000E7AAE">
              <w:rPr>
                <w:rFonts w:cs="Arial"/>
                <w:bCs/>
                <w:sz w:val="18"/>
                <w:szCs w:val="18"/>
              </w:rPr>
              <w:t>2 (0.34)</w:t>
            </w:r>
          </w:p>
        </w:tc>
      </w:tr>
      <w:tr w:rsidR="004C2A46" w:rsidRPr="002742BE" w14:paraId="7CA0257C" w14:textId="77777777" w:rsidTr="004C2A46">
        <w:tc>
          <w:tcPr>
            <w:tcW w:w="2448" w:type="dxa"/>
            <w:tcBorders>
              <w:top w:val="single" w:sz="4" w:space="0" w:color="000000"/>
              <w:left w:val="single" w:sz="4" w:space="0" w:color="auto"/>
              <w:right w:val="single" w:sz="4" w:space="0" w:color="auto"/>
            </w:tcBorders>
            <w:shd w:val="clear" w:color="auto" w:fill="auto"/>
          </w:tcPr>
          <w:p w14:paraId="4CCF6DD0"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bCs/>
                <w:sz w:val="18"/>
                <w:szCs w:val="18"/>
              </w:rPr>
              <w:t>Investigations</w:t>
            </w:r>
          </w:p>
        </w:tc>
        <w:tc>
          <w:tcPr>
            <w:tcW w:w="1620" w:type="dxa"/>
            <w:tcBorders>
              <w:top w:val="single" w:sz="4" w:space="0" w:color="000000"/>
              <w:left w:val="single" w:sz="4" w:space="0" w:color="auto"/>
              <w:right w:val="single" w:sz="4" w:space="0" w:color="auto"/>
            </w:tcBorders>
            <w:shd w:val="clear" w:color="auto" w:fill="auto"/>
          </w:tcPr>
          <w:p w14:paraId="4CB49290"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000000"/>
              <w:left w:val="single" w:sz="4" w:space="0" w:color="auto"/>
              <w:right w:val="single" w:sz="4" w:space="0" w:color="auto"/>
            </w:tcBorders>
            <w:shd w:val="clear" w:color="auto" w:fill="auto"/>
          </w:tcPr>
          <w:p w14:paraId="46677B86"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440" w:type="dxa"/>
            <w:tcBorders>
              <w:top w:val="single" w:sz="4" w:space="0" w:color="000000"/>
              <w:left w:val="single" w:sz="4" w:space="0" w:color="auto"/>
              <w:right w:val="single" w:sz="4" w:space="0" w:color="auto"/>
            </w:tcBorders>
            <w:shd w:val="clear" w:color="auto" w:fill="auto"/>
          </w:tcPr>
          <w:p w14:paraId="0AFA9C06"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000000"/>
              <w:left w:val="single" w:sz="4" w:space="0" w:color="auto"/>
              <w:right w:val="single" w:sz="4" w:space="0" w:color="auto"/>
            </w:tcBorders>
            <w:shd w:val="clear" w:color="auto" w:fill="auto"/>
          </w:tcPr>
          <w:p w14:paraId="4B404B93" w14:textId="77777777" w:rsidR="004C2A46" w:rsidRPr="002742BE" w:rsidRDefault="004C2A46" w:rsidP="00161519">
            <w:pPr>
              <w:autoSpaceDE w:val="0"/>
              <w:autoSpaceDN w:val="0"/>
              <w:adjustRightInd w:val="0"/>
              <w:spacing w:before="60" w:after="60"/>
              <w:ind w:right="46"/>
              <w:rPr>
                <w:rFonts w:cs="Arial"/>
                <w:b/>
                <w:bCs/>
                <w:sz w:val="18"/>
                <w:szCs w:val="18"/>
              </w:rPr>
            </w:pPr>
          </w:p>
        </w:tc>
      </w:tr>
      <w:tr w:rsidR="004C2A46" w:rsidRPr="002742BE" w14:paraId="7AC8AD7E" w14:textId="77777777" w:rsidTr="00161519">
        <w:tc>
          <w:tcPr>
            <w:tcW w:w="2448" w:type="dxa"/>
            <w:tcBorders>
              <w:left w:val="single" w:sz="4" w:space="0" w:color="auto"/>
              <w:bottom w:val="single" w:sz="4" w:space="0" w:color="auto"/>
              <w:right w:val="single" w:sz="4" w:space="0" w:color="auto"/>
            </w:tcBorders>
            <w:shd w:val="clear" w:color="auto" w:fill="auto"/>
          </w:tcPr>
          <w:p w14:paraId="26CAF325" w14:textId="77777777" w:rsidR="004C2A46" w:rsidRDefault="004C2A46" w:rsidP="00161519">
            <w:pPr>
              <w:autoSpaceDE w:val="0"/>
              <w:autoSpaceDN w:val="0"/>
              <w:adjustRightInd w:val="0"/>
              <w:spacing w:before="60" w:after="60"/>
              <w:ind w:right="46"/>
              <w:rPr>
                <w:rFonts w:cs="Arial"/>
                <w:sz w:val="18"/>
                <w:szCs w:val="18"/>
              </w:rPr>
            </w:pPr>
            <w:r w:rsidRPr="002742BE">
              <w:rPr>
                <w:rFonts w:cs="Arial"/>
                <w:sz w:val="18"/>
                <w:szCs w:val="18"/>
              </w:rPr>
              <w:t>Alanine aminotransferase increased</w:t>
            </w:r>
          </w:p>
          <w:p w14:paraId="52DE97E6" w14:textId="77777777" w:rsidR="004C2A46" w:rsidRPr="000E7AAE" w:rsidRDefault="004C2A46" w:rsidP="00161519">
            <w:pPr>
              <w:autoSpaceDE w:val="0"/>
              <w:autoSpaceDN w:val="0"/>
              <w:adjustRightInd w:val="0"/>
              <w:spacing w:before="60" w:after="60"/>
              <w:ind w:right="46"/>
              <w:rPr>
                <w:rFonts w:cs="Arial"/>
                <w:sz w:val="18"/>
                <w:szCs w:val="18"/>
              </w:rPr>
            </w:pPr>
            <w:r>
              <w:rPr>
                <w:rFonts w:cs="Arial"/>
                <w:sz w:val="18"/>
                <w:szCs w:val="18"/>
              </w:rPr>
              <w:t xml:space="preserve">Aspartate </w:t>
            </w:r>
            <w:r>
              <w:rPr>
                <w:rFonts w:cs="Arial"/>
                <w:sz w:val="18"/>
                <w:szCs w:val="18"/>
              </w:rPr>
              <w:lastRenderedPageBreak/>
              <w:t>aminotransferase increased</w:t>
            </w:r>
          </w:p>
        </w:tc>
        <w:tc>
          <w:tcPr>
            <w:tcW w:w="1620" w:type="dxa"/>
            <w:tcBorders>
              <w:left w:val="single" w:sz="4" w:space="0" w:color="auto"/>
              <w:bottom w:val="single" w:sz="4" w:space="0" w:color="auto"/>
              <w:right w:val="single" w:sz="4" w:space="0" w:color="auto"/>
            </w:tcBorders>
            <w:shd w:val="clear" w:color="auto" w:fill="auto"/>
          </w:tcPr>
          <w:p w14:paraId="40763B01" w14:textId="77777777" w:rsidR="004C2A46"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lastRenderedPageBreak/>
              <w:t>72 (1.74)</w:t>
            </w:r>
          </w:p>
          <w:p w14:paraId="12C27726" w14:textId="77777777" w:rsidR="004C2A46" w:rsidRDefault="004C2A46" w:rsidP="00161519">
            <w:pPr>
              <w:autoSpaceDE w:val="0"/>
              <w:autoSpaceDN w:val="0"/>
              <w:adjustRightInd w:val="0"/>
              <w:spacing w:before="60" w:after="60"/>
              <w:ind w:right="46"/>
              <w:jc w:val="center"/>
              <w:rPr>
                <w:rFonts w:cs="Arial"/>
                <w:bCs/>
                <w:sz w:val="18"/>
                <w:szCs w:val="18"/>
              </w:rPr>
            </w:pPr>
          </w:p>
          <w:p w14:paraId="4961A1DB"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lastRenderedPageBreak/>
              <w:t>32 (0.77)</w:t>
            </w:r>
          </w:p>
        </w:tc>
        <w:tc>
          <w:tcPr>
            <w:tcW w:w="1620" w:type="dxa"/>
            <w:tcBorders>
              <w:left w:val="single" w:sz="4" w:space="0" w:color="auto"/>
              <w:bottom w:val="single" w:sz="4" w:space="0" w:color="auto"/>
              <w:right w:val="single" w:sz="4" w:space="0" w:color="auto"/>
            </w:tcBorders>
            <w:shd w:val="clear" w:color="auto" w:fill="auto"/>
          </w:tcPr>
          <w:p w14:paraId="418B191D" w14:textId="77777777" w:rsidR="004C2A46"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lastRenderedPageBreak/>
              <w:t>129 (3.13)</w:t>
            </w:r>
          </w:p>
          <w:p w14:paraId="104F3D1D" w14:textId="77777777" w:rsidR="004C2A46" w:rsidRDefault="004C2A46" w:rsidP="00161519">
            <w:pPr>
              <w:autoSpaceDE w:val="0"/>
              <w:autoSpaceDN w:val="0"/>
              <w:adjustRightInd w:val="0"/>
              <w:spacing w:before="60" w:after="60"/>
              <w:ind w:right="46"/>
              <w:jc w:val="center"/>
              <w:rPr>
                <w:rFonts w:cs="Arial"/>
                <w:bCs/>
                <w:sz w:val="18"/>
                <w:szCs w:val="18"/>
              </w:rPr>
            </w:pPr>
          </w:p>
          <w:p w14:paraId="4AE83144"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lastRenderedPageBreak/>
              <w:t>44 (1.07)</w:t>
            </w:r>
          </w:p>
        </w:tc>
        <w:tc>
          <w:tcPr>
            <w:tcW w:w="1440" w:type="dxa"/>
            <w:tcBorders>
              <w:left w:val="single" w:sz="4" w:space="0" w:color="auto"/>
              <w:bottom w:val="single" w:sz="4" w:space="0" w:color="auto"/>
              <w:right w:val="single" w:sz="4" w:space="0" w:color="auto"/>
            </w:tcBorders>
            <w:shd w:val="clear" w:color="auto" w:fill="auto"/>
          </w:tcPr>
          <w:p w14:paraId="48B6CC3A" w14:textId="77777777" w:rsidR="004C2A46"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lastRenderedPageBreak/>
              <w:t>2 (0.33)</w:t>
            </w:r>
          </w:p>
          <w:p w14:paraId="27C5B4B3" w14:textId="77777777" w:rsidR="004C2A46" w:rsidRDefault="004C2A46" w:rsidP="00161519">
            <w:pPr>
              <w:autoSpaceDE w:val="0"/>
              <w:autoSpaceDN w:val="0"/>
              <w:adjustRightInd w:val="0"/>
              <w:spacing w:before="60" w:after="60"/>
              <w:ind w:right="46"/>
              <w:jc w:val="center"/>
              <w:rPr>
                <w:rFonts w:cs="Arial"/>
                <w:bCs/>
                <w:sz w:val="18"/>
                <w:szCs w:val="18"/>
              </w:rPr>
            </w:pPr>
          </w:p>
          <w:p w14:paraId="66B1F285"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lastRenderedPageBreak/>
              <w:t>4 (0.67)</w:t>
            </w:r>
          </w:p>
        </w:tc>
        <w:tc>
          <w:tcPr>
            <w:tcW w:w="1620" w:type="dxa"/>
            <w:tcBorders>
              <w:left w:val="single" w:sz="4" w:space="0" w:color="auto"/>
              <w:bottom w:val="single" w:sz="4" w:space="0" w:color="auto"/>
              <w:right w:val="single" w:sz="4" w:space="0" w:color="auto"/>
            </w:tcBorders>
            <w:shd w:val="clear" w:color="auto" w:fill="auto"/>
          </w:tcPr>
          <w:p w14:paraId="53B1BAB2" w14:textId="77777777" w:rsidR="004C2A46"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lastRenderedPageBreak/>
              <w:t>4 (0.68)</w:t>
            </w:r>
          </w:p>
          <w:p w14:paraId="64542B75" w14:textId="77777777" w:rsidR="004C2A46" w:rsidRDefault="004C2A46" w:rsidP="00161519">
            <w:pPr>
              <w:autoSpaceDE w:val="0"/>
              <w:autoSpaceDN w:val="0"/>
              <w:adjustRightInd w:val="0"/>
              <w:spacing w:before="60" w:after="60"/>
              <w:ind w:right="46"/>
              <w:jc w:val="center"/>
              <w:rPr>
                <w:rFonts w:cs="Arial"/>
                <w:bCs/>
                <w:sz w:val="18"/>
                <w:szCs w:val="18"/>
              </w:rPr>
            </w:pPr>
          </w:p>
          <w:p w14:paraId="0C141DD2"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lastRenderedPageBreak/>
              <w:t>3 (0.51)</w:t>
            </w:r>
          </w:p>
        </w:tc>
      </w:tr>
      <w:tr w:rsidR="004C2A46" w:rsidRPr="002742BE" w14:paraId="3D3047FA" w14:textId="77777777" w:rsidTr="00161519">
        <w:tc>
          <w:tcPr>
            <w:tcW w:w="2448" w:type="dxa"/>
            <w:tcBorders>
              <w:top w:val="single" w:sz="4" w:space="0" w:color="auto"/>
              <w:left w:val="single" w:sz="4" w:space="0" w:color="auto"/>
              <w:right w:val="single" w:sz="4" w:space="0" w:color="auto"/>
            </w:tcBorders>
            <w:shd w:val="clear" w:color="auto" w:fill="auto"/>
          </w:tcPr>
          <w:p w14:paraId="7FB4C16B"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sz w:val="18"/>
                <w:szCs w:val="18"/>
              </w:rPr>
              <w:lastRenderedPageBreak/>
              <w:t>Musculoskeletal, connective tissue and bone disorders</w:t>
            </w:r>
          </w:p>
        </w:tc>
        <w:tc>
          <w:tcPr>
            <w:tcW w:w="1620" w:type="dxa"/>
            <w:tcBorders>
              <w:top w:val="single" w:sz="4" w:space="0" w:color="auto"/>
              <w:left w:val="single" w:sz="4" w:space="0" w:color="auto"/>
              <w:right w:val="single" w:sz="4" w:space="0" w:color="auto"/>
            </w:tcBorders>
            <w:shd w:val="clear" w:color="auto" w:fill="auto"/>
          </w:tcPr>
          <w:p w14:paraId="546D0F72"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76F65FB4"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440" w:type="dxa"/>
            <w:tcBorders>
              <w:top w:val="single" w:sz="4" w:space="0" w:color="auto"/>
              <w:left w:val="single" w:sz="4" w:space="0" w:color="auto"/>
              <w:right w:val="single" w:sz="4" w:space="0" w:color="auto"/>
            </w:tcBorders>
            <w:shd w:val="clear" w:color="auto" w:fill="auto"/>
          </w:tcPr>
          <w:p w14:paraId="64C26DAE"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11F69EA1" w14:textId="77777777" w:rsidR="004C2A46" w:rsidRPr="002742BE" w:rsidRDefault="004C2A46" w:rsidP="00161519">
            <w:pPr>
              <w:autoSpaceDE w:val="0"/>
              <w:autoSpaceDN w:val="0"/>
              <w:adjustRightInd w:val="0"/>
              <w:spacing w:before="60" w:after="60"/>
              <w:ind w:right="46"/>
              <w:rPr>
                <w:rFonts w:cs="Arial"/>
                <w:b/>
                <w:bCs/>
                <w:sz w:val="18"/>
                <w:szCs w:val="18"/>
              </w:rPr>
            </w:pPr>
          </w:p>
        </w:tc>
      </w:tr>
      <w:tr w:rsidR="004C2A46" w:rsidRPr="002742BE" w14:paraId="0F0157E4" w14:textId="77777777" w:rsidTr="00161519">
        <w:tc>
          <w:tcPr>
            <w:tcW w:w="2448" w:type="dxa"/>
            <w:tcBorders>
              <w:left w:val="single" w:sz="4" w:space="0" w:color="auto"/>
              <w:bottom w:val="single" w:sz="4" w:space="0" w:color="auto"/>
              <w:right w:val="single" w:sz="4" w:space="0" w:color="auto"/>
            </w:tcBorders>
            <w:shd w:val="clear" w:color="auto" w:fill="auto"/>
          </w:tcPr>
          <w:p w14:paraId="00461239"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sz w:val="18"/>
                <w:szCs w:val="18"/>
              </w:rPr>
              <w:t>Pain in extremity</w:t>
            </w:r>
          </w:p>
        </w:tc>
        <w:tc>
          <w:tcPr>
            <w:tcW w:w="1620" w:type="dxa"/>
            <w:tcBorders>
              <w:left w:val="single" w:sz="4" w:space="0" w:color="auto"/>
              <w:bottom w:val="single" w:sz="4" w:space="0" w:color="auto"/>
              <w:right w:val="single" w:sz="4" w:space="0" w:color="auto"/>
            </w:tcBorders>
            <w:shd w:val="clear" w:color="auto" w:fill="auto"/>
          </w:tcPr>
          <w:p w14:paraId="1B35C45D"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230 (5.57)</w:t>
            </w:r>
          </w:p>
        </w:tc>
        <w:tc>
          <w:tcPr>
            <w:tcW w:w="1620" w:type="dxa"/>
            <w:tcBorders>
              <w:left w:val="single" w:sz="4" w:space="0" w:color="auto"/>
              <w:bottom w:val="single" w:sz="4" w:space="0" w:color="auto"/>
              <w:right w:val="single" w:sz="4" w:space="0" w:color="auto"/>
            </w:tcBorders>
            <w:shd w:val="clear" w:color="auto" w:fill="auto"/>
          </w:tcPr>
          <w:p w14:paraId="78BAEB57"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221 (5.37)</w:t>
            </w:r>
          </w:p>
        </w:tc>
        <w:tc>
          <w:tcPr>
            <w:tcW w:w="1440" w:type="dxa"/>
            <w:tcBorders>
              <w:left w:val="single" w:sz="4" w:space="0" w:color="auto"/>
              <w:bottom w:val="single" w:sz="4" w:space="0" w:color="auto"/>
              <w:right w:val="single" w:sz="4" w:space="0" w:color="auto"/>
            </w:tcBorders>
            <w:shd w:val="clear" w:color="auto" w:fill="auto"/>
          </w:tcPr>
          <w:p w14:paraId="35E362BD"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29 (4.85)</w:t>
            </w:r>
          </w:p>
        </w:tc>
        <w:tc>
          <w:tcPr>
            <w:tcW w:w="1620" w:type="dxa"/>
            <w:tcBorders>
              <w:left w:val="single" w:sz="4" w:space="0" w:color="auto"/>
              <w:bottom w:val="single" w:sz="4" w:space="0" w:color="auto"/>
              <w:right w:val="single" w:sz="4" w:space="0" w:color="auto"/>
            </w:tcBorders>
            <w:shd w:val="clear" w:color="auto" w:fill="auto"/>
          </w:tcPr>
          <w:p w14:paraId="6F4FC97E" w14:textId="77777777" w:rsidR="004C2A46"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35 (5.93)</w:t>
            </w:r>
          </w:p>
          <w:p w14:paraId="62F1E8FF" w14:textId="77777777" w:rsidR="007423A3" w:rsidRDefault="007423A3" w:rsidP="00161519">
            <w:pPr>
              <w:autoSpaceDE w:val="0"/>
              <w:autoSpaceDN w:val="0"/>
              <w:adjustRightInd w:val="0"/>
              <w:spacing w:before="60" w:after="60"/>
              <w:ind w:right="46"/>
              <w:jc w:val="center"/>
              <w:rPr>
                <w:rFonts w:cs="Arial"/>
                <w:bCs/>
                <w:sz w:val="18"/>
                <w:szCs w:val="18"/>
              </w:rPr>
            </w:pPr>
          </w:p>
          <w:p w14:paraId="75847326" w14:textId="77777777" w:rsidR="007423A3" w:rsidRDefault="007423A3" w:rsidP="00161519">
            <w:pPr>
              <w:autoSpaceDE w:val="0"/>
              <w:autoSpaceDN w:val="0"/>
              <w:adjustRightInd w:val="0"/>
              <w:spacing w:before="60" w:after="60"/>
              <w:ind w:right="46"/>
              <w:jc w:val="center"/>
              <w:rPr>
                <w:rFonts w:cs="Arial"/>
                <w:bCs/>
                <w:sz w:val="18"/>
                <w:szCs w:val="18"/>
              </w:rPr>
            </w:pPr>
          </w:p>
          <w:p w14:paraId="754263F3" w14:textId="77777777" w:rsidR="007423A3" w:rsidRPr="002742BE" w:rsidRDefault="007423A3" w:rsidP="00161519">
            <w:pPr>
              <w:autoSpaceDE w:val="0"/>
              <w:autoSpaceDN w:val="0"/>
              <w:adjustRightInd w:val="0"/>
              <w:spacing w:before="60" w:after="60"/>
              <w:ind w:right="46"/>
              <w:jc w:val="center"/>
              <w:rPr>
                <w:rFonts w:cs="Arial"/>
                <w:bCs/>
                <w:sz w:val="18"/>
                <w:szCs w:val="18"/>
              </w:rPr>
            </w:pPr>
          </w:p>
        </w:tc>
      </w:tr>
      <w:tr w:rsidR="004C2A46" w:rsidRPr="002742BE" w14:paraId="2916AC65" w14:textId="77777777" w:rsidTr="00161519">
        <w:tc>
          <w:tcPr>
            <w:tcW w:w="2448" w:type="dxa"/>
            <w:tcBorders>
              <w:top w:val="single" w:sz="4" w:space="0" w:color="auto"/>
              <w:left w:val="single" w:sz="4" w:space="0" w:color="auto"/>
              <w:right w:val="single" w:sz="4" w:space="0" w:color="auto"/>
            </w:tcBorders>
            <w:shd w:val="clear" w:color="auto" w:fill="auto"/>
          </w:tcPr>
          <w:p w14:paraId="41958DFC"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sz w:val="18"/>
                <w:szCs w:val="18"/>
              </w:rPr>
              <w:t>Nervous system disorders</w:t>
            </w:r>
          </w:p>
        </w:tc>
        <w:tc>
          <w:tcPr>
            <w:tcW w:w="1620" w:type="dxa"/>
            <w:tcBorders>
              <w:top w:val="single" w:sz="4" w:space="0" w:color="auto"/>
              <w:left w:val="single" w:sz="4" w:space="0" w:color="auto"/>
              <w:right w:val="single" w:sz="4" w:space="0" w:color="auto"/>
            </w:tcBorders>
            <w:shd w:val="clear" w:color="auto" w:fill="auto"/>
          </w:tcPr>
          <w:p w14:paraId="2174D351"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19DB8AF1"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440" w:type="dxa"/>
            <w:tcBorders>
              <w:top w:val="single" w:sz="4" w:space="0" w:color="auto"/>
              <w:left w:val="single" w:sz="4" w:space="0" w:color="auto"/>
              <w:right w:val="single" w:sz="4" w:space="0" w:color="auto"/>
            </w:tcBorders>
            <w:shd w:val="clear" w:color="auto" w:fill="auto"/>
          </w:tcPr>
          <w:p w14:paraId="166E0217" w14:textId="77777777" w:rsidR="004C2A46" w:rsidRPr="002742BE" w:rsidRDefault="004C2A46" w:rsidP="00161519">
            <w:pPr>
              <w:autoSpaceDE w:val="0"/>
              <w:autoSpaceDN w:val="0"/>
              <w:adjustRightInd w:val="0"/>
              <w:spacing w:before="60" w:after="60"/>
              <w:ind w:right="46"/>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1552EB39" w14:textId="77777777" w:rsidR="004C2A46" w:rsidRPr="002742BE" w:rsidRDefault="004C2A46" w:rsidP="00161519">
            <w:pPr>
              <w:autoSpaceDE w:val="0"/>
              <w:autoSpaceDN w:val="0"/>
              <w:adjustRightInd w:val="0"/>
              <w:spacing w:before="60" w:after="60"/>
              <w:ind w:right="46"/>
              <w:rPr>
                <w:rFonts w:cs="Arial"/>
                <w:b/>
                <w:bCs/>
                <w:sz w:val="18"/>
                <w:szCs w:val="18"/>
              </w:rPr>
            </w:pPr>
          </w:p>
        </w:tc>
      </w:tr>
      <w:tr w:rsidR="004C2A46" w:rsidRPr="002742BE" w14:paraId="33E45B15" w14:textId="77777777" w:rsidTr="00161519">
        <w:tc>
          <w:tcPr>
            <w:tcW w:w="2448" w:type="dxa"/>
            <w:tcBorders>
              <w:left w:val="single" w:sz="4" w:space="0" w:color="auto"/>
              <w:right w:val="single" w:sz="4" w:space="0" w:color="auto"/>
            </w:tcBorders>
            <w:shd w:val="clear" w:color="auto" w:fill="auto"/>
          </w:tcPr>
          <w:p w14:paraId="65E06B7E" w14:textId="77777777" w:rsidR="004C2A46" w:rsidRPr="002742BE" w:rsidRDefault="004C2A46" w:rsidP="00161519">
            <w:pPr>
              <w:spacing w:before="60" w:after="60"/>
              <w:ind w:right="46"/>
              <w:rPr>
                <w:rFonts w:cs="Arial"/>
                <w:sz w:val="18"/>
                <w:szCs w:val="18"/>
              </w:rPr>
            </w:pPr>
            <w:r w:rsidRPr="002742BE">
              <w:rPr>
                <w:rFonts w:cs="Arial"/>
                <w:sz w:val="18"/>
                <w:szCs w:val="18"/>
              </w:rPr>
              <w:t>Headache</w:t>
            </w:r>
          </w:p>
        </w:tc>
        <w:tc>
          <w:tcPr>
            <w:tcW w:w="1620" w:type="dxa"/>
            <w:tcBorders>
              <w:left w:val="single" w:sz="4" w:space="0" w:color="auto"/>
              <w:right w:val="single" w:sz="4" w:space="0" w:color="auto"/>
            </w:tcBorders>
            <w:shd w:val="clear" w:color="auto" w:fill="auto"/>
          </w:tcPr>
          <w:p w14:paraId="6D88A194"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284 (6.88)</w:t>
            </w:r>
          </w:p>
        </w:tc>
        <w:tc>
          <w:tcPr>
            <w:tcW w:w="1620" w:type="dxa"/>
            <w:tcBorders>
              <w:left w:val="single" w:sz="4" w:space="0" w:color="auto"/>
              <w:right w:val="single" w:sz="4" w:space="0" w:color="auto"/>
            </w:tcBorders>
            <w:shd w:val="clear" w:color="auto" w:fill="auto"/>
          </w:tcPr>
          <w:p w14:paraId="2DAB9EAE"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242 (5.88)</w:t>
            </w:r>
          </w:p>
        </w:tc>
        <w:tc>
          <w:tcPr>
            <w:tcW w:w="1440" w:type="dxa"/>
            <w:tcBorders>
              <w:left w:val="single" w:sz="4" w:space="0" w:color="auto"/>
              <w:right w:val="single" w:sz="4" w:space="0" w:color="auto"/>
            </w:tcBorders>
            <w:shd w:val="clear" w:color="auto" w:fill="auto"/>
          </w:tcPr>
          <w:p w14:paraId="2BF3530D"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18 (3.01)</w:t>
            </w:r>
          </w:p>
        </w:tc>
        <w:tc>
          <w:tcPr>
            <w:tcW w:w="1620" w:type="dxa"/>
            <w:tcBorders>
              <w:left w:val="single" w:sz="4" w:space="0" w:color="auto"/>
              <w:right w:val="single" w:sz="4" w:space="0" w:color="auto"/>
            </w:tcBorders>
            <w:shd w:val="clear" w:color="auto" w:fill="auto"/>
          </w:tcPr>
          <w:p w14:paraId="30C5EB65"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15 (2.54)</w:t>
            </w:r>
          </w:p>
        </w:tc>
      </w:tr>
      <w:tr w:rsidR="004C2A46" w:rsidRPr="002742BE" w14:paraId="52ACD778" w14:textId="77777777" w:rsidTr="00161519">
        <w:tc>
          <w:tcPr>
            <w:tcW w:w="2448" w:type="dxa"/>
            <w:tcBorders>
              <w:left w:val="single" w:sz="4" w:space="0" w:color="auto"/>
              <w:bottom w:val="single" w:sz="4" w:space="0" w:color="auto"/>
              <w:right w:val="single" w:sz="4" w:space="0" w:color="auto"/>
            </w:tcBorders>
            <w:shd w:val="clear" w:color="auto" w:fill="auto"/>
          </w:tcPr>
          <w:p w14:paraId="5A8702DA" w14:textId="77777777" w:rsidR="004C2A46" w:rsidRPr="002742BE" w:rsidRDefault="004C2A46" w:rsidP="00161519">
            <w:pPr>
              <w:spacing w:before="60" w:after="60"/>
              <w:ind w:right="46"/>
              <w:rPr>
                <w:rFonts w:cs="Arial"/>
                <w:sz w:val="18"/>
                <w:szCs w:val="18"/>
              </w:rPr>
            </w:pPr>
            <w:r w:rsidRPr="002742BE">
              <w:rPr>
                <w:rFonts w:cs="Arial"/>
                <w:sz w:val="18"/>
                <w:szCs w:val="18"/>
              </w:rPr>
              <w:t>Dizziness</w:t>
            </w:r>
          </w:p>
        </w:tc>
        <w:tc>
          <w:tcPr>
            <w:tcW w:w="1620" w:type="dxa"/>
            <w:tcBorders>
              <w:left w:val="single" w:sz="4" w:space="0" w:color="auto"/>
              <w:bottom w:val="single" w:sz="4" w:space="0" w:color="auto"/>
              <w:right w:val="single" w:sz="4" w:space="0" w:color="auto"/>
            </w:tcBorders>
            <w:shd w:val="clear" w:color="auto" w:fill="auto"/>
          </w:tcPr>
          <w:p w14:paraId="08855751"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102 (2.47)</w:t>
            </w:r>
          </w:p>
        </w:tc>
        <w:tc>
          <w:tcPr>
            <w:tcW w:w="1620" w:type="dxa"/>
            <w:tcBorders>
              <w:left w:val="single" w:sz="4" w:space="0" w:color="auto"/>
              <w:bottom w:val="single" w:sz="4" w:space="0" w:color="auto"/>
              <w:right w:val="single" w:sz="4" w:space="0" w:color="auto"/>
            </w:tcBorders>
            <w:shd w:val="clear" w:color="auto" w:fill="auto"/>
          </w:tcPr>
          <w:p w14:paraId="7E736409"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108 (2.62)</w:t>
            </w:r>
          </w:p>
        </w:tc>
        <w:tc>
          <w:tcPr>
            <w:tcW w:w="1440" w:type="dxa"/>
            <w:tcBorders>
              <w:left w:val="single" w:sz="4" w:space="0" w:color="auto"/>
              <w:bottom w:val="single" w:sz="4" w:space="0" w:color="auto"/>
              <w:right w:val="single" w:sz="4" w:space="0" w:color="auto"/>
            </w:tcBorders>
            <w:shd w:val="clear" w:color="auto" w:fill="auto"/>
          </w:tcPr>
          <w:p w14:paraId="2BD1B484"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6 (1.00)</w:t>
            </w:r>
          </w:p>
        </w:tc>
        <w:tc>
          <w:tcPr>
            <w:tcW w:w="1620" w:type="dxa"/>
            <w:tcBorders>
              <w:left w:val="single" w:sz="4" w:space="0" w:color="auto"/>
              <w:bottom w:val="single" w:sz="4" w:space="0" w:color="auto"/>
              <w:right w:val="single" w:sz="4" w:space="0" w:color="auto"/>
            </w:tcBorders>
            <w:shd w:val="clear" w:color="auto" w:fill="auto"/>
          </w:tcPr>
          <w:p w14:paraId="2707008D"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8 (1.36 )</w:t>
            </w:r>
          </w:p>
        </w:tc>
      </w:tr>
      <w:tr w:rsidR="004C2A46" w:rsidRPr="002742BE" w14:paraId="08CA6D56" w14:textId="77777777" w:rsidTr="00161519">
        <w:tc>
          <w:tcPr>
            <w:tcW w:w="2448" w:type="dxa"/>
            <w:tcBorders>
              <w:top w:val="single" w:sz="4" w:space="0" w:color="auto"/>
              <w:left w:val="single" w:sz="4" w:space="0" w:color="auto"/>
              <w:right w:val="single" w:sz="4" w:space="0" w:color="auto"/>
            </w:tcBorders>
            <w:shd w:val="clear" w:color="auto" w:fill="auto"/>
          </w:tcPr>
          <w:p w14:paraId="4BD303EA"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bCs/>
                <w:sz w:val="18"/>
                <w:szCs w:val="18"/>
              </w:rPr>
              <w:t>Renal and urinary disorders</w:t>
            </w:r>
          </w:p>
        </w:tc>
        <w:tc>
          <w:tcPr>
            <w:tcW w:w="1620" w:type="dxa"/>
            <w:tcBorders>
              <w:top w:val="single" w:sz="4" w:space="0" w:color="auto"/>
              <w:left w:val="single" w:sz="4" w:space="0" w:color="auto"/>
              <w:right w:val="single" w:sz="4" w:space="0" w:color="auto"/>
            </w:tcBorders>
            <w:shd w:val="clear" w:color="auto" w:fill="auto"/>
          </w:tcPr>
          <w:p w14:paraId="794A025E" w14:textId="77777777" w:rsidR="004C2A46" w:rsidRPr="002742BE" w:rsidRDefault="004C2A46" w:rsidP="00161519">
            <w:pPr>
              <w:autoSpaceDE w:val="0"/>
              <w:autoSpaceDN w:val="0"/>
              <w:adjustRightInd w:val="0"/>
              <w:spacing w:before="60" w:after="60"/>
              <w:ind w:right="46"/>
              <w:jc w:val="center"/>
              <w:rPr>
                <w:rFonts w:cs="Arial"/>
                <w:bCs/>
                <w:sz w:val="18"/>
                <w:szCs w:val="18"/>
              </w:rPr>
            </w:pPr>
          </w:p>
        </w:tc>
        <w:tc>
          <w:tcPr>
            <w:tcW w:w="1620" w:type="dxa"/>
            <w:tcBorders>
              <w:top w:val="single" w:sz="4" w:space="0" w:color="auto"/>
              <w:left w:val="single" w:sz="4" w:space="0" w:color="auto"/>
              <w:right w:val="single" w:sz="4" w:space="0" w:color="auto"/>
            </w:tcBorders>
            <w:shd w:val="clear" w:color="auto" w:fill="auto"/>
          </w:tcPr>
          <w:p w14:paraId="2749D29A" w14:textId="77777777" w:rsidR="004C2A46" w:rsidRPr="002742BE" w:rsidRDefault="004C2A46" w:rsidP="00161519">
            <w:pPr>
              <w:autoSpaceDE w:val="0"/>
              <w:autoSpaceDN w:val="0"/>
              <w:adjustRightInd w:val="0"/>
              <w:spacing w:before="60" w:after="60"/>
              <w:ind w:right="46"/>
              <w:jc w:val="center"/>
              <w:rPr>
                <w:rFonts w:cs="Arial"/>
                <w:bCs/>
                <w:sz w:val="18"/>
                <w:szCs w:val="18"/>
              </w:rPr>
            </w:pPr>
          </w:p>
        </w:tc>
        <w:tc>
          <w:tcPr>
            <w:tcW w:w="1440" w:type="dxa"/>
            <w:tcBorders>
              <w:top w:val="single" w:sz="4" w:space="0" w:color="auto"/>
              <w:left w:val="single" w:sz="4" w:space="0" w:color="auto"/>
              <w:right w:val="single" w:sz="4" w:space="0" w:color="auto"/>
            </w:tcBorders>
            <w:shd w:val="clear" w:color="auto" w:fill="auto"/>
          </w:tcPr>
          <w:p w14:paraId="56211A90" w14:textId="77777777" w:rsidR="004C2A46" w:rsidRPr="002742BE" w:rsidRDefault="004C2A46" w:rsidP="00161519">
            <w:pPr>
              <w:autoSpaceDE w:val="0"/>
              <w:autoSpaceDN w:val="0"/>
              <w:adjustRightInd w:val="0"/>
              <w:spacing w:before="60" w:after="60"/>
              <w:ind w:right="46"/>
              <w:jc w:val="center"/>
              <w:rPr>
                <w:rFonts w:cs="Arial"/>
                <w:bCs/>
                <w:sz w:val="18"/>
                <w:szCs w:val="18"/>
              </w:rPr>
            </w:pPr>
          </w:p>
        </w:tc>
        <w:tc>
          <w:tcPr>
            <w:tcW w:w="1620" w:type="dxa"/>
            <w:tcBorders>
              <w:top w:val="single" w:sz="4" w:space="0" w:color="auto"/>
              <w:left w:val="single" w:sz="4" w:space="0" w:color="auto"/>
              <w:right w:val="single" w:sz="4" w:space="0" w:color="auto"/>
            </w:tcBorders>
            <w:shd w:val="clear" w:color="auto" w:fill="auto"/>
          </w:tcPr>
          <w:p w14:paraId="4F04DE21" w14:textId="77777777" w:rsidR="004C2A46" w:rsidRPr="002742BE" w:rsidRDefault="004C2A46" w:rsidP="00161519">
            <w:pPr>
              <w:autoSpaceDE w:val="0"/>
              <w:autoSpaceDN w:val="0"/>
              <w:adjustRightInd w:val="0"/>
              <w:spacing w:before="60" w:after="60"/>
              <w:ind w:right="46"/>
              <w:jc w:val="center"/>
              <w:rPr>
                <w:rFonts w:cs="Arial"/>
                <w:bCs/>
                <w:sz w:val="18"/>
                <w:szCs w:val="18"/>
              </w:rPr>
            </w:pPr>
          </w:p>
        </w:tc>
      </w:tr>
      <w:tr w:rsidR="004C2A46" w:rsidRPr="002742BE" w14:paraId="3E5B5CAF" w14:textId="77777777" w:rsidTr="00161519">
        <w:tc>
          <w:tcPr>
            <w:tcW w:w="2448" w:type="dxa"/>
            <w:tcBorders>
              <w:left w:val="single" w:sz="4" w:space="0" w:color="auto"/>
              <w:bottom w:val="single" w:sz="4" w:space="0" w:color="auto"/>
              <w:right w:val="single" w:sz="4" w:space="0" w:color="auto"/>
            </w:tcBorders>
            <w:shd w:val="clear" w:color="auto" w:fill="auto"/>
          </w:tcPr>
          <w:p w14:paraId="58D12B72"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Cs/>
                <w:sz w:val="18"/>
                <w:szCs w:val="18"/>
              </w:rPr>
              <w:t>Haematuria</w:t>
            </w:r>
          </w:p>
        </w:tc>
        <w:tc>
          <w:tcPr>
            <w:tcW w:w="1620" w:type="dxa"/>
            <w:tcBorders>
              <w:left w:val="single" w:sz="4" w:space="0" w:color="auto"/>
              <w:bottom w:val="single" w:sz="4" w:space="0" w:color="auto"/>
              <w:right w:val="single" w:sz="4" w:space="0" w:color="auto"/>
            </w:tcBorders>
            <w:shd w:val="clear" w:color="auto" w:fill="auto"/>
          </w:tcPr>
          <w:p w14:paraId="6B7C9EE3"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111 (2.69)</w:t>
            </w:r>
          </w:p>
        </w:tc>
        <w:tc>
          <w:tcPr>
            <w:tcW w:w="1620" w:type="dxa"/>
            <w:tcBorders>
              <w:left w:val="single" w:sz="4" w:space="0" w:color="auto"/>
              <w:bottom w:val="single" w:sz="4" w:space="0" w:color="auto"/>
              <w:right w:val="single" w:sz="4" w:space="0" w:color="auto"/>
            </w:tcBorders>
            <w:shd w:val="clear" w:color="auto" w:fill="auto"/>
          </w:tcPr>
          <w:p w14:paraId="26E84894"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113 (2.75)</w:t>
            </w:r>
          </w:p>
        </w:tc>
        <w:tc>
          <w:tcPr>
            <w:tcW w:w="1440" w:type="dxa"/>
            <w:tcBorders>
              <w:left w:val="single" w:sz="4" w:space="0" w:color="auto"/>
              <w:bottom w:val="single" w:sz="4" w:space="0" w:color="auto"/>
              <w:right w:val="single" w:sz="4" w:space="0" w:color="auto"/>
            </w:tcBorders>
            <w:shd w:val="clear" w:color="auto" w:fill="auto"/>
          </w:tcPr>
          <w:p w14:paraId="38350EA3"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13 (2.17)</w:t>
            </w:r>
          </w:p>
        </w:tc>
        <w:tc>
          <w:tcPr>
            <w:tcW w:w="1620" w:type="dxa"/>
            <w:tcBorders>
              <w:left w:val="single" w:sz="4" w:space="0" w:color="auto"/>
              <w:bottom w:val="single" w:sz="4" w:space="0" w:color="auto"/>
              <w:right w:val="single" w:sz="4" w:space="0" w:color="auto"/>
            </w:tcBorders>
            <w:shd w:val="clear" w:color="auto" w:fill="auto"/>
          </w:tcPr>
          <w:p w14:paraId="667F57E2"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 (0.34)</w:t>
            </w:r>
          </w:p>
        </w:tc>
      </w:tr>
      <w:tr w:rsidR="004C2A46" w:rsidRPr="002742BE" w14:paraId="19E085DD" w14:textId="77777777" w:rsidTr="00161519">
        <w:tc>
          <w:tcPr>
            <w:tcW w:w="2448" w:type="dxa"/>
            <w:tcBorders>
              <w:top w:val="single" w:sz="4" w:space="0" w:color="auto"/>
              <w:left w:val="single" w:sz="4" w:space="0" w:color="auto"/>
              <w:right w:val="single" w:sz="4" w:space="0" w:color="auto"/>
            </w:tcBorders>
            <w:shd w:val="clear" w:color="auto" w:fill="auto"/>
          </w:tcPr>
          <w:p w14:paraId="51FF6869" w14:textId="77777777" w:rsidR="004C2A46" w:rsidRPr="002742BE" w:rsidRDefault="004C2A46" w:rsidP="00161519">
            <w:pPr>
              <w:autoSpaceDE w:val="0"/>
              <w:autoSpaceDN w:val="0"/>
              <w:adjustRightInd w:val="0"/>
              <w:spacing w:before="60" w:after="60"/>
              <w:ind w:right="46"/>
              <w:rPr>
                <w:rFonts w:cs="Arial"/>
                <w:b/>
                <w:bCs/>
                <w:sz w:val="18"/>
                <w:szCs w:val="18"/>
              </w:rPr>
            </w:pPr>
            <w:r w:rsidRPr="002742BE">
              <w:rPr>
                <w:rFonts w:cs="Arial"/>
                <w:b/>
                <w:bCs/>
                <w:sz w:val="18"/>
                <w:szCs w:val="18"/>
              </w:rPr>
              <w:t>Reproductive system and breast disorders</w:t>
            </w:r>
          </w:p>
        </w:tc>
        <w:tc>
          <w:tcPr>
            <w:tcW w:w="1620" w:type="dxa"/>
            <w:tcBorders>
              <w:top w:val="single" w:sz="4" w:space="0" w:color="auto"/>
              <w:left w:val="single" w:sz="4" w:space="0" w:color="auto"/>
              <w:right w:val="single" w:sz="4" w:space="0" w:color="auto"/>
            </w:tcBorders>
            <w:shd w:val="clear" w:color="auto" w:fill="auto"/>
          </w:tcPr>
          <w:p w14:paraId="4E555EE2" w14:textId="77777777" w:rsidR="004C2A46" w:rsidRPr="002742BE" w:rsidRDefault="004C2A46" w:rsidP="00161519">
            <w:pPr>
              <w:autoSpaceDE w:val="0"/>
              <w:autoSpaceDN w:val="0"/>
              <w:adjustRightInd w:val="0"/>
              <w:spacing w:before="60" w:after="60"/>
              <w:ind w:right="46"/>
              <w:jc w:val="center"/>
              <w:rPr>
                <w:rFonts w:cs="Arial"/>
                <w:bCs/>
                <w:sz w:val="18"/>
                <w:szCs w:val="18"/>
              </w:rPr>
            </w:pPr>
          </w:p>
        </w:tc>
        <w:tc>
          <w:tcPr>
            <w:tcW w:w="1620" w:type="dxa"/>
            <w:tcBorders>
              <w:top w:val="single" w:sz="4" w:space="0" w:color="auto"/>
              <w:left w:val="single" w:sz="4" w:space="0" w:color="auto"/>
              <w:right w:val="single" w:sz="4" w:space="0" w:color="auto"/>
            </w:tcBorders>
            <w:shd w:val="clear" w:color="auto" w:fill="auto"/>
          </w:tcPr>
          <w:p w14:paraId="3C25DCAB" w14:textId="77777777" w:rsidR="004C2A46" w:rsidRPr="002742BE" w:rsidRDefault="004C2A46" w:rsidP="00161519">
            <w:pPr>
              <w:autoSpaceDE w:val="0"/>
              <w:autoSpaceDN w:val="0"/>
              <w:adjustRightInd w:val="0"/>
              <w:spacing w:before="60" w:after="60"/>
              <w:ind w:right="46"/>
              <w:jc w:val="center"/>
              <w:rPr>
                <w:rFonts w:cs="Arial"/>
                <w:bCs/>
                <w:sz w:val="18"/>
                <w:szCs w:val="18"/>
              </w:rPr>
            </w:pPr>
          </w:p>
        </w:tc>
        <w:tc>
          <w:tcPr>
            <w:tcW w:w="1440" w:type="dxa"/>
            <w:tcBorders>
              <w:top w:val="single" w:sz="4" w:space="0" w:color="auto"/>
              <w:left w:val="single" w:sz="4" w:space="0" w:color="auto"/>
              <w:right w:val="single" w:sz="4" w:space="0" w:color="auto"/>
            </w:tcBorders>
            <w:shd w:val="clear" w:color="auto" w:fill="auto"/>
          </w:tcPr>
          <w:p w14:paraId="138F5A6D" w14:textId="77777777" w:rsidR="004C2A46" w:rsidRPr="002742BE" w:rsidRDefault="004C2A46" w:rsidP="00161519">
            <w:pPr>
              <w:autoSpaceDE w:val="0"/>
              <w:autoSpaceDN w:val="0"/>
              <w:adjustRightInd w:val="0"/>
              <w:spacing w:before="60" w:after="60"/>
              <w:ind w:right="46"/>
              <w:jc w:val="center"/>
              <w:rPr>
                <w:rFonts w:cs="Arial"/>
                <w:bCs/>
                <w:sz w:val="18"/>
                <w:szCs w:val="18"/>
              </w:rPr>
            </w:pPr>
          </w:p>
        </w:tc>
        <w:tc>
          <w:tcPr>
            <w:tcW w:w="1620" w:type="dxa"/>
            <w:tcBorders>
              <w:top w:val="single" w:sz="4" w:space="0" w:color="auto"/>
              <w:left w:val="single" w:sz="4" w:space="0" w:color="auto"/>
              <w:right w:val="single" w:sz="4" w:space="0" w:color="auto"/>
            </w:tcBorders>
            <w:shd w:val="clear" w:color="auto" w:fill="auto"/>
          </w:tcPr>
          <w:p w14:paraId="7D8CB3F4" w14:textId="77777777" w:rsidR="004C2A46" w:rsidRPr="002742BE" w:rsidRDefault="004C2A46" w:rsidP="00161519">
            <w:pPr>
              <w:autoSpaceDE w:val="0"/>
              <w:autoSpaceDN w:val="0"/>
              <w:adjustRightInd w:val="0"/>
              <w:spacing w:before="60" w:after="60"/>
              <w:ind w:right="46"/>
              <w:jc w:val="center"/>
              <w:rPr>
                <w:rFonts w:cs="Arial"/>
                <w:bCs/>
                <w:sz w:val="18"/>
                <w:szCs w:val="18"/>
              </w:rPr>
            </w:pPr>
          </w:p>
        </w:tc>
      </w:tr>
      <w:tr w:rsidR="004C2A46" w:rsidRPr="002742BE" w14:paraId="164B7A2E" w14:textId="77777777" w:rsidTr="00161519">
        <w:tc>
          <w:tcPr>
            <w:tcW w:w="2448" w:type="dxa"/>
            <w:tcBorders>
              <w:left w:val="single" w:sz="4" w:space="0" w:color="auto"/>
              <w:right w:val="single" w:sz="4" w:space="0" w:color="auto"/>
            </w:tcBorders>
            <w:shd w:val="clear" w:color="auto" w:fill="auto"/>
          </w:tcPr>
          <w:p w14:paraId="557C2A41" w14:textId="77777777" w:rsidR="004C2A46" w:rsidRPr="002742BE" w:rsidRDefault="004C2A46" w:rsidP="00161519">
            <w:pPr>
              <w:autoSpaceDE w:val="0"/>
              <w:autoSpaceDN w:val="0"/>
              <w:adjustRightInd w:val="0"/>
              <w:spacing w:before="60" w:after="60"/>
              <w:ind w:right="46"/>
              <w:rPr>
                <w:rFonts w:cs="Arial"/>
                <w:bCs/>
                <w:sz w:val="18"/>
                <w:szCs w:val="18"/>
              </w:rPr>
            </w:pPr>
            <w:r w:rsidRPr="002742BE">
              <w:rPr>
                <w:rFonts w:cs="Arial"/>
                <w:bCs/>
                <w:sz w:val="18"/>
                <w:szCs w:val="18"/>
              </w:rPr>
              <w:t>Menorrhagia</w:t>
            </w:r>
            <w:r w:rsidRPr="002742BE">
              <w:rPr>
                <w:rFonts w:cs="Arial"/>
                <w:bCs/>
                <w:sz w:val="18"/>
                <w:szCs w:val="18"/>
                <w:vertAlign w:val="superscript"/>
              </w:rPr>
              <w:t>#</w:t>
            </w:r>
          </w:p>
        </w:tc>
        <w:tc>
          <w:tcPr>
            <w:tcW w:w="1620" w:type="dxa"/>
            <w:tcBorders>
              <w:left w:val="single" w:sz="4" w:space="0" w:color="auto"/>
              <w:right w:val="single" w:sz="4" w:space="0" w:color="auto"/>
            </w:tcBorders>
            <w:shd w:val="clear" w:color="auto" w:fill="auto"/>
          </w:tcPr>
          <w:p w14:paraId="176DD795"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122 (2.95)</w:t>
            </w:r>
          </w:p>
        </w:tc>
        <w:tc>
          <w:tcPr>
            <w:tcW w:w="1620" w:type="dxa"/>
            <w:tcBorders>
              <w:left w:val="single" w:sz="4" w:space="0" w:color="auto"/>
              <w:right w:val="single" w:sz="4" w:space="0" w:color="auto"/>
            </w:tcBorders>
            <w:shd w:val="clear" w:color="auto" w:fill="auto"/>
          </w:tcPr>
          <w:p w14:paraId="6BF42C0B"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64 (1.55)</w:t>
            </w:r>
          </w:p>
        </w:tc>
        <w:tc>
          <w:tcPr>
            <w:tcW w:w="1440" w:type="dxa"/>
            <w:tcBorders>
              <w:left w:val="single" w:sz="4" w:space="0" w:color="auto"/>
              <w:right w:val="single" w:sz="4" w:space="0" w:color="auto"/>
            </w:tcBorders>
            <w:shd w:val="clear" w:color="auto" w:fill="auto"/>
          </w:tcPr>
          <w:p w14:paraId="114A95B0"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5 (0.84)</w:t>
            </w:r>
          </w:p>
        </w:tc>
        <w:tc>
          <w:tcPr>
            <w:tcW w:w="1620" w:type="dxa"/>
            <w:tcBorders>
              <w:left w:val="single" w:sz="4" w:space="0" w:color="auto"/>
              <w:right w:val="single" w:sz="4" w:space="0" w:color="auto"/>
            </w:tcBorders>
            <w:shd w:val="clear" w:color="auto" w:fill="auto"/>
          </w:tcPr>
          <w:p w14:paraId="755D45CB"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 (0.34)</w:t>
            </w:r>
          </w:p>
        </w:tc>
      </w:tr>
      <w:tr w:rsidR="004C2A46" w:rsidRPr="002742BE" w14:paraId="03C38315" w14:textId="77777777" w:rsidTr="00161519">
        <w:tc>
          <w:tcPr>
            <w:tcW w:w="2448" w:type="dxa"/>
            <w:tcBorders>
              <w:left w:val="single" w:sz="4" w:space="0" w:color="auto"/>
              <w:bottom w:val="single" w:sz="4" w:space="0" w:color="auto"/>
              <w:right w:val="single" w:sz="4" w:space="0" w:color="auto"/>
            </w:tcBorders>
            <w:shd w:val="clear" w:color="auto" w:fill="auto"/>
          </w:tcPr>
          <w:p w14:paraId="689AECE2" w14:textId="77777777" w:rsidR="004C2A46" w:rsidRPr="002742BE" w:rsidRDefault="004C2A46" w:rsidP="00161519">
            <w:pPr>
              <w:autoSpaceDE w:val="0"/>
              <w:autoSpaceDN w:val="0"/>
              <w:adjustRightInd w:val="0"/>
              <w:spacing w:before="60" w:after="60"/>
              <w:ind w:right="46"/>
              <w:rPr>
                <w:rFonts w:cs="Arial"/>
                <w:bCs/>
                <w:sz w:val="18"/>
                <w:szCs w:val="18"/>
              </w:rPr>
            </w:pPr>
            <w:r w:rsidRPr="002742BE">
              <w:rPr>
                <w:rFonts w:cs="Arial"/>
                <w:bCs/>
                <w:sz w:val="18"/>
                <w:szCs w:val="18"/>
              </w:rPr>
              <w:t>Vaginal haemorrhage</w:t>
            </w:r>
          </w:p>
        </w:tc>
        <w:tc>
          <w:tcPr>
            <w:tcW w:w="1620" w:type="dxa"/>
            <w:tcBorders>
              <w:left w:val="single" w:sz="4" w:space="0" w:color="auto"/>
              <w:bottom w:val="single" w:sz="4" w:space="0" w:color="auto"/>
              <w:right w:val="single" w:sz="4" w:space="0" w:color="auto"/>
            </w:tcBorders>
            <w:shd w:val="clear" w:color="auto" w:fill="auto"/>
          </w:tcPr>
          <w:p w14:paraId="1A7E8075"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54 (1.31)</w:t>
            </w:r>
          </w:p>
        </w:tc>
        <w:tc>
          <w:tcPr>
            <w:tcW w:w="1620" w:type="dxa"/>
            <w:tcBorders>
              <w:left w:val="single" w:sz="4" w:space="0" w:color="auto"/>
              <w:bottom w:val="single" w:sz="4" w:space="0" w:color="auto"/>
              <w:right w:val="single" w:sz="4" w:space="0" w:color="auto"/>
            </w:tcBorders>
            <w:shd w:val="clear" w:color="auto" w:fill="auto"/>
          </w:tcPr>
          <w:p w14:paraId="0212C0A1"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23 (0.56)</w:t>
            </w:r>
          </w:p>
        </w:tc>
        <w:tc>
          <w:tcPr>
            <w:tcW w:w="1440" w:type="dxa"/>
            <w:tcBorders>
              <w:left w:val="single" w:sz="4" w:space="0" w:color="auto"/>
              <w:bottom w:val="single" w:sz="4" w:space="0" w:color="auto"/>
              <w:right w:val="single" w:sz="4" w:space="0" w:color="auto"/>
            </w:tcBorders>
            <w:shd w:val="clear" w:color="auto" w:fill="auto"/>
          </w:tcPr>
          <w:p w14:paraId="247495D7"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 (0.17)</w:t>
            </w:r>
          </w:p>
        </w:tc>
        <w:tc>
          <w:tcPr>
            <w:tcW w:w="1620" w:type="dxa"/>
            <w:tcBorders>
              <w:left w:val="single" w:sz="4" w:space="0" w:color="auto"/>
              <w:bottom w:val="single" w:sz="4" w:space="0" w:color="auto"/>
              <w:right w:val="single" w:sz="4" w:space="0" w:color="auto"/>
            </w:tcBorders>
            <w:shd w:val="clear" w:color="auto" w:fill="auto"/>
          </w:tcPr>
          <w:p w14:paraId="27A5192C"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5 (0.85)</w:t>
            </w:r>
          </w:p>
        </w:tc>
      </w:tr>
      <w:tr w:rsidR="004C2A46" w:rsidRPr="002742BE" w14:paraId="10546B56" w14:textId="77777777" w:rsidTr="00161519">
        <w:tc>
          <w:tcPr>
            <w:tcW w:w="2448" w:type="dxa"/>
            <w:tcBorders>
              <w:top w:val="single" w:sz="4" w:space="0" w:color="auto"/>
              <w:left w:val="single" w:sz="4" w:space="0" w:color="auto"/>
              <w:right w:val="single" w:sz="4" w:space="0" w:color="auto"/>
            </w:tcBorders>
            <w:shd w:val="clear" w:color="auto" w:fill="auto"/>
          </w:tcPr>
          <w:p w14:paraId="7E8864C9" w14:textId="77777777" w:rsidR="004C2A46" w:rsidRPr="002742BE" w:rsidRDefault="004C2A46" w:rsidP="00161519">
            <w:pPr>
              <w:spacing w:before="60" w:after="60"/>
              <w:ind w:right="46"/>
              <w:rPr>
                <w:rFonts w:cs="Arial"/>
                <w:b/>
                <w:bCs/>
                <w:sz w:val="18"/>
                <w:szCs w:val="18"/>
              </w:rPr>
            </w:pPr>
            <w:r w:rsidRPr="002742BE">
              <w:rPr>
                <w:rFonts w:cs="Arial"/>
                <w:b/>
                <w:bCs/>
                <w:sz w:val="18"/>
                <w:szCs w:val="18"/>
              </w:rPr>
              <w:t>Respiratory, thoracic and mediastinal disorders</w:t>
            </w:r>
          </w:p>
        </w:tc>
        <w:tc>
          <w:tcPr>
            <w:tcW w:w="1620" w:type="dxa"/>
            <w:tcBorders>
              <w:top w:val="single" w:sz="4" w:space="0" w:color="auto"/>
              <w:left w:val="single" w:sz="4" w:space="0" w:color="auto"/>
              <w:right w:val="single" w:sz="4" w:space="0" w:color="auto"/>
            </w:tcBorders>
            <w:shd w:val="clear" w:color="auto" w:fill="auto"/>
          </w:tcPr>
          <w:p w14:paraId="518F8102"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09550BA9"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c>
          <w:tcPr>
            <w:tcW w:w="1440" w:type="dxa"/>
            <w:tcBorders>
              <w:top w:val="single" w:sz="4" w:space="0" w:color="auto"/>
              <w:left w:val="single" w:sz="4" w:space="0" w:color="auto"/>
              <w:right w:val="single" w:sz="4" w:space="0" w:color="auto"/>
            </w:tcBorders>
            <w:shd w:val="clear" w:color="auto" w:fill="auto"/>
          </w:tcPr>
          <w:p w14:paraId="1EAD1562"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711A12E9"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r>
      <w:tr w:rsidR="004C2A46" w:rsidRPr="002742BE" w14:paraId="74746DD1" w14:textId="77777777" w:rsidTr="00161519">
        <w:tc>
          <w:tcPr>
            <w:tcW w:w="2448" w:type="dxa"/>
            <w:tcBorders>
              <w:left w:val="single" w:sz="4" w:space="0" w:color="auto"/>
              <w:right w:val="single" w:sz="4" w:space="0" w:color="auto"/>
            </w:tcBorders>
            <w:shd w:val="clear" w:color="auto" w:fill="auto"/>
          </w:tcPr>
          <w:p w14:paraId="11A66AEE" w14:textId="77777777" w:rsidR="004C2A46" w:rsidRPr="002742BE" w:rsidRDefault="004C2A46" w:rsidP="00161519">
            <w:pPr>
              <w:spacing w:before="60" w:after="60"/>
              <w:ind w:right="46"/>
              <w:rPr>
                <w:rFonts w:cs="Arial"/>
                <w:bCs/>
                <w:sz w:val="18"/>
                <w:szCs w:val="18"/>
              </w:rPr>
            </w:pPr>
            <w:r w:rsidRPr="002742BE">
              <w:rPr>
                <w:rFonts w:cs="Arial"/>
                <w:bCs/>
                <w:sz w:val="18"/>
                <w:szCs w:val="18"/>
              </w:rPr>
              <w:t>Epistaxis</w:t>
            </w:r>
          </w:p>
        </w:tc>
        <w:tc>
          <w:tcPr>
            <w:tcW w:w="1620" w:type="dxa"/>
            <w:tcBorders>
              <w:left w:val="single" w:sz="4" w:space="0" w:color="auto"/>
              <w:right w:val="single" w:sz="4" w:space="0" w:color="auto"/>
            </w:tcBorders>
            <w:shd w:val="clear" w:color="auto" w:fill="auto"/>
          </w:tcPr>
          <w:p w14:paraId="3860F824"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307 (7.43)</w:t>
            </w:r>
          </w:p>
        </w:tc>
        <w:tc>
          <w:tcPr>
            <w:tcW w:w="1620" w:type="dxa"/>
            <w:tcBorders>
              <w:left w:val="single" w:sz="4" w:space="0" w:color="auto"/>
              <w:right w:val="single" w:sz="4" w:space="0" w:color="auto"/>
            </w:tcBorders>
            <w:shd w:val="clear" w:color="auto" w:fill="auto"/>
          </w:tcPr>
          <w:p w14:paraId="7B1C4215"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271 (6.58)</w:t>
            </w:r>
          </w:p>
        </w:tc>
        <w:tc>
          <w:tcPr>
            <w:tcW w:w="1440" w:type="dxa"/>
            <w:tcBorders>
              <w:left w:val="single" w:sz="4" w:space="0" w:color="auto"/>
              <w:right w:val="single" w:sz="4" w:space="0" w:color="auto"/>
            </w:tcBorders>
            <w:shd w:val="clear" w:color="auto" w:fill="auto"/>
          </w:tcPr>
          <w:p w14:paraId="06202B00"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24 (4.01)</w:t>
            </w:r>
          </w:p>
        </w:tc>
        <w:tc>
          <w:tcPr>
            <w:tcW w:w="1620" w:type="dxa"/>
            <w:tcBorders>
              <w:left w:val="single" w:sz="4" w:space="0" w:color="auto"/>
              <w:right w:val="single" w:sz="4" w:space="0" w:color="auto"/>
            </w:tcBorders>
            <w:shd w:val="clear" w:color="auto" w:fill="auto"/>
          </w:tcPr>
          <w:p w14:paraId="1B1E4CC9"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11 (1.86)</w:t>
            </w:r>
          </w:p>
        </w:tc>
      </w:tr>
      <w:tr w:rsidR="004C2A46" w:rsidRPr="002742BE" w14:paraId="73DCF87F" w14:textId="77777777" w:rsidTr="00161519">
        <w:tc>
          <w:tcPr>
            <w:tcW w:w="2448" w:type="dxa"/>
            <w:tcBorders>
              <w:left w:val="single" w:sz="4" w:space="0" w:color="auto"/>
              <w:bottom w:val="single" w:sz="4" w:space="0" w:color="auto"/>
              <w:right w:val="single" w:sz="4" w:space="0" w:color="auto"/>
            </w:tcBorders>
            <w:shd w:val="clear" w:color="auto" w:fill="auto"/>
          </w:tcPr>
          <w:p w14:paraId="31A5F0F9" w14:textId="77777777" w:rsidR="004C2A46" w:rsidRPr="002742BE" w:rsidRDefault="004C2A46" w:rsidP="00161519">
            <w:pPr>
              <w:spacing w:before="60" w:after="60"/>
              <w:ind w:right="46"/>
              <w:rPr>
                <w:rFonts w:cs="Arial"/>
                <w:bCs/>
                <w:sz w:val="18"/>
                <w:szCs w:val="18"/>
              </w:rPr>
            </w:pPr>
            <w:r w:rsidRPr="002742BE">
              <w:rPr>
                <w:rFonts w:cs="Arial"/>
                <w:bCs/>
                <w:sz w:val="18"/>
                <w:szCs w:val="18"/>
              </w:rPr>
              <w:t>Haemoptysis</w:t>
            </w:r>
          </w:p>
        </w:tc>
        <w:tc>
          <w:tcPr>
            <w:tcW w:w="1620" w:type="dxa"/>
            <w:tcBorders>
              <w:left w:val="single" w:sz="4" w:space="0" w:color="auto"/>
              <w:bottom w:val="single" w:sz="4" w:space="0" w:color="auto"/>
              <w:right w:val="single" w:sz="4" w:space="0" w:color="auto"/>
            </w:tcBorders>
            <w:shd w:val="clear" w:color="auto" w:fill="auto"/>
          </w:tcPr>
          <w:p w14:paraId="461A58A6"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100 (2.42)</w:t>
            </w:r>
          </w:p>
        </w:tc>
        <w:tc>
          <w:tcPr>
            <w:tcW w:w="1620" w:type="dxa"/>
            <w:tcBorders>
              <w:left w:val="single" w:sz="4" w:space="0" w:color="auto"/>
              <w:bottom w:val="single" w:sz="4" w:space="0" w:color="auto"/>
              <w:right w:val="single" w:sz="4" w:space="0" w:color="auto"/>
            </w:tcBorders>
            <w:shd w:val="clear" w:color="auto" w:fill="auto"/>
          </w:tcPr>
          <w:p w14:paraId="7BC7AA20"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98 (2.38)</w:t>
            </w:r>
          </w:p>
        </w:tc>
        <w:tc>
          <w:tcPr>
            <w:tcW w:w="1440" w:type="dxa"/>
            <w:tcBorders>
              <w:left w:val="single" w:sz="4" w:space="0" w:color="auto"/>
              <w:bottom w:val="single" w:sz="4" w:space="0" w:color="auto"/>
              <w:right w:val="single" w:sz="4" w:space="0" w:color="auto"/>
            </w:tcBorders>
            <w:shd w:val="clear" w:color="auto" w:fill="auto"/>
          </w:tcPr>
          <w:p w14:paraId="35D674F4"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 xml:space="preserve">1 (0.17) </w:t>
            </w:r>
          </w:p>
        </w:tc>
        <w:tc>
          <w:tcPr>
            <w:tcW w:w="1620" w:type="dxa"/>
            <w:tcBorders>
              <w:left w:val="single" w:sz="4" w:space="0" w:color="auto"/>
              <w:bottom w:val="single" w:sz="4" w:space="0" w:color="auto"/>
              <w:right w:val="single" w:sz="4" w:space="0" w:color="auto"/>
            </w:tcBorders>
            <w:shd w:val="clear" w:color="auto" w:fill="auto"/>
          </w:tcPr>
          <w:p w14:paraId="7F517AB2"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1 (0.17)</w:t>
            </w:r>
          </w:p>
        </w:tc>
      </w:tr>
      <w:tr w:rsidR="004C2A46" w:rsidRPr="002742BE" w14:paraId="19ADEC00" w14:textId="77777777" w:rsidTr="00161519">
        <w:tc>
          <w:tcPr>
            <w:tcW w:w="2448" w:type="dxa"/>
            <w:tcBorders>
              <w:top w:val="single" w:sz="4" w:space="0" w:color="auto"/>
              <w:left w:val="single" w:sz="4" w:space="0" w:color="auto"/>
              <w:right w:val="single" w:sz="4" w:space="0" w:color="auto"/>
            </w:tcBorders>
            <w:shd w:val="clear" w:color="auto" w:fill="auto"/>
          </w:tcPr>
          <w:p w14:paraId="7F360776" w14:textId="77777777" w:rsidR="004C2A46" w:rsidRPr="002742BE" w:rsidRDefault="004C2A46" w:rsidP="00161519">
            <w:pPr>
              <w:spacing w:before="60" w:after="60"/>
              <w:ind w:right="46"/>
              <w:rPr>
                <w:rFonts w:cs="Arial"/>
                <w:b/>
                <w:bCs/>
                <w:sz w:val="18"/>
                <w:szCs w:val="18"/>
              </w:rPr>
            </w:pPr>
            <w:r w:rsidRPr="002742BE">
              <w:rPr>
                <w:rFonts w:cs="Arial"/>
                <w:b/>
                <w:bCs/>
                <w:sz w:val="18"/>
                <w:szCs w:val="18"/>
              </w:rPr>
              <w:t>Skin and subcutaneous tissue disorders</w:t>
            </w:r>
          </w:p>
        </w:tc>
        <w:tc>
          <w:tcPr>
            <w:tcW w:w="1620" w:type="dxa"/>
            <w:tcBorders>
              <w:top w:val="single" w:sz="4" w:space="0" w:color="auto"/>
              <w:left w:val="single" w:sz="4" w:space="0" w:color="auto"/>
              <w:right w:val="single" w:sz="4" w:space="0" w:color="auto"/>
            </w:tcBorders>
            <w:shd w:val="clear" w:color="auto" w:fill="auto"/>
          </w:tcPr>
          <w:p w14:paraId="56C9264A"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7DCEB86D"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c>
          <w:tcPr>
            <w:tcW w:w="1440" w:type="dxa"/>
            <w:tcBorders>
              <w:top w:val="single" w:sz="4" w:space="0" w:color="auto"/>
              <w:left w:val="single" w:sz="4" w:space="0" w:color="auto"/>
              <w:right w:val="single" w:sz="4" w:space="0" w:color="auto"/>
            </w:tcBorders>
            <w:shd w:val="clear" w:color="auto" w:fill="auto"/>
          </w:tcPr>
          <w:p w14:paraId="7E861BBD"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79E32275"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r>
      <w:tr w:rsidR="004C2A46" w:rsidRPr="002742BE" w14:paraId="4EC3FBDF" w14:textId="77777777" w:rsidTr="00161519">
        <w:tc>
          <w:tcPr>
            <w:tcW w:w="2448" w:type="dxa"/>
            <w:tcBorders>
              <w:left w:val="single" w:sz="4" w:space="0" w:color="auto"/>
              <w:right w:val="single" w:sz="4" w:space="0" w:color="auto"/>
            </w:tcBorders>
            <w:shd w:val="clear" w:color="auto" w:fill="auto"/>
          </w:tcPr>
          <w:p w14:paraId="40437B77" w14:textId="77777777" w:rsidR="004C2A46" w:rsidRPr="002742BE" w:rsidRDefault="004C2A46" w:rsidP="00161519">
            <w:pPr>
              <w:spacing w:before="60" w:after="60"/>
              <w:ind w:right="46"/>
              <w:rPr>
                <w:rFonts w:cs="Arial"/>
                <w:bCs/>
                <w:sz w:val="18"/>
                <w:szCs w:val="18"/>
              </w:rPr>
            </w:pPr>
            <w:r w:rsidRPr="002742BE">
              <w:rPr>
                <w:rFonts w:cs="Arial"/>
                <w:bCs/>
                <w:sz w:val="18"/>
                <w:szCs w:val="18"/>
              </w:rPr>
              <w:t xml:space="preserve">Pruritus </w:t>
            </w:r>
          </w:p>
        </w:tc>
        <w:tc>
          <w:tcPr>
            <w:tcW w:w="1620" w:type="dxa"/>
            <w:tcBorders>
              <w:left w:val="single" w:sz="4" w:space="0" w:color="auto"/>
              <w:right w:val="single" w:sz="4" w:space="0" w:color="auto"/>
            </w:tcBorders>
            <w:shd w:val="clear" w:color="auto" w:fill="auto"/>
          </w:tcPr>
          <w:p w14:paraId="77E4584C"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83 (2.01)</w:t>
            </w:r>
          </w:p>
        </w:tc>
        <w:tc>
          <w:tcPr>
            <w:tcW w:w="1620" w:type="dxa"/>
            <w:tcBorders>
              <w:left w:val="single" w:sz="4" w:space="0" w:color="auto"/>
              <w:right w:val="single" w:sz="4" w:space="0" w:color="auto"/>
            </w:tcBorders>
            <w:shd w:val="clear" w:color="auto" w:fill="auto"/>
          </w:tcPr>
          <w:p w14:paraId="0E1C542C"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58 (1.41)</w:t>
            </w:r>
          </w:p>
        </w:tc>
        <w:tc>
          <w:tcPr>
            <w:tcW w:w="1440" w:type="dxa"/>
            <w:tcBorders>
              <w:left w:val="single" w:sz="4" w:space="0" w:color="auto"/>
              <w:right w:val="single" w:sz="4" w:space="0" w:color="auto"/>
            </w:tcBorders>
            <w:shd w:val="clear" w:color="auto" w:fill="auto"/>
          </w:tcPr>
          <w:p w14:paraId="6FD5D97F"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 (0.33 )</w:t>
            </w:r>
          </w:p>
        </w:tc>
        <w:tc>
          <w:tcPr>
            <w:tcW w:w="1620" w:type="dxa"/>
            <w:tcBorders>
              <w:left w:val="single" w:sz="4" w:space="0" w:color="auto"/>
              <w:right w:val="single" w:sz="4" w:space="0" w:color="auto"/>
            </w:tcBorders>
            <w:shd w:val="clear" w:color="auto" w:fill="auto"/>
          </w:tcPr>
          <w:p w14:paraId="7A05E235"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2 (0.34)</w:t>
            </w:r>
          </w:p>
        </w:tc>
      </w:tr>
      <w:tr w:rsidR="004C2A46" w:rsidRPr="002742BE" w14:paraId="1D9A5974" w14:textId="77777777" w:rsidTr="00161519">
        <w:tc>
          <w:tcPr>
            <w:tcW w:w="2448" w:type="dxa"/>
            <w:tcBorders>
              <w:left w:val="single" w:sz="4" w:space="0" w:color="auto"/>
              <w:bottom w:val="single" w:sz="4" w:space="0" w:color="auto"/>
              <w:right w:val="single" w:sz="4" w:space="0" w:color="auto"/>
            </w:tcBorders>
            <w:shd w:val="clear" w:color="auto" w:fill="auto"/>
          </w:tcPr>
          <w:p w14:paraId="4FA27426" w14:textId="77777777" w:rsidR="004C2A46" w:rsidRPr="002742BE" w:rsidRDefault="004C2A46" w:rsidP="00161519">
            <w:pPr>
              <w:spacing w:before="60" w:after="60"/>
              <w:ind w:right="46"/>
              <w:rPr>
                <w:rFonts w:cs="Arial"/>
                <w:bCs/>
                <w:sz w:val="18"/>
                <w:szCs w:val="18"/>
              </w:rPr>
            </w:pPr>
            <w:r w:rsidRPr="002742BE">
              <w:rPr>
                <w:rFonts w:cs="Arial"/>
                <w:bCs/>
                <w:sz w:val="18"/>
                <w:szCs w:val="18"/>
              </w:rPr>
              <w:t>Rash</w:t>
            </w:r>
          </w:p>
        </w:tc>
        <w:tc>
          <w:tcPr>
            <w:tcW w:w="1620" w:type="dxa"/>
            <w:tcBorders>
              <w:left w:val="single" w:sz="4" w:space="0" w:color="auto"/>
              <w:bottom w:val="single" w:sz="4" w:space="0" w:color="auto"/>
              <w:right w:val="single" w:sz="4" w:space="0" w:color="auto"/>
            </w:tcBorders>
            <w:shd w:val="clear" w:color="auto" w:fill="auto"/>
          </w:tcPr>
          <w:p w14:paraId="264EC35A"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97 (2.35)</w:t>
            </w:r>
          </w:p>
        </w:tc>
        <w:tc>
          <w:tcPr>
            <w:tcW w:w="1620" w:type="dxa"/>
            <w:tcBorders>
              <w:left w:val="single" w:sz="4" w:space="0" w:color="auto"/>
              <w:bottom w:val="single" w:sz="4" w:space="0" w:color="auto"/>
              <w:right w:val="single" w:sz="4" w:space="0" w:color="auto"/>
            </w:tcBorders>
            <w:shd w:val="clear" w:color="auto" w:fill="auto"/>
          </w:tcPr>
          <w:p w14:paraId="36A91C9A"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89 (2.16)</w:t>
            </w:r>
          </w:p>
        </w:tc>
        <w:tc>
          <w:tcPr>
            <w:tcW w:w="1440" w:type="dxa"/>
            <w:tcBorders>
              <w:left w:val="single" w:sz="4" w:space="0" w:color="auto"/>
              <w:bottom w:val="single" w:sz="4" w:space="0" w:color="auto"/>
              <w:right w:val="single" w:sz="4" w:space="0" w:color="auto"/>
            </w:tcBorders>
            <w:shd w:val="clear" w:color="auto" w:fill="auto"/>
          </w:tcPr>
          <w:p w14:paraId="10BB0FAC"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5 (0.84)</w:t>
            </w:r>
          </w:p>
        </w:tc>
        <w:tc>
          <w:tcPr>
            <w:tcW w:w="1620" w:type="dxa"/>
            <w:tcBorders>
              <w:left w:val="single" w:sz="4" w:space="0" w:color="auto"/>
              <w:bottom w:val="single" w:sz="4" w:space="0" w:color="auto"/>
              <w:right w:val="single" w:sz="4" w:space="0" w:color="auto"/>
            </w:tcBorders>
            <w:shd w:val="clear" w:color="auto" w:fill="auto"/>
          </w:tcPr>
          <w:p w14:paraId="7354F726"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7 (1.19)</w:t>
            </w:r>
          </w:p>
        </w:tc>
      </w:tr>
      <w:tr w:rsidR="004C2A46" w:rsidRPr="002742BE" w14:paraId="5727EAF1" w14:textId="77777777" w:rsidTr="00161519">
        <w:tc>
          <w:tcPr>
            <w:tcW w:w="2448" w:type="dxa"/>
            <w:tcBorders>
              <w:top w:val="single" w:sz="4" w:space="0" w:color="auto"/>
              <w:left w:val="single" w:sz="4" w:space="0" w:color="auto"/>
              <w:right w:val="single" w:sz="4" w:space="0" w:color="auto"/>
            </w:tcBorders>
            <w:shd w:val="clear" w:color="auto" w:fill="auto"/>
          </w:tcPr>
          <w:p w14:paraId="4566794D" w14:textId="77777777" w:rsidR="004C2A46" w:rsidRPr="002742BE" w:rsidRDefault="004C2A46" w:rsidP="00161519">
            <w:pPr>
              <w:spacing w:before="60" w:after="60"/>
              <w:ind w:right="46"/>
              <w:rPr>
                <w:rFonts w:cs="Arial"/>
                <w:b/>
                <w:bCs/>
                <w:sz w:val="18"/>
                <w:szCs w:val="18"/>
              </w:rPr>
            </w:pPr>
            <w:r w:rsidRPr="002742BE">
              <w:rPr>
                <w:rFonts w:cs="Arial"/>
                <w:b/>
                <w:bCs/>
                <w:sz w:val="18"/>
                <w:szCs w:val="18"/>
              </w:rPr>
              <w:t>Vascular disorders</w:t>
            </w:r>
          </w:p>
        </w:tc>
        <w:tc>
          <w:tcPr>
            <w:tcW w:w="1620" w:type="dxa"/>
            <w:tcBorders>
              <w:top w:val="single" w:sz="4" w:space="0" w:color="auto"/>
              <w:left w:val="single" w:sz="4" w:space="0" w:color="auto"/>
              <w:right w:val="single" w:sz="4" w:space="0" w:color="auto"/>
            </w:tcBorders>
            <w:shd w:val="clear" w:color="auto" w:fill="auto"/>
          </w:tcPr>
          <w:p w14:paraId="074867BA"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7FBFFB7F"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c>
          <w:tcPr>
            <w:tcW w:w="1440" w:type="dxa"/>
            <w:tcBorders>
              <w:top w:val="single" w:sz="4" w:space="0" w:color="auto"/>
              <w:left w:val="single" w:sz="4" w:space="0" w:color="auto"/>
              <w:right w:val="single" w:sz="4" w:space="0" w:color="auto"/>
            </w:tcBorders>
            <w:shd w:val="clear" w:color="auto" w:fill="auto"/>
          </w:tcPr>
          <w:p w14:paraId="0320286F"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c>
          <w:tcPr>
            <w:tcW w:w="1620" w:type="dxa"/>
            <w:tcBorders>
              <w:top w:val="single" w:sz="4" w:space="0" w:color="auto"/>
              <w:left w:val="single" w:sz="4" w:space="0" w:color="auto"/>
              <w:right w:val="single" w:sz="4" w:space="0" w:color="auto"/>
            </w:tcBorders>
            <w:shd w:val="clear" w:color="auto" w:fill="auto"/>
          </w:tcPr>
          <w:p w14:paraId="03BBD004" w14:textId="77777777" w:rsidR="004C2A46" w:rsidRPr="002742BE" w:rsidRDefault="004C2A46" w:rsidP="00161519">
            <w:pPr>
              <w:autoSpaceDE w:val="0"/>
              <w:autoSpaceDN w:val="0"/>
              <w:adjustRightInd w:val="0"/>
              <w:spacing w:before="60" w:after="60"/>
              <w:ind w:right="46"/>
              <w:jc w:val="center"/>
              <w:rPr>
                <w:rFonts w:cs="Arial"/>
                <w:b/>
                <w:bCs/>
                <w:sz w:val="18"/>
                <w:szCs w:val="18"/>
              </w:rPr>
            </w:pPr>
          </w:p>
        </w:tc>
      </w:tr>
      <w:tr w:rsidR="004C2A46" w:rsidRPr="002742BE" w14:paraId="71207B85" w14:textId="77777777" w:rsidTr="00161519">
        <w:tc>
          <w:tcPr>
            <w:tcW w:w="2448" w:type="dxa"/>
            <w:tcBorders>
              <w:left w:val="single" w:sz="4" w:space="0" w:color="auto"/>
              <w:bottom w:val="single" w:sz="4" w:space="0" w:color="auto"/>
              <w:right w:val="single" w:sz="4" w:space="0" w:color="auto"/>
            </w:tcBorders>
            <w:shd w:val="clear" w:color="auto" w:fill="auto"/>
          </w:tcPr>
          <w:p w14:paraId="316D06F2" w14:textId="77777777" w:rsidR="004C2A46" w:rsidRPr="002742BE" w:rsidRDefault="004C2A46" w:rsidP="00161519">
            <w:pPr>
              <w:spacing w:before="60" w:after="60"/>
              <w:ind w:right="46"/>
              <w:rPr>
                <w:rFonts w:cs="Arial"/>
                <w:sz w:val="18"/>
                <w:szCs w:val="18"/>
              </w:rPr>
            </w:pPr>
            <w:r w:rsidRPr="002742BE">
              <w:rPr>
                <w:rFonts w:cs="Arial"/>
                <w:sz w:val="18"/>
                <w:szCs w:val="18"/>
              </w:rPr>
              <w:t>Haematoma</w:t>
            </w:r>
          </w:p>
        </w:tc>
        <w:tc>
          <w:tcPr>
            <w:tcW w:w="1620" w:type="dxa"/>
            <w:tcBorders>
              <w:left w:val="single" w:sz="4" w:space="0" w:color="auto"/>
              <w:bottom w:val="single" w:sz="4" w:space="0" w:color="auto"/>
              <w:right w:val="single" w:sz="4" w:space="0" w:color="auto"/>
            </w:tcBorders>
            <w:shd w:val="clear" w:color="auto" w:fill="auto"/>
          </w:tcPr>
          <w:p w14:paraId="3EB02F95"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91 (2.20)</w:t>
            </w:r>
          </w:p>
        </w:tc>
        <w:tc>
          <w:tcPr>
            <w:tcW w:w="1620" w:type="dxa"/>
            <w:tcBorders>
              <w:left w:val="single" w:sz="4" w:space="0" w:color="auto"/>
              <w:bottom w:val="single" w:sz="4" w:space="0" w:color="auto"/>
              <w:right w:val="single" w:sz="4" w:space="0" w:color="auto"/>
            </w:tcBorders>
            <w:shd w:val="clear" w:color="auto" w:fill="auto"/>
          </w:tcPr>
          <w:p w14:paraId="081E2D6A" w14:textId="77777777" w:rsidR="004C2A46" w:rsidRPr="002742BE" w:rsidRDefault="004C2A46" w:rsidP="00161519">
            <w:pPr>
              <w:autoSpaceDE w:val="0"/>
              <w:autoSpaceDN w:val="0"/>
              <w:adjustRightInd w:val="0"/>
              <w:spacing w:before="60" w:after="60"/>
              <w:ind w:right="46"/>
              <w:jc w:val="center"/>
              <w:rPr>
                <w:rFonts w:cs="Arial"/>
                <w:bCs/>
                <w:sz w:val="18"/>
                <w:szCs w:val="18"/>
              </w:rPr>
            </w:pPr>
            <w:r>
              <w:rPr>
                <w:rFonts w:cs="Arial"/>
                <w:bCs/>
                <w:sz w:val="18"/>
                <w:szCs w:val="18"/>
              </w:rPr>
              <w:t>150 (3.64)</w:t>
            </w:r>
          </w:p>
        </w:tc>
        <w:tc>
          <w:tcPr>
            <w:tcW w:w="1440" w:type="dxa"/>
            <w:tcBorders>
              <w:left w:val="single" w:sz="4" w:space="0" w:color="auto"/>
              <w:bottom w:val="single" w:sz="4" w:space="0" w:color="auto"/>
              <w:right w:val="single" w:sz="4" w:space="0" w:color="auto"/>
            </w:tcBorders>
            <w:shd w:val="clear" w:color="auto" w:fill="auto"/>
          </w:tcPr>
          <w:p w14:paraId="08C0FD86"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7 (1.17)</w:t>
            </w:r>
          </w:p>
        </w:tc>
        <w:tc>
          <w:tcPr>
            <w:tcW w:w="1620" w:type="dxa"/>
            <w:tcBorders>
              <w:left w:val="single" w:sz="4" w:space="0" w:color="auto"/>
              <w:bottom w:val="single" w:sz="4" w:space="0" w:color="auto"/>
              <w:right w:val="single" w:sz="4" w:space="0" w:color="auto"/>
            </w:tcBorders>
            <w:shd w:val="clear" w:color="auto" w:fill="auto"/>
          </w:tcPr>
          <w:p w14:paraId="6ECAB221" w14:textId="77777777" w:rsidR="004C2A46" w:rsidRPr="002742BE" w:rsidRDefault="004C2A46" w:rsidP="00161519">
            <w:pPr>
              <w:autoSpaceDE w:val="0"/>
              <w:autoSpaceDN w:val="0"/>
              <w:adjustRightInd w:val="0"/>
              <w:spacing w:before="60" w:after="60"/>
              <w:ind w:right="46"/>
              <w:jc w:val="center"/>
              <w:rPr>
                <w:rFonts w:cs="Arial"/>
                <w:bCs/>
                <w:sz w:val="18"/>
                <w:szCs w:val="18"/>
              </w:rPr>
            </w:pPr>
            <w:r w:rsidRPr="002742BE">
              <w:rPr>
                <w:rFonts w:cs="Arial"/>
                <w:bCs/>
                <w:sz w:val="18"/>
                <w:szCs w:val="18"/>
              </w:rPr>
              <w:t>8 (1.36)</w:t>
            </w:r>
          </w:p>
        </w:tc>
      </w:tr>
    </w:tbl>
    <w:p w14:paraId="062F8DF0" w14:textId="77777777" w:rsidR="004C2A46" w:rsidRPr="002742BE" w:rsidRDefault="004C2A46" w:rsidP="004C2A46">
      <w:pPr>
        <w:ind w:right="46"/>
        <w:rPr>
          <w:rFonts w:cs="Arial"/>
          <w:sz w:val="18"/>
          <w:szCs w:val="18"/>
        </w:rPr>
      </w:pPr>
      <w:r w:rsidRPr="002742BE">
        <w:rPr>
          <w:rFonts w:cs="Arial"/>
          <w:sz w:val="18"/>
          <w:szCs w:val="18"/>
          <w:vertAlign w:val="superscript"/>
        </w:rPr>
        <w:t>#</w:t>
      </w:r>
      <w:r w:rsidRPr="002742BE">
        <w:rPr>
          <w:rFonts w:cs="Arial"/>
          <w:sz w:val="18"/>
          <w:szCs w:val="18"/>
        </w:rPr>
        <w:t xml:space="preserve"> observed as very common for rivaroxaban in women &lt;</w:t>
      </w:r>
      <w:r>
        <w:rPr>
          <w:rFonts w:cs="Arial"/>
          <w:sz w:val="18"/>
          <w:szCs w:val="18"/>
        </w:rPr>
        <w:t xml:space="preserve"> </w:t>
      </w:r>
      <w:r w:rsidRPr="002742BE">
        <w:rPr>
          <w:rFonts w:cs="Arial"/>
          <w:sz w:val="18"/>
          <w:szCs w:val="18"/>
        </w:rPr>
        <w:t>55 years in Study 11702</w:t>
      </w:r>
    </w:p>
    <w:p w14:paraId="6964E3F6" w14:textId="77777777" w:rsidR="00004191" w:rsidRPr="00DA6D02" w:rsidRDefault="00004191" w:rsidP="004C2A46">
      <w:pPr>
        <w:spacing w:before="240" w:after="120"/>
        <w:ind w:right="46"/>
        <w:rPr>
          <w:rFonts w:cs="Arial"/>
          <w:b/>
          <w:sz w:val="12"/>
          <w:szCs w:val="21"/>
        </w:rPr>
      </w:pPr>
    </w:p>
    <w:p w14:paraId="5E8A41E9" w14:textId="77777777" w:rsidR="004C2A46" w:rsidRPr="002742BE" w:rsidRDefault="004C2A46" w:rsidP="004C2A46">
      <w:pPr>
        <w:spacing w:before="240" w:after="120"/>
        <w:ind w:right="46"/>
        <w:rPr>
          <w:rFonts w:cs="Arial"/>
          <w:b/>
          <w:szCs w:val="21"/>
        </w:rPr>
      </w:pPr>
      <w:r w:rsidRPr="002742BE">
        <w:rPr>
          <w:rFonts w:cs="Arial"/>
          <w:b/>
          <w:szCs w:val="21"/>
        </w:rPr>
        <w:t>Less frequent ADRs ≥ 0.1% to &lt;1% unless otherwise specified (pooled EINSTEIN-DVT</w:t>
      </w:r>
      <w:r>
        <w:rPr>
          <w:rFonts w:cs="Arial"/>
          <w:b/>
          <w:szCs w:val="21"/>
        </w:rPr>
        <w:t>, EINSTEIN-PE</w:t>
      </w:r>
      <w:r w:rsidRPr="002742BE">
        <w:rPr>
          <w:rFonts w:cs="Arial"/>
          <w:b/>
          <w:szCs w:val="21"/>
        </w:rPr>
        <w:t xml:space="preserve"> and EINSTEIN-Extension) </w:t>
      </w:r>
    </w:p>
    <w:tbl>
      <w:tblPr>
        <w:tblW w:w="0" w:type="auto"/>
        <w:tblLook w:val="04A0" w:firstRow="1" w:lastRow="0" w:firstColumn="1" w:lastColumn="0" w:noHBand="0" w:noVBand="1"/>
      </w:tblPr>
      <w:tblGrid>
        <w:gridCol w:w="2943"/>
        <w:gridCol w:w="5954"/>
      </w:tblGrid>
      <w:tr w:rsidR="004C2A46" w:rsidRPr="002742BE" w14:paraId="180EEFF7" w14:textId="77777777" w:rsidTr="00161519">
        <w:tc>
          <w:tcPr>
            <w:tcW w:w="2943" w:type="dxa"/>
            <w:shd w:val="clear" w:color="auto" w:fill="auto"/>
          </w:tcPr>
          <w:p w14:paraId="790F76E9"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Eye disorders</w:t>
            </w:r>
          </w:p>
        </w:tc>
        <w:tc>
          <w:tcPr>
            <w:tcW w:w="5954" w:type="dxa"/>
            <w:shd w:val="clear" w:color="auto" w:fill="auto"/>
          </w:tcPr>
          <w:p w14:paraId="6151BEBB" w14:textId="77777777" w:rsidR="004C2A46" w:rsidRPr="00DA6D02" w:rsidRDefault="004C2A46" w:rsidP="00161519">
            <w:pPr>
              <w:tabs>
                <w:tab w:val="left" w:pos="567"/>
              </w:tabs>
              <w:spacing w:before="60" w:after="60"/>
              <w:ind w:right="45"/>
              <w:rPr>
                <w:rFonts w:cs="Arial"/>
                <w:szCs w:val="21"/>
              </w:rPr>
            </w:pPr>
            <w:r w:rsidRPr="00DA6D02">
              <w:rPr>
                <w:rFonts w:cs="Arial"/>
                <w:szCs w:val="21"/>
              </w:rPr>
              <w:t>eye haemorrhage</w:t>
            </w:r>
          </w:p>
        </w:tc>
      </w:tr>
      <w:tr w:rsidR="004C2A46" w:rsidRPr="002742BE" w14:paraId="5CB7040B" w14:textId="77777777" w:rsidTr="00161519">
        <w:tc>
          <w:tcPr>
            <w:tcW w:w="2943" w:type="dxa"/>
            <w:shd w:val="clear" w:color="auto" w:fill="auto"/>
          </w:tcPr>
          <w:p w14:paraId="10189D04"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Gastrointestinal Disorders</w:t>
            </w:r>
            <w:r w:rsidRPr="00DA6D02">
              <w:rPr>
                <w:rFonts w:cs="Arial"/>
                <w:szCs w:val="21"/>
              </w:rPr>
              <w:t>:</w:t>
            </w:r>
          </w:p>
        </w:tc>
        <w:tc>
          <w:tcPr>
            <w:tcW w:w="5954" w:type="dxa"/>
            <w:shd w:val="clear" w:color="auto" w:fill="auto"/>
          </w:tcPr>
          <w:p w14:paraId="1B4C6478" w14:textId="77777777" w:rsidR="004C2A46" w:rsidRPr="00DA6D02" w:rsidRDefault="004C2A46" w:rsidP="00161519">
            <w:pPr>
              <w:tabs>
                <w:tab w:val="left" w:pos="567"/>
              </w:tabs>
              <w:spacing w:before="60" w:after="60"/>
              <w:ind w:right="45"/>
              <w:rPr>
                <w:rFonts w:cs="Arial"/>
                <w:szCs w:val="21"/>
              </w:rPr>
            </w:pPr>
            <w:r w:rsidRPr="00DA6D02">
              <w:rPr>
                <w:rFonts w:cs="Arial"/>
                <w:szCs w:val="21"/>
              </w:rPr>
              <w:t xml:space="preserve">anal haemorrhage, gastrointestinal haemorrhage, haematemesis, haematochezia, haemorrhoidal haemorrhage, lower gastrointestinal haemorrhage, melaena, lip haemorrhage, mouth haemorrhage, tongue </w:t>
            </w:r>
            <w:r w:rsidRPr="00DA6D02">
              <w:rPr>
                <w:rFonts w:cs="Arial"/>
                <w:szCs w:val="21"/>
              </w:rPr>
              <w:lastRenderedPageBreak/>
              <w:t xml:space="preserve">haemorrhage, abdominal discomfort, abdominal pain lower, dry mouth </w:t>
            </w:r>
          </w:p>
        </w:tc>
      </w:tr>
      <w:tr w:rsidR="004C2A46" w:rsidRPr="002742BE" w14:paraId="2ADC6DBD" w14:textId="77777777" w:rsidTr="00161519">
        <w:trPr>
          <w:trHeight w:val="957"/>
        </w:trPr>
        <w:tc>
          <w:tcPr>
            <w:tcW w:w="2943" w:type="dxa"/>
            <w:shd w:val="clear" w:color="auto" w:fill="auto"/>
          </w:tcPr>
          <w:p w14:paraId="7422F987"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lastRenderedPageBreak/>
              <w:t>General Disorders and Administration Site Conditions</w:t>
            </w:r>
            <w:r w:rsidRPr="00DA6D02">
              <w:rPr>
                <w:rFonts w:cs="Arial"/>
                <w:szCs w:val="21"/>
              </w:rPr>
              <w:t>:</w:t>
            </w:r>
          </w:p>
        </w:tc>
        <w:tc>
          <w:tcPr>
            <w:tcW w:w="5954" w:type="dxa"/>
            <w:shd w:val="clear" w:color="auto" w:fill="auto"/>
          </w:tcPr>
          <w:p w14:paraId="7CCBA095" w14:textId="77777777" w:rsidR="004C2A46" w:rsidRPr="00DA6D02" w:rsidRDefault="004C2A46" w:rsidP="00161519">
            <w:pPr>
              <w:tabs>
                <w:tab w:val="left" w:pos="567"/>
              </w:tabs>
              <w:spacing w:before="60" w:after="60"/>
              <w:ind w:right="45"/>
              <w:rPr>
                <w:rFonts w:cs="Arial"/>
                <w:szCs w:val="21"/>
              </w:rPr>
            </w:pPr>
            <w:r w:rsidRPr="00DA6D02">
              <w:rPr>
                <w:rFonts w:cs="Arial"/>
                <w:szCs w:val="21"/>
              </w:rPr>
              <w:t xml:space="preserve">feeling abnormal (≥ 0.01% to &lt; 0.1%), malaise </w:t>
            </w:r>
          </w:p>
        </w:tc>
      </w:tr>
      <w:tr w:rsidR="004C2A46" w:rsidRPr="002742BE" w14:paraId="1177C150" w14:textId="77777777" w:rsidTr="00161519">
        <w:tc>
          <w:tcPr>
            <w:tcW w:w="2943" w:type="dxa"/>
            <w:shd w:val="clear" w:color="auto" w:fill="auto"/>
          </w:tcPr>
          <w:p w14:paraId="656ABE01"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Hepatobiliary Disorders</w:t>
            </w:r>
            <w:r w:rsidRPr="00DA6D02">
              <w:rPr>
                <w:rFonts w:cs="Arial"/>
                <w:szCs w:val="21"/>
              </w:rPr>
              <w:t>:</w:t>
            </w:r>
          </w:p>
        </w:tc>
        <w:tc>
          <w:tcPr>
            <w:tcW w:w="5954" w:type="dxa"/>
            <w:shd w:val="clear" w:color="auto" w:fill="auto"/>
          </w:tcPr>
          <w:p w14:paraId="4B081E1B" w14:textId="77777777" w:rsidR="004C2A46" w:rsidRPr="00DA6D02" w:rsidRDefault="004C2A46" w:rsidP="00161519">
            <w:pPr>
              <w:tabs>
                <w:tab w:val="left" w:pos="567"/>
              </w:tabs>
              <w:spacing w:before="60" w:after="60"/>
              <w:ind w:right="45"/>
              <w:rPr>
                <w:rFonts w:cs="Arial"/>
                <w:szCs w:val="21"/>
              </w:rPr>
            </w:pPr>
            <w:r w:rsidRPr="00DA6D02">
              <w:rPr>
                <w:rFonts w:cs="Arial"/>
                <w:szCs w:val="21"/>
              </w:rPr>
              <w:t xml:space="preserve">hepatic impairment, jaundice (≥ 0.01% to &lt; 0.1%) </w:t>
            </w:r>
          </w:p>
        </w:tc>
      </w:tr>
      <w:tr w:rsidR="004C2A46" w:rsidRPr="002742BE" w14:paraId="1F4CA9DD" w14:textId="77777777" w:rsidTr="00161519">
        <w:tc>
          <w:tcPr>
            <w:tcW w:w="2943" w:type="dxa"/>
            <w:shd w:val="clear" w:color="auto" w:fill="auto"/>
          </w:tcPr>
          <w:p w14:paraId="3A3FC2D3"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Immune System Disorders</w:t>
            </w:r>
            <w:r w:rsidRPr="00DA6D02">
              <w:rPr>
                <w:rFonts w:cs="Arial"/>
                <w:szCs w:val="21"/>
              </w:rPr>
              <w:t>:</w:t>
            </w:r>
          </w:p>
        </w:tc>
        <w:tc>
          <w:tcPr>
            <w:tcW w:w="5954" w:type="dxa"/>
            <w:shd w:val="clear" w:color="auto" w:fill="auto"/>
          </w:tcPr>
          <w:p w14:paraId="3B21EB4D" w14:textId="77777777" w:rsidR="004C2A46" w:rsidRPr="00DA6D02" w:rsidRDefault="004C2A46" w:rsidP="00161519">
            <w:pPr>
              <w:tabs>
                <w:tab w:val="left" w:pos="567"/>
              </w:tabs>
              <w:spacing w:before="60" w:after="60"/>
              <w:ind w:right="45"/>
              <w:rPr>
                <w:rFonts w:cs="Arial"/>
                <w:szCs w:val="21"/>
              </w:rPr>
            </w:pPr>
            <w:r w:rsidRPr="00DA6D02">
              <w:rPr>
                <w:rFonts w:cs="Arial"/>
                <w:szCs w:val="21"/>
              </w:rPr>
              <w:t xml:space="preserve">hypersensitivity </w:t>
            </w:r>
          </w:p>
        </w:tc>
      </w:tr>
      <w:tr w:rsidR="004C2A46" w:rsidRPr="002742BE" w14:paraId="720B3624" w14:textId="77777777" w:rsidTr="00161519">
        <w:tc>
          <w:tcPr>
            <w:tcW w:w="2943" w:type="dxa"/>
            <w:shd w:val="clear" w:color="auto" w:fill="auto"/>
          </w:tcPr>
          <w:p w14:paraId="5B1D424C"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 xml:space="preserve">Injury, poisoning and </w:t>
            </w:r>
            <w:r w:rsidR="005E3B11" w:rsidRPr="00DA6D02">
              <w:rPr>
                <w:rFonts w:cs="Arial"/>
                <w:b/>
                <w:szCs w:val="21"/>
              </w:rPr>
              <w:t>post procedural</w:t>
            </w:r>
            <w:r w:rsidRPr="00DA6D02">
              <w:rPr>
                <w:rFonts w:cs="Arial"/>
                <w:b/>
                <w:szCs w:val="21"/>
              </w:rPr>
              <w:t xml:space="preserve"> complications</w:t>
            </w:r>
            <w:r w:rsidRPr="00DA6D02">
              <w:rPr>
                <w:rFonts w:cs="Arial"/>
                <w:szCs w:val="21"/>
              </w:rPr>
              <w:t>:</w:t>
            </w:r>
          </w:p>
        </w:tc>
        <w:tc>
          <w:tcPr>
            <w:tcW w:w="5954" w:type="dxa"/>
            <w:shd w:val="clear" w:color="auto" w:fill="auto"/>
          </w:tcPr>
          <w:p w14:paraId="0C855499" w14:textId="77777777" w:rsidR="004C2A46" w:rsidRPr="00DA6D02" w:rsidRDefault="004C2A46" w:rsidP="00161519">
            <w:pPr>
              <w:tabs>
                <w:tab w:val="left" w:pos="567"/>
              </w:tabs>
              <w:spacing w:before="60" w:after="60"/>
              <w:ind w:right="45"/>
              <w:rPr>
                <w:rFonts w:cs="Arial"/>
                <w:szCs w:val="21"/>
              </w:rPr>
            </w:pPr>
            <w:r w:rsidRPr="00DA6D02">
              <w:rPr>
                <w:rFonts w:cs="Arial"/>
                <w:szCs w:val="21"/>
              </w:rPr>
              <w:t xml:space="preserve">operative haemorrhage, </w:t>
            </w:r>
            <w:r w:rsidR="005E3B11" w:rsidRPr="00DA6D02">
              <w:rPr>
                <w:rFonts w:cs="Arial"/>
                <w:szCs w:val="21"/>
              </w:rPr>
              <w:t>post procedural</w:t>
            </w:r>
            <w:r w:rsidRPr="00DA6D02">
              <w:rPr>
                <w:rFonts w:cs="Arial"/>
                <w:szCs w:val="21"/>
              </w:rPr>
              <w:t xml:space="preserve"> haemorrhage, traumatic haematoma, traumatic haemorrhage, subdural haematoma (≥ 0.01% to &lt; 0.1%)</w:t>
            </w:r>
          </w:p>
        </w:tc>
      </w:tr>
      <w:tr w:rsidR="004C2A46" w:rsidRPr="002742BE" w14:paraId="74B2DADD" w14:textId="77777777" w:rsidTr="00161519">
        <w:tc>
          <w:tcPr>
            <w:tcW w:w="2943" w:type="dxa"/>
            <w:shd w:val="clear" w:color="auto" w:fill="auto"/>
          </w:tcPr>
          <w:p w14:paraId="3328E4A3"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Investigations</w:t>
            </w:r>
            <w:r w:rsidRPr="00DA6D02">
              <w:rPr>
                <w:rFonts w:cs="Arial"/>
                <w:szCs w:val="21"/>
              </w:rPr>
              <w:t>:</w:t>
            </w:r>
          </w:p>
        </w:tc>
        <w:tc>
          <w:tcPr>
            <w:tcW w:w="5954" w:type="dxa"/>
            <w:shd w:val="clear" w:color="auto" w:fill="auto"/>
          </w:tcPr>
          <w:p w14:paraId="42D807DF" w14:textId="77777777" w:rsidR="004C2A46" w:rsidRPr="00DA6D02" w:rsidRDefault="004C2A46" w:rsidP="00161519">
            <w:pPr>
              <w:tabs>
                <w:tab w:val="left" w:pos="567"/>
              </w:tabs>
              <w:spacing w:before="60" w:after="60"/>
              <w:ind w:right="45"/>
              <w:rPr>
                <w:rFonts w:cs="Arial"/>
                <w:szCs w:val="21"/>
              </w:rPr>
            </w:pPr>
            <w:r w:rsidRPr="00DA6D02">
              <w:rPr>
                <w:rFonts w:cs="Arial"/>
                <w:szCs w:val="21"/>
              </w:rPr>
              <w:t xml:space="preserve">haemoglobin decreased, liver function test abnormal, hepatic enzyme increased, transaminases increased, blood bilirubin increased, bilirubin conjugated increased (with or without concomitant increase of ALT), gamma-glutamyltransferase increased, blood alkaline phosphatase increased, blood amylase increased, occult blood positive </w:t>
            </w:r>
          </w:p>
        </w:tc>
      </w:tr>
      <w:tr w:rsidR="004C2A46" w:rsidRPr="002742BE" w14:paraId="3D908889" w14:textId="77777777" w:rsidTr="00161519">
        <w:tc>
          <w:tcPr>
            <w:tcW w:w="2943" w:type="dxa"/>
            <w:shd w:val="clear" w:color="auto" w:fill="auto"/>
          </w:tcPr>
          <w:p w14:paraId="0C833CDC"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Nervous System Disorders</w:t>
            </w:r>
            <w:r w:rsidRPr="00DA6D02">
              <w:rPr>
                <w:rFonts w:cs="Arial"/>
                <w:szCs w:val="21"/>
              </w:rPr>
              <w:t>:</w:t>
            </w:r>
          </w:p>
        </w:tc>
        <w:tc>
          <w:tcPr>
            <w:tcW w:w="5954" w:type="dxa"/>
            <w:shd w:val="clear" w:color="auto" w:fill="auto"/>
          </w:tcPr>
          <w:p w14:paraId="21C27F0B" w14:textId="77777777" w:rsidR="004C2A46" w:rsidRPr="00DA6D02" w:rsidRDefault="004C2A46" w:rsidP="00161519">
            <w:pPr>
              <w:tabs>
                <w:tab w:val="left" w:pos="567"/>
              </w:tabs>
              <w:spacing w:before="60" w:after="60"/>
              <w:ind w:right="45"/>
              <w:rPr>
                <w:rFonts w:cs="Arial"/>
                <w:szCs w:val="21"/>
              </w:rPr>
            </w:pPr>
            <w:r w:rsidRPr="00DA6D02">
              <w:rPr>
                <w:rFonts w:cs="Arial"/>
                <w:szCs w:val="21"/>
              </w:rPr>
              <w:t xml:space="preserve">syncope, cerebellar haemorrhage (≥ 0.01% to &lt; 0.1%), cerebral haemorrhage (≥ 0.01% to &lt; 0.1%), haemorrhage intracranial (≥ 0.01% to &lt; 0.1%), haemorrhagic transformation stroke (≥ 0.01% to &lt; 0.1%) </w:t>
            </w:r>
          </w:p>
        </w:tc>
      </w:tr>
      <w:tr w:rsidR="004C2A46" w:rsidRPr="002742BE" w14:paraId="41F7A2C2" w14:textId="77777777" w:rsidTr="00161519">
        <w:tc>
          <w:tcPr>
            <w:tcW w:w="2943" w:type="dxa"/>
            <w:shd w:val="clear" w:color="auto" w:fill="auto"/>
          </w:tcPr>
          <w:p w14:paraId="6CD2CACE"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Reproductive system and breast disorders</w:t>
            </w:r>
            <w:r w:rsidRPr="00DA6D02">
              <w:rPr>
                <w:rFonts w:cs="Arial"/>
                <w:szCs w:val="21"/>
              </w:rPr>
              <w:t>:</w:t>
            </w:r>
          </w:p>
        </w:tc>
        <w:tc>
          <w:tcPr>
            <w:tcW w:w="5954" w:type="dxa"/>
            <w:shd w:val="clear" w:color="auto" w:fill="auto"/>
          </w:tcPr>
          <w:p w14:paraId="6DBB3546" w14:textId="77777777" w:rsidR="004C2A46" w:rsidRPr="00DA6D02" w:rsidRDefault="004C2A46" w:rsidP="00161519">
            <w:pPr>
              <w:tabs>
                <w:tab w:val="left" w:pos="567"/>
              </w:tabs>
              <w:spacing w:before="60" w:after="60"/>
              <w:ind w:right="45"/>
              <w:rPr>
                <w:rFonts w:cs="Arial"/>
                <w:szCs w:val="21"/>
              </w:rPr>
            </w:pPr>
            <w:r w:rsidRPr="00DA6D02">
              <w:rPr>
                <w:rFonts w:cs="Arial"/>
                <w:szCs w:val="21"/>
              </w:rPr>
              <w:t xml:space="preserve">menometrorrhagia (≥ 0.01% to &lt; 0.1%), metrorrhagia </w:t>
            </w:r>
          </w:p>
        </w:tc>
      </w:tr>
      <w:tr w:rsidR="004C2A46" w:rsidRPr="002742BE" w14:paraId="07DA633B" w14:textId="77777777" w:rsidTr="00161519">
        <w:tc>
          <w:tcPr>
            <w:tcW w:w="2943" w:type="dxa"/>
            <w:shd w:val="clear" w:color="auto" w:fill="auto"/>
          </w:tcPr>
          <w:p w14:paraId="542BCEB5"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Skin and Subcutaneous Tissue Disorders</w:t>
            </w:r>
            <w:r w:rsidRPr="00DA6D02">
              <w:rPr>
                <w:rFonts w:cs="Arial"/>
                <w:szCs w:val="21"/>
              </w:rPr>
              <w:t>:</w:t>
            </w:r>
          </w:p>
        </w:tc>
        <w:tc>
          <w:tcPr>
            <w:tcW w:w="5954" w:type="dxa"/>
            <w:shd w:val="clear" w:color="auto" w:fill="auto"/>
          </w:tcPr>
          <w:p w14:paraId="2FA5D49D" w14:textId="77777777" w:rsidR="004C2A46" w:rsidRPr="00DA6D02" w:rsidRDefault="004C2A46" w:rsidP="00161519">
            <w:pPr>
              <w:tabs>
                <w:tab w:val="left" w:pos="567"/>
              </w:tabs>
              <w:spacing w:before="60" w:after="60"/>
              <w:ind w:right="45"/>
              <w:rPr>
                <w:rFonts w:cs="Arial"/>
                <w:szCs w:val="21"/>
              </w:rPr>
            </w:pPr>
            <w:r w:rsidRPr="00DA6D02">
              <w:rPr>
                <w:rFonts w:cs="Arial"/>
                <w:szCs w:val="21"/>
              </w:rPr>
              <w:t>urticaria, ecchymosis, skin haemorrhage, drug eruption, dermatitis allergic, pruritus generalised</w:t>
            </w:r>
          </w:p>
        </w:tc>
      </w:tr>
      <w:tr w:rsidR="004C2A46" w:rsidRPr="002742BE" w14:paraId="78514F83" w14:textId="77777777" w:rsidTr="00161519">
        <w:tc>
          <w:tcPr>
            <w:tcW w:w="2943" w:type="dxa"/>
            <w:shd w:val="clear" w:color="auto" w:fill="auto"/>
          </w:tcPr>
          <w:p w14:paraId="601D79E4"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Vascular Disorders</w:t>
            </w:r>
            <w:r w:rsidRPr="00DA6D02">
              <w:rPr>
                <w:rFonts w:cs="Arial"/>
                <w:szCs w:val="21"/>
              </w:rPr>
              <w:t>:</w:t>
            </w:r>
          </w:p>
        </w:tc>
        <w:tc>
          <w:tcPr>
            <w:tcW w:w="5954" w:type="dxa"/>
            <w:shd w:val="clear" w:color="auto" w:fill="auto"/>
          </w:tcPr>
          <w:p w14:paraId="65DA0727" w14:textId="77777777" w:rsidR="004C2A46" w:rsidRPr="00DA6D02" w:rsidRDefault="004C2A46" w:rsidP="00161519">
            <w:pPr>
              <w:tabs>
                <w:tab w:val="left" w:pos="567"/>
              </w:tabs>
              <w:spacing w:before="60" w:after="60"/>
              <w:ind w:right="45"/>
              <w:rPr>
                <w:rFonts w:cs="Arial"/>
                <w:szCs w:val="21"/>
              </w:rPr>
            </w:pPr>
            <w:r w:rsidRPr="00DA6D02">
              <w:rPr>
                <w:rFonts w:cs="Arial"/>
                <w:szCs w:val="21"/>
              </w:rPr>
              <w:t>hypotension</w:t>
            </w:r>
          </w:p>
        </w:tc>
      </w:tr>
    </w:tbl>
    <w:p w14:paraId="62644774" w14:textId="77777777" w:rsidR="00E1748A" w:rsidRDefault="00E1748A" w:rsidP="00161519">
      <w:pPr>
        <w:pStyle w:val="Default"/>
        <w:tabs>
          <w:tab w:val="left" w:pos="9900"/>
        </w:tabs>
        <w:spacing w:before="120" w:after="240"/>
        <w:ind w:right="46"/>
        <w:jc w:val="both"/>
        <w:rPr>
          <w:rFonts w:ascii="Arial" w:hAnsi="Arial" w:cs="Arial"/>
          <w:b/>
          <w:sz w:val="22"/>
          <w:szCs w:val="22"/>
        </w:rPr>
      </w:pPr>
    </w:p>
    <w:p w14:paraId="3C161883" w14:textId="77777777" w:rsidR="004C2A46" w:rsidRPr="00161519" w:rsidRDefault="004C2A46" w:rsidP="00BF48A3">
      <w:pPr>
        <w:pStyle w:val="Heading3"/>
        <w:ind w:left="0"/>
      </w:pPr>
      <w:r w:rsidRPr="00161519">
        <w:t>Prevention of stroke and systemic embolism in patients with atrial fibrillation</w:t>
      </w:r>
    </w:p>
    <w:p w14:paraId="36B73E98" w14:textId="77777777" w:rsidR="004C2A46" w:rsidRPr="002742BE" w:rsidRDefault="004C2A46" w:rsidP="00BF48A3">
      <w:pPr>
        <w:ind w:right="46"/>
        <w:rPr>
          <w:rFonts w:cs="Arial"/>
          <w:szCs w:val="22"/>
        </w:rPr>
      </w:pPr>
      <w:r w:rsidRPr="002742BE">
        <w:rPr>
          <w:rFonts w:cs="Arial"/>
          <w:szCs w:val="22"/>
        </w:rPr>
        <w:t xml:space="preserve">In the pivotal double-blind ROCKET AF study, a total of 14,264 unique subjects with non-valvular atrial fibrillation who were at risk for stroke and non-CNS systemic embolism were randomly assigned to treatment with either rivaroxaban (7,131 subjects) or warfarin (7,133 subjects) in 45 countries. </w:t>
      </w:r>
      <w:r w:rsidR="000D76B8">
        <w:rPr>
          <w:rFonts w:cs="Arial"/>
          <w:szCs w:val="22"/>
        </w:rPr>
        <w:t xml:space="preserve"> </w:t>
      </w:r>
      <w:r w:rsidRPr="002742BE">
        <w:rPr>
          <w:rFonts w:cs="Arial"/>
          <w:szCs w:val="22"/>
        </w:rPr>
        <w:t xml:space="preserve">Patients received </w:t>
      </w:r>
      <w:r w:rsidR="005F6704">
        <w:rPr>
          <w:rFonts w:cs="Arial"/>
          <w:szCs w:val="22"/>
        </w:rPr>
        <w:t>XARELTO</w:t>
      </w:r>
      <w:r w:rsidRPr="002742BE">
        <w:rPr>
          <w:rFonts w:cs="Arial"/>
          <w:szCs w:val="22"/>
        </w:rPr>
        <w:t xml:space="preserve"> 20 mg orally once daily (15 mg orally once daily in patients with moderate (CrCl: 30-49 mL/min) renal impairment) or warfarin titrated to a target INR of 2.5 (therapeutic range 2.0 to 3.0). </w:t>
      </w:r>
      <w:r w:rsidR="000D76B8">
        <w:rPr>
          <w:rFonts w:cs="Arial"/>
          <w:szCs w:val="22"/>
        </w:rPr>
        <w:t xml:space="preserve"> </w:t>
      </w:r>
      <w:r w:rsidRPr="002742BE">
        <w:rPr>
          <w:rFonts w:cs="Arial"/>
          <w:szCs w:val="22"/>
        </w:rPr>
        <w:t xml:space="preserve">The safety population included subjects who were uniquely randomised and took at least 1 dose of study medication. </w:t>
      </w:r>
    </w:p>
    <w:p w14:paraId="2EE9215D" w14:textId="77777777" w:rsidR="004C2A46" w:rsidRPr="002742BE" w:rsidRDefault="004C2A46" w:rsidP="00BF48A3">
      <w:pPr>
        <w:ind w:right="46"/>
        <w:rPr>
          <w:rFonts w:cs="Arial"/>
          <w:szCs w:val="22"/>
        </w:rPr>
      </w:pPr>
    </w:p>
    <w:p w14:paraId="40B1C5F3" w14:textId="17D30B80" w:rsidR="004C2A46" w:rsidRPr="007514E5" w:rsidRDefault="004C2A46" w:rsidP="00BF48A3">
      <w:pPr>
        <w:ind w:right="46"/>
        <w:rPr>
          <w:rFonts w:cs="Arial"/>
          <w:noProof/>
          <w:szCs w:val="22"/>
        </w:rPr>
      </w:pPr>
      <w:r w:rsidRPr="002742BE">
        <w:rPr>
          <w:rFonts w:cs="Arial"/>
          <w:szCs w:val="22"/>
        </w:rPr>
        <w:t xml:space="preserve">In total, 14,236 subjects were included in the safety population (used for the safety analyses), with 7,111 and 7,125 subjects in rivaroxaban and warfarin groups, respectively. The median time on treatment was 19 months and overall treatment duration was up to 41 months. </w:t>
      </w:r>
      <w:r w:rsidR="000D76B8">
        <w:rPr>
          <w:rFonts w:cs="Arial"/>
          <w:szCs w:val="22"/>
        </w:rPr>
        <w:t xml:space="preserve"> </w:t>
      </w:r>
      <w:r w:rsidRPr="002742BE">
        <w:rPr>
          <w:rFonts w:cs="Arial"/>
          <w:szCs w:val="22"/>
        </w:rPr>
        <w:t xml:space="preserve">The mean duration of </w:t>
      </w:r>
      <w:r w:rsidR="005F6704">
        <w:rPr>
          <w:rFonts w:cs="Arial"/>
          <w:szCs w:val="22"/>
        </w:rPr>
        <w:t>XARELTO</w:t>
      </w:r>
      <w:r w:rsidRPr="002742BE">
        <w:rPr>
          <w:rFonts w:cs="Arial"/>
          <w:szCs w:val="22"/>
        </w:rPr>
        <w:t xml:space="preserve"> treatment exposure was 572 days.</w:t>
      </w:r>
      <w:r w:rsidR="00AA5C0C">
        <w:rPr>
          <w:rFonts w:cs="Arial"/>
          <w:szCs w:val="22"/>
        </w:rPr>
        <w:t xml:space="preserve">  </w:t>
      </w:r>
      <w:r w:rsidRPr="007B4087">
        <w:rPr>
          <w:rFonts w:cs="Arial"/>
          <w:szCs w:val="22"/>
        </w:rPr>
        <w:t xml:space="preserve">The treatment-emergent adverse reactions reported in patients valid for safety analysis in ROCKET AF are </w:t>
      </w:r>
      <w:r w:rsidRPr="005403C3">
        <w:rPr>
          <w:rFonts w:cs="Arial"/>
          <w:szCs w:val="22"/>
        </w:rPr>
        <w:t>presented i</w:t>
      </w:r>
      <w:r w:rsidR="00686604" w:rsidRPr="005403C3">
        <w:rPr>
          <w:rFonts w:cs="Arial"/>
          <w:szCs w:val="22"/>
        </w:rPr>
        <w:t xml:space="preserve">n </w:t>
      </w:r>
      <w:r w:rsidR="003860D3" w:rsidRPr="005403C3">
        <w:rPr>
          <w:rFonts w:cs="Arial"/>
          <w:sz w:val="24"/>
          <w:szCs w:val="22"/>
        </w:rPr>
        <w:fldChar w:fldCharType="begin"/>
      </w:r>
      <w:r w:rsidR="003860D3" w:rsidRPr="005403C3">
        <w:rPr>
          <w:rFonts w:cs="Arial"/>
          <w:sz w:val="24"/>
          <w:szCs w:val="22"/>
        </w:rPr>
        <w:instrText xml:space="preserve"> REF _Ref501396509 \h </w:instrText>
      </w:r>
      <w:r w:rsidR="00100151" w:rsidRPr="005403C3">
        <w:rPr>
          <w:rFonts w:cs="Arial"/>
          <w:sz w:val="24"/>
          <w:szCs w:val="22"/>
        </w:rPr>
        <w:instrText xml:space="preserve"> \* MERGEFORMAT </w:instrText>
      </w:r>
      <w:r w:rsidR="003860D3" w:rsidRPr="005403C3">
        <w:rPr>
          <w:rFonts w:cs="Arial"/>
          <w:sz w:val="24"/>
          <w:szCs w:val="22"/>
        </w:rPr>
      </w:r>
      <w:r w:rsidR="003860D3" w:rsidRPr="005403C3">
        <w:rPr>
          <w:rFonts w:cs="Arial"/>
          <w:sz w:val="24"/>
          <w:szCs w:val="22"/>
        </w:rPr>
        <w:fldChar w:fldCharType="separate"/>
      </w:r>
      <w:r w:rsidR="00C51DA4" w:rsidRPr="004A2647">
        <w:t xml:space="preserve">Table </w:t>
      </w:r>
      <w:r w:rsidR="00C51DA4">
        <w:rPr>
          <w:noProof/>
        </w:rPr>
        <w:t>8</w:t>
      </w:r>
      <w:r w:rsidR="003860D3" w:rsidRPr="005403C3">
        <w:rPr>
          <w:rFonts w:cs="Arial"/>
          <w:sz w:val="24"/>
          <w:szCs w:val="22"/>
        </w:rPr>
        <w:fldChar w:fldCharType="end"/>
      </w:r>
      <w:r w:rsidRPr="005403C3">
        <w:rPr>
          <w:rFonts w:cs="Arial"/>
          <w:szCs w:val="22"/>
        </w:rPr>
        <w:t>.</w:t>
      </w:r>
    </w:p>
    <w:p w14:paraId="7F03DAF5" w14:textId="77777777" w:rsidR="004C2A46" w:rsidRDefault="004C2A46" w:rsidP="00DA6D02">
      <w:pPr>
        <w:ind w:right="46"/>
        <w:rPr>
          <w:rFonts w:cs="Arial"/>
          <w:szCs w:val="22"/>
        </w:rPr>
      </w:pPr>
    </w:p>
    <w:p w14:paraId="51F3E77B" w14:textId="6E01DA52" w:rsidR="004C2A46" w:rsidRPr="004A2647" w:rsidRDefault="004A2647" w:rsidP="00DA6D02">
      <w:pPr>
        <w:pStyle w:val="Caption"/>
        <w:ind w:left="900" w:hanging="900"/>
        <w:jc w:val="left"/>
        <w:rPr>
          <w:rFonts w:cs="Arial"/>
        </w:rPr>
      </w:pPr>
      <w:bookmarkStart w:id="30" w:name="_Ref501396509"/>
      <w:r w:rsidRPr="004A2647">
        <w:lastRenderedPageBreak/>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8</w:t>
      </w:r>
      <w:r w:rsidR="005D4DAE">
        <w:rPr>
          <w:noProof/>
        </w:rPr>
        <w:fldChar w:fldCharType="end"/>
      </w:r>
      <w:bookmarkEnd w:id="30"/>
      <w:r w:rsidRPr="004A2647">
        <w:t xml:space="preserve">: </w:t>
      </w:r>
      <w:r w:rsidRPr="004A2647">
        <w:rPr>
          <w:rFonts w:cs="Arial"/>
        </w:rPr>
        <w:t>Incidence of treatment-emergent adverse reactions grouped by System Organ Class occurring &gt; 1% of any treatment group – Subjects Valid for Safety Analysis – ROCKET AF SN11630</w:t>
      </w:r>
    </w:p>
    <w:tbl>
      <w:tblPr>
        <w:tblW w:w="0" w:type="auto"/>
        <w:tblInd w:w="108" w:type="dxa"/>
        <w:tblLook w:val="01E0" w:firstRow="1" w:lastRow="1" w:firstColumn="1" w:lastColumn="1" w:noHBand="0" w:noVBand="0"/>
      </w:tblPr>
      <w:tblGrid>
        <w:gridCol w:w="2988"/>
        <w:gridCol w:w="2880"/>
        <w:gridCol w:w="3060"/>
      </w:tblGrid>
      <w:tr w:rsidR="004C2A46" w:rsidRPr="002742BE" w14:paraId="05F64CA0" w14:textId="77777777" w:rsidTr="00996B97">
        <w:trPr>
          <w:cantSplit/>
          <w:tblHeader/>
        </w:trPr>
        <w:tc>
          <w:tcPr>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44AE7" w14:textId="77777777" w:rsidR="004C2A46" w:rsidRPr="00DA6D02" w:rsidRDefault="004C2A46" w:rsidP="00161519">
            <w:pPr>
              <w:tabs>
                <w:tab w:val="left" w:pos="567"/>
              </w:tabs>
              <w:spacing w:before="60" w:after="60"/>
              <w:ind w:right="46"/>
              <w:rPr>
                <w:rFonts w:cs="Arial"/>
                <w:b/>
              </w:rPr>
            </w:pPr>
            <w:r w:rsidRPr="00DA6D02">
              <w:rPr>
                <w:rFonts w:cs="Arial"/>
                <w:b/>
              </w:rPr>
              <w:t xml:space="preserve">MedDRA System </w:t>
            </w:r>
            <w:r w:rsidR="00C0749F" w:rsidRPr="00DA6D02">
              <w:rPr>
                <w:rFonts w:cs="Arial"/>
                <w:b/>
              </w:rPr>
              <w:t>O</w:t>
            </w:r>
            <w:r w:rsidRPr="00DA6D02">
              <w:rPr>
                <w:rFonts w:cs="Arial"/>
                <w:b/>
              </w:rPr>
              <w:t>rgan Class</w:t>
            </w:r>
          </w:p>
          <w:p w14:paraId="60BA4500" w14:textId="77777777" w:rsidR="004C2A46" w:rsidRPr="00DA6D02" w:rsidRDefault="004C2A46" w:rsidP="00161519">
            <w:pPr>
              <w:tabs>
                <w:tab w:val="left" w:pos="567"/>
              </w:tabs>
              <w:spacing w:before="60" w:after="60"/>
              <w:ind w:right="46"/>
              <w:rPr>
                <w:rFonts w:cs="Arial"/>
                <w:b/>
              </w:rPr>
            </w:pPr>
            <w:r w:rsidRPr="00DA6D02">
              <w:rPr>
                <w:rFonts w:cs="Arial"/>
                <w:b/>
              </w:rPr>
              <w:t>Preferred Term</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5FCF8" w14:textId="77777777" w:rsidR="004C2A46" w:rsidRPr="00DA6D02" w:rsidRDefault="004C2A46" w:rsidP="00161519">
            <w:pPr>
              <w:tabs>
                <w:tab w:val="left" w:pos="567"/>
              </w:tabs>
              <w:spacing w:before="60" w:after="60"/>
              <w:ind w:right="46"/>
              <w:jc w:val="center"/>
              <w:rPr>
                <w:rFonts w:cs="Arial"/>
                <w:b/>
              </w:rPr>
            </w:pPr>
            <w:r w:rsidRPr="00DA6D02">
              <w:rPr>
                <w:rFonts w:cs="Arial"/>
                <w:b/>
              </w:rPr>
              <w:t>Rivaroxaban</w:t>
            </w:r>
          </w:p>
          <w:p w14:paraId="4BF6AC7B" w14:textId="77777777" w:rsidR="004C2A46" w:rsidRPr="00DA6D02" w:rsidRDefault="004C2A46" w:rsidP="00161519">
            <w:pPr>
              <w:tabs>
                <w:tab w:val="left" w:pos="567"/>
              </w:tabs>
              <w:spacing w:before="60" w:after="60"/>
              <w:ind w:right="46"/>
              <w:jc w:val="center"/>
              <w:rPr>
                <w:rFonts w:cs="Arial"/>
                <w:b/>
              </w:rPr>
            </w:pPr>
            <w:r w:rsidRPr="00DA6D02">
              <w:rPr>
                <w:rFonts w:cs="Arial"/>
                <w:b/>
              </w:rPr>
              <w:t xml:space="preserve">(N = 7111) </w:t>
            </w:r>
          </w:p>
          <w:p w14:paraId="5143C439" w14:textId="77777777" w:rsidR="004C2A46" w:rsidRPr="00DA6D02" w:rsidRDefault="004C2A46" w:rsidP="00161519">
            <w:pPr>
              <w:tabs>
                <w:tab w:val="left" w:pos="567"/>
              </w:tabs>
              <w:spacing w:before="60" w:after="60"/>
              <w:ind w:right="46"/>
              <w:jc w:val="center"/>
              <w:rPr>
                <w:rFonts w:cs="Arial"/>
                <w:b/>
              </w:rPr>
            </w:pPr>
            <w:r w:rsidRPr="00DA6D02">
              <w:rPr>
                <w:rFonts w:cs="Arial"/>
                <w:b/>
              </w:rPr>
              <w:t>n (%)</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B9ADF" w14:textId="77777777" w:rsidR="004C2A46" w:rsidRPr="00DA6D02" w:rsidRDefault="004C2A46" w:rsidP="00161519">
            <w:pPr>
              <w:tabs>
                <w:tab w:val="left" w:pos="567"/>
              </w:tabs>
              <w:spacing w:before="60" w:after="60"/>
              <w:ind w:right="46"/>
              <w:jc w:val="center"/>
              <w:rPr>
                <w:rFonts w:cs="Arial"/>
                <w:b/>
              </w:rPr>
            </w:pPr>
            <w:r w:rsidRPr="00DA6D02">
              <w:rPr>
                <w:rFonts w:cs="Arial"/>
                <w:b/>
              </w:rPr>
              <w:t>Warfarin</w:t>
            </w:r>
          </w:p>
          <w:p w14:paraId="31012086" w14:textId="77777777" w:rsidR="004C2A46" w:rsidRPr="00DA6D02" w:rsidRDefault="004C2A46" w:rsidP="00161519">
            <w:pPr>
              <w:tabs>
                <w:tab w:val="left" w:pos="567"/>
              </w:tabs>
              <w:spacing w:before="60" w:after="60"/>
              <w:ind w:right="46"/>
              <w:jc w:val="center"/>
              <w:rPr>
                <w:rFonts w:cs="Arial"/>
                <w:b/>
              </w:rPr>
            </w:pPr>
            <w:r w:rsidRPr="00DA6D02">
              <w:rPr>
                <w:rFonts w:cs="Arial"/>
                <w:b/>
              </w:rPr>
              <w:t xml:space="preserve">(N = 7125) </w:t>
            </w:r>
          </w:p>
          <w:p w14:paraId="13498169" w14:textId="77777777" w:rsidR="004C2A46" w:rsidRPr="00DA6D02" w:rsidRDefault="004C2A46" w:rsidP="00161519">
            <w:pPr>
              <w:tabs>
                <w:tab w:val="left" w:pos="567"/>
              </w:tabs>
              <w:spacing w:before="60" w:after="60"/>
              <w:ind w:right="46"/>
              <w:jc w:val="center"/>
              <w:rPr>
                <w:rFonts w:cs="Arial"/>
                <w:b/>
              </w:rPr>
            </w:pPr>
            <w:r w:rsidRPr="00DA6D02">
              <w:rPr>
                <w:rFonts w:cs="Arial"/>
                <w:b/>
              </w:rPr>
              <w:t>n (%)</w:t>
            </w:r>
          </w:p>
        </w:tc>
      </w:tr>
      <w:tr w:rsidR="004C2A46" w:rsidRPr="002742BE" w14:paraId="629CD581"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54E6416F" w14:textId="77777777" w:rsidR="004C2A46" w:rsidRPr="002742BE" w:rsidRDefault="004C2A46" w:rsidP="00161519">
            <w:pPr>
              <w:tabs>
                <w:tab w:val="left" w:pos="567"/>
              </w:tabs>
              <w:spacing w:before="60" w:after="60"/>
              <w:ind w:right="46"/>
              <w:rPr>
                <w:rFonts w:cs="Arial"/>
                <w:b/>
              </w:rPr>
            </w:pPr>
            <w:r w:rsidRPr="002742BE">
              <w:rPr>
                <w:rFonts w:cs="Arial"/>
                <w:b/>
              </w:rPr>
              <w:t>Blood and lymphatic system disorders</w:t>
            </w:r>
          </w:p>
        </w:tc>
        <w:tc>
          <w:tcPr>
            <w:tcW w:w="2880" w:type="dxa"/>
            <w:tcBorders>
              <w:top w:val="single" w:sz="4" w:space="0" w:color="auto"/>
              <w:left w:val="single" w:sz="4" w:space="0" w:color="auto"/>
              <w:right w:val="single" w:sz="4" w:space="0" w:color="auto"/>
            </w:tcBorders>
            <w:shd w:val="clear" w:color="auto" w:fill="auto"/>
          </w:tcPr>
          <w:p w14:paraId="206918B7" w14:textId="77777777" w:rsidR="004C2A46" w:rsidRPr="002742BE" w:rsidRDefault="004C2A46" w:rsidP="00161519">
            <w:pPr>
              <w:tabs>
                <w:tab w:val="left" w:pos="567"/>
              </w:tabs>
              <w:spacing w:before="60" w:after="60"/>
              <w:ind w:right="46"/>
              <w:jc w:val="center"/>
              <w:rPr>
                <w:rFonts w:cs="Arial"/>
                <w:b/>
              </w:rPr>
            </w:pPr>
          </w:p>
        </w:tc>
        <w:tc>
          <w:tcPr>
            <w:tcW w:w="3060" w:type="dxa"/>
            <w:tcBorders>
              <w:top w:val="single" w:sz="4" w:space="0" w:color="auto"/>
              <w:left w:val="single" w:sz="4" w:space="0" w:color="auto"/>
              <w:right w:val="single" w:sz="4" w:space="0" w:color="auto"/>
            </w:tcBorders>
            <w:shd w:val="clear" w:color="auto" w:fill="auto"/>
          </w:tcPr>
          <w:p w14:paraId="7AE5F2B4" w14:textId="77777777" w:rsidR="004C2A46" w:rsidRPr="002742BE" w:rsidRDefault="004C2A46" w:rsidP="00161519">
            <w:pPr>
              <w:tabs>
                <w:tab w:val="left" w:pos="567"/>
              </w:tabs>
              <w:spacing w:before="60" w:after="60"/>
              <w:ind w:right="46"/>
              <w:jc w:val="center"/>
              <w:rPr>
                <w:rFonts w:cs="Arial"/>
                <w:b/>
              </w:rPr>
            </w:pPr>
          </w:p>
        </w:tc>
      </w:tr>
      <w:tr w:rsidR="004C2A46" w:rsidRPr="002742BE" w14:paraId="662A6C9F" w14:textId="77777777" w:rsidTr="00161519">
        <w:trPr>
          <w:cantSplit/>
          <w:trHeight w:val="297"/>
        </w:trPr>
        <w:tc>
          <w:tcPr>
            <w:tcW w:w="2988" w:type="dxa"/>
            <w:tcBorders>
              <w:left w:val="single" w:sz="4" w:space="0" w:color="auto"/>
              <w:bottom w:val="single" w:sz="4" w:space="0" w:color="auto"/>
              <w:right w:val="single" w:sz="4" w:space="0" w:color="auto"/>
            </w:tcBorders>
            <w:shd w:val="clear" w:color="auto" w:fill="auto"/>
          </w:tcPr>
          <w:p w14:paraId="35B7A848" w14:textId="77777777" w:rsidR="004C2A46" w:rsidRPr="002742BE" w:rsidRDefault="004C2A46" w:rsidP="00161519">
            <w:pPr>
              <w:tabs>
                <w:tab w:val="left" w:pos="567"/>
              </w:tabs>
              <w:spacing w:before="60" w:after="60"/>
              <w:ind w:right="46"/>
              <w:rPr>
                <w:rFonts w:cs="Arial"/>
              </w:rPr>
            </w:pPr>
            <w:r w:rsidRPr="002742BE">
              <w:rPr>
                <w:rFonts w:cs="Arial"/>
              </w:rPr>
              <w:t>Anaemia</w:t>
            </w:r>
          </w:p>
        </w:tc>
        <w:tc>
          <w:tcPr>
            <w:tcW w:w="2880" w:type="dxa"/>
            <w:tcBorders>
              <w:left w:val="single" w:sz="4" w:space="0" w:color="auto"/>
              <w:bottom w:val="single" w:sz="4" w:space="0" w:color="auto"/>
              <w:right w:val="single" w:sz="4" w:space="0" w:color="auto"/>
            </w:tcBorders>
            <w:shd w:val="clear" w:color="auto" w:fill="auto"/>
          </w:tcPr>
          <w:p w14:paraId="61BF93A4" w14:textId="77777777" w:rsidR="004C2A46" w:rsidRPr="002742BE" w:rsidRDefault="004C2A46" w:rsidP="00161519">
            <w:pPr>
              <w:tabs>
                <w:tab w:val="left" w:pos="567"/>
              </w:tabs>
              <w:spacing w:before="60" w:after="60"/>
              <w:ind w:right="46"/>
              <w:jc w:val="center"/>
              <w:rPr>
                <w:rFonts w:cs="Arial"/>
              </w:rPr>
            </w:pPr>
            <w:r w:rsidRPr="002742BE">
              <w:rPr>
                <w:rFonts w:cs="Arial"/>
              </w:rPr>
              <w:t>219 (3.08)</w:t>
            </w:r>
          </w:p>
        </w:tc>
        <w:tc>
          <w:tcPr>
            <w:tcW w:w="3060" w:type="dxa"/>
            <w:tcBorders>
              <w:left w:val="single" w:sz="4" w:space="0" w:color="auto"/>
              <w:bottom w:val="single" w:sz="4" w:space="0" w:color="auto"/>
              <w:right w:val="single" w:sz="4" w:space="0" w:color="auto"/>
            </w:tcBorders>
            <w:shd w:val="clear" w:color="auto" w:fill="auto"/>
          </w:tcPr>
          <w:p w14:paraId="0D8FF158" w14:textId="77777777" w:rsidR="004C2A46" w:rsidRPr="002742BE" w:rsidRDefault="004C2A46" w:rsidP="00161519">
            <w:pPr>
              <w:tabs>
                <w:tab w:val="left" w:pos="567"/>
              </w:tabs>
              <w:spacing w:before="60" w:after="60"/>
              <w:ind w:right="46"/>
              <w:jc w:val="center"/>
              <w:rPr>
                <w:rFonts w:cs="Arial"/>
              </w:rPr>
            </w:pPr>
            <w:r w:rsidRPr="002742BE">
              <w:rPr>
                <w:rFonts w:cs="Arial"/>
              </w:rPr>
              <w:t>143 (2.01)</w:t>
            </w:r>
          </w:p>
        </w:tc>
      </w:tr>
      <w:tr w:rsidR="004C2A46" w:rsidRPr="002742BE" w14:paraId="416D11F3"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0495FDAF" w14:textId="77777777" w:rsidR="004C2A46" w:rsidRPr="002742BE" w:rsidRDefault="004C2A46" w:rsidP="00161519">
            <w:pPr>
              <w:tabs>
                <w:tab w:val="left" w:pos="567"/>
              </w:tabs>
              <w:spacing w:before="60" w:after="60"/>
              <w:ind w:right="46"/>
              <w:rPr>
                <w:rFonts w:cs="Arial"/>
                <w:b/>
              </w:rPr>
            </w:pPr>
            <w:r w:rsidRPr="002742BE">
              <w:rPr>
                <w:rFonts w:cs="Arial"/>
                <w:b/>
              </w:rPr>
              <w:t>Eye disorders</w:t>
            </w:r>
          </w:p>
        </w:tc>
        <w:tc>
          <w:tcPr>
            <w:tcW w:w="2880" w:type="dxa"/>
            <w:tcBorders>
              <w:top w:val="single" w:sz="4" w:space="0" w:color="auto"/>
              <w:left w:val="single" w:sz="4" w:space="0" w:color="auto"/>
              <w:right w:val="single" w:sz="4" w:space="0" w:color="auto"/>
            </w:tcBorders>
            <w:shd w:val="clear" w:color="auto" w:fill="auto"/>
          </w:tcPr>
          <w:p w14:paraId="0931E7F6" w14:textId="77777777" w:rsidR="004C2A46" w:rsidRPr="002742BE" w:rsidRDefault="004C2A46" w:rsidP="00161519">
            <w:pPr>
              <w:tabs>
                <w:tab w:val="left" w:pos="567"/>
              </w:tabs>
              <w:spacing w:before="60" w:after="60"/>
              <w:ind w:right="46"/>
              <w:jc w:val="center"/>
              <w:rPr>
                <w:rFonts w:cs="Arial"/>
                <w:b/>
              </w:rPr>
            </w:pPr>
          </w:p>
        </w:tc>
        <w:tc>
          <w:tcPr>
            <w:tcW w:w="3060" w:type="dxa"/>
            <w:tcBorders>
              <w:top w:val="single" w:sz="4" w:space="0" w:color="auto"/>
              <w:left w:val="single" w:sz="4" w:space="0" w:color="auto"/>
              <w:right w:val="single" w:sz="4" w:space="0" w:color="auto"/>
            </w:tcBorders>
            <w:shd w:val="clear" w:color="auto" w:fill="auto"/>
          </w:tcPr>
          <w:p w14:paraId="5A9C837C" w14:textId="77777777" w:rsidR="004C2A46" w:rsidRPr="002742BE" w:rsidRDefault="004C2A46" w:rsidP="00161519">
            <w:pPr>
              <w:tabs>
                <w:tab w:val="left" w:pos="567"/>
              </w:tabs>
              <w:spacing w:before="60" w:after="60"/>
              <w:ind w:right="46"/>
              <w:jc w:val="center"/>
              <w:rPr>
                <w:rFonts w:cs="Arial"/>
                <w:b/>
              </w:rPr>
            </w:pPr>
          </w:p>
        </w:tc>
      </w:tr>
      <w:tr w:rsidR="004C2A46" w:rsidRPr="002742BE" w14:paraId="08BBE46F" w14:textId="77777777" w:rsidTr="004C2A46">
        <w:trPr>
          <w:cantSplit/>
          <w:trHeight w:val="102"/>
        </w:trPr>
        <w:tc>
          <w:tcPr>
            <w:tcW w:w="2988" w:type="dxa"/>
            <w:tcBorders>
              <w:left w:val="single" w:sz="4" w:space="0" w:color="auto"/>
              <w:bottom w:val="single" w:sz="4" w:space="0" w:color="000000"/>
              <w:right w:val="single" w:sz="4" w:space="0" w:color="auto"/>
            </w:tcBorders>
            <w:shd w:val="clear" w:color="auto" w:fill="auto"/>
          </w:tcPr>
          <w:p w14:paraId="10567252" w14:textId="77777777" w:rsidR="004C2A46" w:rsidRPr="002742BE" w:rsidRDefault="004C2A46" w:rsidP="00161519">
            <w:pPr>
              <w:tabs>
                <w:tab w:val="left" w:pos="567"/>
              </w:tabs>
              <w:spacing w:before="60" w:after="60"/>
              <w:ind w:right="46"/>
              <w:rPr>
                <w:rFonts w:cs="Arial"/>
              </w:rPr>
            </w:pPr>
            <w:r w:rsidRPr="002742BE">
              <w:rPr>
                <w:rFonts w:cs="Arial"/>
              </w:rPr>
              <w:t>Conjunctival haemorrhage</w:t>
            </w:r>
          </w:p>
        </w:tc>
        <w:tc>
          <w:tcPr>
            <w:tcW w:w="2880" w:type="dxa"/>
            <w:tcBorders>
              <w:left w:val="single" w:sz="4" w:space="0" w:color="auto"/>
              <w:bottom w:val="single" w:sz="4" w:space="0" w:color="auto"/>
              <w:right w:val="single" w:sz="4" w:space="0" w:color="auto"/>
            </w:tcBorders>
            <w:shd w:val="clear" w:color="auto" w:fill="auto"/>
          </w:tcPr>
          <w:p w14:paraId="5F6C5B80" w14:textId="77777777" w:rsidR="004C2A46" w:rsidRPr="002742BE" w:rsidRDefault="004C2A46" w:rsidP="00161519">
            <w:pPr>
              <w:tabs>
                <w:tab w:val="left" w:pos="567"/>
              </w:tabs>
              <w:spacing w:before="60" w:after="60"/>
              <w:ind w:right="46"/>
              <w:jc w:val="center"/>
              <w:rPr>
                <w:rFonts w:cs="Arial"/>
              </w:rPr>
            </w:pPr>
            <w:r w:rsidRPr="002742BE">
              <w:rPr>
                <w:rFonts w:cs="Arial"/>
              </w:rPr>
              <w:t>104 (1.46)</w:t>
            </w:r>
          </w:p>
        </w:tc>
        <w:tc>
          <w:tcPr>
            <w:tcW w:w="3060" w:type="dxa"/>
            <w:tcBorders>
              <w:left w:val="single" w:sz="4" w:space="0" w:color="auto"/>
              <w:bottom w:val="single" w:sz="4" w:space="0" w:color="000000"/>
              <w:right w:val="single" w:sz="4" w:space="0" w:color="auto"/>
            </w:tcBorders>
            <w:shd w:val="clear" w:color="auto" w:fill="auto"/>
          </w:tcPr>
          <w:p w14:paraId="5AFF21AE" w14:textId="77777777" w:rsidR="004C2A46" w:rsidRPr="002742BE" w:rsidRDefault="004C2A46" w:rsidP="00161519">
            <w:pPr>
              <w:tabs>
                <w:tab w:val="left" w:pos="567"/>
              </w:tabs>
              <w:spacing w:before="60" w:after="60"/>
              <w:ind w:right="46"/>
              <w:jc w:val="center"/>
              <w:rPr>
                <w:rFonts w:cs="Arial"/>
              </w:rPr>
            </w:pPr>
            <w:r w:rsidRPr="002742BE">
              <w:rPr>
                <w:rFonts w:cs="Arial"/>
              </w:rPr>
              <w:t>151 (2.12)</w:t>
            </w:r>
          </w:p>
        </w:tc>
      </w:tr>
      <w:tr w:rsidR="004C2A46" w:rsidRPr="002742BE" w14:paraId="6BEA85B6" w14:textId="77777777" w:rsidTr="004C2A46">
        <w:trPr>
          <w:cantSplit/>
        </w:trPr>
        <w:tc>
          <w:tcPr>
            <w:tcW w:w="2988" w:type="dxa"/>
            <w:tcBorders>
              <w:top w:val="single" w:sz="4" w:space="0" w:color="000000"/>
              <w:left w:val="single" w:sz="4" w:space="0" w:color="000000"/>
              <w:right w:val="single" w:sz="4" w:space="0" w:color="000000"/>
            </w:tcBorders>
            <w:shd w:val="clear" w:color="auto" w:fill="auto"/>
          </w:tcPr>
          <w:p w14:paraId="2B373018" w14:textId="77777777" w:rsidR="004C2A46" w:rsidRPr="002742BE" w:rsidRDefault="004C2A46" w:rsidP="00161519">
            <w:pPr>
              <w:tabs>
                <w:tab w:val="left" w:pos="567"/>
              </w:tabs>
              <w:spacing w:before="60" w:after="60"/>
              <w:ind w:right="46"/>
              <w:rPr>
                <w:rFonts w:cs="Arial"/>
                <w:b/>
              </w:rPr>
            </w:pPr>
            <w:r w:rsidRPr="002742BE">
              <w:rPr>
                <w:rFonts w:cs="Arial"/>
                <w:b/>
              </w:rPr>
              <w:t>Gastrointestinal disorders</w:t>
            </w:r>
          </w:p>
        </w:tc>
        <w:tc>
          <w:tcPr>
            <w:tcW w:w="2880" w:type="dxa"/>
            <w:tcBorders>
              <w:top w:val="single" w:sz="4" w:space="0" w:color="auto"/>
              <w:left w:val="single" w:sz="4" w:space="0" w:color="000000"/>
              <w:right w:val="single" w:sz="4" w:space="0" w:color="000000"/>
            </w:tcBorders>
            <w:shd w:val="clear" w:color="auto" w:fill="auto"/>
          </w:tcPr>
          <w:p w14:paraId="7F3CE447" w14:textId="77777777" w:rsidR="004C2A46" w:rsidRPr="002742BE" w:rsidRDefault="004C2A46" w:rsidP="00161519">
            <w:pPr>
              <w:tabs>
                <w:tab w:val="left" w:pos="567"/>
              </w:tabs>
              <w:spacing w:before="60" w:after="60"/>
              <w:ind w:right="46"/>
              <w:jc w:val="center"/>
              <w:rPr>
                <w:rFonts w:cs="Arial"/>
                <w:b/>
              </w:rPr>
            </w:pPr>
          </w:p>
        </w:tc>
        <w:tc>
          <w:tcPr>
            <w:tcW w:w="3060" w:type="dxa"/>
            <w:tcBorders>
              <w:top w:val="single" w:sz="4" w:space="0" w:color="000000"/>
              <w:left w:val="single" w:sz="4" w:space="0" w:color="000000"/>
              <w:right w:val="single" w:sz="4" w:space="0" w:color="000000"/>
            </w:tcBorders>
            <w:shd w:val="clear" w:color="auto" w:fill="auto"/>
          </w:tcPr>
          <w:p w14:paraId="5E0E76A5" w14:textId="77777777" w:rsidR="004C2A46" w:rsidRPr="002742BE" w:rsidRDefault="004C2A46" w:rsidP="00161519">
            <w:pPr>
              <w:tabs>
                <w:tab w:val="left" w:pos="567"/>
              </w:tabs>
              <w:spacing w:before="60" w:after="60"/>
              <w:ind w:right="46"/>
              <w:jc w:val="center"/>
              <w:rPr>
                <w:rFonts w:cs="Arial"/>
                <w:b/>
              </w:rPr>
            </w:pPr>
          </w:p>
        </w:tc>
      </w:tr>
      <w:tr w:rsidR="004C2A46" w:rsidRPr="002742BE" w14:paraId="4EA27322" w14:textId="77777777" w:rsidTr="004C2A46">
        <w:trPr>
          <w:cantSplit/>
        </w:trPr>
        <w:tc>
          <w:tcPr>
            <w:tcW w:w="2988" w:type="dxa"/>
            <w:tcBorders>
              <w:left w:val="single" w:sz="4" w:space="0" w:color="000000"/>
              <w:right w:val="single" w:sz="4" w:space="0" w:color="000000"/>
            </w:tcBorders>
            <w:shd w:val="clear" w:color="auto" w:fill="auto"/>
          </w:tcPr>
          <w:p w14:paraId="1F1874EE" w14:textId="77777777" w:rsidR="004C2A46" w:rsidRPr="002742BE" w:rsidRDefault="004C2A46" w:rsidP="00161519">
            <w:pPr>
              <w:tabs>
                <w:tab w:val="left" w:pos="567"/>
              </w:tabs>
              <w:spacing w:before="60" w:after="60"/>
              <w:ind w:right="46"/>
              <w:rPr>
                <w:rFonts w:cs="Arial"/>
              </w:rPr>
            </w:pPr>
            <w:r w:rsidRPr="002742BE">
              <w:rPr>
                <w:rFonts w:cs="Arial"/>
              </w:rPr>
              <w:t>Diarrhoea</w:t>
            </w:r>
          </w:p>
        </w:tc>
        <w:tc>
          <w:tcPr>
            <w:tcW w:w="2880" w:type="dxa"/>
            <w:tcBorders>
              <w:left w:val="single" w:sz="4" w:space="0" w:color="000000"/>
              <w:right w:val="single" w:sz="4" w:space="0" w:color="000000"/>
            </w:tcBorders>
            <w:shd w:val="clear" w:color="auto" w:fill="auto"/>
          </w:tcPr>
          <w:p w14:paraId="084A91D3"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379 (5.33)</w:t>
            </w:r>
          </w:p>
        </w:tc>
        <w:tc>
          <w:tcPr>
            <w:tcW w:w="3060" w:type="dxa"/>
            <w:tcBorders>
              <w:left w:val="single" w:sz="4" w:space="0" w:color="000000"/>
              <w:right w:val="single" w:sz="4" w:space="0" w:color="000000"/>
            </w:tcBorders>
            <w:shd w:val="clear" w:color="auto" w:fill="auto"/>
          </w:tcPr>
          <w:p w14:paraId="2FC90A72"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397 (5.57)</w:t>
            </w:r>
          </w:p>
        </w:tc>
      </w:tr>
      <w:tr w:rsidR="004C2A46" w:rsidRPr="002742BE" w14:paraId="338BD96E" w14:textId="77777777" w:rsidTr="004C2A46">
        <w:trPr>
          <w:cantSplit/>
        </w:trPr>
        <w:tc>
          <w:tcPr>
            <w:tcW w:w="2988" w:type="dxa"/>
            <w:tcBorders>
              <w:left w:val="single" w:sz="4" w:space="0" w:color="000000"/>
              <w:right w:val="single" w:sz="4" w:space="0" w:color="000000"/>
            </w:tcBorders>
            <w:shd w:val="clear" w:color="auto" w:fill="auto"/>
          </w:tcPr>
          <w:p w14:paraId="4927B046" w14:textId="77777777" w:rsidR="004C2A46" w:rsidRPr="002742BE" w:rsidRDefault="004C2A46" w:rsidP="00161519">
            <w:pPr>
              <w:tabs>
                <w:tab w:val="left" w:pos="567"/>
              </w:tabs>
              <w:spacing w:before="60" w:after="60"/>
              <w:ind w:right="46"/>
              <w:rPr>
                <w:rFonts w:cs="Arial"/>
              </w:rPr>
            </w:pPr>
            <w:r w:rsidRPr="002742BE">
              <w:rPr>
                <w:rFonts w:cs="Arial"/>
              </w:rPr>
              <w:t>Gingival bleeding</w:t>
            </w:r>
          </w:p>
        </w:tc>
        <w:tc>
          <w:tcPr>
            <w:tcW w:w="2880" w:type="dxa"/>
            <w:tcBorders>
              <w:left w:val="single" w:sz="4" w:space="0" w:color="000000"/>
              <w:right w:val="single" w:sz="4" w:space="0" w:color="000000"/>
            </w:tcBorders>
            <w:shd w:val="clear" w:color="auto" w:fill="auto"/>
          </w:tcPr>
          <w:p w14:paraId="12A24DDE"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263 (3.70)</w:t>
            </w:r>
          </w:p>
        </w:tc>
        <w:tc>
          <w:tcPr>
            <w:tcW w:w="3060" w:type="dxa"/>
            <w:tcBorders>
              <w:left w:val="single" w:sz="4" w:space="0" w:color="000000"/>
              <w:right w:val="single" w:sz="4" w:space="0" w:color="000000"/>
            </w:tcBorders>
            <w:shd w:val="clear" w:color="auto" w:fill="auto"/>
          </w:tcPr>
          <w:p w14:paraId="7791E85B"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155 (2.18)</w:t>
            </w:r>
          </w:p>
        </w:tc>
      </w:tr>
      <w:tr w:rsidR="004C2A46" w:rsidRPr="002742BE" w14:paraId="2CDB6BDB" w14:textId="77777777" w:rsidTr="004C2A46">
        <w:trPr>
          <w:cantSplit/>
        </w:trPr>
        <w:tc>
          <w:tcPr>
            <w:tcW w:w="2988" w:type="dxa"/>
            <w:tcBorders>
              <w:left w:val="single" w:sz="4" w:space="0" w:color="000000"/>
              <w:right w:val="single" w:sz="4" w:space="0" w:color="000000"/>
            </w:tcBorders>
            <w:shd w:val="clear" w:color="auto" w:fill="auto"/>
          </w:tcPr>
          <w:p w14:paraId="172119DE" w14:textId="77777777" w:rsidR="004C2A46" w:rsidRPr="002742BE" w:rsidRDefault="004C2A46" w:rsidP="00161519">
            <w:pPr>
              <w:tabs>
                <w:tab w:val="left" w:pos="567"/>
              </w:tabs>
              <w:spacing w:before="60" w:after="60"/>
              <w:ind w:right="46"/>
              <w:rPr>
                <w:rFonts w:cs="Arial"/>
              </w:rPr>
            </w:pPr>
            <w:r w:rsidRPr="002742BE">
              <w:rPr>
                <w:rFonts w:cs="Arial"/>
              </w:rPr>
              <w:t>Nausea</w:t>
            </w:r>
          </w:p>
        </w:tc>
        <w:tc>
          <w:tcPr>
            <w:tcW w:w="2880" w:type="dxa"/>
            <w:tcBorders>
              <w:left w:val="single" w:sz="4" w:space="0" w:color="000000"/>
              <w:right w:val="single" w:sz="4" w:space="0" w:color="000000"/>
            </w:tcBorders>
            <w:shd w:val="clear" w:color="auto" w:fill="auto"/>
          </w:tcPr>
          <w:p w14:paraId="6BEA295F"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194 (2.73)</w:t>
            </w:r>
          </w:p>
        </w:tc>
        <w:tc>
          <w:tcPr>
            <w:tcW w:w="3060" w:type="dxa"/>
            <w:tcBorders>
              <w:left w:val="single" w:sz="4" w:space="0" w:color="000000"/>
              <w:right w:val="single" w:sz="4" w:space="0" w:color="000000"/>
            </w:tcBorders>
            <w:shd w:val="clear" w:color="auto" w:fill="auto"/>
          </w:tcPr>
          <w:p w14:paraId="1142058B"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153 (2.15)</w:t>
            </w:r>
          </w:p>
        </w:tc>
      </w:tr>
      <w:tr w:rsidR="004C2A46" w:rsidRPr="002742BE" w14:paraId="7A2B01D6" w14:textId="77777777" w:rsidTr="004C2A46">
        <w:trPr>
          <w:cantSplit/>
        </w:trPr>
        <w:tc>
          <w:tcPr>
            <w:tcW w:w="2988" w:type="dxa"/>
            <w:tcBorders>
              <w:left w:val="single" w:sz="4" w:space="0" w:color="000000"/>
              <w:right w:val="single" w:sz="4" w:space="0" w:color="000000"/>
            </w:tcBorders>
            <w:shd w:val="clear" w:color="auto" w:fill="auto"/>
          </w:tcPr>
          <w:p w14:paraId="78C57989" w14:textId="77777777" w:rsidR="004C2A46" w:rsidRPr="002742BE" w:rsidRDefault="004C2A46" w:rsidP="00161519">
            <w:pPr>
              <w:tabs>
                <w:tab w:val="left" w:pos="567"/>
              </w:tabs>
              <w:spacing w:before="60" w:after="60"/>
              <w:ind w:right="46"/>
              <w:rPr>
                <w:rFonts w:cs="Arial"/>
              </w:rPr>
            </w:pPr>
            <w:r w:rsidRPr="002742BE">
              <w:rPr>
                <w:rFonts w:cs="Arial"/>
              </w:rPr>
              <w:t>Constipation</w:t>
            </w:r>
          </w:p>
        </w:tc>
        <w:tc>
          <w:tcPr>
            <w:tcW w:w="2880" w:type="dxa"/>
            <w:tcBorders>
              <w:left w:val="single" w:sz="4" w:space="0" w:color="000000"/>
              <w:right w:val="single" w:sz="4" w:space="0" w:color="000000"/>
            </w:tcBorders>
            <w:shd w:val="clear" w:color="auto" w:fill="auto"/>
          </w:tcPr>
          <w:p w14:paraId="4AD479D3"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163 (2.29)</w:t>
            </w:r>
          </w:p>
        </w:tc>
        <w:tc>
          <w:tcPr>
            <w:tcW w:w="3060" w:type="dxa"/>
            <w:tcBorders>
              <w:left w:val="single" w:sz="4" w:space="0" w:color="000000"/>
              <w:right w:val="single" w:sz="4" w:space="0" w:color="000000"/>
            </w:tcBorders>
            <w:shd w:val="clear" w:color="auto" w:fill="auto"/>
          </w:tcPr>
          <w:p w14:paraId="545273A2"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153 (2.15)</w:t>
            </w:r>
          </w:p>
        </w:tc>
      </w:tr>
      <w:tr w:rsidR="004C2A46" w:rsidRPr="002742BE" w14:paraId="7EBFB2DE" w14:textId="77777777" w:rsidTr="004C2A46">
        <w:trPr>
          <w:cantSplit/>
        </w:trPr>
        <w:tc>
          <w:tcPr>
            <w:tcW w:w="2988" w:type="dxa"/>
            <w:tcBorders>
              <w:left w:val="single" w:sz="4" w:space="0" w:color="000000"/>
              <w:right w:val="single" w:sz="4" w:space="0" w:color="000000"/>
            </w:tcBorders>
            <w:shd w:val="clear" w:color="auto" w:fill="auto"/>
          </w:tcPr>
          <w:p w14:paraId="5EF275D6" w14:textId="77777777" w:rsidR="004C2A46" w:rsidRPr="002742BE" w:rsidRDefault="004C2A46" w:rsidP="00161519">
            <w:pPr>
              <w:tabs>
                <w:tab w:val="left" w:pos="567"/>
              </w:tabs>
              <w:spacing w:before="60" w:after="60"/>
              <w:ind w:right="46"/>
              <w:rPr>
                <w:rFonts w:cs="Arial"/>
              </w:rPr>
            </w:pPr>
            <w:r w:rsidRPr="002742BE">
              <w:rPr>
                <w:rFonts w:cs="Arial"/>
              </w:rPr>
              <w:t>Rectal haemorrhage</w:t>
            </w:r>
          </w:p>
        </w:tc>
        <w:tc>
          <w:tcPr>
            <w:tcW w:w="2880" w:type="dxa"/>
            <w:tcBorders>
              <w:left w:val="single" w:sz="4" w:space="0" w:color="000000"/>
              <w:right w:val="single" w:sz="4" w:space="0" w:color="000000"/>
            </w:tcBorders>
            <w:shd w:val="clear" w:color="auto" w:fill="auto"/>
          </w:tcPr>
          <w:p w14:paraId="169F7FC4"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149 (2.10)</w:t>
            </w:r>
          </w:p>
        </w:tc>
        <w:tc>
          <w:tcPr>
            <w:tcW w:w="3060" w:type="dxa"/>
            <w:tcBorders>
              <w:left w:val="single" w:sz="4" w:space="0" w:color="000000"/>
              <w:right w:val="single" w:sz="4" w:space="0" w:color="000000"/>
            </w:tcBorders>
            <w:shd w:val="clear" w:color="auto" w:fill="auto"/>
          </w:tcPr>
          <w:p w14:paraId="7FF540B1"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102 (1.43)</w:t>
            </w:r>
          </w:p>
        </w:tc>
      </w:tr>
      <w:tr w:rsidR="004C2A46" w:rsidRPr="002742BE" w14:paraId="1559946F" w14:textId="77777777" w:rsidTr="004C2A46">
        <w:trPr>
          <w:cantSplit/>
        </w:trPr>
        <w:tc>
          <w:tcPr>
            <w:tcW w:w="2988" w:type="dxa"/>
            <w:tcBorders>
              <w:left w:val="single" w:sz="4" w:space="0" w:color="000000"/>
              <w:right w:val="single" w:sz="4" w:space="0" w:color="000000"/>
            </w:tcBorders>
            <w:shd w:val="clear" w:color="auto" w:fill="auto"/>
          </w:tcPr>
          <w:p w14:paraId="1B3DF67F" w14:textId="77777777" w:rsidR="004C2A46" w:rsidRPr="002742BE" w:rsidRDefault="004C2A46" w:rsidP="00161519">
            <w:pPr>
              <w:tabs>
                <w:tab w:val="left" w:pos="567"/>
              </w:tabs>
              <w:spacing w:before="60" w:after="60"/>
              <w:ind w:right="46"/>
              <w:rPr>
                <w:rFonts w:cs="Arial"/>
              </w:rPr>
            </w:pPr>
            <w:r w:rsidRPr="002742BE">
              <w:rPr>
                <w:rFonts w:cs="Arial"/>
              </w:rPr>
              <w:t>Abdominal pain upper</w:t>
            </w:r>
          </w:p>
        </w:tc>
        <w:tc>
          <w:tcPr>
            <w:tcW w:w="2880" w:type="dxa"/>
            <w:tcBorders>
              <w:left w:val="single" w:sz="4" w:space="0" w:color="000000"/>
              <w:right w:val="single" w:sz="4" w:space="0" w:color="000000"/>
            </w:tcBorders>
            <w:shd w:val="clear" w:color="auto" w:fill="auto"/>
          </w:tcPr>
          <w:p w14:paraId="332625C0"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127 (1.79)</w:t>
            </w:r>
          </w:p>
        </w:tc>
        <w:tc>
          <w:tcPr>
            <w:tcW w:w="3060" w:type="dxa"/>
            <w:tcBorders>
              <w:left w:val="single" w:sz="4" w:space="0" w:color="000000"/>
              <w:right w:val="single" w:sz="4" w:space="0" w:color="000000"/>
            </w:tcBorders>
            <w:shd w:val="clear" w:color="auto" w:fill="auto"/>
          </w:tcPr>
          <w:p w14:paraId="598318C1"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120 (1.68)</w:t>
            </w:r>
          </w:p>
        </w:tc>
      </w:tr>
      <w:tr w:rsidR="004C2A46" w:rsidRPr="002742BE" w14:paraId="6D0DB199" w14:textId="77777777" w:rsidTr="004C2A46">
        <w:trPr>
          <w:cantSplit/>
          <w:trHeight w:val="74"/>
        </w:trPr>
        <w:tc>
          <w:tcPr>
            <w:tcW w:w="2988" w:type="dxa"/>
            <w:tcBorders>
              <w:left w:val="single" w:sz="4" w:space="0" w:color="000000"/>
              <w:right w:val="single" w:sz="4" w:space="0" w:color="000000"/>
            </w:tcBorders>
            <w:shd w:val="clear" w:color="auto" w:fill="auto"/>
          </w:tcPr>
          <w:p w14:paraId="28A02484" w14:textId="77777777" w:rsidR="004C2A46" w:rsidRPr="002742BE" w:rsidRDefault="004C2A46" w:rsidP="00161519">
            <w:pPr>
              <w:tabs>
                <w:tab w:val="left" w:pos="567"/>
              </w:tabs>
              <w:spacing w:before="60" w:after="60"/>
              <w:ind w:right="46"/>
              <w:rPr>
                <w:rFonts w:cs="Arial"/>
              </w:rPr>
            </w:pPr>
            <w:r w:rsidRPr="002742BE">
              <w:rPr>
                <w:rFonts w:cs="Arial"/>
              </w:rPr>
              <w:t xml:space="preserve">Vomiting </w:t>
            </w:r>
          </w:p>
        </w:tc>
        <w:tc>
          <w:tcPr>
            <w:tcW w:w="2880" w:type="dxa"/>
            <w:tcBorders>
              <w:left w:val="single" w:sz="4" w:space="0" w:color="000000"/>
              <w:right w:val="single" w:sz="4" w:space="0" w:color="000000"/>
            </w:tcBorders>
            <w:shd w:val="clear" w:color="auto" w:fill="auto"/>
          </w:tcPr>
          <w:p w14:paraId="22A5ACA7"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114 (1.60)</w:t>
            </w:r>
          </w:p>
        </w:tc>
        <w:tc>
          <w:tcPr>
            <w:tcW w:w="3060" w:type="dxa"/>
            <w:tcBorders>
              <w:left w:val="single" w:sz="4" w:space="0" w:color="000000"/>
              <w:right w:val="single" w:sz="4" w:space="0" w:color="000000"/>
            </w:tcBorders>
            <w:shd w:val="clear" w:color="auto" w:fill="auto"/>
          </w:tcPr>
          <w:p w14:paraId="48DD4E32"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111 (1.56)</w:t>
            </w:r>
          </w:p>
        </w:tc>
      </w:tr>
      <w:tr w:rsidR="004C2A46" w:rsidRPr="002742BE" w14:paraId="1CD6FA03" w14:textId="77777777" w:rsidTr="004C2A46">
        <w:trPr>
          <w:cantSplit/>
        </w:trPr>
        <w:tc>
          <w:tcPr>
            <w:tcW w:w="2988" w:type="dxa"/>
            <w:tcBorders>
              <w:left w:val="single" w:sz="4" w:space="0" w:color="000000"/>
              <w:right w:val="single" w:sz="4" w:space="0" w:color="000000"/>
            </w:tcBorders>
            <w:shd w:val="clear" w:color="auto" w:fill="auto"/>
          </w:tcPr>
          <w:p w14:paraId="416327D4" w14:textId="77777777" w:rsidR="004C2A46" w:rsidRPr="002742BE" w:rsidRDefault="004C2A46" w:rsidP="00161519">
            <w:pPr>
              <w:tabs>
                <w:tab w:val="left" w:pos="567"/>
              </w:tabs>
              <w:spacing w:before="60" w:after="60"/>
              <w:ind w:right="46"/>
              <w:rPr>
                <w:rFonts w:cs="Arial"/>
              </w:rPr>
            </w:pPr>
            <w:r w:rsidRPr="002742BE">
              <w:rPr>
                <w:rFonts w:cs="Arial"/>
              </w:rPr>
              <w:t>Dyspepsia</w:t>
            </w:r>
          </w:p>
        </w:tc>
        <w:tc>
          <w:tcPr>
            <w:tcW w:w="2880" w:type="dxa"/>
            <w:tcBorders>
              <w:left w:val="single" w:sz="4" w:space="0" w:color="000000"/>
              <w:right w:val="single" w:sz="4" w:space="0" w:color="000000"/>
            </w:tcBorders>
            <w:shd w:val="clear" w:color="auto" w:fill="auto"/>
          </w:tcPr>
          <w:p w14:paraId="13FBC390"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111 (1.56)</w:t>
            </w:r>
          </w:p>
        </w:tc>
        <w:tc>
          <w:tcPr>
            <w:tcW w:w="3060" w:type="dxa"/>
            <w:tcBorders>
              <w:left w:val="single" w:sz="4" w:space="0" w:color="000000"/>
              <w:right w:val="single" w:sz="4" w:space="0" w:color="000000"/>
            </w:tcBorders>
            <w:shd w:val="clear" w:color="auto" w:fill="auto"/>
          </w:tcPr>
          <w:p w14:paraId="3C8A3318"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91 (1.28)</w:t>
            </w:r>
          </w:p>
        </w:tc>
      </w:tr>
      <w:tr w:rsidR="004C2A46" w:rsidRPr="002742BE" w14:paraId="33668188" w14:textId="77777777" w:rsidTr="004C2A46">
        <w:trPr>
          <w:cantSplit/>
        </w:trPr>
        <w:tc>
          <w:tcPr>
            <w:tcW w:w="2988" w:type="dxa"/>
            <w:tcBorders>
              <w:left w:val="single" w:sz="4" w:space="0" w:color="000000"/>
              <w:right w:val="single" w:sz="4" w:space="0" w:color="000000"/>
            </w:tcBorders>
            <w:shd w:val="clear" w:color="auto" w:fill="auto"/>
          </w:tcPr>
          <w:p w14:paraId="7E41F3D7" w14:textId="77777777" w:rsidR="004C2A46" w:rsidRPr="002742BE" w:rsidRDefault="004C2A46" w:rsidP="00161519">
            <w:pPr>
              <w:tabs>
                <w:tab w:val="left" w:pos="567"/>
              </w:tabs>
              <w:spacing w:before="60" w:after="60"/>
              <w:ind w:right="46"/>
              <w:rPr>
                <w:rFonts w:cs="Arial"/>
              </w:rPr>
            </w:pPr>
            <w:r w:rsidRPr="002742BE">
              <w:rPr>
                <w:rFonts w:cs="Arial"/>
              </w:rPr>
              <w:t>Abdominal pain</w:t>
            </w:r>
          </w:p>
        </w:tc>
        <w:tc>
          <w:tcPr>
            <w:tcW w:w="2880" w:type="dxa"/>
            <w:tcBorders>
              <w:left w:val="single" w:sz="4" w:space="0" w:color="000000"/>
              <w:right w:val="single" w:sz="4" w:space="0" w:color="000000"/>
            </w:tcBorders>
            <w:shd w:val="clear" w:color="auto" w:fill="auto"/>
          </w:tcPr>
          <w:p w14:paraId="43348C7F"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107 (1.50)</w:t>
            </w:r>
          </w:p>
        </w:tc>
        <w:tc>
          <w:tcPr>
            <w:tcW w:w="3060" w:type="dxa"/>
            <w:tcBorders>
              <w:left w:val="single" w:sz="4" w:space="0" w:color="000000"/>
              <w:right w:val="single" w:sz="4" w:space="0" w:color="000000"/>
            </w:tcBorders>
            <w:shd w:val="clear" w:color="auto" w:fill="auto"/>
          </w:tcPr>
          <w:p w14:paraId="51FEB4AF"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118 (1.66)</w:t>
            </w:r>
          </w:p>
        </w:tc>
      </w:tr>
      <w:tr w:rsidR="004C2A46" w:rsidRPr="002742BE" w14:paraId="6219050D" w14:textId="77777777" w:rsidTr="004C2A46">
        <w:trPr>
          <w:cantSplit/>
          <w:trHeight w:val="320"/>
        </w:trPr>
        <w:tc>
          <w:tcPr>
            <w:tcW w:w="2988" w:type="dxa"/>
            <w:tcBorders>
              <w:left w:val="single" w:sz="4" w:space="0" w:color="000000"/>
              <w:bottom w:val="single" w:sz="4" w:space="0" w:color="000000"/>
              <w:right w:val="single" w:sz="4" w:space="0" w:color="000000"/>
            </w:tcBorders>
            <w:shd w:val="clear" w:color="auto" w:fill="auto"/>
          </w:tcPr>
          <w:p w14:paraId="7E83FDB8" w14:textId="77777777" w:rsidR="004C2A46" w:rsidRPr="002742BE" w:rsidRDefault="004C2A46" w:rsidP="00161519">
            <w:pPr>
              <w:tabs>
                <w:tab w:val="left" w:pos="567"/>
              </w:tabs>
              <w:spacing w:before="60" w:after="60"/>
              <w:ind w:right="46"/>
              <w:rPr>
                <w:rFonts w:cs="Arial"/>
              </w:rPr>
            </w:pPr>
            <w:r w:rsidRPr="002742BE">
              <w:rPr>
                <w:rFonts w:cs="Arial"/>
              </w:rPr>
              <w:t>Gastrointestinal haemorrhage</w:t>
            </w:r>
          </w:p>
        </w:tc>
        <w:tc>
          <w:tcPr>
            <w:tcW w:w="2880" w:type="dxa"/>
            <w:tcBorders>
              <w:left w:val="single" w:sz="4" w:space="0" w:color="000000"/>
              <w:bottom w:val="single" w:sz="4" w:space="0" w:color="auto"/>
              <w:right w:val="single" w:sz="4" w:space="0" w:color="000000"/>
            </w:tcBorders>
            <w:shd w:val="clear" w:color="auto" w:fill="auto"/>
          </w:tcPr>
          <w:p w14:paraId="28A96857"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100 (1.41)</w:t>
            </w:r>
          </w:p>
        </w:tc>
        <w:tc>
          <w:tcPr>
            <w:tcW w:w="3060" w:type="dxa"/>
            <w:tcBorders>
              <w:left w:val="single" w:sz="4" w:space="0" w:color="000000"/>
              <w:bottom w:val="single" w:sz="4" w:space="0" w:color="000000"/>
              <w:right w:val="single" w:sz="4" w:space="0" w:color="000000"/>
            </w:tcBorders>
            <w:shd w:val="clear" w:color="auto" w:fill="auto"/>
          </w:tcPr>
          <w:p w14:paraId="0614AC0C" w14:textId="77777777" w:rsidR="004C2A46" w:rsidRPr="002742BE" w:rsidRDefault="004C2A46" w:rsidP="00161519">
            <w:pPr>
              <w:tabs>
                <w:tab w:val="left" w:pos="567"/>
              </w:tabs>
              <w:spacing w:before="60" w:after="60"/>
              <w:ind w:right="46"/>
              <w:jc w:val="center"/>
              <w:rPr>
                <w:rFonts w:cs="Arial"/>
                <w:sz w:val="18"/>
                <w:szCs w:val="18"/>
              </w:rPr>
            </w:pPr>
            <w:r w:rsidRPr="002742BE">
              <w:rPr>
                <w:rFonts w:cs="Arial"/>
                <w:sz w:val="18"/>
                <w:szCs w:val="18"/>
              </w:rPr>
              <w:t>70 (0.98)</w:t>
            </w:r>
          </w:p>
        </w:tc>
      </w:tr>
      <w:tr w:rsidR="004C2A46" w:rsidRPr="002742BE" w14:paraId="69147CCB" w14:textId="77777777" w:rsidTr="004C2A46">
        <w:trPr>
          <w:cantSplit/>
        </w:trPr>
        <w:tc>
          <w:tcPr>
            <w:tcW w:w="2988" w:type="dxa"/>
            <w:tcBorders>
              <w:top w:val="single" w:sz="4" w:space="0" w:color="000000"/>
              <w:left w:val="single" w:sz="4" w:space="0" w:color="auto"/>
              <w:right w:val="single" w:sz="4" w:space="0" w:color="auto"/>
            </w:tcBorders>
            <w:shd w:val="clear" w:color="auto" w:fill="auto"/>
          </w:tcPr>
          <w:p w14:paraId="74E3A281" w14:textId="77777777" w:rsidR="004C2A46" w:rsidRPr="002742BE" w:rsidRDefault="004C2A46" w:rsidP="00161519">
            <w:pPr>
              <w:tabs>
                <w:tab w:val="left" w:pos="567"/>
              </w:tabs>
              <w:spacing w:before="60" w:after="60"/>
              <w:ind w:right="46"/>
              <w:rPr>
                <w:rFonts w:cs="Arial"/>
                <w:b/>
              </w:rPr>
            </w:pPr>
            <w:r w:rsidRPr="002742BE">
              <w:rPr>
                <w:rFonts w:cs="Arial"/>
                <w:b/>
              </w:rPr>
              <w:t>General disorders and administration site conditions</w:t>
            </w:r>
          </w:p>
        </w:tc>
        <w:tc>
          <w:tcPr>
            <w:tcW w:w="2880" w:type="dxa"/>
            <w:tcBorders>
              <w:top w:val="single" w:sz="4" w:space="0" w:color="auto"/>
              <w:left w:val="single" w:sz="4" w:space="0" w:color="auto"/>
              <w:right w:val="single" w:sz="4" w:space="0" w:color="auto"/>
            </w:tcBorders>
            <w:shd w:val="clear" w:color="auto" w:fill="auto"/>
          </w:tcPr>
          <w:p w14:paraId="5BDE2673" w14:textId="77777777" w:rsidR="004C2A46" w:rsidRPr="002742BE" w:rsidRDefault="004C2A46" w:rsidP="00161519">
            <w:pPr>
              <w:tabs>
                <w:tab w:val="left" w:pos="567"/>
              </w:tabs>
              <w:spacing w:before="60" w:after="60"/>
              <w:ind w:right="46"/>
              <w:jc w:val="center"/>
              <w:rPr>
                <w:rFonts w:cs="Arial"/>
                <w:b/>
              </w:rPr>
            </w:pPr>
          </w:p>
        </w:tc>
        <w:tc>
          <w:tcPr>
            <w:tcW w:w="3060" w:type="dxa"/>
            <w:tcBorders>
              <w:top w:val="single" w:sz="4" w:space="0" w:color="000000"/>
              <w:left w:val="single" w:sz="4" w:space="0" w:color="auto"/>
              <w:right w:val="single" w:sz="4" w:space="0" w:color="auto"/>
            </w:tcBorders>
            <w:shd w:val="clear" w:color="auto" w:fill="auto"/>
          </w:tcPr>
          <w:p w14:paraId="7475DFB8" w14:textId="77777777" w:rsidR="004C2A46" w:rsidRPr="002742BE" w:rsidRDefault="004C2A46" w:rsidP="00161519">
            <w:pPr>
              <w:tabs>
                <w:tab w:val="left" w:pos="567"/>
              </w:tabs>
              <w:spacing w:before="60" w:after="60"/>
              <w:ind w:right="46"/>
              <w:jc w:val="center"/>
              <w:rPr>
                <w:rFonts w:cs="Arial"/>
                <w:b/>
              </w:rPr>
            </w:pPr>
          </w:p>
        </w:tc>
      </w:tr>
      <w:tr w:rsidR="004C2A46" w:rsidRPr="002742BE" w14:paraId="66DEBF8C" w14:textId="77777777" w:rsidTr="00161519">
        <w:trPr>
          <w:cantSplit/>
        </w:trPr>
        <w:tc>
          <w:tcPr>
            <w:tcW w:w="2988" w:type="dxa"/>
            <w:tcBorders>
              <w:left w:val="single" w:sz="4" w:space="0" w:color="auto"/>
              <w:right w:val="single" w:sz="4" w:space="0" w:color="auto"/>
            </w:tcBorders>
            <w:shd w:val="clear" w:color="auto" w:fill="auto"/>
          </w:tcPr>
          <w:p w14:paraId="520467C3" w14:textId="77777777" w:rsidR="004C2A46" w:rsidRPr="002742BE" w:rsidRDefault="004C2A46" w:rsidP="00161519">
            <w:pPr>
              <w:tabs>
                <w:tab w:val="left" w:pos="567"/>
              </w:tabs>
              <w:spacing w:before="60" w:after="60"/>
              <w:ind w:right="46"/>
              <w:rPr>
                <w:rFonts w:cs="Arial"/>
              </w:rPr>
            </w:pPr>
            <w:r w:rsidRPr="002742BE">
              <w:rPr>
                <w:rFonts w:cs="Arial"/>
              </w:rPr>
              <w:t>Oedema peripheral</w:t>
            </w:r>
          </w:p>
        </w:tc>
        <w:tc>
          <w:tcPr>
            <w:tcW w:w="2880" w:type="dxa"/>
            <w:tcBorders>
              <w:left w:val="single" w:sz="4" w:space="0" w:color="auto"/>
              <w:right w:val="single" w:sz="4" w:space="0" w:color="auto"/>
            </w:tcBorders>
            <w:shd w:val="clear" w:color="auto" w:fill="auto"/>
          </w:tcPr>
          <w:p w14:paraId="0E0D92E3"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435 (6.12)</w:t>
            </w:r>
          </w:p>
        </w:tc>
        <w:tc>
          <w:tcPr>
            <w:tcW w:w="3060" w:type="dxa"/>
            <w:tcBorders>
              <w:left w:val="single" w:sz="4" w:space="0" w:color="auto"/>
              <w:right w:val="single" w:sz="4" w:space="0" w:color="auto"/>
            </w:tcBorders>
            <w:shd w:val="clear" w:color="auto" w:fill="auto"/>
          </w:tcPr>
          <w:p w14:paraId="39C8C949"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444 (6.23)</w:t>
            </w:r>
          </w:p>
        </w:tc>
      </w:tr>
      <w:tr w:rsidR="004C2A46" w:rsidRPr="002742BE" w14:paraId="049819F4" w14:textId="77777777" w:rsidTr="00161519">
        <w:trPr>
          <w:cantSplit/>
        </w:trPr>
        <w:tc>
          <w:tcPr>
            <w:tcW w:w="2988" w:type="dxa"/>
            <w:tcBorders>
              <w:left w:val="single" w:sz="4" w:space="0" w:color="auto"/>
              <w:right w:val="single" w:sz="4" w:space="0" w:color="auto"/>
            </w:tcBorders>
            <w:shd w:val="clear" w:color="auto" w:fill="auto"/>
          </w:tcPr>
          <w:p w14:paraId="0A674963" w14:textId="77777777" w:rsidR="004C2A46" w:rsidRPr="002742BE" w:rsidRDefault="004C2A46" w:rsidP="00161519">
            <w:pPr>
              <w:tabs>
                <w:tab w:val="left" w:pos="567"/>
              </w:tabs>
              <w:spacing w:before="60" w:after="60"/>
              <w:ind w:right="46"/>
              <w:rPr>
                <w:rFonts w:cs="Arial"/>
              </w:rPr>
            </w:pPr>
            <w:r w:rsidRPr="002742BE">
              <w:rPr>
                <w:rFonts w:cs="Arial"/>
              </w:rPr>
              <w:t>Fatigue</w:t>
            </w:r>
          </w:p>
        </w:tc>
        <w:tc>
          <w:tcPr>
            <w:tcW w:w="2880" w:type="dxa"/>
            <w:tcBorders>
              <w:left w:val="single" w:sz="4" w:space="0" w:color="auto"/>
              <w:right w:val="single" w:sz="4" w:space="0" w:color="auto"/>
            </w:tcBorders>
            <w:shd w:val="clear" w:color="auto" w:fill="auto"/>
          </w:tcPr>
          <w:p w14:paraId="3777012E"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223 ( 3.14)</w:t>
            </w:r>
          </w:p>
        </w:tc>
        <w:tc>
          <w:tcPr>
            <w:tcW w:w="3060" w:type="dxa"/>
            <w:tcBorders>
              <w:left w:val="single" w:sz="4" w:space="0" w:color="auto"/>
              <w:right w:val="single" w:sz="4" w:space="0" w:color="auto"/>
            </w:tcBorders>
            <w:shd w:val="clear" w:color="auto" w:fill="auto"/>
          </w:tcPr>
          <w:p w14:paraId="6B750D9C"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221 ( 3.10)</w:t>
            </w:r>
          </w:p>
        </w:tc>
      </w:tr>
      <w:tr w:rsidR="004C2A46" w:rsidRPr="002742BE" w14:paraId="458B65F1" w14:textId="77777777" w:rsidTr="00161519">
        <w:trPr>
          <w:cantSplit/>
        </w:trPr>
        <w:tc>
          <w:tcPr>
            <w:tcW w:w="2988" w:type="dxa"/>
            <w:tcBorders>
              <w:left w:val="single" w:sz="4" w:space="0" w:color="auto"/>
              <w:right w:val="single" w:sz="4" w:space="0" w:color="auto"/>
            </w:tcBorders>
            <w:shd w:val="clear" w:color="auto" w:fill="auto"/>
          </w:tcPr>
          <w:p w14:paraId="5A2857EB" w14:textId="77777777" w:rsidR="004C2A46" w:rsidRPr="002742BE" w:rsidRDefault="004C2A46" w:rsidP="00161519">
            <w:pPr>
              <w:tabs>
                <w:tab w:val="left" w:pos="567"/>
              </w:tabs>
              <w:spacing w:before="60" w:after="60"/>
              <w:ind w:right="46"/>
              <w:rPr>
                <w:rFonts w:cs="Arial"/>
              </w:rPr>
            </w:pPr>
            <w:r w:rsidRPr="002742BE">
              <w:rPr>
                <w:rFonts w:cs="Arial"/>
              </w:rPr>
              <w:t>Asthenia</w:t>
            </w:r>
          </w:p>
        </w:tc>
        <w:tc>
          <w:tcPr>
            <w:tcW w:w="2880" w:type="dxa"/>
            <w:tcBorders>
              <w:left w:val="single" w:sz="4" w:space="0" w:color="auto"/>
              <w:right w:val="single" w:sz="4" w:space="0" w:color="auto"/>
            </w:tcBorders>
            <w:shd w:val="clear" w:color="auto" w:fill="auto"/>
          </w:tcPr>
          <w:p w14:paraId="58C1A7A3"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125 ( 1.76)</w:t>
            </w:r>
          </w:p>
        </w:tc>
        <w:tc>
          <w:tcPr>
            <w:tcW w:w="3060" w:type="dxa"/>
            <w:tcBorders>
              <w:left w:val="single" w:sz="4" w:space="0" w:color="auto"/>
              <w:right w:val="single" w:sz="4" w:space="0" w:color="auto"/>
            </w:tcBorders>
            <w:shd w:val="clear" w:color="auto" w:fill="auto"/>
          </w:tcPr>
          <w:p w14:paraId="18490D2E"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106 ( 1.49)</w:t>
            </w:r>
          </w:p>
        </w:tc>
      </w:tr>
      <w:tr w:rsidR="004C2A46" w:rsidRPr="002742BE" w14:paraId="5EC4F018" w14:textId="77777777" w:rsidTr="00161519">
        <w:trPr>
          <w:cantSplit/>
          <w:trHeight w:val="363"/>
        </w:trPr>
        <w:tc>
          <w:tcPr>
            <w:tcW w:w="2988" w:type="dxa"/>
            <w:tcBorders>
              <w:left w:val="single" w:sz="4" w:space="0" w:color="auto"/>
              <w:bottom w:val="single" w:sz="4" w:space="0" w:color="auto"/>
              <w:right w:val="single" w:sz="4" w:space="0" w:color="auto"/>
            </w:tcBorders>
            <w:shd w:val="clear" w:color="auto" w:fill="auto"/>
          </w:tcPr>
          <w:p w14:paraId="0FD2AC4A" w14:textId="77777777" w:rsidR="004C2A46" w:rsidRPr="002742BE" w:rsidRDefault="004C2A46" w:rsidP="00161519">
            <w:pPr>
              <w:tabs>
                <w:tab w:val="left" w:pos="567"/>
              </w:tabs>
              <w:spacing w:before="60" w:after="60"/>
              <w:ind w:right="46"/>
              <w:rPr>
                <w:rFonts w:cs="Arial"/>
              </w:rPr>
            </w:pPr>
            <w:r w:rsidRPr="002742BE">
              <w:rPr>
                <w:rFonts w:cs="Arial"/>
              </w:rPr>
              <w:t>Pyrexia</w:t>
            </w:r>
          </w:p>
        </w:tc>
        <w:tc>
          <w:tcPr>
            <w:tcW w:w="2880" w:type="dxa"/>
            <w:tcBorders>
              <w:left w:val="single" w:sz="4" w:space="0" w:color="auto"/>
              <w:bottom w:val="single" w:sz="4" w:space="0" w:color="auto"/>
              <w:right w:val="single" w:sz="4" w:space="0" w:color="auto"/>
            </w:tcBorders>
            <w:shd w:val="clear" w:color="auto" w:fill="auto"/>
          </w:tcPr>
          <w:p w14:paraId="20284F47"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72 (1.01)</w:t>
            </w:r>
          </w:p>
        </w:tc>
        <w:tc>
          <w:tcPr>
            <w:tcW w:w="3060" w:type="dxa"/>
            <w:tcBorders>
              <w:left w:val="single" w:sz="4" w:space="0" w:color="auto"/>
              <w:bottom w:val="single" w:sz="4" w:space="0" w:color="auto"/>
              <w:right w:val="single" w:sz="4" w:space="0" w:color="auto"/>
            </w:tcBorders>
            <w:shd w:val="clear" w:color="auto" w:fill="auto"/>
          </w:tcPr>
          <w:p w14:paraId="457619B4" w14:textId="77777777" w:rsidR="004C2A46" w:rsidRPr="002742BE" w:rsidRDefault="004C2A46" w:rsidP="00161519">
            <w:pPr>
              <w:tabs>
                <w:tab w:val="left" w:pos="567"/>
              </w:tabs>
              <w:spacing w:before="60" w:after="60"/>
              <w:ind w:right="46"/>
              <w:jc w:val="center"/>
              <w:rPr>
                <w:rFonts w:cs="Arial"/>
              </w:rPr>
            </w:pPr>
            <w:r w:rsidRPr="002742BE">
              <w:rPr>
                <w:rFonts w:cs="Arial"/>
                <w:sz w:val="18"/>
                <w:szCs w:val="18"/>
              </w:rPr>
              <w:t>87 (1.22)</w:t>
            </w:r>
          </w:p>
        </w:tc>
      </w:tr>
      <w:tr w:rsidR="004C2A46" w:rsidRPr="002742BE" w14:paraId="1D5DF99D"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443BC387" w14:textId="77777777" w:rsidR="004C2A46" w:rsidRPr="002742BE" w:rsidRDefault="004C2A46" w:rsidP="00161519">
            <w:pPr>
              <w:tabs>
                <w:tab w:val="left" w:pos="567"/>
              </w:tabs>
              <w:spacing w:before="60" w:after="60" w:line="260" w:lineRule="exact"/>
              <w:ind w:right="46"/>
              <w:rPr>
                <w:rFonts w:cs="Arial"/>
                <w:b/>
              </w:rPr>
            </w:pPr>
            <w:r w:rsidRPr="002742BE">
              <w:rPr>
                <w:rFonts w:cs="Arial"/>
                <w:b/>
              </w:rPr>
              <w:t xml:space="preserve">Injury, poisoning and </w:t>
            </w:r>
            <w:r w:rsidR="005E3B11" w:rsidRPr="002742BE">
              <w:rPr>
                <w:rFonts w:cs="Arial"/>
                <w:b/>
              </w:rPr>
              <w:t>post procedural</w:t>
            </w:r>
            <w:r w:rsidRPr="002742BE">
              <w:rPr>
                <w:rFonts w:cs="Arial"/>
                <w:b/>
              </w:rPr>
              <w:t xml:space="preserve"> complications</w:t>
            </w:r>
          </w:p>
        </w:tc>
        <w:tc>
          <w:tcPr>
            <w:tcW w:w="2880" w:type="dxa"/>
            <w:tcBorders>
              <w:top w:val="single" w:sz="4" w:space="0" w:color="auto"/>
              <w:left w:val="single" w:sz="4" w:space="0" w:color="auto"/>
              <w:right w:val="single" w:sz="4" w:space="0" w:color="auto"/>
            </w:tcBorders>
            <w:shd w:val="clear" w:color="auto" w:fill="auto"/>
          </w:tcPr>
          <w:p w14:paraId="43C8E0B8" w14:textId="77777777" w:rsidR="004C2A46" w:rsidRPr="002742BE" w:rsidRDefault="004C2A46" w:rsidP="00161519">
            <w:pPr>
              <w:tabs>
                <w:tab w:val="left" w:pos="567"/>
              </w:tabs>
              <w:spacing w:before="60" w:after="60" w:line="260" w:lineRule="exact"/>
              <w:ind w:right="46"/>
              <w:jc w:val="center"/>
              <w:rPr>
                <w:rFonts w:cs="Arial"/>
                <w:b/>
              </w:rPr>
            </w:pPr>
          </w:p>
        </w:tc>
        <w:tc>
          <w:tcPr>
            <w:tcW w:w="3060" w:type="dxa"/>
            <w:tcBorders>
              <w:top w:val="single" w:sz="4" w:space="0" w:color="auto"/>
              <w:left w:val="single" w:sz="4" w:space="0" w:color="auto"/>
              <w:right w:val="single" w:sz="4" w:space="0" w:color="auto"/>
            </w:tcBorders>
            <w:shd w:val="clear" w:color="auto" w:fill="auto"/>
          </w:tcPr>
          <w:p w14:paraId="0C61C20C" w14:textId="77777777" w:rsidR="004C2A46" w:rsidRPr="002742BE" w:rsidRDefault="004C2A46" w:rsidP="00161519">
            <w:pPr>
              <w:tabs>
                <w:tab w:val="left" w:pos="567"/>
              </w:tabs>
              <w:spacing w:before="60" w:after="60" w:line="260" w:lineRule="exact"/>
              <w:ind w:right="46"/>
              <w:jc w:val="center"/>
              <w:rPr>
                <w:rFonts w:cs="Arial"/>
                <w:b/>
              </w:rPr>
            </w:pPr>
          </w:p>
        </w:tc>
      </w:tr>
      <w:tr w:rsidR="004C2A46" w:rsidRPr="002742BE" w14:paraId="0B6FDA4E" w14:textId="77777777" w:rsidTr="00161519">
        <w:trPr>
          <w:cantSplit/>
        </w:trPr>
        <w:tc>
          <w:tcPr>
            <w:tcW w:w="2988" w:type="dxa"/>
            <w:tcBorders>
              <w:left w:val="single" w:sz="4" w:space="0" w:color="auto"/>
              <w:bottom w:val="single" w:sz="4" w:space="0" w:color="auto"/>
              <w:right w:val="single" w:sz="4" w:space="0" w:color="auto"/>
            </w:tcBorders>
            <w:shd w:val="clear" w:color="auto" w:fill="auto"/>
          </w:tcPr>
          <w:p w14:paraId="393DB8CE" w14:textId="77777777" w:rsidR="004C2A46" w:rsidRPr="002742BE" w:rsidRDefault="004C2A46" w:rsidP="00161519">
            <w:pPr>
              <w:tabs>
                <w:tab w:val="left" w:pos="567"/>
              </w:tabs>
              <w:spacing w:before="60" w:after="60" w:line="260" w:lineRule="exact"/>
              <w:ind w:right="46"/>
              <w:rPr>
                <w:rFonts w:cs="Arial"/>
              </w:rPr>
            </w:pPr>
            <w:r w:rsidRPr="002742BE">
              <w:rPr>
                <w:rFonts w:cs="Arial"/>
              </w:rPr>
              <w:t>Contusion</w:t>
            </w:r>
          </w:p>
        </w:tc>
        <w:tc>
          <w:tcPr>
            <w:tcW w:w="2880" w:type="dxa"/>
            <w:tcBorders>
              <w:left w:val="single" w:sz="4" w:space="0" w:color="auto"/>
              <w:bottom w:val="single" w:sz="4" w:space="0" w:color="auto"/>
              <w:right w:val="single" w:sz="4" w:space="0" w:color="auto"/>
            </w:tcBorders>
            <w:shd w:val="clear" w:color="auto" w:fill="auto"/>
          </w:tcPr>
          <w:p w14:paraId="0FE7763B" w14:textId="77777777" w:rsidR="004C2A46" w:rsidRPr="000E7AAE" w:rsidRDefault="004C2A46" w:rsidP="00161519">
            <w:pPr>
              <w:tabs>
                <w:tab w:val="left" w:pos="567"/>
              </w:tabs>
              <w:spacing w:before="60" w:after="60" w:line="260" w:lineRule="exact"/>
              <w:ind w:right="46"/>
              <w:jc w:val="center"/>
              <w:rPr>
                <w:rFonts w:cs="Arial"/>
                <w:sz w:val="18"/>
                <w:szCs w:val="18"/>
              </w:rPr>
            </w:pPr>
            <w:r w:rsidRPr="002742BE">
              <w:rPr>
                <w:rFonts w:cs="Arial"/>
                <w:sz w:val="18"/>
                <w:szCs w:val="18"/>
              </w:rPr>
              <w:t>196 (2.76)</w:t>
            </w:r>
          </w:p>
        </w:tc>
        <w:tc>
          <w:tcPr>
            <w:tcW w:w="3060" w:type="dxa"/>
            <w:tcBorders>
              <w:left w:val="single" w:sz="4" w:space="0" w:color="auto"/>
              <w:bottom w:val="single" w:sz="4" w:space="0" w:color="auto"/>
              <w:right w:val="single" w:sz="4" w:space="0" w:color="auto"/>
            </w:tcBorders>
            <w:shd w:val="clear" w:color="auto" w:fill="auto"/>
          </w:tcPr>
          <w:p w14:paraId="3DAF5C2C"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291 (4.08)</w:t>
            </w:r>
          </w:p>
        </w:tc>
      </w:tr>
      <w:tr w:rsidR="004C2A46" w:rsidRPr="002742BE" w14:paraId="2D40C29E"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5D169F67" w14:textId="77777777" w:rsidR="004C2A46" w:rsidRPr="002742BE" w:rsidRDefault="004C2A46" w:rsidP="00161519">
            <w:pPr>
              <w:tabs>
                <w:tab w:val="left" w:pos="567"/>
              </w:tabs>
              <w:spacing w:before="60" w:after="60" w:line="260" w:lineRule="exact"/>
              <w:ind w:right="46"/>
              <w:rPr>
                <w:rFonts w:cs="Arial"/>
                <w:b/>
              </w:rPr>
            </w:pPr>
            <w:r w:rsidRPr="002742BE">
              <w:rPr>
                <w:rFonts w:cs="Arial"/>
                <w:b/>
              </w:rPr>
              <w:t>Investigations</w:t>
            </w:r>
          </w:p>
        </w:tc>
        <w:tc>
          <w:tcPr>
            <w:tcW w:w="2880" w:type="dxa"/>
            <w:tcBorders>
              <w:top w:val="single" w:sz="4" w:space="0" w:color="auto"/>
              <w:left w:val="single" w:sz="4" w:space="0" w:color="auto"/>
              <w:right w:val="single" w:sz="4" w:space="0" w:color="auto"/>
            </w:tcBorders>
            <w:shd w:val="clear" w:color="auto" w:fill="auto"/>
          </w:tcPr>
          <w:p w14:paraId="47EE0DAE" w14:textId="77777777" w:rsidR="004C2A46" w:rsidRPr="002742BE" w:rsidRDefault="004C2A46" w:rsidP="00161519">
            <w:pPr>
              <w:tabs>
                <w:tab w:val="left" w:pos="567"/>
              </w:tabs>
              <w:spacing w:before="60" w:after="60" w:line="260" w:lineRule="exact"/>
              <w:ind w:right="46"/>
              <w:jc w:val="center"/>
              <w:rPr>
                <w:rFonts w:cs="Arial"/>
                <w:b/>
              </w:rPr>
            </w:pPr>
          </w:p>
        </w:tc>
        <w:tc>
          <w:tcPr>
            <w:tcW w:w="3060" w:type="dxa"/>
            <w:tcBorders>
              <w:top w:val="single" w:sz="4" w:space="0" w:color="auto"/>
              <w:left w:val="single" w:sz="4" w:space="0" w:color="auto"/>
              <w:right w:val="single" w:sz="4" w:space="0" w:color="auto"/>
            </w:tcBorders>
            <w:shd w:val="clear" w:color="auto" w:fill="auto"/>
          </w:tcPr>
          <w:p w14:paraId="128FAF32" w14:textId="77777777" w:rsidR="004C2A46" w:rsidRPr="002742BE" w:rsidRDefault="004C2A46" w:rsidP="00161519">
            <w:pPr>
              <w:tabs>
                <w:tab w:val="left" w:pos="567"/>
              </w:tabs>
              <w:spacing w:before="60" w:after="60" w:line="260" w:lineRule="exact"/>
              <w:ind w:right="46"/>
              <w:jc w:val="center"/>
              <w:rPr>
                <w:rFonts w:cs="Arial"/>
                <w:b/>
              </w:rPr>
            </w:pPr>
          </w:p>
        </w:tc>
      </w:tr>
      <w:tr w:rsidR="004C2A46" w:rsidRPr="002742BE" w14:paraId="7B6C423A" w14:textId="77777777" w:rsidTr="00161519">
        <w:trPr>
          <w:cantSplit/>
        </w:trPr>
        <w:tc>
          <w:tcPr>
            <w:tcW w:w="2988" w:type="dxa"/>
            <w:tcBorders>
              <w:left w:val="single" w:sz="4" w:space="0" w:color="auto"/>
              <w:bottom w:val="single" w:sz="4" w:space="0" w:color="auto"/>
              <w:right w:val="single" w:sz="4" w:space="0" w:color="auto"/>
            </w:tcBorders>
            <w:shd w:val="clear" w:color="auto" w:fill="auto"/>
          </w:tcPr>
          <w:p w14:paraId="2876FCBE" w14:textId="77777777" w:rsidR="004C2A46" w:rsidRDefault="004C2A46" w:rsidP="00161519">
            <w:pPr>
              <w:tabs>
                <w:tab w:val="left" w:pos="567"/>
              </w:tabs>
              <w:spacing w:before="60" w:after="60" w:line="260" w:lineRule="exact"/>
              <w:ind w:right="46"/>
              <w:rPr>
                <w:rFonts w:cs="Arial"/>
              </w:rPr>
            </w:pPr>
            <w:r w:rsidRPr="002742BE">
              <w:rPr>
                <w:rFonts w:cs="Arial"/>
              </w:rPr>
              <w:t>Alanine amino transferase increased</w:t>
            </w:r>
          </w:p>
          <w:p w14:paraId="77CADA97" w14:textId="77777777" w:rsidR="00D14BEC" w:rsidRPr="002742BE" w:rsidRDefault="00D14BEC" w:rsidP="00161519">
            <w:pPr>
              <w:tabs>
                <w:tab w:val="left" w:pos="567"/>
              </w:tabs>
              <w:spacing w:before="60" w:after="60" w:line="260" w:lineRule="exact"/>
              <w:ind w:right="46"/>
              <w:rPr>
                <w:rFonts w:cs="Arial"/>
              </w:rPr>
            </w:pPr>
          </w:p>
        </w:tc>
        <w:tc>
          <w:tcPr>
            <w:tcW w:w="2880" w:type="dxa"/>
            <w:tcBorders>
              <w:left w:val="single" w:sz="4" w:space="0" w:color="auto"/>
              <w:bottom w:val="single" w:sz="4" w:space="0" w:color="auto"/>
              <w:right w:val="single" w:sz="4" w:space="0" w:color="auto"/>
            </w:tcBorders>
            <w:shd w:val="clear" w:color="auto" w:fill="auto"/>
          </w:tcPr>
          <w:p w14:paraId="3C30BD54"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144 (2.03)</w:t>
            </w:r>
          </w:p>
        </w:tc>
        <w:tc>
          <w:tcPr>
            <w:tcW w:w="3060" w:type="dxa"/>
            <w:tcBorders>
              <w:left w:val="single" w:sz="4" w:space="0" w:color="auto"/>
              <w:bottom w:val="single" w:sz="4" w:space="0" w:color="auto"/>
              <w:right w:val="single" w:sz="4" w:space="0" w:color="auto"/>
            </w:tcBorders>
            <w:shd w:val="clear" w:color="auto" w:fill="auto"/>
          </w:tcPr>
          <w:p w14:paraId="34DC1DB4"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112 (1.57)</w:t>
            </w:r>
          </w:p>
        </w:tc>
      </w:tr>
      <w:tr w:rsidR="004C2A46" w:rsidRPr="002742BE" w14:paraId="1C09EBB8"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0335A1FC" w14:textId="77777777" w:rsidR="004C2A46" w:rsidRPr="002742BE" w:rsidRDefault="004C2A46" w:rsidP="00161519">
            <w:pPr>
              <w:tabs>
                <w:tab w:val="left" w:pos="567"/>
              </w:tabs>
              <w:spacing w:before="60" w:after="60" w:line="260" w:lineRule="exact"/>
              <w:ind w:right="46"/>
              <w:rPr>
                <w:rFonts w:cs="Arial"/>
                <w:b/>
              </w:rPr>
            </w:pPr>
            <w:r w:rsidRPr="002742BE">
              <w:rPr>
                <w:rFonts w:cs="Arial"/>
                <w:b/>
              </w:rPr>
              <w:lastRenderedPageBreak/>
              <w:t>Musculoskeletal, connective tissue and bone disorders</w:t>
            </w:r>
          </w:p>
        </w:tc>
        <w:tc>
          <w:tcPr>
            <w:tcW w:w="2880" w:type="dxa"/>
            <w:tcBorders>
              <w:top w:val="single" w:sz="4" w:space="0" w:color="auto"/>
              <w:left w:val="single" w:sz="4" w:space="0" w:color="auto"/>
              <w:right w:val="single" w:sz="4" w:space="0" w:color="auto"/>
            </w:tcBorders>
            <w:shd w:val="clear" w:color="auto" w:fill="auto"/>
          </w:tcPr>
          <w:p w14:paraId="3B93FE37" w14:textId="77777777" w:rsidR="004C2A46" w:rsidRPr="002742BE" w:rsidRDefault="004C2A46" w:rsidP="00161519">
            <w:pPr>
              <w:tabs>
                <w:tab w:val="left" w:pos="567"/>
              </w:tabs>
              <w:spacing w:before="60" w:after="60" w:line="260" w:lineRule="exact"/>
              <w:ind w:right="46"/>
              <w:jc w:val="center"/>
              <w:rPr>
                <w:rFonts w:cs="Arial"/>
              </w:rPr>
            </w:pPr>
          </w:p>
        </w:tc>
        <w:tc>
          <w:tcPr>
            <w:tcW w:w="3060" w:type="dxa"/>
            <w:tcBorders>
              <w:top w:val="single" w:sz="4" w:space="0" w:color="auto"/>
              <w:left w:val="single" w:sz="4" w:space="0" w:color="auto"/>
              <w:right w:val="single" w:sz="4" w:space="0" w:color="auto"/>
            </w:tcBorders>
            <w:shd w:val="clear" w:color="auto" w:fill="auto"/>
          </w:tcPr>
          <w:p w14:paraId="378C4A44" w14:textId="77777777" w:rsidR="004C2A46" w:rsidRPr="002742BE" w:rsidRDefault="004C2A46" w:rsidP="00161519">
            <w:pPr>
              <w:tabs>
                <w:tab w:val="left" w:pos="567"/>
              </w:tabs>
              <w:spacing w:before="60" w:after="60" w:line="260" w:lineRule="exact"/>
              <w:ind w:right="46"/>
              <w:jc w:val="center"/>
              <w:rPr>
                <w:rFonts w:cs="Arial"/>
              </w:rPr>
            </w:pPr>
          </w:p>
        </w:tc>
      </w:tr>
      <w:tr w:rsidR="004C2A46" w:rsidRPr="002742BE" w14:paraId="1891181F" w14:textId="77777777" w:rsidTr="00161519">
        <w:trPr>
          <w:cantSplit/>
          <w:trHeight w:val="74"/>
        </w:trPr>
        <w:tc>
          <w:tcPr>
            <w:tcW w:w="2988" w:type="dxa"/>
            <w:tcBorders>
              <w:left w:val="single" w:sz="4" w:space="0" w:color="auto"/>
              <w:bottom w:val="single" w:sz="4" w:space="0" w:color="auto"/>
              <w:right w:val="single" w:sz="4" w:space="0" w:color="auto"/>
            </w:tcBorders>
            <w:shd w:val="clear" w:color="auto" w:fill="auto"/>
          </w:tcPr>
          <w:p w14:paraId="43A4C397" w14:textId="77777777" w:rsidR="004C2A46" w:rsidRPr="002742BE" w:rsidRDefault="004C2A46" w:rsidP="00161519">
            <w:pPr>
              <w:tabs>
                <w:tab w:val="left" w:pos="567"/>
              </w:tabs>
              <w:spacing w:before="60" w:after="60" w:line="260" w:lineRule="exact"/>
              <w:ind w:right="46"/>
              <w:rPr>
                <w:rFonts w:cs="Arial"/>
              </w:rPr>
            </w:pPr>
            <w:r w:rsidRPr="002742BE">
              <w:rPr>
                <w:rFonts w:cs="Arial"/>
              </w:rPr>
              <w:t>Pain in extremity</w:t>
            </w:r>
          </w:p>
        </w:tc>
        <w:tc>
          <w:tcPr>
            <w:tcW w:w="2880" w:type="dxa"/>
            <w:tcBorders>
              <w:left w:val="single" w:sz="4" w:space="0" w:color="auto"/>
              <w:bottom w:val="single" w:sz="4" w:space="0" w:color="auto"/>
              <w:right w:val="single" w:sz="4" w:space="0" w:color="auto"/>
            </w:tcBorders>
            <w:shd w:val="clear" w:color="auto" w:fill="auto"/>
          </w:tcPr>
          <w:p w14:paraId="22F05837" w14:textId="77777777" w:rsidR="004C2A46" w:rsidRPr="000E7AAE" w:rsidRDefault="004C2A46" w:rsidP="00161519">
            <w:pPr>
              <w:tabs>
                <w:tab w:val="left" w:pos="567"/>
              </w:tabs>
              <w:spacing w:before="60" w:after="60" w:line="260" w:lineRule="exact"/>
              <w:ind w:right="46"/>
              <w:jc w:val="center"/>
              <w:rPr>
                <w:rFonts w:cs="Arial"/>
                <w:sz w:val="18"/>
                <w:szCs w:val="18"/>
              </w:rPr>
            </w:pPr>
            <w:r w:rsidRPr="002742BE">
              <w:rPr>
                <w:rFonts w:cs="Arial"/>
                <w:sz w:val="18"/>
                <w:szCs w:val="18"/>
              </w:rPr>
              <w:t>191 (2.69)</w:t>
            </w:r>
          </w:p>
        </w:tc>
        <w:tc>
          <w:tcPr>
            <w:tcW w:w="3060" w:type="dxa"/>
            <w:tcBorders>
              <w:left w:val="single" w:sz="4" w:space="0" w:color="auto"/>
              <w:bottom w:val="single" w:sz="4" w:space="0" w:color="auto"/>
              <w:right w:val="single" w:sz="4" w:space="0" w:color="auto"/>
            </w:tcBorders>
            <w:shd w:val="clear" w:color="auto" w:fill="auto"/>
          </w:tcPr>
          <w:p w14:paraId="79750015"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208 (2.92)</w:t>
            </w:r>
          </w:p>
        </w:tc>
      </w:tr>
      <w:tr w:rsidR="004C2A46" w:rsidRPr="002742BE" w14:paraId="7532F010"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115725B8" w14:textId="77777777" w:rsidR="004C2A46" w:rsidRPr="002742BE" w:rsidRDefault="004C2A46" w:rsidP="00161519">
            <w:pPr>
              <w:tabs>
                <w:tab w:val="left" w:pos="567"/>
              </w:tabs>
              <w:spacing w:before="60" w:after="60" w:line="260" w:lineRule="exact"/>
              <w:ind w:right="46"/>
              <w:rPr>
                <w:rFonts w:cs="Arial"/>
                <w:b/>
              </w:rPr>
            </w:pPr>
            <w:r w:rsidRPr="002742BE">
              <w:rPr>
                <w:rFonts w:cs="Arial"/>
                <w:b/>
              </w:rPr>
              <w:t>Nervous system disorders</w:t>
            </w:r>
          </w:p>
        </w:tc>
        <w:tc>
          <w:tcPr>
            <w:tcW w:w="2880" w:type="dxa"/>
            <w:tcBorders>
              <w:top w:val="single" w:sz="4" w:space="0" w:color="auto"/>
              <w:left w:val="single" w:sz="4" w:space="0" w:color="auto"/>
              <w:right w:val="single" w:sz="4" w:space="0" w:color="auto"/>
            </w:tcBorders>
            <w:shd w:val="clear" w:color="auto" w:fill="auto"/>
          </w:tcPr>
          <w:p w14:paraId="574ED01F" w14:textId="77777777" w:rsidR="004C2A46" w:rsidRPr="002742BE" w:rsidRDefault="004C2A46" w:rsidP="00161519">
            <w:pPr>
              <w:tabs>
                <w:tab w:val="left" w:pos="567"/>
              </w:tabs>
              <w:spacing w:before="60" w:after="60" w:line="260" w:lineRule="exact"/>
              <w:ind w:right="46"/>
              <w:jc w:val="center"/>
              <w:rPr>
                <w:rFonts w:cs="Arial"/>
                <w:b/>
              </w:rPr>
            </w:pPr>
          </w:p>
        </w:tc>
        <w:tc>
          <w:tcPr>
            <w:tcW w:w="3060" w:type="dxa"/>
            <w:tcBorders>
              <w:top w:val="single" w:sz="4" w:space="0" w:color="auto"/>
              <w:left w:val="single" w:sz="4" w:space="0" w:color="auto"/>
              <w:right w:val="single" w:sz="4" w:space="0" w:color="auto"/>
            </w:tcBorders>
            <w:shd w:val="clear" w:color="auto" w:fill="auto"/>
          </w:tcPr>
          <w:p w14:paraId="05930BA8" w14:textId="77777777" w:rsidR="004C2A46" w:rsidRPr="002742BE" w:rsidRDefault="004C2A46" w:rsidP="00161519">
            <w:pPr>
              <w:tabs>
                <w:tab w:val="left" w:pos="567"/>
              </w:tabs>
              <w:spacing w:before="60" w:after="60" w:line="260" w:lineRule="exact"/>
              <w:ind w:right="46"/>
              <w:jc w:val="center"/>
              <w:rPr>
                <w:rFonts w:cs="Arial"/>
                <w:b/>
              </w:rPr>
            </w:pPr>
          </w:p>
        </w:tc>
      </w:tr>
      <w:tr w:rsidR="004C2A46" w:rsidRPr="002742BE" w14:paraId="4F2A6C45" w14:textId="77777777" w:rsidTr="00161519">
        <w:trPr>
          <w:cantSplit/>
        </w:trPr>
        <w:tc>
          <w:tcPr>
            <w:tcW w:w="2988" w:type="dxa"/>
            <w:tcBorders>
              <w:left w:val="single" w:sz="4" w:space="0" w:color="auto"/>
              <w:right w:val="single" w:sz="4" w:space="0" w:color="auto"/>
            </w:tcBorders>
            <w:shd w:val="clear" w:color="auto" w:fill="auto"/>
          </w:tcPr>
          <w:p w14:paraId="3E309351" w14:textId="77777777" w:rsidR="004C2A46" w:rsidRPr="002742BE" w:rsidRDefault="004C2A46" w:rsidP="00161519">
            <w:pPr>
              <w:tabs>
                <w:tab w:val="left" w:pos="567"/>
              </w:tabs>
              <w:spacing w:before="60" w:after="60" w:line="260" w:lineRule="exact"/>
              <w:ind w:right="46"/>
              <w:rPr>
                <w:rFonts w:cs="Arial"/>
              </w:rPr>
            </w:pPr>
            <w:r w:rsidRPr="002742BE">
              <w:rPr>
                <w:rFonts w:cs="Arial"/>
              </w:rPr>
              <w:t>Dizziness</w:t>
            </w:r>
          </w:p>
        </w:tc>
        <w:tc>
          <w:tcPr>
            <w:tcW w:w="2880" w:type="dxa"/>
            <w:tcBorders>
              <w:left w:val="single" w:sz="4" w:space="0" w:color="auto"/>
              <w:right w:val="single" w:sz="4" w:space="0" w:color="auto"/>
            </w:tcBorders>
            <w:shd w:val="clear" w:color="auto" w:fill="auto"/>
          </w:tcPr>
          <w:p w14:paraId="68906DDA"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433 (6.09)</w:t>
            </w:r>
          </w:p>
        </w:tc>
        <w:tc>
          <w:tcPr>
            <w:tcW w:w="3060" w:type="dxa"/>
            <w:tcBorders>
              <w:left w:val="single" w:sz="4" w:space="0" w:color="auto"/>
              <w:right w:val="single" w:sz="4" w:space="0" w:color="auto"/>
            </w:tcBorders>
            <w:shd w:val="clear" w:color="auto" w:fill="auto"/>
          </w:tcPr>
          <w:p w14:paraId="07D345D3"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449 (6.30)</w:t>
            </w:r>
          </w:p>
        </w:tc>
      </w:tr>
      <w:tr w:rsidR="004C2A46" w:rsidRPr="002742BE" w14:paraId="051826CF" w14:textId="77777777" w:rsidTr="00161519">
        <w:trPr>
          <w:cantSplit/>
        </w:trPr>
        <w:tc>
          <w:tcPr>
            <w:tcW w:w="2988" w:type="dxa"/>
            <w:tcBorders>
              <w:left w:val="single" w:sz="4" w:space="0" w:color="auto"/>
              <w:right w:val="single" w:sz="4" w:space="0" w:color="auto"/>
            </w:tcBorders>
            <w:shd w:val="clear" w:color="auto" w:fill="auto"/>
          </w:tcPr>
          <w:p w14:paraId="29886AE2" w14:textId="77777777" w:rsidR="004C2A46" w:rsidRPr="002742BE" w:rsidRDefault="004C2A46" w:rsidP="00161519">
            <w:pPr>
              <w:tabs>
                <w:tab w:val="left" w:pos="567"/>
              </w:tabs>
              <w:spacing w:before="60" w:after="60" w:line="260" w:lineRule="exact"/>
              <w:ind w:right="46"/>
              <w:rPr>
                <w:rFonts w:cs="Arial"/>
              </w:rPr>
            </w:pPr>
            <w:r w:rsidRPr="002742BE">
              <w:rPr>
                <w:rFonts w:cs="Arial"/>
              </w:rPr>
              <w:t>Headache</w:t>
            </w:r>
          </w:p>
        </w:tc>
        <w:tc>
          <w:tcPr>
            <w:tcW w:w="2880" w:type="dxa"/>
            <w:tcBorders>
              <w:left w:val="single" w:sz="4" w:space="0" w:color="auto"/>
              <w:right w:val="single" w:sz="4" w:space="0" w:color="auto"/>
            </w:tcBorders>
            <w:shd w:val="clear" w:color="auto" w:fill="auto"/>
          </w:tcPr>
          <w:p w14:paraId="71793571"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324 (4.56)</w:t>
            </w:r>
          </w:p>
        </w:tc>
        <w:tc>
          <w:tcPr>
            <w:tcW w:w="3060" w:type="dxa"/>
            <w:tcBorders>
              <w:left w:val="single" w:sz="4" w:space="0" w:color="auto"/>
              <w:right w:val="single" w:sz="4" w:space="0" w:color="auto"/>
            </w:tcBorders>
            <w:shd w:val="clear" w:color="auto" w:fill="auto"/>
          </w:tcPr>
          <w:p w14:paraId="52042BFB"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363 (5.09)</w:t>
            </w:r>
          </w:p>
        </w:tc>
      </w:tr>
      <w:tr w:rsidR="004C2A46" w:rsidRPr="002742BE" w14:paraId="1A572641" w14:textId="77777777" w:rsidTr="00161519">
        <w:trPr>
          <w:cantSplit/>
        </w:trPr>
        <w:tc>
          <w:tcPr>
            <w:tcW w:w="2988" w:type="dxa"/>
            <w:tcBorders>
              <w:left w:val="single" w:sz="4" w:space="0" w:color="auto"/>
              <w:bottom w:val="single" w:sz="4" w:space="0" w:color="auto"/>
              <w:right w:val="single" w:sz="4" w:space="0" w:color="auto"/>
            </w:tcBorders>
            <w:shd w:val="clear" w:color="auto" w:fill="auto"/>
          </w:tcPr>
          <w:p w14:paraId="0A9598E3" w14:textId="77777777" w:rsidR="004C2A46" w:rsidRPr="002742BE" w:rsidRDefault="004C2A46" w:rsidP="00161519">
            <w:pPr>
              <w:tabs>
                <w:tab w:val="left" w:pos="567"/>
              </w:tabs>
              <w:spacing w:before="60" w:after="60" w:line="260" w:lineRule="exact"/>
              <w:ind w:right="46"/>
              <w:rPr>
                <w:rFonts w:cs="Arial"/>
              </w:rPr>
            </w:pPr>
            <w:r w:rsidRPr="002742BE">
              <w:rPr>
                <w:rFonts w:cs="Arial"/>
              </w:rPr>
              <w:t>Syncope</w:t>
            </w:r>
          </w:p>
        </w:tc>
        <w:tc>
          <w:tcPr>
            <w:tcW w:w="2880" w:type="dxa"/>
            <w:tcBorders>
              <w:left w:val="single" w:sz="4" w:space="0" w:color="auto"/>
              <w:bottom w:val="single" w:sz="4" w:space="0" w:color="auto"/>
              <w:right w:val="single" w:sz="4" w:space="0" w:color="auto"/>
            </w:tcBorders>
            <w:shd w:val="clear" w:color="auto" w:fill="auto"/>
          </w:tcPr>
          <w:p w14:paraId="2816ED18"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130 (1.83)</w:t>
            </w:r>
          </w:p>
        </w:tc>
        <w:tc>
          <w:tcPr>
            <w:tcW w:w="3060" w:type="dxa"/>
            <w:tcBorders>
              <w:left w:val="single" w:sz="4" w:space="0" w:color="auto"/>
              <w:bottom w:val="single" w:sz="4" w:space="0" w:color="auto"/>
              <w:right w:val="single" w:sz="4" w:space="0" w:color="auto"/>
            </w:tcBorders>
            <w:shd w:val="clear" w:color="auto" w:fill="auto"/>
          </w:tcPr>
          <w:p w14:paraId="12928724"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108 (1.52)</w:t>
            </w:r>
          </w:p>
        </w:tc>
      </w:tr>
      <w:tr w:rsidR="004C2A46" w:rsidRPr="002742BE" w14:paraId="2824C0EA"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1C634B9B" w14:textId="77777777" w:rsidR="004C2A46" w:rsidRPr="002742BE" w:rsidRDefault="004C2A46" w:rsidP="00161519">
            <w:pPr>
              <w:tabs>
                <w:tab w:val="left" w:pos="567"/>
              </w:tabs>
              <w:spacing w:before="60" w:after="60" w:line="260" w:lineRule="exact"/>
              <w:ind w:right="46"/>
              <w:rPr>
                <w:rFonts w:cs="Arial"/>
                <w:b/>
              </w:rPr>
            </w:pPr>
            <w:r w:rsidRPr="002742BE">
              <w:rPr>
                <w:rFonts w:cs="Arial"/>
                <w:b/>
              </w:rPr>
              <w:t>Renal and urinary disorders</w:t>
            </w:r>
          </w:p>
        </w:tc>
        <w:tc>
          <w:tcPr>
            <w:tcW w:w="2880" w:type="dxa"/>
            <w:tcBorders>
              <w:top w:val="single" w:sz="4" w:space="0" w:color="auto"/>
              <w:left w:val="single" w:sz="4" w:space="0" w:color="auto"/>
              <w:right w:val="single" w:sz="4" w:space="0" w:color="auto"/>
            </w:tcBorders>
            <w:shd w:val="clear" w:color="auto" w:fill="auto"/>
          </w:tcPr>
          <w:p w14:paraId="2858316F" w14:textId="77777777" w:rsidR="004C2A46" w:rsidRPr="002742BE" w:rsidRDefault="004C2A46" w:rsidP="00161519">
            <w:pPr>
              <w:tabs>
                <w:tab w:val="left" w:pos="567"/>
              </w:tabs>
              <w:spacing w:before="60" w:after="60" w:line="260" w:lineRule="exact"/>
              <w:ind w:right="46"/>
              <w:jc w:val="center"/>
              <w:rPr>
                <w:rFonts w:cs="Arial"/>
                <w:b/>
              </w:rPr>
            </w:pPr>
          </w:p>
        </w:tc>
        <w:tc>
          <w:tcPr>
            <w:tcW w:w="3060" w:type="dxa"/>
            <w:tcBorders>
              <w:top w:val="single" w:sz="4" w:space="0" w:color="auto"/>
              <w:left w:val="single" w:sz="4" w:space="0" w:color="auto"/>
              <w:right w:val="single" w:sz="4" w:space="0" w:color="auto"/>
            </w:tcBorders>
            <w:shd w:val="clear" w:color="auto" w:fill="auto"/>
          </w:tcPr>
          <w:p w14:paraId="5A6D24AC" w14:textId="77777777" w:rsidR="004C2A46" w:rsidRPr="002742BE" w:rsidRDefault="004C2A46" w:rsidP="00161519">
            <w:pPr>
              <w:tabs>
                <w:tab w:val="left" w:pos="567"/>
              </w:tabs>
              <w:spacing w:before="60" w:after="60" w:line="260" w:lineRule="exact"/>
              <w:ind w:right="46"/>
              <w:jc w:val="center"/>
              <w:rPr>
                <w:rFonts w:cs="Arial"/>
                <w:b/>
              </w:rPr>
            </w:pPr>
          </w:p>
        </w:tc>
      </w:tr>
      <w:tr w:rsidR="004C2A46" w:rsidRPr="002742BE" w14:paraId="00464174" w14:textId="77777777" w:rsidTr="00161519">
        <w:trPr>
          <w:cantSplit/>
        </w:trPr>
        <w:tc>
          <w:tcPr>
            <w:tcW w:w="2988" w:type="dxa"/>
            <w:tcBorders>
              <w:left w:val="single" w:sz="4" w:space="0" w:color="auto"/>
              <w:bottom w:val="single" w:sz="4" w:space="0" w:color="auto"/>
              <w:right w:val="single" w:sz="4" w:space="0" w:color="auto"/>
            </w:tcBorders>
            <w:shd w:val="clear" w:color="auto" w:fill="auto"/>
          </w:tcPr>
          <w:p w14:paraId="25099019" w14:textId="77777777" w:rsidR="004C2A46" w:rsidRPr="002742BE" w:rsidRDefault="004C2A46" w:rsidP="00161519">
            <w:pPr>
              <w:tabs>
                <w:tab w:val="left" w:pos="567"/>
              </w:tabs>
              <w:spacing w:before="60" w:after="60" w:line="260" w:lineRule="exact"/>
              <w:ind w:right="46"/>
              <w:rPr>
                <w:rFonts w:cs="Arial"/>
              </w:rPr>
            </w:pPr>
            <w:r w:rsidRPr="002742BE">
              <w:rPr>
                <w:rFonts w:cs="Arial"/>
              </w:rPr>
              <w:t>Haematuria</w:t>
            </w:r>
          </w:p>
        </w:tc>
        <w:tc>
          <w:tcPr>
            <w:tcW w:w="2880" w:type="dxa"/>
            <w:tcBorders>
              <w:left w:val="single" w:sz="4" w:space="0" w:color="auto"/>
              <w:bottom w:val="single" w:sz="4" w:space="0" w:color="auto"/>
              <w:right w:val="single" w:sz="4" w:space="0" w:color="auto"/>
            </w:tcBorders>
            <w:shd w:val="clear" w:color="auto" w:fill="auto"/>
          </w:tcPr>
          <w:p w14:paraId="7AE9E6AC"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296 (4.16)</w:t>
            </w:r>
          </w:p>
        </w:tc>
        <w:tc>
          <w:tcPr>
            <w:tcW w:w="3060" w:type="dxa"/>
            <w:tcBorders>
              <w:left w:val="single" w:sz="4" w:space="0" w:color="auto"/>
              <w:bottom w:val="single" w:sz="4" w:space="0" w:color="auto"/>
              <w:right w:val="single" w:sz="4" w:space="0" w:color="auto"/>
            </w:tcBorders>
            <w:shd w:val="clear" w:color="auto" w:fill="auto"/>
          </w:tcPr>
          <w:p w14:paraId="7A433B48"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242 (3.40)</w:t>
            </w:r>
          </w:p>
        </w:tc>
      </w:tr>
      <w:tr w:rsidR="004C2A46" w:rsidRPr="002742BE" w14:paraId="658C3A08"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2249C234" w14:textId="77777777" w:rsidR="004C2A46" w:rsidRPr="002742BE" w:rsidRDefault="004C2A46" w:rsidP="00161519">
            <w:pPr>
              <w:tabs>
                <w:tab w:val="left" w:pos="567"/>
              </w:tabs>
              <w:spacing w:before="60" w:after="60" w:line="260" w:lineRule="exact"/>
              <w:ind w:right="46"/>
              <w:rPr>
                <w:rFonts w:cs="Arial"/>
                <w:b/>
              </w:rPr>
            </w:pPr>
            <w:r w:rsidRPr="002742BE">
              <w:rPr>
                <w:rFonts w:cs="Arial"/>
                <w:b/>
              </w:rPr>
              <w:t>Respiratory tract disorders</w:t>
            </w:r>
          </w:p>
        </w:tc>
        <w:tc>
          <w:tcPr>
            <w:tcW w:w="2880" w:type="dxa"/>
            <w:tcBorders>
              <w:top w:val="single" w:sz="4" w:space="0" w:color="auto"/>
              <w:left w:val="single" w:sz="4" w:space="0" w:color="auto"/>
              <w:right w:val="single" w:sz="4" w:space="0" w:color="auto"/>
            </w:tcBorders>
            <w:shd w:val="clear" w:color="auto" w:fill="auto"/>
          </w:tcPr>
          <w:p w14:paraId="02AC0E2D" w14:textId="77777777" w:rsidR="004C2A46" w:rsidRPr="002742BE" w:rsidRDefault="004C2A46" w:rsidP="00161519">
            <w:pPr>
              <w:tabs>
                <w:tab w:val="left" w:pos="567"/>
              </w:tabs>
              <w:spacing w:before="60" w:after="60" w:line="260" w:lineRule="exact"/>
              <w:ind w:right="46"/>
              <w:jc w:val="center"/>
              <w:rPr>
                <w:rFonts w:cs="Arial"/>
                <w:b/>
              </w:rPr>
            </w:pPr>
          </w:p>
        </w:tc>
        <w:tc>
          <w:tcPr>
            <w:tcW w:w="3060" w:type="dxa"/>
            <w:tcBorders>
              <w:top w:val="single" w:sz="4" w:space="0" w:color="auto"/>
              <w:left w:val="single" w:sz="4" w:space="0" w:color="auto"/>
              <w:right w:val="single" w:sz="4" w:space="0" w:color="auto"/>
            </w:tcBorders>
            <w:shd w:val="clear" w:color="auto" w:fill="auto"/>
          </w:tcPr>
          <w:p w14:paraId="1DA88893" w14:textId="77777777" w:rsidR="004C2A46" w:rsidRPr="002742BE" w:rsidRDefault="004C2A46" w:rsidP="00161519">
            <w:pPr>
              <w:tabs>
                <w:tab w:val="left" w:pos="567"/>
              </w:tabs>
              <w:spacing w:before="60" w:after="60" w:line="260" w:lineRule="exact"/>
              <w:ind w:right="46"/>
              <w:jc w:val="center"/>
              <w:rPr>
                <w:rFonts w:cs="Arial"/>
                <w:b/>
              </w:rPr>
            </w:pPr>
          </w:p>
        </w:tc>
      </w:tr>
      <w:tr w:rsidR="004C2A46" w:rsidRPr="002742BE" w14:paraId="430D72A9" w14:textId="77777777" w:rsidTr="00161519">
        <w:trPr>
          <w:cantSplit/>
        </w:trPr>
        <w:tc>
          <w:tcPr>
            <w:tcW w:w="2988" w:type="dxa"/>
            <w:tcBorders>
              <w:left w:val="single" w:sz="4" w:space="0" w:color="auto"/>
              <w:right w:val="single" w:sz="4" w:space="0" w:color="auto"/>
            </w:tcBorders>
            <w:shd w:val="clear" w:color="auto" w:fill="auto"/>
          </w:tcPr>
          <w:p w14:paraId="4F9B3273" w14:textId="77777777" w:rsidR="004C2A46" w:rsidRPr="002742BE" w:rsidRDefault="004C2A46" w:rsidP="00161519">
            <w:pPr>
              <w:tabs>
                <w:tab w:val="left" w:pos="567"/>
              </w:tabs>
              <w:spacing w:before="60" w:after="60" w:line="260" w:lineRule="exact"/>
              <w:ind w:right="46"/>
              <w:rPr>
                <w:rFonts w:cs="Arial"/>
              </w:rPr>
            </w:pPr>
            <w:r w:rsidRPr="002742BE">
              <w:rPr>
                <w:rFonts w:cs="Arial"/>
              </w:rPr>
              <w:t>Epistaxis</w:t>
            </w:r>
          </w:p>
        </w:tc>
        <w:tc>
          <w:tcPr>
            <w:tcW w:w="2880" w:type="dxa"/>
            <w:tcBorders>
              <w:left w:val="single" w:sz="4" w:space="0" w:color="auto"/>
              <w:right w:val="single" w:sz="4" w:space="0" w:color="auto"/>
            </w:tcBorders>
            <w:shd w:val="clear" w:color="auto" w:fill="auto"/>
          </w:tcPr>
          <w:p w14:paraId="0FEB550D"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721 (10.14)</w:t>
            </w:r>
          </w:p>
        </w:tc>
        <w:tc>
          <w:tcPr>
            <w:tcW w:w="3060" w:type="dxa"/>
            <w:tcBorders>
              <w:left w:val="single" w:sz="4" w:space="0" w:color="auto"/>
              <w:right w:val="single" w:sz="4" w:space="0" w:color="auto"/>
            </w:tcBorders>
            <w:shd w:val="clear" w:color="auto" w:fill="auto"/>
          </w:tcPr>
          <w:p w14:paraId="522A7D15"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609 (8.55)</w:t>
            </w:r>
          </w:p>
        </w:tc>
      </w:tr>
      <w:tr w:rsidR="004C2A46" w:rsidRPr="002742BE" w14:paraId="53C42AB8" w14:textId="77777777" w:rsidTr="00161519">
        <w:trPr>
          <w:cantSplit/>
        </w:trPr>
        <w:tc>
          <w:tcPr>
            <w:tcW w:w="2988" w:type="dxa"/>
            <w:tcBorders>
              <w:left w:val="single" w:sz="4" w:space="0" w:color="auto"/>
              <w:bottom w:val="single" w:sz="4" w:space="0" w:color="auto"/>
              <w:right w:val="single" w:sz="4" w:space="0" w:color="auto"/>
            </w:tcBorders>
            <w:shd w:val="clear" w:color="auto" w:fill="auto"/>
          </w:tcPr>
          <w:p w14:paraId="75F483AD" w14:textId="77777777" w:rsidR="004C2A46" w:rsidRPr="002742BE" w:rsidRDefault="004C2A46" w:rsidP="00161519">
            <w:pPr>
              <w:tabs>
                <w:tab w:val="left" w:pos="567"/>
              </w:tabs>
              <w:spacing w:before="60" w:after="60" w:line="260" w:lineRule="exact"/>
              <w:ind w:right="46"/>
              <w:rPr>
                <w:rFonts w:cs="Arial"/>
              </w:rPr>
            </w:pPr>
            <w:r w:rsidRPr="002742BE">
              <w:rPr>
                <w:rFonts w:cs="Arial"/>
              </w:rPr>
              <w:t>Haemoptysis</w:t>
            </w:r>
          </w:p>
        </w:tc>
        <w:tc>
          <w:tcPr>
            <w:tcW w:w="2880" w:type="dxa"/>
            <w:tcBorders>
              <w:left w:val="single" w:sz="4" w:space="0" w:color="auto"/>
              <w:bottom w:val="single" w:sz="4" w:space="0" w:color="auto"/>
              <w:right w:val="single" w:sz="4" w:space="0" w:color="auto"/>
            </w:tcBorders>
            <w:shd w:val="clear" w:color="auto" w:fill="auto"/>
          </w:tcPr>
          <w:p w14:paraId="406C6C39"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99 (1.39)</w:t>
            </w:r>
          </w:p>
        </w:tc>
        <w:tc>
          <w:tcPr>
            <w:tcW w:w="3060" w:type="dxa"/>
            <w:tcBorders>
              <w:left w:val="single" w:sz="4" w:space="0" w:color="auto"/>
              <w:bottom w:val="single" w:sz="4" w:space="0" w:color="auto"/>
              <w:right w:val="single" w:sz="4" w:space="0" w:color="auto"/>
            </w:tcBorders>
            <w:shd w:val="clear" w:color="auto" w:fill="auto"/>
          </w:tcPr>
          <w:p w14:paraId="1A80A199"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100 (1.40)</w:t>
            </w:r>
          </w:p>
        </w:tc>
      </w:tr>
      <w:tr w:rsidR="004C2A46" w:rsidRPr="002742BE" w14:paraId="7D170F4D"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27A7C144" w14:textId="77777777" w:rsidR="004C2A46" w:rsidRPr="002742BE" w:rsidRDefault="004C2A46" w:rsidP="00161519">
            <w:pPr>
              <w:tabs>
                <w:tab w:val="left" w:pos="567"/>
              </w:tabs>
              <w:spacing w:before="60" w:after="60" w:line="260" w:lineRule="exact"/>
              <w:ind w:right="46"/>
              <w:rPr>
                <w:rFonts w:cs="Arial"/>
                <w:b/>
              </w:rPr>
            </w:pPr>
            <w:r w:rsidRPr="002742BE">
              <w:rPr>
                <w:rFonts w:cs="Arial"/>
                <w:b/>
              </w:rPr>
              <w:t>Skin and subcutaneous tissue disorders</w:t>
            </w:r>
          </w:p>
        </w:tc>
        <w:tc>
          <w:tcPr>
            <w:tcW w:w="2880" w:type="dxa"/>
            <w:tcBorders>
              <w:top w:val="single" w:sz="4" w:space="0" w:color="auto"/>
              <w:left w:val="single" w:sz="4" w:space="0" w:color="auto"/>
              <w:right w:val="single" w:sz="4" w:space="0" w:color="auto"/>
            </w:tcBorders>
            <w:shd w:val="clear" w:color="auto" w:fill="auto"/>
          </w:tcPr>
          <w:p w14:paraId="69AE212C" w14:textId="77777777" w:rsidR="004C2A46" w:rsidRPr="002742BE" w:rsidRDefault="004C2A46" w:rsidP="00161519">
            <w:pPr>
              <w:tabs>
                <w:tab w:val="left" w:pos="567"/>
              </w:tabs>
              <w:spacing w:before="60" w:after="60" w:line="260" w:lineRule="exact"/>
              <w:ind w:right="46"/>
              <w:jc w:val="center"/>
              <w:rPr>
                <w:rFonts w:cs="Arial"/>
                <w:b/>
              </w:rPr>
            </w:pPr>
          </w:p>
        </w:tc>
        <w:tc>
          <w:tcPr>
            <w:tcW w:w="3060" w:type="dxa"/>
            <w:tcBorders>
              <w:top w:val="single" w:sz="4" w:space="0" w:color="auto"/>
              <w:left w:val="single" w:sz="4" w:space="0" w:color="auto"/>
              <w:right w:val="single" w:sz="4" w:space="0" w:color="auto"/>
            </w:tcBorders>
            <w:shd w:val="clear" w:color="auto" w:fill="auto"/>
          </w:tcPr>
          <w:p w14:paraId="583B7C29" w14:textId="77777777" w:rsidR="004C2A46" w:rsidRPr="002742BE" w:rsidRDefault="004C2A46" w:rsidP="00161519">
            <w:pPr>
              <w:tabs>
                <w:tab w:val="left" w:pos="567"/>
              </w:tabs>
              <w:spacing w:before="60" w:after="60" w:line="260" w:lineRule="exact"/>
              <w:ind w:right="46"/>
              <w:jc w:val="center"/>
              <w:rPr>
                <w:rFonts w:cs="Arial"/>
                <w:b/>
              </w:rPr>
            </w:pPr>
          </w:p>
        </w:tc>
      </w:tr>
      <w:tr w:rsidR="004C2A46" w:rsidRPr="002742BE" w14:paraId="5D925173" w14:textId="77777777" w:rsidTr="00161519">
        <w:trPr>
          <w:cantSplit/>
        </w:trPr>
        <w:tc>
          <w:tcPr>
            <w:tcW w:w="2988" w:type="dxa"/>
            <w:tcBorders>
              <w:left w:val="single" w:sz="4" w:space="0" w:color="auto"/>
              <w:right w:val="single" w:sz="4" w:space="0" w:color="auto"/>
            </w:tcBorders>
            <w:shd w:val="clear" w:color="auto" w:fill="auto"/>
          </w:tcPr>
          <w:p w14:paraId="78B2F814" w14:textId="77777777" w:rsidR="004C2A46" w:rsidRPr="002742BE" w:rsidRDefault="004C2A46" w:rsidP="00161519">
            <w:pPr>
              <w:tabs>
                <w:tab w:val="left" w:pos="567"/>
              </w:tabs>
              <w:spacing w:before="60" w:after="60" w:line="260" w:lineRule="exact"/>
              <w:ind w:right="46"/>
              <w:rPr>
                <w:rFonts w:cs="Arial"/>
              </w:rPr>
            </w:pPr>
            <w:r w:rsidRPr="002742BE">
              <w:rPr>
                <w:rFonts w:cs="Arial"/>
              </w:rPr>
              <w:t>Ecchymosis</w:t>
            </w:r>
          </w:p>
        </w:tc>
        <w:tc>
          <w:tcPr>
            <w:tcW w:w="2880" w:type="dxa"/>
            <w:tcBorders>
              <w:left w:val="single" w:sz="4" w:space="0" w:color="auto"/>
              <w:right w:val="single" w:sz="4" w:space="0" w:color="auto"/>
            </w:tcBorders>
            <w:shd w:val="clear" w:color="auto" w:fill="auto"/>
          </w:tcPr>
          <w:p w14:paraId="04E401E4"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159 (2.24)</w:t>
            </w:r>
          </w:p>
        </w:tc>
        <w:tc>
          <w:tcPr>
            <w:tcW w:w="3060" w:type="dxa"/>
            <w:tcBorders>
              <w:left w:val="single" w:sz="4" w:space="0" w:color="auto"/>
              <w:right w:val="single" w:sz="4" w:space="0" w:color="auto"/>
            </w:tcBorders>
            <w:shd w:val="clear" w:color="auto" w:fill="auto"/>
          </w:tcPr>
          <w:p w14:paraId="3A294D96"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234 (3.28)</w:t>
            </w:r>
          </w:p>
        </w:tc>
      </w:tr>
      <w:tr w:rsidR="004C2A46" w:rsidRPr="002742BE" w14:paraId="1B90E964" w14:textId="77777777" w:rsidTr="00161519">
        <w:trPr>
          <w:cantSplit/>
        </w:trPr>
        <w:tc>
          <w:tcPr>
            <w:tcW w:w="2988" w:type="dxa"/>
            <w:tcBorders>
              <w:left w:val="single" w:sz="4" w:space="0" w:color="auto"/>
              <w:right w:val="single" w:sz="4" w:space="0" w:color="auto"/>
            </w:tcBorders>
            <w:shd w:val="clear" w:color="auto" w:fill="auto"/>
          </w:tcPr>
          <w:p w14:paraId="514BA070" w14:textId="77777777" w:rsidR="004C2A46" w:rsidRPr="002742BE" w:rsidRDefault="004C2A46" w:rsidP="00161519">
            <w:pPr>
              <w:tabs>
                <w:tab w:val="left" w:pos="567"/>
              </w:tabs>
              <w:spacing w:before="60" w:after="60" w:line="260" w:lineRule="exact"/>
              <w:ind w:right="46"/>
              <w:rPr>
                <w:rFonts w:cs="Arial"/>
              </w:rPr>
            </w:pPr>
            <w:r w:rsidRPr="002742BE">
              <w:rPr>
                <w:rFonts w:cs="Arial"/>
              </w:rPr>
              <w:t>Pruritus</w:t>
            </w:r>
          </w:p>
        </w:tc>
        <w:tc>
          <w:tcPr>
            <w:tcW w:w="2880" w:type="dxa"/>
            <w:tcBorders>
              <w:left w:val="single" w:sz="4" w:space="0" w:color="auto"/>
              <w:right w:val="single" w:sz="4" w:space="0" w:color="auto"/>
            </w:tcBorders>
            <w:shd w:val="clear" w:color="auto" w:fill="auto"/>
          </w:tcPr>
          <w:p w14:paraId="5D56C599"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120 (1.69)</w:t>
            </w:r>
          </w:p>
        </w:tc>
        <w:tc>
          <w:tcPr>
            <w:tcW w:w="3060" w:type="dxa"/>
            <w:tcBorders>
              <w:left w:val="single" w:sz="4" w:space="0" w:color="auto"/>
              <w:right w:val="single" w:sz="4" w:space="0" w:color="auto"/>
            </w:tcBorders>
            <w:shd w:val="clear" w:color="auto" w:fill="auto"/>
          </w:tcPr>
          <w:p w14:paraId="64E76169"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118 (1.66)</w:t>
            </w:r>
          </w:p>
        </w:tc>
      </w:tr>
      <w:tr w:rsidR="004C2A46" w:rsidRPr="002742BE" w14:paraId="21CF7DC4" w14:textId="77777777" w:rsidTr="00161519">
        <w:trPr>
          <w:cantSplit/>
        </w:trPr>
        <w:tc>
          <w:tcPr>
            <w:tcW w:w="2988" w:type="dxa"/>
            <w:tcBorders>
              <w:left w:val="single" w:sz="4" w:space="0" w:color="auto"/>
              <w:bottom w:val="single" w:sz="4" w:space="0" w:color="auto"/>
              <w:right w:val="single" w:sz="4" w:space="0" w:color="auto"/>
            </w:tcBorders>
            <w:shd w:val="clear" w:color="auto" w:fill="auto"/>
          </w:tcPr>
          <w:p w14:paraId="2156588D" w14:textId="77777777" w:rsidR="004C2A46" w:rsidRPr="002742BE" w:rsidRDefault="004C2A46" w:rsidP="00161519">
            <w:pPr>
              <w:tabs>
                <w:tab w:val="left" w:pos="567"/>
              </w:tabs>
              <w:spacing w:before="60" w:after="60" w:line="260" w:lineRule="exact"/>
              <w:ind w:right="46"/>
              <w:rPr>
                <w:rFonts w:cs="Arial"/>
              </w:rPr>
            </w:pPr>
            <w:r w:rsidRPr="002742BE">
              <w:rPr>
                <w:rFonts w:cs="Arial"/>
              </w:rPr>
              <w:t>Rash</w:t>
            </w:r>
          </w:p>
        </w:tc>
        <w:tc>
          <w:tcPr>
            <w:tcW w:w="2880" w:type="dxa"/>
            <w:tcBorders>
              <w:left w:val="single" w:sz="4" w:space="0" w:color="auto"/>
              <w:bottom w:val="single" w:sz="4" w:space="0" w:color="auto"/>
              <w:right w:val="single" w:sz="4" w:space="0" w:color="auto"/>
            </w:tcBorders>
            <w:shd w:val="clear" w:color="auto" w:fill="auto"/>
          </w:tcPr>
          <w:p w14:paraId="088FEE0C"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112 (1.58)</w:t>
            </w:r>
          </w:p>
        </w:tc>
        <w:tc>
          <w:tcPr>
            <w:tcW w:w="3060" w:type="dxa"/>
            <w:tcBorders>
              <w:left w:val="single" w:sz="4" w:space="0" w:color="auto"/>
              <w:bottom w:val="single" w:sz="4" w:space="0" w:color="auto"/>
              <w:right w:val="single" w:sz="4" w:space="0" w:color="auto"/>
            </w:tcBorders>
            <w:shd w:val="clear" w:color="auto" w:fill="auto"/>
          </w:tcPr>
          <w:p w14:paraId="14ABE727"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129 (1.81)</w:t>
            </w:r>
          </w:p>
        </w:tc>
      </w:tr>
      <w:tr w:rsidR="004C2A46" w:rsidRPr="002742BE" w14:paraId="48407A76" w14:textId="77777777" w:rsidTr="00161519">
        <w:trPr>
          <w:cantSplit/>
        </w:trPr>
        <w:tc>
          <w:tcPr>
            <w:tcW w:w="2988" w:type="dxa"/>
            <w:tcBorders>
              <w:top w:val="single" w:sz="4" w:space="0" w:color="auto"/>
              <w:left w:val="single" w:sz="4" w:space="0" w:color="auto"/>
              <w:right w:val="single" w:sz="4" w:space="0" w:color="auto"/>
            </w:tcBorders>
            <w:shd w:val="clear" w:color="auto" w:fill="auto"/>
          </w:tcPr>
          <w:p w14:paraId="30187D54" w14:textId="77777777" w:rsidR="004C2A46" w:rsidRPr="002742BE" w:rsidRDefault="004C2A46" w:rsidP="00161519">
            <w:pPr>
              <w:tabs>
                <w:tab w:val="left" w:pos="567"/>
              </w:tabs>
              <w:spacing w:before="60" w:after="60" w:line="260" w:lineRule="exact"/>
              <w:ind w:right="46"/>
              <w:rPr>
                <w:rFonts w:cs="Arial"/>
                <w:b/>
              </w:rPr>
            </w:pPr>
            <w:r w:rsidRPr="002742BE">
              <w:rPr>
                <w:rFonts w:cs="Arial"/>
                <w:b/>
              </w:rPr>
              <w:t>Vascular disorders</w:t>
            </w:r>
          </w:p>
        </w:tc>
        <w:tc>
          <w:tcPr>
            <w:tcW w:w="2880" w:type="dxa"/>
            <w:tcBorders>
              <w:top w:val="single" w:sz="4" w:space="0" w:color="auto"/>
              <w:left w:val="single" w:sz="4" w:space="0" w:color="auto"/>
              <w:right w:val="single" w:sz="4" w:space="0" w:color="auto"/>
            </w:tcBorders>
            <w:shd w:val="clear" w:color="auto" w:fill="auto"/>
          </w:tcPr>
          <w:p w14:paraId="368CD10A" w14:textId="77777777" w:rsidR="004C2A46" w:rsidRPr="002742BE" w:rsidRDefault="004C2A46" w:rsidP="00161519">
            <w:pPr>
              <w:tabs>
                <w:tab w:val="left" w:pos="567"/>
              </w:tabs>
              <w:spacing w:before="60" w:after="60" w:line="260" w:lineRule="exact"/>
              <w:ind w:right="46"/>
              <w:jc w:val="center"/>
              <w:rPr>
                <w:rFonts w:cs="Arial"/>
                <w:b/>
              </w:rPr>
            </w:pPr>
          </w:p>
        </w:tc>
        <w:tc>
          <w:tcPr>
            <w:tcW w:w="3060" w:type="dxa"/>
            <w:tcBorders>
              <w:top w:val="single" w:sz="4" w:space="0" w:color="auto"/>
              <w:left w:val="single" w:sz="4" w:space="0" w:color="auto"/>
              <w:right w:val="single" w:sz="4" w:space="0" w:color="auto"/>
            </w:tcBorders>
            <w:shd w:val="clear" w:color="auto" w:fill="auto"/>
          </w:tcPr>
          <w:p w14:paraId="533C3816" w14:textId="77777777" w:rsidR="004C2A46" w:rsidRPr="002742BE" w:rsidRDefault="004C2A46" w:rsidP="00161519">
            <w:pPr>
              <w:tabs>
                <w:tab w:val="left" w:pos="567"/>
              </w:tabs>
              <w:spacing w:before="60" w:after="60" w:line="260" w:lineRule="exact"/>
              <w:ind w:right="46"/>
              <w:jc w:val="center"/>
              <w:rPr>
                <w:rFonts w:cs="Arial"/>
                <w:b/>
              </w:rPr>
            </w:pPr>
          </w:p>
        </w:tc>
      </w:tr>
      <w:tr w:rsidR="004C2A46" w:rsidRPr="002742BE" w14:paraId="0275E0FE" w14:textId="77777777" w:rsidTr="00161519">
        <w:trPr>
          <w:cantSplit/>
        </w:trPr>
        <w:tc>
          <w:tcPr>
            <w:tcW w:w="2988" w:type="dxa"/>
            <w:tcBorders>
              <w:left w:val="single" w:sz="4" w:space="0" w:color="auto"/>
              <w:right w:val="single" w:sz="4" w:space="0" w:color="auto"/>
            </w:tcBorders>
            <w:shd w:val="clear" w:color="auto" w:fill="auto"/>
          </w:tcPr>
          <w:p w14:paraId="6CA6CBDE" w14:textId="77777777" w:rsidR="004C2A46" w:rsidRPr="002742BE" w:rsidRDefault="004C2A46" w:rsidP="00161519">
            <w:pPr>
              <w:tabs>
                <w:tab w:val="left" w:pos="567"/>
              </w:tabs>
              <w:spacing w:before="60" w:after="60" w:line="260" w:lineRule="exact"/>
              <w:ind w:right="46"/>
              <w:rPr>
                <w:rFonts w:cs="Arial"/>
              </w:rPr>
            </w:pPr>
            <w:r w:rsidRPr="002742BE">
              <w:rPr>
                <w:rFonts w:cs="Arial"/>
              </w:rPr>
              <w:t>Haematoma</w:t>
            </w:r>
          </w:p>
        </w:tc>
        <w:tc>
          <w:tcPr>
            <w:tcW w:w="2880" w:type="dxa"/>
            <w:tcBorders>
              <w:left w:val="single" w:sz="4" w:space="0" w:color="auto"/>
              <w:right w:val="single" w:sz="4" w:space="0" w:color="auto"/>
            </w:tcBorders>
            <w:shd w:val="clear" w:color="auto" w:fill="auto"/>
          </w:tcPr>
          <w:p w14:paraId="55E7FD08"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216 (3.04)</w:t>
            </w:r>
          </w:p>
        </w:tc>
        <w:tc>
          <w:tcPr>
            <w:tcW w:w="3060" w:type="dxa"/>
            <w:tcBorders>
              <w:left w:val="single" w:sz="4" w:space="0" w:color="auto"/>
              <w:right w:val="single" w:sz="4" w:space="0" w:color="auto"/>
            </w:tcBorders>
            <w:shd w:val="clear" w:color="auto" w:fill="auto"/>
          </w:tcPr>
          <w:p w14:paraId="3FE2FFA3"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330 (4.63)</w:t>
            </w:r>
          </w:p>
        </w:tc>
      </w:tr>
      <w:tr w:rsidR="004C2A46" w:rsidRPr="002742BE" w14:paraId="0DF392A6" w14:textId="77777777" w:rsidTr="00161519">
        <w:trPr>
          <w:cantSplit/>
        </w:trPr>
        <w:tc>
          <w:tcPr>
            <w:tcW w:w="2988" w:type="dxa"/>
            <w:tcBorders>
              <w:left w:val="single" w:sz="4" w:space="0" w:color="auto"/>
              <w:bottom w:val="single" w:sz="4" w:space="0" w:color="auto"/>
              <w:right w:val="single" w:sz="4" w:space="0" w:color="auto"/>
            </w:tcBorders>
            <w:shd w:val="clear" w:color="auto" w:fill="auto"/>
          </w:tcPr>
          <w:p w14:paraId="7F451C67" w14:textId="77777777" w:rsidR="004C2A46" w:rsidRPr="002742BE" w:rsidRDefault="004C2A46" w:rsidP="00161519">
            <w:pPr>
              <w:tabs>
                <w:tab w:val="left" w:pos="567"/>
              </w:tabs>
              <w:spacing w:before="60" w:after="60" w:line="260" w:lineRule="exact"/>
              <w:ind w:right="46"/>
              <w:rPr>
                <w:rFonts w:cs="Arial"/>
              </w:rPr>
            </w:pPr>
            <w:r w:rsidRPr="002742BE">
              <w:rPr>
                <w:rFonts w:cs="Arial"/>
              </w:rPr>
              <w:t>Hypotension</w:t>
            </w:r>
          </w:p>
        </w:tc>
        <w:tc>
          <w:tcPr>
            <w:tcW w:w="2880" w:type="dxa"/>
            <w:tcBorders>
              <w:left w:val="single" w:sz="4" w:space="0" w:color="auto"/>
              <w:bottom w:val="single" w:sz="4" w:space="0" w:color="auto"/>
              <w:right w:val="single" w:sz="4" w:space="0" w:color="auto"/>
            </w:tcBorders>
            <w:shd w:val="clear" w:color="auto" w:fill="auto"/>
          </w:tcPr>
          <w:p w14:paraId="195F9B1A"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141 (1.98)</w:t>
            </w:r>
          </w:p>
        </w:tc>
        <w:tc>
          <w:tcPr>
            <w:tcW w:w="3060" w:type="dxa"/>
            <w:tcBorders>
              <w:left w:val="single" w:sz="4" w:space="0" w:color="auto"/>
              <w:bottom w:val="single" w:sz="4" w:space="0" w:color="auto"/>
              <w:right w:val="single" w:sz="4" w:space="0" w:color="auto"/>
            </w:tcBorders>
            <w:shd w:val="clear" w:color="auto" w:fill="auto"/>
          </w:tcPr>
          <w:p w14:paraId="03CDEC6C" w14:textId="77777777" w:rsidR="004C2A46" w:rsidRPr="002742BE" w:rsidRDefault="004C2A46" w:rsidP="00161519">
            <w:pPr>
              <w:tabs>
                <w:tab w:val="left" w:pos="567"/>
              </w:tabs>
              <w:spacing w:before="60" w:after="60" w:line="260" w:lineRule="exact"/>
              <w:ind w:right="46"/>
              <w:jc w:val="center"/>
              <w:rPr>
                <w:rFonts w:cs="Arial"/>
              </w:rPr>
            </w:pPr>
            <w:r w:rsidRPr="002742BE">
              <w:rPr>
                <w:rFonts w:cs="Arial"/>
                <w:sz w:val="18"/>
                <w:szCs w:val="18"/>
              </w:rPr>
              <w:t>130 (1.82)</w:t>
            </w:r>
          </w:p>
        </w:tc>
      </w:tr>
    </w:tbl>
    <w:p w14:paraId="544DB29C" w14:textId="77777777" w:rsidR="00DA6D02" w:rsidRDefault="00DA6D02" w:rsidP="004C2A46">
      <w:pPr>
        <w:spacing w:before="240" w:after="120"/>
        <w:ind w:right="45"/>
        <w:rPr>
          <w:rFonts w:cs="Arial"/>
          <w:b/>
          <w:sz w:val="21"/>
          <w:szCs w:val="21"/>
        </w:rPr>
      </w:pPr>
    </w:p>
    <w:p w14:paraId="43C9EF60" w14:textId="77777777" w:rsidR="004C2A46" w:rsidRPr="00DA6D02" w:rsidRDefault="004C2A46" w:rsidP="004C2A46">
      <w:pPr>
        <w:spacing w:before="240" w:after="120"/>
        <w:ind w:right="45"/>
        <w:rPr>
          <w:rFonts w:cs="Arial"/>
          <w:b/>
          <w:szCs w:val="21"/>
        </w:rPr>
      </w:pPr>
      <w:r w:rsidRPr="00DA6D02">
        <w:rPr>
          <w:rFonts w:cs="Arial"/>
          <w:b/>
          <w:szCs w:val="21"/>
        </w:rPr>
        <w:t>Less frequent ADRs ≥ 0.1% to &lt; 1% unless otherwise specified – ROCKET AF</w:t>
      </w:r>
    </w:p>
    <w:tbl>
      <w:tblPr>
        <w:tblW w:w="0" w:type="auto"/>
        <w:tblInd w:w="-34" w:type="dxa"/>
        <w:tblLook w:val="04A0" w:firstRow="1" w:lastRow="0" w:firstColumn="1" w:lastColumn="0" w:noHBand="0" w:noVBand="1"/>
      </w:tblPr>
      <w:tblGrid>
        <w:gridCol w:w="2269"/>
        <w:gridCol w:w="6804"/>
      </w:tblGrid>
      <w:tr w:rsidR="004C2A46" w:rsidRPr="00DA6D02" w14:paraId="3DD7778F" w14:textId="77777777" w:rsidTr="00161519">
        <w:tc>
          <w:tcPr>
            <w:tcW w:w="2269" w:type="dxa"/>
            <w:shd w:val="clear" w:color="auto" w:fill="auto"/>
          </w:tcPr>
          <w:p w14:paraId="34F11483"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Cardiac disorders</w:t>
            </w:r>
            <w:r w:rsidRPr="00DA6D02">
              <w:rPr>
                <w:rFonts w:cs="Arial"/>
                <w:szCs w:val="21"/>
              </w:rPr>
              <w:t>:</w:t>
            </w:r>
          </w:p>
        </w:tc>
        <w:tc>
          <w:tcPr>
            <w:tcW w:w="6804" w:type="dxa"/>
            <w:shd w:val="clear" w:color="auto" w:fill="auto"/>
          </w:tcPr>
          <w:p w14:paraId="1FACA8E1" w14:textId="77777777" w:rsidR="004C2A46" w:rsidRPr="00DA6D02" w:rsidRDefault="004C2A46" w:rsidP="00161519">
            <w:pPr>
              <w:tabs>
                <w:tab w:val="left" w:pos="567"/>
              </w:tabs>
              <w:spacing w:before="60" w:after="60"/>
              <w:ind w:right="45"/>
              <w:rPr>
                <w:rFonts w:cs="Arial"/>
                <w:szCs w:val="21"/>
              </w:rPr>
            </w:pPr>
            <w:r w:rsidRPr="00DA6D02">
              <w:rPr>
                <w:rFonts w:cs="Arial"/>
                <w:szCs w:val="21"/>
              </w:rPr>
              <w:t>Tachycardia</w:t>
            </w:r>
          </w:p>
        </w:tc>
      </w:tr>
      <w:tr w:rsidR="004C2A46" w:rsidRPr="00DA6D02" w14:paraId="27049F70" w14:textId="77777777" w:rsidTr="00161519">
        <w:tc>
          <w:tcPr>
            <w:tcW w:w="2269" w:type="dxa"/>
            <w:shd w:val="clear" w:color="auto" w:fill="auto"/>
          </w:tcPr>
          <w:p w14:paraId="0E128F28"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Eye disorders</w:t>
            </w:r>
            <w:r w:rsidRPr="00DA6D02">
              <w:rPr>
                <w:rFonts w:cs="Arial"/>
                <w:szCs w:val="21"/>
              </w:rPr>
              <w:t>:</w:t>
            </w:r>
          </w:p>
        </w:tc>
        <w:tc>
          <w:tcPr>
            <w:tcW w:w="6804" w:type="dxa"/>
            <w:shd w:val="clear" w:color="auto" w:fill="auto"/>
          </w:tcPr>
          <w:p w14:paraId="790A9BB6" w14:textId="77777777" w:rsidR="004C2A46" w:rsidRPr="00DA6D02" w:rsidRDefault="004C2A46" w:rsidP="00161519">
            <w:pPr>
              <w:tabs>
                <w:tab w:val="left" w:pos="567"/>
              </w:tabs>
              <w:spacing w:before="60" w:after="60"/>
              <w:ind w:right="45"/>
              <w:rPr>
                <w:rFonts w:cs="Arial"/>
                <w:szCs w:val="21"/>
              </w:rPr>
            </w:pPr>
            <w:r w:rsidRPr="00DA6D02">
              <w:rPr>
                <w:rFonts w:cs="Arial"/>
                <w:szCs w:val="21"/>
              </w:rPr>
              <w:t>Eye haemorrhage, vitreous haemorrhage</w:t>
            </w:r>
          </w:p>
        </w:tc>
      </w:tr>
      <w:tr w:rsidR="004C2A46" w:rsidRPr="00DA6D02" w14:paraId="324D5582" w14:textId="77777777" w:rsidTr="00161519">
        <w:tc>
          <w:tcPr>
            <w:tcW w:w="2269" w:type="dxa"/>
            <w:shd w:val="clear" w:color="auto" w:fill="auto"/>
          </w:tcPr>
          <w:p w14:paraId="77654B26"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Gastrointestinal Disorders</w:t>
            </w:r>
            <w:r w:rsidRPr="00DA6D02">
              <w:rPr>
                <w:rFonts w:cs="Arial"/>
                <w:szCs w:val="21"/>
              </w:rPr>
              <w:t>:</w:t>
            </w:r>
          </w:p>
        </w:tc>
        <w:tc>
          <w:tcPr>
            <w:tcW w:w="6804" w:type="dxa"/>
            <w:shd w:val="clear" w:color="auto" w:fill="auto"/>
          </w:tcPr>
          <w:p w14:paraId="0400EB3E" w14:textId="77777777" w:rsidR="004C2A46" w:rsidRPr="00DA6D02" w:rsidRDefault="004C2A46" w:rsidP="00161519">
            <w:pPr>
              <w:tabs>
                <w:tab w:val="left" w:pos="567"/>
              </w:tabs>
              <w:spacing w:before="60" w:after="60"/>
              <w:ind w:right="45"/>
              <w:rPr>
                <w:rFonts w:cs="Arial"/>
                <w:szCs w:val="21"/>
              </w:rPr>
            </w:pPr>
            <w:r w:rsidRPr="00DA6D02">
              <w:rPr>
                <w:rFonts w:cs="Arial"/>
                <w:szCs w:val="21"/>
              </w:rPr>
              <w:t xml:space="preserve">Melaena, upper gastrointestinal haemorrhage, haemorrhoidal haemorrhage, haematochezia, </w:t>
            </w:r>
            <w:r w:rsidR="009B25E5" w:rsidRPr="00DA6D02">
              <w:rPr>
                <w:rFonts w:cs="Arial"/>
                <w:szCs w:val="21"/>
              </w:rPr>
              <w:t>m</w:t>
            </w:r>
            <w:r w:rsidRPr="00DA6D02">
              <w:rPr>
                <w:rFonts w:cs="Arial"/>
                <w:szCs w:val="21"/>
              </w:rPr>
              <w:t xml:space="preserve">outh haemorrhage, lower gastrointestinal haemorrhage, anal haemorrhage, gastric ulcer haemorrhage, gastritis haemorrhagic, </w:t>
            </w:r>
            <w:r w:rsidR="009B25E5" w:rsidRPr="00DA6D02">
              <w:rPr>
                <w:rFonts w:cs="Arial"/>
                <w:szCs w:val="21"/>
              </w:rPr>
              <w:t>g</w:t>
            </w:r>
            <w:r w:rsidRPr="00DA6D02">
              <w:rPr>
                <w:rFonts w:cs="Arial"/>
                <w:szCs w:val="21"/>
              </w:rPr>
              <w:t>astric haemorrhage, haematemesis, abdominal discomfort, abdominal pain lower, dry mouth</w:t>
            </w:r>
          </w:p>
        </w:tc>
      </w:tr>
      <w:tr w:rsidR="004C2A46" w:rsidRPr="00DA6D02" w14:paraId="5B141ACC" w14:textId="77777777" w:rsidTr="00161519">
        <w:trPr>
          <w:trHeight w:val="753"/>
        </w:trPr>
        <w:tc>
          <w:tcPr>
            <w:tcW w:w="2269" w:type="dxa"/>
            <w:shd w:val="clear" w:color="auto" w:fill="auto"/>
          </w:tcPr>
          <w:p w14:paraId="5BD6279A"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lastRenderedPageBreak/>
              <w:t>General Disorders and Administration Site Conditions</w:t>
            </w:r>
            <w:r w:rsidRPr="00DA6D02">
              <w:rPr>
                <w:rFonts w:cs="Arial"/>
                <w:szCs w:val="21"/>
              </w:rPr>
              <w:t>:</w:t>
            </w:r>
          </w:p>
        </w:tc>
        <w:tc>
          <w:tcPr>
            <w:tcW w:w="6804" w:type="dxa"/>
            <w:shd w:val="clear" w:color="auto" w:fill="auto"/>
          </w:tcPr>
          <w:p w14:paraId="41BA34CF" w14:textId="77777777" w:rsidR="004C2A46" w:rsidRPr="00DA6D02" w:rsidRDefault="004C2A46" w:rsidP="00161519">
            <w:pPr>
              <w:tabs>
                <w:tab w:val="left" w:pos="567"/>
              </w:tabs>
              <w:spacing w:before="60" w:after="60"/>
              <w:ind w:right="45"/>
              <w:rPr>
                <w:rFonts w:cs="Arial"/>
                <w:szCs w:val="21"/>
              </w:rPr>
            </w:pPr>
            <w:r w:rsidRPr="00DA6D02">
              <w:rPr>
                <w:rFonts w:cs="Arial"/>
                <w:szCs w:val="21"/>
              </w:rPr>
              <w:t>Malaise</w:t>
            </w:r>
          </w:p>
          <w:p w14:paraId="1F88B853" w14:textId="77777777" w:rsidR="004C2A46" w:rsidRPr="00DA6D02" w:rsidRDefault="004C2A46" w:rsidP="00161519">
            <w:pPr>
              <w:tabs>
                <w:tab w:val="left" w:pos="567"/>
              </w:tabs>
              <w:spacing w:before="60" w:after="60"/>
              <w:ind w:right="45"/>
              <w:rPr>
                <w:rFonts w:cs="Arial"/>
                <w:b/>
                <w:szCs w:val="21"/>
              </w:rPr>
            </w:pPr>
          </w:p>
        </w:tc>
      </w:tr>
      <w:tr w:rsidR="004C2A46" w:rsidRPr="00DA6D02" w14:paraId="27E07DA5" w14:textId="77777777" w:rsidTr="00161519">
        <w:tc>
          <w:tcPr>
            <w:tcW w:w="2269" w:type="dxa"/>
            <w:shd w:val="clear" w:color="auto" w:fill="auto"/>
          </w:tcPr>
          <w:p w14:paraId="2D54EB5D"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Hepatobiliary Disorders</w:t>
            </w:r>
            <w:r w:rsidRPr="00DA6D02">
              <w:rPr>
                <w:rFonts w:cs="Arial"/>
                <w:szCs w:val="21"/>
              </w:rPr>
              <w:t>:</w:t>
            </w:r>
          </w:p>
        </w:tc>
        <w:tc>
          <w:tcPr>
            <w:tcW w:w="6804" w:type="dxa"/>
            <w:shd w:val="clear" w:color="auto" w:fill="auto"/>
          </w:tcPr>
          <w:p w14:paraId="2DD60DCD" w14:textId="77777777" w:rsidR="004C2A46" w:rsidRDefault="004C2A46" w:rsidP="00161519">
            <w:pPr>
              <w:tabs>
                <w:tab w:val="left" w:pos="567"/>
              </w:tabs>
              <w:spacing w:before="60" w:after="60"/>
              <w:ind w:right="45"/>
              <w:rPr>
                <w:rFonts w:cs="Arial"/>
                <w:szCs w:val="21"/>
              </w:rPr>
            </w:pPr>
            <w:r w:rsidRPr="00DA6D02">
              <w:rPr>
                <w:rFonts w:cs="Arial"/>
                <w:szCs w:val="21"/>
              </w:rPr>
              <w:t>Hepatic impairment, hyperbilirubinaemia, jaundice (≥ 0.01% to &lt;0.1%)</w:t>
            </w:r>
          </w:p>
          <w:p w14:paraId="07DC4219" w14:textId="77777777" w:rsidR="00D14BEC" w:rsidRPr="00DA6D02" w:rsidRDefault="00D14BEC" w:rsidP="00161519">
            <w:pPr>
              <w:tabs>
                <w:tab w:val="left" w:pos="567"/>
              </w:tabs>
              <w:spacing w:before="60" w:after="60"/>
              <w:ind w:right="45"/>
              <w:rPr>
                <w:rFonts w:cs="Arial"/>
                <w:szCs w:val="21"/>
              </w:rPr>
            </w:pPr>
          </w:p>
        </w:tc>
      </w:tr>
      <w:tr w:rsidR="004C2A46" w:rsidRPr="00DA6D02" w14:paraId="22DA4894" w14:textId="77777777" w:rsidTr="00161519">
        <w:tc>
          <w:tcPr>
            <w:tcW w:w="2269" w:type="dxa"/>
            <w:shd w:val="clear" w:color="auto" w:fill="auto"/>
          </w:tcPr>
          <w:p w14:paraId="6A40DE22" w14:textId="77777777" w:rsidR="004C2A46" w:rsidRDefault="004C2A46" w:rsidP="00161519">
            <w:pPr>
              <w:tabs>
                <w:tab w:val="left" w:pos="567"/>
              </w:tabs>
              <w:spacing w:before="60" w:after="60"/>
              <w:ind w:right="45"/>
              <w:rPr>
                <w:rFonts w:cs="Arial"/>
                <w:szCs w:val="21"/>
              </w:rPr>
            </w:pPr>
            <w:r w:rsidRPr="00DA6D02">
              <w:rPr>
                <w:rFonts w:cs="Arial"/>
                <w:b/>
                <w:szCs w:val="21"/>
              </w:rPr>
              <w:t>Immune System Disorders</w:t>
            </w:r>
            <w:r w:rsidRPr="00DA6D02">
              <w:rPr>
                <w:rFonts w:cs="Arial"/>
                <w:szCs w:val="21"/>
              </w:rPr>
              <w:t>:</w:t>
            </w:r>
          </w:p>
          <w:p w14:paraId="5596AB39" w14:textId="77777777" w:rsidR="00371E70" w:rsidRPr="00DA6D02" w:rsidRDefault="00371E70" w:rsidP="00161519">
            <w:pPr>
              <w:tabs>
                <w:tab w:val="left" w:pos="567"/>
              </w:tabs>
              <w:spacing w:before="60" w:after="60"/>
              <w:ind w:right="45"/>
              <w:rPr>
                <w:rFonts w:cs="Arial"/>
                <w:b/>
                <w:szCs w:val="21"/>
              </w:rPr>
            </w:pPr>
          </w:p>
        </w:tc>
        <w:tc>
          <w:tcPr>
            <w:tcW w:w="6804" w:type="dxa"/>
            <w:shd w:val="clear" w:color="auto" w:fill="auto"/>
          </w:tcPr>
          <w:p w14:paraId="103380A1" w14:textId="77777777" w:rsidR="004C2A46" w:rsidRPr="00DA6D02" w:rsidRDefault="004C2A46" w:rsidP="00161519">
            <w:pPr>
              <w:tabs>
                <w:tab w:val="left" w:pos="567"/>
              </w:tabs>
              <w:spacing w:before="60" w:after="60"/>
              <w:ind w:right="45"/>
              <w:rPr>
                <w:rFonts w:cs="Arial"/>
                <w:szCs w:val="21"/>
              </w:rPr>
            </w:pPr>
            <w:r w:rsidRPr="00DA6D02">
              <w:rPr>
                <w:rFonts w:cs="Arial"/>
                <w:szCs w:val="21"/>
              </w:rPr>
              <w:t>Hypersensitivity</w:t>
            </w:r>
          </w:p>
        </w:tc>
      </w:tr>
      <w:tr w:rsidR="004C2A46" w:rsidRPr="00DA6D02" w14:paraId="1F3B5C44" w14:textId="77777777" w:rsidTr="00161519">
        <w:tc>
          <w:tcPr>
            <w:tcW w:w="2269" w:type="dxa"/>
            <w:shd w:val="clear" w:color="auto" w:fill="auto"/>
          </w:tcPr>
          <w:p w14:paraId="2B1F1010"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Injury, Poisoning, and Procedural Complications</w:t>
            </w:r>
            <w:r w:rsidRPr="00DA6D02">
              <w:rPr>
                <w:rFonts w:cs="Arial"/>
                <w:szCs w:val="21"/>
              </w:rPr>
              <w:t>:</w:t>
            </w:r>
          </w:p>
        </w:tc>
        <w:tc>
          <w:tcPr>
            <w:tcW w:w="6804" w:type="dxa"/>
            <w:shd w:val="clear" w:color="auto" w:fill="auto"/>
          </w:tcPr>
          <w:p w14:paraId="61B7F56D" w14:textId="77777777" w:rsidR="004C2A46" w:rsidRDefault="004C2A46" w:rsidP="00161519">
            <w:pPr>
              <w:tabs>
                <w:tab w:val="left" w:pos="567"/>
              </w:tabs>
              <w:spacing w:before="60" w:after="60"/>
              <w:ind w:right="45"/>
              <w:rPr>
                <w:rFonts w:cs="Arial"/>
                <w:szCs w:val="21"/>
              </w:rPr>
            </w:pPr>
            <w:r w:rsidRPr="00DA6D02">
              <w:rPr>
                <w:rFonts w:cs="Arial"/>
                <w:szCs w:val="21"/>
              </w:rPr>
              <w:t>Post procedural haemorrhage, wound haemorrhage, traumatic haematoma, incision site haemorrhage, subdural haematoma, subcutaneous haematoma, periorbital haematoma</w:t>
            </w:r>
          </w:p>
          <w:p w14:paraId="694F389A" w14:textId="77777777" w:rsidR="00DA6D02" w:rsidRPr="00DA6D02" w:rsidRDefault="00DA6D02" w:rsidP="00371E70">
            <w:pPr>
              <w:tabs>
                <w:tab w:val="left" w:pos="567"/>
              </w:tabs>
              <w:spacing w:before="60" w:after="60"/>
              <w:ind w:right="45"/>
              <w:rPr>
                <w:rFonts w:cs="Arial"/>
                <w:szCs w:val="21"/>
              </w:rPr>
            </w:pPr>
          </w:p>
        </w:tc>
      </w:tr>
      <w:tr w:rsidR="004C2A46" w:rsidRPr="00DA6D02" w14:paraId="0EF39D5C" w14:textId="77777777" w:rsidTr="00161519">
        <w:tc>
          <w:tcPr>
            <w:tcW w:w="2269" w:type="dxa"/>
            <w:shd w:val="clear" w:color="auto" w:fill="auto"/>
          </w:tcPr>
          <w:p w14:paraId="434F5AE5"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Investigations</w:t>
            </w:r>
            <w:r w:rsidRPr="00DA6D02">
              <w:rPr>
                <w:rFonts w:cs="Arial"/>
                <w:szCs w:val="21"/>
              </w:rPr>
              <w:t>:</w:t>
            </w:r>
          </w:p>
        </w:tc>
        <w:tc>
          <w:tcPr>
            <w:tcW w:w="6804" w:type="dxa"/>
            <w:shd w:val="clear" w:color="auto" w:fill="auto"/>
          </w:tcPr>
          <w:p w14:paraId="565ED3E3" w14:textId="77777777" w:rsidR="004C2A46" w:rsidRPr="00DA6D02" w:rsidRDefault="004C2A46" w:rsidP="00161519">
            <w:pPr>
              <w:tabs>
                <w:tab w:val="left" w:pos="567"/>
              </w:tabs>
              <w:spacing w:before="60" w:after="60"/>
              <w:ind w:right="45"/>
              <w:rPr>
                <w:rFonts w:cs="Arial"/>
                <w:szCs w:val="21"/>
              </w:rPr>
            </w:pPr>
            <w:r w:rsidRPr="00DA6D02">
              <w:rPr>
                <w:rFonts w:cs="Arial"/>
                <w:szCs w:val="21"/>
              </w:rPr>
              <w:t>Haemoglobin decreased, haematocrit decreased, blood bilirubin increased, liver function test abnormal, aspartat</w:t>
            </w:r>
            <w:r w:rsidR="0080392D" w:rsidRPr="00DA6D02">
              <w:rPr>
                <w:rFonts w:cs="Arial"/>
                <w:szCs w:val="21"/>
              </w:rPr>
              <w:t>e</w:t>
            </w:r>
            <w:r w:rsidRPr="00DA6D02">
              <w:rPr>
                <w:rFonts w:cs="Arial"/>
                <w:szCs w:val="21"/>
              </w:rPr>
              <w:t xml:space="preserve"> aminotransferase increased, hepatic enzyme increased, blood urine present, creatinine renal clearance decreased, blood creatinine increased, blood urea increased, blood alkaline phosphatase increased, lipase increased, bilirubin conjugated increased (with or without concomitant increase of ALT) (≥ 0.01% to &lt;0.1%)</w:t>
            </w:r>
          </w:p>
        </w:tc>
      </w:tr>
      <w:tr w:rsidR="004C2A46" w:rsidRPr="00DA6D02" w14:paraId="0B0E5737" w14:textId="77777777" w:rsidTr="00161519">
        <w:tc>
          <w:tcPr>
            <w:tcW w:w="2269" w:type="dxa"/>
            <w:shd w:val="clear" w:color="auto" w:fill="auto"/>
          </w:tcPr>
          <w:p w14:paraId="32E8897F"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Renal and urinary disorders</w:t>
            </w:r>
            <w:r w:rsidRPr="00DA6D02">
              <w:rPr>
                <w:rFonts w:cs="Arial"/>
                <w:szCs w:val="21"/>
              </w:rPr>
              <w:t>:</w:t>
            </w:r>
          </w:p>
        </w:tc>
        <w:tc>
          <w:tcPr>
            <w:tcW w:w="6804" w:type="dxa"/>
            <w:shd w:val="clear" w:color="auto" w:fill="auto"/>
          </w:tcPr>
          <w:p w14:paraId="1DEF9405" w14:textId="77777777" w:rsidR="004C2A46" w:rsidRPr="00DA6D02" w:rsidRDefault="004C2A46" w:rsidP="00161519">
            <w:pPr>
              <w:tabs>
                <w:tab w:val="left" w:pos="567"/>
              </w:tabs>
              <w:spacing w:before="60" w:after="60"/>
              <w:ind w:right="45"/>
              <w:rPr>
                <w:rFonts w:cs="Arial"/>
                <w:szCs w:val="21"/>
              </w:rPr>
            </w:pPr>
            <w:r w:rsidRPr="00DA6D02">
              <w:rPr>
                <w:rFonts w:cs="Arial"/>
                <w:szCs w:val="21"/>
              </w:rPr>
              <w:t>Renal impairment</w:t>
            </w:r>
          </w:p>
        </w:tc>
      </w:tr>
      <w:tr w:rsidR="004C2A46" w:rsidRPr="00DA6D02" w14:paraId="3C755E72" w14:textId="77777777" w:rsidTr="00161519">
        <w:tc>
          <w:tcPr>
            <w:tcW w:w="2269" w:type="dxa"/>
            <w:shd w:val="clear" w:color="auto" w:fill="auto"/>
          </w:tcPr>
          <w:p w14:paraId="403492D3"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Reproductive system disorders</w:t>
            </w:r>
            <w:r w:rsidRPr="00DA6D02">
              <w:rPr>
                <w:rFonts w:cs="Arial"/>
                <w:szCs w:val="21"/>
              </w:rPr>
              <w:t>:</w:t>
            </w:r>
          </w:p>
        </w:tc>
        <w:tc>
          <w:tcPr>
            <w:tcW w:w="6804" w:type="dxa"/>
            <w:shd w:val="clear" w:color="auto" w:fill="auto"/>
          </w:tcPr>
          <w:p w14:paraId="3BF18B2F" w14:textId="77777777" w:rsidR="004C2A46" w:rsidRPr="00DA6D02" w:rsidRDefault="004C2A46" w:rsidP="00161519">
            <w:pPr>
              <w:tabs>
                <w:tab w:val="left" w:pos="567"/>
              </w:tabs>
              <w:spacing w:before="60" w:after="60"/>
              <w:ind w:right="45"/>
              <w:rPr>
                <w:rFonts w:cs="Arial"/>
                <w:szCs w:val="21"/>
              </w:rPr>
            </w:pPr>
            <w:r w:rsidRPr="00DA6D02">
              <w:rPr>
                <w:rFonts w:cs="Arial"/>
                <w:szCs w:val="21"/>
              </w:rPr>
              <w:t>Vaginal haemorrhage, metrorrhagia</w:t>
            </w:r>
          </w:p>
        </w:tc>
      </w:tr>
      <w:tr w:rsidR="004C2A46" w:rsidRPr="00DA6D02" w14:paraId="1BA2205F" w14:textId="77777777" w:rsidTr="00161519">
        <w:tc>
          <w:tcPr>
            <w:tcW w:w="2269" w:type="dxa"/>
            <w:shd w:val="clear" w:color="auto" w:fill="auto"/>
          </w:tcPr>
          <w:p w14:paraId="7DB5031E"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Musculoskeletal, Connective Tissue, and Bone Disorders</w:t>
            </w:r>
            <w:r w:rsidRPr="00DA6D02">
              <w:rPr>
                <w:rFonts w:cs="Arial"/>
                <w:szCs w:val="21"/>
              </w:rPr>
              <w:t>:</w:t>
            </w:r>
          </w:p>
        </w:tc>
        <w:tc>
          <w:tcPr>
            <w:tcW w:w="6804" w:type="dxa"/>
            <w:shd w:val="clear" w:color="auto" w:fill="auto"/>
          </w:tcPr>
          <w:p w14:paraId="24458F96" w14:textId="77777777" w:rsidR="004C2A46" w:rsidRPr="00DA6D02" w:rsidRDefault="004C2A46" w:rsidP="00161519">
            <w:pPr>
              <w:tabs>
                <w:tab w:val="left" w:pos="567"/>
              </w:tabs>
              <w:spacing w:before="60" w:after="60"/>
              <w:ind w:right="45"/>
              <w:rPr>
                <w:rFonts w:cs="Arial"/>
                <w:szCs w:val="21"/>
              </w:rPr>
            </w:pPr>
            <w:r w:rsidRPr="00DA6D02">
              <w:rPr>
                <w:rFonts w:cs="Arial"/>
                <w:szCs w:val="21"/>
              </w:rPr>
              <w:t>Haemarthrosis, muscle haemorrhage (≥0.01% to &lt;0.1%)</w:t>
            </w:r>
          </w:p>
        </w:tc>
      </w:tr>
      <w:tr w:rsidR="004C2A46" w:rsidRPr="00DA6D02" w14:paraId="3C1F1ED3" w14:textId="77777777" w:rsidTr="00161519">
        <w:tc>
          <w:tcPr>
            <w:tcW w:w="2269" w:type="dxa"/>
            <w:shd w:val="clear" w:color="auto" w:fill="auto"/>
          </w:tcPr>
          <w:p w14:paraId="35C09CCD"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Nervous system disorders</w:t>
            </w:r>
            <w:r w:rsidRPr="00DA6D02">
              <w:rPr>
                <w:rFonts w:cs="Arial"/>
                <w:szCs w:val="21"/>
              </w:rPr>
              <w:t>:</w:t>
            </w:r>
          </w:p>
        </w:tc>
        <w:tc>
          <w:tcPr>
            <w:tcW w:w="6804" w:type="dxa"/>
            <w:shd w:val="clear" w:color="auto" w:fill="auto"/>
          </w:tcPr>
          <w:p w14:paraId="394C3878" w14:textId="77777777" w:rsidR="004C2A46" w:rsidRPr="00DA6D02" w:rsidRDefault="004C2A46" w:rsidP="00161519">
            <w:pPr>
              <w:tabs>
                <w:tab w:val="left" w:pos="567"/>
              </w:tabs>
              <w:spacing w:before="60" w:after="60"/>
              <w:ind w:right="45"/>
              <w:rPr>
                <w:rFonts w:cs="Arial"/>
                <w:szCs w:val="21"/>
              </w:rPr>
            </w:pPr>
            <w:r w:rsidRPr="00DA6D02">
              <w:rPr>
                <w:rFonts w:cs="Arial"/>
                <w:szCs w:val="21"/>
              </w:rPr>
              <w:t>Loss of consciousness, haemorrhagic stroke, haemorrhage intracranial</w:t>
            </w:r>
          </w:p>
        </w:tc>
      </w:tr>
      <w:tr w:rsidR="004C2A46" w:rsidRPr="00DA6D02" w14:paraId="01A3BF3C" w14:textId="77777777" w:rsidTr="00161519">
        <w:tc>
          <w:tcPr>
            <w:tcW w:w="2269" w:type="dxa"/>
            <w:shd w:val="clear" w:color="auto" w:fill="auto"/>
          </w:tcPr>
          <w:p w14:paraId="10EE4638"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Skin and Subcutaneous Tissue Disorders</w:t>
            </w:r>
            <w:r w:rsidRPr="00DA6D02">
              <w:rPr>
                <w:rFonts w:cs="Arial"/>
                <w:szCs w:val="21"/>
              </w:rPr>
              <w:t>:</w:t>
            </w:r>
          </w:p>
        </w:tc>
        <w:tc>
          <w:tcPr>
            <w:tcW w:w="6804" w:type="dxa"/>
            <w:shd w:val="clear" w:color="auto" w:fill="auto"/>
          </w:tcPr>
          <w:p w14:paraId="20088359" w14:textId="77777777" w:rsidR="004C2A46" w:rsidRPr="00DA6D02" w:rsidRDefault="004C2A46" w:rsidP="00161519">
            <w:pPr>
              <w:tabs>
                <w:tab w:val="left" w:pos="567"/>
              </w:tabs>
              <w:spacing w:before="60" w:after="60"/>
              <w:ind w:right="45"/>
              <w:rPr>
                <w:rFonts w:cs="Arial"/>
                <w:szCs w:val="21"/>
              </w:rPr>
            </w:pPr>
            <w:r w:rsidRPr="00DA6D02">
              <w:rPr>
                <w:rFonts w:cs="Arial"/>
                <w:szCs w:val="21"/>
              </w:rPr>
              <w:t>Dermatitis allergic, rash pruritic, rash erythemateous, rash generalized, pruritus generalized, urticaria, skin haemorrhage</w:t>
            </w:r>
          </w:p>
        </w:tc>
      </w:tr>
      <w:tr w:rsidR="004C2A46" w:rsidRPr="00DA6D02" w14:paraId="2DA55578" w14:textId="77777777" w:rsidTr="00161519">
        <w:tc>
          <w:tcPr>
            <w:tcW w:w="2269" w:type="dxa"/>
            <w:shd w:val="clear" w:color="auto" w:fill="auto"/>
          </w:tcPr>
          <w:p w14:paraId="01EC025E" w14:textId="77777777" w:rsidR="004C2A46" w:rsidRPr="00DA6D02" w:rsidRDefault="004C2A46" w:rsidP="00161519">
            <w:pPr>
              <w:tabs>
                <w:tab w:val="left" w:pos="567"/>
              </w:tabs>
              <w:spacing w:before="60" w:after="60"/>
              <w:ind w:right="45"/>
              <w:rPr>
                <w:rFonts w:cs="Arial"/>
                <w:b/>
                <w:szCs w:val="21"/>
              </w:rPr>
            </w:pPr>
            <w:r w:rsidRPr="00DA6D02">
              <w:rPr>
                <w:rFonts w:cs="Arial"/>
                <w:b/>
                <w:szCs w:val="21"/>
              </w:rPr>
              <w:t>Vascular disorders</w:t>
            </w:r>
            <w:r w:rsidRPr="00DA6D02">
              <w:rPr>
                <w:rFonts w:cs="Arial"/>
                <w:szCs w:val="21"/>
              </w:rPr>
              <w:t>:</w:t>
            </w:r>
          </w:p>
        </w:tc>
        <w:tc>
          <w:tcPr>
            <w:tcW w:w="6804" w:type="dxa"/>
            <w:shd w:val="clear" w:color="auto" w:fill="auto"/>
          </w:tcPr>
          <w:p w14:paraId="56239203" w14:textId="77777777" w:rsidR="004C2A46" w:rsidRPr="00DA6D02" w:rsidRDefault="004C2A46" w:rsidP="00161519">
            <w:pPr>
              <w:tabs>
                <w:tab w:val="left" w:pos="567"/>
              </w:tabs>
              <w:spacing w:before="60" w:after="60"/>
              <w:ind w:right="45"/>
              <w:rPr>
                <w:rFonts w:cs="Arial"/>
                <w:szCs w:val="21"/>
              </w:rPr>
            </w:pPr>
            <w:r w:rsidRPr="00DA6D02">
              <w:rPr>
                <w:rFonts w:cs="Arial"/>
                <w:szCs w:val="21"/>
              </w:rPr>
              <w:t>Haemorrhage, bleeding varicose vein</w:t>
            </w:r>
          </w:p>
        </w:tc>
      </w:tr>
    </w:tbl>
    <w:p w14:paraId="55976A83" w14:textId="58216E21" w:rsidR="00F178A7" w:rsidRDefault="004C2A46" w:rsidP="00782F2E">
      <w:pPr>
        <w:pStyle w:val="Heading2"/>
        <w:numPr>
          <w:ilvl w:val="0"/>
          <w:numId w:val="0"/>
        </w:numPr>
        <w:ind w:left="578"/>
        <w:rPr>
          <w:rFonts w:cs="Arial"/>
          <w:b w:val="0"/>
          <w:caps w:val="0"/>
          <w:kern w:val="0"/>
          <w:sz w:val="22"/>
          <w:szCs w:val="22"/>
        </w:rPr>
      </w:pPr>
      <w:r w:rsidRPr="007401DC">
        <w:rPr>
          <w:rFonts w:cs="Arial"/>
          <w:szCs w:val="22"/>
        </w:rPr>
        <w:t>In other clinical studies, vascular pseudoaneurysm formation following percutaneous intervention has been reported.</w:t>
      </w:r>
      <w:r w:rsidR="007401DC">
        <w:rPr>
          <w:rFonts w:cs="Arial"/>
          <w:szCs w:val="22"/>
        </w:rPr>
        <w:t xml:space="preserve"> </w:t>
      </w:r>
      <w:r w:rsidR="00F178A7" w:rsidRPr="00F178A7">
        <w:rPr>
          <w:rFonts w:cs="Arial"/>
          <w:b w:val="0"/>
          <w:caps w:val="0"/>
          <w:kern w:val="0"/>
          <w:sz w:val="22"/>
          <w:szCs w:val="22"/>
        </w:rPr>
        <w:t>Refer to CLINICAL TRIALS section for safety study in patients with non-valvular atrial fibrillation undergoing PCI.</w:t>
      </w:r>
    </w:p>
    <w:p w14:paraId="2CDDFACF" w14:textId="77777777" w:rsidR="00782F2E" w:rsidRPr="00782F2E" w:rsidRDefault="00782F2E" w:rsidP="00782F2E">
      <w:pPr>
        <w:pStyle w:val="BayerBodyTextFull"/>
        <w:rPr>
          <w:lang w:val="en-AU"/>
        </w:rPr>
      </w:pPr>
    </w:p>
    <w:p w14:paraId="5AEB9B28" w14:textId="77777777" w:rsidR="004C2A46" w:rsidRPr="00DA6D02" w:rsidRDefault="00D2311E" w:rsidP="000202B5">
      <w:pPr>
        <w:pStyle w:val="Heading3"/>
      </w:pPr>
      <w:r w:rsidRPr="00DA6D02">
        <w:t>Post-marketing o</w:t>
      </w:r>
      <w:r w:rsidR="004C2A46" w:rsidRPr="00DA6D02">
        <w:t>bservations</w:t>
      </w:r>
    </w:p>
    <w:p w14:paraId="1BAC4412" w14:textId="77777777" w:rsidR="004C2A46" w:rsidRPr="00DA6D02" w:rsidRDefault="004C2A46" w:rsidP="00AB3AD6">
      <w:pPr>
        <w:ind w:left="630"/>
        <w:rPr>
          <w:rFonts w:cs="Arial"/>
          <w:szCs w:val="22"/>
        </w:rPr>
      </w:pPr>
      <w:r w:rsidRPr="00DA6D02">
        <w:rPr>
          <w:rFonts w:cs="Arial"/>
          <w:szCs w:val="22"/>
        </w:rPr>
        <w:t xml:space="preserve">The following adverse reactions have been reported post-marketing in temporal association with the use of </w:t>
      </w:r>
      <w:r w:rsidR="005F6704" w:rsidRPr="00DA6D02">
        <w:rPr>
          <w:rFonts w:cs="Arial"/>
          <w:szCs w:val="22"/>
        </w:rPr>
        <w:t>XARELTO</w:t>
      </w:r>
      <w:r w:rsidRPr="00DA6D02">
        <w:rPr>
          <w:rFonts w:cs="Arial"/>
          <w:szCs w:val="22"/>
        </w:rPr>
        <w:t xml:space="preserve">. </w:t>
      </w:r>
      <w:r w:rsidR="000D76B8" w:rsidRPr="00DA6D02">
        <w:rPr>
          <w:rFonts w:cs="Arial"/>
          <w:szCs w:val="22"/>
        </w:rPr>
        <w:t xml:space="preserve"> </w:t>
      </w:r>
      <w:r w:rsidRPr="00DA6D02">
        <w:rPr>
          <w:rFonts w:cs="Arial"/>
          <w:szCs w:val="22"/>
        </w:rPr>
        <w:t xml:space="preserve">The frequency of these adverse reactions reported from post-marketing experience cannot be estimated. </w:t>
      </w:r>
    </w:p>
    <w:p w14:paraId="3ABC27A7" w14:textId="77777777" w:rsidR="004C2A46" w:rsidRPr="00DA6D02" w:rsidRDefault="004C2A46" w:rsidP="00DA6D02">
      <w:pPr>
        <w:rPr>
          <w:rFonts w:cs="Arial"/>
          <w:szCs w:val="22"/>
        </w:rPr>
      </w:pPr>
    </w:p>
    <w:p w14:paraId="5F4A0596" w14:textId="77777777" w:rsidR="004C2A46" w:rsidRPr="00DA6D02" w:rsidRDefault="004C2A46" w:rsidP="00AB3AD6">
      <w:pPr>
        <w:ind w:left="630"/>
        <w:rPr>
          <w:rFonts w:cs="Arial"/>
          <w:szCs w:val="22"/>
        </w:rPr>
      </w:pPr>
      <w:r w:rsidRPr="00DA6D02">
        <w:rPr>
          <w:rFonts w:cs="Arial"/>
          <w:szCs w:val="22"/>
        </w:rPr>
        <w:t xml:space="preserve">Immune system disorders: </w:t>
      </w:r>
      <w:r w:rsidR="00E1748A" w:rsidRPr="00DA6D02">
        <w:rPr>
          <w:rFonts w:cs="Arial"/>
          <w:szCs w:val="22"/>
        </w:rPr>
        <w:t>a</w:t>
      </w:r>
      <w:r w:rsidRPr="00DA6D02">
        <w:rPr>
          <w:rFonts w:cs="Arial"/>
          <w:szCs w:val="22"/>
        </w:rPr>
        <w:t xml:space="preserve">ngioedema and allergic oedema </w:t>
      </w:r>
    </w:p>
    <w:p w14:paraId="35C5361E" w14:textId="77777777" w:rsidR="004C2A46" w:rsidRPr="00DA6D02" w:rsidRDefault="004C2A46" w:rsidP="00AB3AD6">
      <w:pPr>
        <w:ind w:left="630"/>
        <w:rPr>
          <w:rFonts w:cs="Arial"/>
          <w:szCs w:val="22"/>
        </w:rPr>
      </w:pPr>
    </w:p>
    <w:p w14:paraId="69B9E294" w14:textId="77777777" w:rsidR="004C2A46" w:rsidRPr="00DA6D02" w:rsidRDefault="004C2A46" w:rsidP="00AB3AD6">
      <w:pPr>
        <w:ind w:left="630"/>
        <w:rPr>
          <w:rFonts w:cs="Arial"/>
          <w:szCs w:val="22"/>
        </w:rPr>
      </w:pPr>
      <w:r w:rsidRPr="00DA6D02">
        <w:rPr>
          <w:rFonts w:cs="Arial"/>
          <w:szCs w:val="22"/>
        </w:rPr>
        <w:t xml:space="preserve">Hepatobiliary disorders: </w:t>
      </w:r>
      <w:r w:rsidR="00E1748A" w:rsidRPr="00DA6D02">
        <w:rPr>
          <w:rFonts w:cs="Arial"/>
          <w:szCs w:val="22"/>
        </w:rPr>
        <w:t>c</w:t>
      </w:r>
      <w:r w:rsidRPr="00DA6D02">
        <w:rPr>
          <w:rFonts w:cs="Arial"/>
          <w:szCs w:val="22"/>
        </w:rPr>
        <w:t xml:space="preserve">holestasis, </w:t>
      </w:r>
      <w:r w:rsidR="00E1748A" w:rsidRPr="00DA6D02">
        <w:rPr>
          <w:rFonts w:cs="Arial"/>
          <w:szCs w:val="22"/>
        </w:rPr>
        <w:t>h</w:t>
      </w:r>
      <w:r w:rsidRPr="00DA6D02">
        <w:rPr>
          <w:rFonts w:cs="Arial"/>
          <w:szCs w:val="22"/>
        </w:rPr>
        <w:t>epatitis (including hepatocellular injury)</w:t>
      </w:r>
    </w:p>
    <w:p w14:paraId="1B364520" w14:textId="77777777" w:rsidR="004C2A46" w:rsidRPr="00DA6D02" w:rsidRDefault="004C2A46" w:rsidP="00AB3AD6">
      <w:pPr>
        <w:ind w:left="630"/>
        <w:rPr>
          <w:rFonts w:cs="Arial"/>
          <w:szCs w:val="22"/>
        </w:rPr>
      </w:pPr>
    </w:p>
    <w:p w14:paraId="0C068BAF" w14:textId="77777777" w:rsidR="004C2A46" w:rsidRPr="00DA6D02" w:rsidRDefault="004C2A46" w:rsidP="00AB3AD6">
      <w:pPr>
        <w:ind w:left="630"/>
        <w:rPr>
          <w:rFonts w:cs="Arial"/>
          <w:szCs w:val="22"/>
        </w:rPr>
      </w:pPr>
      <w:r w:rsidRPr="00DA6D02">
        <w:rPr>
          <w:rFonts w:cs="Arial"/>
          <w:szCs w:val="22"/>
        </w:rPr>
        <w:t xml:space="preserve">Blood and lymphatic system disorders: </w:t>
      </w:r>
      <w:r w:rsidR="00E1748A" w:rsidRPr="00DA6D02">
        <w:rPr>
          <w:rFonts w:cs="Arial"/>
          <w:szCs w:val="22"/>
        </w:rPr>
        <w:t>t</w:t>
      </w:r>
      <w:r w:rsidRPr="00DA6D02">
        <w:rPr>
          <w:rFonts w:cs="Arial"/>
          <w:szCs w:val="22"/>
        </w:rPr>
        <w:t>hrombocytopaenia, agranulocytosis</w:t>
      </w:r>
    </w:p>
    <w:p w14:paraId="72296EBF" w14:textId="77777777" w:rsidR="004C2A46" w:rsidRPr="00DA6D02" w:rsidRDefault="004C2A46" w:rsidP="00AB3AD6">
      <w:pPr>
        <w:ind w:left="630"/>
        <w:rPr>
          <w:rFonts w:cs="Arial"/>
          <w:szCs w:val="22"/>
        </w:rPr>
      </w:pPr>
    </w:p>
    <w:p w14:paraId="3A8A7BBD" w14:textId="77777777" w:rsidR="004C2A46" w:rsidRPr="00DA6D02" w:rsidRDefault="004C2A46" w:rsidP="00AB3AD6">
      <w:pPr>
        <w:ind w:left="630"/>
        <w:rPr>
          <w:rFonts w:cs="Arial"/>
          <w:szCs w:val="22"/>
        </w:rPr>
      </w:pPr>
      <w:r w:rsidRPr="00DA6D02">
        <w:rPr>
          <w:rFonts w:cs="Arial"/>
          <w:szCs w:val="22"/>
        </w:rPr>
        <w:t xml:space="preserve">Skin and subcutaneous tissue disorders: Stevens-Johnson syndrome </w:t>
      </w:r>
    </w:p>
    <w:p w14:paraId="0EDE86E6" w14:textId="77777777" w:rsidR="00D14BEC" w:rsidRPr="009E68F7" w:rsidRDefault="00D14BEC" w:rsidP="00E90F26">
      <w:pPr>
        <w:pStyle w:val="BayerBodyTextFull"/>
      </w:pPr>
    </w:p>
    <w:p w14:paraId="09E9DD88" w14:textId="77777777" w:rsidR="000548F3" w:rsidRPr="000202B5" w:rsidRDefault="000548F3" w:rsidP="000202B5">
      <w:pPr>
        <w:pStyle w:val="Heading2"/>
      </w:pPr>
      <w:r w:rsidRPr="000202B5">
        <w:t>Overdose</w:t>
      </w:r>
    </w:p>
    <w:p w14:paraId="6BE451D1" w14:textId="77777777" w:rsidR="00161519" w:rsidRPr="002742BE" w:rsidRDefault="00161519" w:rsidP="00AB3AD6">
      <w:pPr>
        <w:autoSpaceDE w:val="0"/>
        <w:autoSpaceDN w:val="0"/>
        <w:spacing w:before="120" w:after="120"/>
        <w:ind w:left="578" w:right="45"/>
        <w:rPr>
          <w:rFonts w:cs="Arial"/>
          <w:noProof/>
          <w:szCs w:val="22"/>
        </w:rPr>
      </w:pPr>
      <w:r w:rsidRPr="002742BE">
        <w:rPr>
          <w:rFonts w:cs="Arial"/>
          <w:noProof/>
          <w:szCs w:val="22"/>
        </w:rPr>
        <w:t xml:space="preserve">Overdose following administration of </w:t>
      </w:r>
      <w:r w:rsidR="005F6704">
        <w:rPr>
          <w:rFonts w:cs="Arial"/>
          <w:noProof/>
          <w:szCs w:val="22"/>
        </w:rPr>
        <w:t>XARELTO</w:t>
      </w:r>
      <w:r w:rsidRPr="002742BE">
        <w:rPr>
          <w:rFonts w:cs="Arial"/>
          <w:noProof/>
          <w:szCs w:val="22"/>
        </w:rPr>
        <w:t xml:space="preserve"> may lead to haemorrhagic complications due to </w:t>
      </w:r>
      <w:r w:rsidR="000D76B8">
        <w:rPr>
          <w:rFonts w:cs="Arial"/>
          <w:noProof/>
          <w:szCs w:val="22"/>
        </w:rPr>
        <w:t>its</w:t>
      </w:r>
      <w:r w:rsidR="00BA01EB">
        <w:rPr>
          <w:rFonts w:cs="Arial"/>
          <w:noProof/>
          <w:szCs w:val="22"/>
        </w:rPr>
        <w:t xml:space="preserve"> pharmacodynamic properties</w:t>
      </w:r>
      <w:r w:rsidR="000D76B8">
        <w:rPr>
          <w:rFonts w:cs="Arial"/>
          <w:noProof/>
          <w:szCs w:val="22"/>
        </w:rPr>
        <w:t>.</w:t>
      </w:r>
    </w:p>
    <w:p w14:paraId="3123AD99" w14:textId="77777777" w:rsidR="00161519" w:rsidRPr="002742BE" w:rsidRDefault="00161519" w:rsidP="00AB3AD6">
      <w:pPr>
        <w:autoSpaceDE w:val="0"/>
        <w:autoSpaceDN w:val="0"/>
        <w:spacing w:before="120" w:after="120"/>
        <w:ind w:left="578" w:right="45"/>
        <w:rPr>
          <w:rFonts w:cs="Arial"/>
          <w:szCs w:val="22"/>
        </w:rPr>
      </w:pPr>
      <w:r w:rsidRPr="002742BE">
        <w:rPr>
          <w:rFonts w:cs="Arial"/>
          <w:szCs w:val="22"/>
        </w:rPr>
        <w:t>R</w:t>
      </w:r>
      <w:r w:rsidR="000D76B8">
        <w:rPr>
          <w:rFonts w:cs="Arial"/>
          <w:szCs w:val="22"/>
        </w:rPr>
        <w:t xml:space="preserve">are cases of overdose up to 600 </w:t>
      </w:r>
      <w:r w:rsidRPr="002742BE">
        <w:rPr>
          <w:rFonts w:cs="Arial"/>
          <w:szCs w:val="22"/>
        </w:rPr>
        <w:t xml:space="preserve">mg have been reported without bleeding complications or other adverse reactions. </w:t>
      </w:r>
      <w:r w:rsidR="000D76B8">
        <w:rPr>
          <w:rFonts w:cs="Arial"/>
          <w:szCs w:val="22"/>
        </w:rPr>
        <w:t xml:space="preserve"> </w:t>
      </w:r>
      <w:r w:rsidRPr="002742BE">
        <w:rPr>
          <w:rFonts w:cs="Arial"/>
          <w:szCs w:val="22"/>
        </w:rPr>
        <w:t xml:space="preserve">Due to limited absorption a ceiling effect with no further increase in average plasma exposure is expected </w:t>
      </w:r>
      <w:r w:rsidR="000D76B8">
        <w:rPr>
          <w:rFonts w:cs="Arial"/>
          <w:szCs w:val="22"/>
        </w:rPr>
        <w:t xml:space="preserve">at supratherapeutic doses of 50 </w:t>
      </w:r>
      <w:r w:rsidRPr="002742BE">
        <w:rPr>
          <w:rFonts w:cs="Arial"/>
          <w:szCs w:val="22"/>
        </w:rPr>
        <w:t>mg or above.</w:t>
      </w:r>
    </w:p>
    <w:p w14:paraId="40C784FF" w14:textId="77777777" w:rsidR="00161519" w:rsidRDefault="00161519" w:rsidP="00AB3AD6">
      <w:pPr>
        <w:autoSpaceDE w:val="0"/>
        <w:autoSpaceDN w:val="0"/>
        <w:spacing w:before="120" w:after="120"/>
        <w:ind w:left="578" w:right="45"/>
        <w:rPr>
          <w:rFonts w:cs="Arial"/>
          <w:noProof/>
          <w:szCs w:val="22"/>
        </w:rPr>
      </w:pPr>
      <w:r w:rsidRPr="002742BE">
        <w:rPr>
          <w:rFonts w:cs="Arial"/>
          <w:noProof/>
          <w:szCs w:val="22"/>
        </w:rPr>
        <w:t>A specific antidote antagonising the pharmacological effect of rivaroxaban is not available.</w:t>
      </w:r>
    </w:p>
    <w:p w14:paraId="4146103D" w14:textId="77777777" w:rsidR="0064304F" w:rsidRPr="002742BE" w:rsidRDefault="0064304F" w:rsidP="00AB3AD6">
      <w:pPr>
        <w:autoSpaceDE w:val="0"/>
        <w:autoSpaceDN w:val="0"/>
        <w:spacing w:before="120" w:after="120"/>
        <w:ind w:right="45" w:firstLine="578"/>
        <w:rPr>
          <w:rFonts w:cs="Arial"/>
          <w:noProof/>
          <w:szCs w:val="22"/>
        </w:rPr>
      </w:pPr>
      <w:r>
        <w:rPr>
          <w:rFonts w:cs="Arial"/>
          <w:noProof/>
          <w:szCs w:val="22"/>
        </w:rPr>
        <w:t>For all overdoses, the mainstay of treatment is supportive and symptomatic care.</w:t>
      </w:r>
    </w:p>
    <w:p w14:paraId="37E9D9B0" w14:textId="77777777" w:rsidR="00161519" w:rsidRPr="002742BE" w:rsidRDefault="00161519" w:rsidP="00AB3AD6">
      <w:pPr>
        <w:autoSpaceDE w:val="0"/>
        <w:autoSpaceDN w:val="0"/>
        <w:spacing w:before="120" w:after="120"/>
        <w:ind w:left="578" w:right="45"/>
        <w:rPr>
          <w:rFonts w:cs="Arial"/>
          <w:noProof/>
          <w:szCs w:val="22"/>
        </w:rPr>
      </w:pPr>
      <w:r w:rsidRPr="002742BE">
        <w:rPr>
          <w:rFonts w:cs="Arial"/>
          <w:noProof/>
          <w:szCs w:val="22"/>
        </w:rPr>
        <w:t xml:space="preserve">Activated charcoal may reduce absorption of the drug if given within 8 hours after ingestion. </w:t>
      </w:r>
      <w:r w:rsidR="009B25E5">
        <w:rPr>
          <w:rFonts w:cs="Arial"/>
          <w:noProof/>
          <w:szCs w:val="22"/>
        </w:rPr>
        <w:t xml:space="preserve"> </w:t>
      </w:r>
      <w:r w:rsidRPr="002742BE">
        <w:rPr>
          <w:rFonts w:cs="Arial"/>
          <w:noProof/>
          <w:szCs w:val="22"/>
        </w:rPr>
        <w:t>In patients who are not fully conscious or have impaired gag reflex, consideration should be given to administering activated charcoal via a nasogastric tube</w:t>
      </w:r>
      <w:r w:rsidR="000D76B8">
        <w:rPr>
          <w:rFonts w:cs="Arial"/>
          <w:noProof/>
          <w:szCs w:val="22"/>
        </w:rPr>
        <w:t>, once the airway is protected.</w:t>
      </w:r>
    </w:p>
    <w:p w14:paraId="21511380" w14:textId="77777777" w:rsidR="00161519" w:rsidRPr="002742BE" w:rsidRDefault="00161519" w:rsidP="00AB3AD6">
      <w:pPr>
        <w:spacing w:before="120" w:after="120"/>
        <w:ind w:left="578" w:right="45"/>
        <w:rPr>
          <w:rFonts w:cs="Arial"/>
          <w:noProof/>
          <w:szCs w:val="22"/>
        </w:rPr>
      </w:pPr>
      <w:r w:rsidRPr="002742BE">
        <w:rPr>
          <w:rFonts w:cs="Arial"/>
          <w:noProof/>
          <w:szCs w:val="22"/>
        </w:rPr>
        <w:t>Protamine sulphate and Vitamin</w:t>
      </w:r>
      <w:r w:rsidR="00F8697B">
        <w:rPr>
          <w:rFonts w:cs="Arial"/>
          <w:noProof/>
          <w:szCs w:val="22"/>
        </w:rPr>
        <w:t xml:space="preserve"> </w:t>
      </w:r>
      <w:r w:rsidRPr="002742BE">
        <w:rPr>
          <w:rFonts w:cs="Arial"/>
          <w:noProof/>
          <w:szCs w:val="22"/>
        </w:rPr>
        <w:t xml:space="preserve">K are not expected to affect the anticoagulant activity of rivaroxaban. </w:t>
      </w:r>
      <w:r w:rsidR="000D76B8">
        <w:rPr>
          <w:rFonts w:cs="Arial"/>
          <w:noProof/>
          <w:szCs w:val="22"/>
        </w:rPr>
        <w:t xml:space="preserve"> </w:t>
      </w:r>
      <w:r w:rsidRPr="002742BE">
        <w:rPr>
          <w:rFonts w:cs="Arial"/>
          <w:szCs w:val="22"/>
        </w:rPr>
        <w:t>Due to the high plasma protein binding rivaroxaban is not expected to be dialysable.</w:t>
      </w:r>
    </w:p>
    <w:p w14:paraId="3E65D1D1" w14:textId="77777777" w:rsidR="00161519" w:rsidRPr="002742BE" w:rsidRDefault="00506723" w:rsidP="00AB3AD6">
      <w:pPr>
        <w:spacing w:before="120" w:after="120"/>
        <w:ind w:left="578" w:right="45"/>
        <w:rPr>
          <w:rFonts w:cs="Arial"/>
          <w:szCs w:val="22"/>
        </w:rPr>
      </w:pPr>
      <w:r>
        <w:rPr>
          <w:rFonts w:cs="Arial"/>
          <w:szCs w:val="22"/>
        </w:rPr>
        <w:t>For information on the management of overdose, contact the</w:t>
      </w:r>
      <w:r w:rsidRPr="002742BE">
        <w:rPr>
          <w:rFonts w:cs="Arial"/>
          <w:szCs w:val="22"/>
        </w:rPr>
        <w:t xml:space="preserve"> </w:t>
      </w:r>
      <w:r w:rsidR="00161519" w:rsidRPr="002742BE">
        <w:rPr>
          <w:rFonts w:cs="Arial"/>
          <w:szCs w:val="22"/>
        </w:rPr>
        <w:t xml:space="preserve">Poisons Information Centre </w:t>
      </w:r>
      <w:r>
        <w:rPr>
          <w:rFonts w:cs="Arial"/>
          <w:szCs w:val="22"/>
        </w:rPr>
        <w:t xml:space="preserve">on </w:t>
      </w:r>
      <w:r w:rsidR="00161519" w:rsidRPr="002742BE">
        <w:rPr>
          <w:rFonts w:cs="Arial"/>
          <w:szCs w:val="22"/>
        </w:rPr>
        <w:t xml:space="preserve">131126 </w:t>
      </w:r>
      <w:r>
        <w:rPr>
          <w:rFonts w:cs="Arial"/>
          <w:szCs w:val="22"/>
        </w:rPr>
        <w:t>(Australia)</w:t>
      </w:r>
      <w:r w:rsidR="00161519" w:rsidRPr="002742BE">
        <w:rPr>
          <w:rFonts w:cs="Arial"/>
          <w:szCs w:val="22"/>
        </w:rPr>
        <w:t>.</w:t>
      </w:r>
    </w:p>
    <w:p w14:paraId="632F213B" w14:textId="77777777" w:rsidR="00161519" w:rsidRPr="00161519" w:rsidRDefault="00161519" w:rsidP="00E90F26">
      <w:pPr>
        <w:pStyle w:val="BayerBodyTextFull"/>
        <w:rPr>
          <w:highlight w:val="lightGray"/>
        </w:rPr>
      </w:pPr>
    </w:p>
    <w:p w14:paraId="221ABA43" w14:textId="77777777" w:rsidR="007F08E4" w:rsidRPr="000202B5" w:rsidRDefault="00792CC7" w:rsidP="000202B5">
      <w:pPr>
        <w:pStyle w:val="Heading1"/>
      </w:pPr>
      <w:bookmarkStart w:id="31" w:name="_Ref522884309"/>
      <w:r w:rsidRPr="000202B5">
        <w:t>PHARMACOLOGICAL PROPERTIES</w:t>
      </w:r>
      <w:bookmarkEnd w:id="31"/>
    </w:p>
    <w:p w14:paraId="76687068" w14:textId="77777777" w:rsidR="007F08E4" w:rsidRPr="000202B5" w:rsidRDefault="00792CC7" w:rsidP="000202B5">
      <w:pPr>
        <w:pStyle w:val="Heading2"/>
      </w:pPr>
      <w:bookmarkStart w:id="32" w:name="_Ref522882098"/>
      <w:r w:rsidRPr="000202B5">
        <w:t>PHARMACODYNAMIC PROPERTIES</w:t>
      </w:r>
      <w:bookmarkEnd w:id="32"/>
    </w:p>
    <w:p w14:paraId="1FAD3E58" w14:textId="77777777" w:rsidR="009454E4" w:rsidRPr="002742BE" w:rsidRDefault="009454E4" w:rsidP="00AB3AD6">
      <w:pPr>
        <w:spacing w:before="120" w:after="240"/>
        <w:ind w:right="46" w:firstLine="578"/>
        <w:jc w:val="both"/>
        <w:rPr>
          <w:rFonts w:cs="Arial"/>
          <w:noProof/>
          <w:szCs w:val="22"/>
        </w:rPr>
      </w:pPr>
      <w:r w:rsidRPr="002742BE">
        <w:rPr>
          <w:rFonts w:cs="Arial"/>
          <w:noProof/>
          <w:szCs w:val="22"/>
        </w:rPr>
        <w:t>Pharmacotherapeutic group: Antithrombotic agent</w:t>
      </w:r>
    </w:p>
    <w:p w14:paraId="543D737C" w14:textId="77777777" w:rsidR="007F08E4" w:rsidRPr="000202B5" w:rsidRDefault="007F08E4" w:rsidP="000202B5">
      <w:pPr>
        <w:pStyle w:val="Heading3"/>
      </w:pPr>
      <w:r w:rsidRPr="000202B5">
        <w:t>Mechanism of action</w:t>
      </w:r>
    </w:p>
    <w:p w14:paraId="54843AC1" w14:textId="77777777" w:rsidR="009454E4" w:rsidRPr="002742BE" w:rsidRDefault="009454E4" w:rsidP="00AB3AD6">
      <w:pPr>
        <w:keepNext/>
        <w:spacing w:before="120" w:after="240"/>
        <w:ind w:right="46" w:firstLine="630"/>
        <w:rPr>
          <w:rFonts w:cs="Arial"/>
          <w:noProof/>
          <w:szCs w:val="22"/>
        </w:rPr>
      </w:pPr>
      <w:r w:rsidRPr="002742BE">
        <w:rPr>
          <w:rFonts w:cs="Arial"/>
          <w:noProof/>
          <w:szCs w:val="22"/>
        </w:rPr>
        <w:t>Rivaroxaban is a highly selective direct Factor Xa inhibitor with oral bioavailability.</w:t>
      </w:r>
    </w:p>
    <w:p w14:paraId="6FCEEEBA" w14:textId="77777777" w:rsidR="009454E4" w:rsidRPr="002742BE" w:rsidRDefault="009454E4" w:rsidP="00AB3AD6">
      <w:pPr>
        <w:tabs>
          <w:tab w:val="left" w:pos="8640"/>
        </w:tabs>
        <w:spacing w:before="120" w:after="240"/>
        <w:ind w:left="630" w:right="46"/>
        <w:rPr>
          <w:rFonts w:cs="Arial"/>
          <w:noProof/>
          <w:szCs w:val="22"/>
        </w:rPr>
      </w:pPr>
      <w:r w:rsidRPr="002742BE">
        <w:rPr>
          <w:rFonts w:cs="Arial"/>
          <w:noProof/>
          <w:szCs w:val="22"/>
        </w:rPr>
        <w:t xml:space="preserve">Activation of Factor X to Factor Xa (FXa) via the intrinsic and extrinsic pathway plays a central role in the cascade of blood coagulation. </w:t>
      </w:r>
      <w:r w:rsidR="000D76B8">
        <w:rPr>
          <w:rFonts w:cs="Arial"/>
          <w:noProof/>
          <w:szCs w:val="22"/>
        </w:rPr>
        <w:t xml:space="preserve"> </w:t>
      </w:r>
      <w:r w:rsidRPr="002742BE">
        <w:rPr>
          <w:rFonts w:cs="Arial"/>
          <w:noProof/>
          <w:szCs w:val="22"/>
        </w:rPr>
        <w:t>FXa directly converts prothrombin to thrombin through the prothrombinase complex, and ultimately, this reaction leads to fibrin clot formation and activation of platelets by thrombin.</w:t>
      </w:r>
      <w:r w:rsidR="000D76B8">
        <w:rPr>
          <w:rFonts w:cs="Arial"/>
          <w:noProof/>
          <w:szCs w:val="22"/>
        </w:rPr>
        <w:t xml:space="preserve"> </w:t>
      </w:r>
      <w:r w:rsidRPr="002742BE">
        <w:rPr>
          <w:rFonts w:cs="Arial"/>
          <w:noProof/>
          <w:szCs w:val="22"/>
        </w:rPr>
        <w:t xml:space="preserve"> One molecule of FXa is able to generate more than 1</w:t>
      </w:r>
      <w:r w:rsidR="000D76B8">
        <w:rPr>
          <w:rFonts w:cs="Arial"/>
          <w:noProof/>
          <w:szCs w:val="22"/>
        </w:rPr>
        <w:t>,</w:t>
      </w:r>
      <w:r w:rsidRPr="002742BE">
        <w:rPr>
          <w:rFonts w:cs="Arial"/>
          <w:noProof/>
          <w:szCs w:val="22"/>
        </w:rPr>
        <w:t xml:space="preserve">000 molecules of thrombin due to the amplification nature of the coagulation cascade. </w:t>
      </w:r>
      <w:r w:rsidR="000D76B8">
        <w:rPr>
          <w:rFonts w:cs="Arial"/>
          <w:noProof/>
          <w:szCs w:val="22"/>
        </w:rPr>
        <w:t xml:space="preserve"> </w:t>
      </w:r>
      <w:r w:rsidRPr="002742BE">
        <w:rPr>
          <w:rFonts w:cs="Arial"/>
          <w:noProof/>
          <w:szCs w:val="22"/>
        </w:rPr>
        <w:t xml:space="preserve">In addition, the reaction rate of prothrombinase-bound FXa increases 300,000-fold compared to that of free FXa and causes an explosive burst of thrombin generation. </w:t>
      </w:r>
      <w:r w:rsidR="000D76B8">
        <w:rPr>
          <w:rFonts w:cs="Arial"/>
          <w:noProof/>
          <w:szCs w:val="22"/>
        </w:rPr>
        <w:t xml:space="preserve"> </w:t>
      </w:r>
      <w:r w:rsidRPr="002742BE">
        <w:rPr>
          <w:rFonts w:cs="Arial"/>
          <w:noProof/>
          <w:szCs w:val="22"/>
        </w:rPr>
        <w:t xml:space="preserve">Selective inhibitors of FXa can terminate the amplified burst of thrombin generation. </w:t>
      </w:r>
      <w:r w:rsidR="000D76B8">
        <w:rPr>
          <w:rFonts w:cs="Arial"/>
          <w:noProof/>
          <w:szCs w:val="22"/>
        </w:rPr>
        <w:t xml:space="preserve"> </w:t>
      </w:r>
      <w:r w:rsidRPr="002742BE">
        <w:rPr>
          <w:rFonts w:cs="Arial"/>
          <w:noProof/>
          <w:szCs w:val="22"/>
        </w:rPr>
        <w:t xml:space="preserve">Consequently, several specific and global </w:t>
      </w:r>
      <w:r w:rsidRPr="002742BE">
        <w:rPr>
          <w:rFonts w:cs="Arial"/>
          <w:noProof/>
          <w:szCs w:val="22"/>
        </w:rPr>
        <w:lastRenderedPageBreak/>
        <w:t>clotting tests are affected by rivaroxaban.</w:t>
      </w:r>
      <w:r w:rsidR="000D76B8">
        <w:rPr>
          <w:rFonts w:cs="Arial"/>
          <w:noProof/>
          <w:szCs w:val="22"/>
        </w:rPr>
        <w:t xml:space="preserve"> </w:t>
      </w:r>
      <w:r w:rsidRPr="002742BE">
        <w:rPr>
          <w:rFonts w:cs="Arial"/>
          <w:noProof/>
          <w:szCs w:val="22"/>
        </w:rPr>
        <w:t xml:space="preserve"> Dose dependent inhibition of Factor Xa activity was observed in humans.</w:t>
      </w:r>
    </w:p>
    <w:p w14:paraId="70A955FF" w14:textId="77777777" w:rsidR="009454E4" w:rsidRPr="007D79EA" w:rsidRDefault="009454E4" w:rsidP="00AB3AD6">
      <w:pPr>
        <w:pStyle w:val="Default"/>
        <w:keepNext/>
        <w:spacing w:before="240" w:after="120"/>
        <w:ind w:left="630" w:right="45"/>
        <w:rPr>
          <w:rFonts w:ascii="Arial" w:hAnsi="Arial" w:cs="Arial"/>
          <w:b/>
          <w:i/>
          <w:sz w:val="22"/>
          <w:szCs w:val="22"/>
        </w:rPr>
      </w:pPr>
      <w:r w:rsidRPr="007D79EA">
        <w:rPr>
          <w:rFonts w:ascii="Arial" w:hAnsi="Arial" w:cs="Arial"/>
          <w:b/>
          <w:i/>
          <w:sz w:val="22"/>
          <w:szCs w:val="22"/>
        </w:rPr>
        <w:t>Pharmacodynamic effects</w:t>
      </w:r>
    </w:p>
    <w:p w14:paraId="2B54FE5D" w14:textId="77777777" w:rsidR="009454E4" w:rsidRPr="002742BE" w:rsidRDefault="009454E4" w:rsidP="00AB3AD6">
      <w:pPr>
        <w:pStyle w:val="Default"/>
        <w:tabs>
          <w:tab w:val="left" w:pos="8640"/>
        </w:tabs>
        <w:spacing w:before="120" w:after="240"/>
        <w:ind w:left="630" w:right="46"/>
        <w:rPr>
          <w:rFonts w:ascii="Arial" w:hAnsi="Arial" w:cs="Arial"/>
          <w:sz w:val="22"/>
          <w:szCs w:val="22"/>
        </w:rPr>
      </w:pPr>
      <w:r w:rsidRPr="002742BE">
        <w:rPr>
          <w:rFonts w:ascii="Arial" w:hAnsi="Arial" w:cs="Arial"/>
          <w:sz w:val="22"/>
          <w:szCs w:val="22"/>
        </w:rPr>
        <w:t xml:space="preserve">Dose dependent inhibition of Factor Xa activity was observed in humans. </w:t>
      </w:r>
      <w:r w:rsidR="000D76B8">
        <w:rPr>
          <w:rFonts w:ascii="Arial" w:hAnsi="Arial" w:cs="Arial"/>
          <w:sz w:val="22"/>
          <w:szCs w:val="22"/>
        </w:rPr>
        <w:t xml:space="preserve"> </w:t>
      </w:r>
      <w:r w:rsidRPr="002742BE">
        <w:rPr>
          <w:rFonts w:ascii="Arial" w:hAnsi="Arial" w:cs="Arial"/>
          <w:sz w:val="22"/>
          <w:szCs w:val="22"/>
        </w:rPr>
        <w:t xml:space="preserve">Prothrombin time (PT) is influenced by rivaroxaban in a dose dependent way with a close correlation to plasma concentrations (r value equals 0.98) if Neoplastin is used for the assay. </w:t>
      </w:r>
      <w:r w:rsidR="000D76B8">
        <w:rPr>
          <w:rFonts w:ascii="Arial" w:hAnsi="Arial" w:cs="Arial"/>
          <w:sz w:val="22"/>
          <w:szCs w:val="22"/>
        </w:rPr>
        <w:t xml:space="preserve"> </w:t>
      </w:r>
      <w:r w:rsidRPr="002742BE">
        <w:rPr>
          <w:rFonts w:ascii="Arial" w:hAnsi="Arial" w:cs="Arial"/>
          <w:sz w:val="22"/>
          <w:szCs w:val="22"/>
        </w:rPr>
        <w:t xml:space="preserve">Other reagents would provide different results. </w:t>
      </w:r>
      <w:r w:rsidR="000D76B8">
        <w:rPr>
          <w:rFonts w:ascii="Arial" w:hAnsi="Arial" w:cs="Arial"/>
          <w:sz w:val="22"/>
          <w:szCs w:val="22"/>
        </w:rPr>
        <w:t xml:space="preserve"> </w:t>
      </w:r>
      <w:r w:rsidRPr="002742BE">
        <w:rPr>
          <w:rFonts w:ascii="Arial" w:hAnsi="Arial" w:cs="Arial"/>
          <w:sz w:val="22"/>
          <w:szCs w:val="22"/>
        </w:rPr>
        <w:t>The readout for PT is to be done in seconds, because the INR (International Normalised Ratio) is only calibrated and validated for coumarins and cannot be used for any other anticoagulant</w:t>
      </w:r>
      <w:r>
        <w:rPr>
          <w:rFonts w:ascii="Arial" w:hAnsi="Arial" w:cs="Arial"/>
          <w:sz w:val="22"/>
          <w:szCs w:val="22"/>
        </w:rPr>
        <w:t>.</w:t>
      </w:r>
    </w:p>
    <w:p w14:paraId="76AF10D2" w14:textId="77777777" w:rsidR="00D9199E" w:rsidRDefault="00D9199E" w:rsidP="00AB3AD6">
      <w:pPr>
        <w:pStyle w:val="Caption"/>
        <w:ind w:left="630"/>
      </w:pPr>
      <w:bookmarkStart w:id="33" w:name="_Ref498338600"/>
      <w:r>
        <w:br w:type="page"/>
      </w:r>
    </w:p>
    <w:p w14:paraId="35253CBB" w14:textId="0848E789" w:rsidR="009454E4" w:rsidRPr="00F8697B" w:rsidRDefault="00F8697B" w:rsidP="00AB3AD6">
      <w:pPr>
        <w:pStyle w:val="Caption"/>
        <w:ind w:left="630"/>
        <w:rPr>
          <w:rFonts w:cs="Arial"/>
        </w:rPr>
      </w:pPr>
      <w:r w:rsidRPr="00F8697B">
        <w:lastRenderedPageBreak/>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9</w:t>
      </w:r>
      <w:r w:rsidR="005D4DAE">
        <w:rPr>
          <w:noProof/>
        </w:rPr>
        <w:fldChar w:fldCharType="end"/>
      </w:r>
      <w:bookmarkEnd w:id="33"/>
      <w:r w:rsidRPr="00F8697B">
        <w:t>:</w:t>
      </w:r>
      <w:r w:rsidR="009454E4" w:rsidRPr="00F8697B">
        <w:rPr>
          <w:rFonts w:cs="Arial"/>
        </w:rPr>
        <w:t xml:space="preserve"> 5/95 percentiles for PT (Neoplastin</w:t>
      </w:r>
      <w:r w:rsidR="00243CA3" w:rsidRPr="00243CA3">
        <w:rPr>
          <w:rFonts w:cs="Arial"/>
          <w:vertAlign w:val="superscript"/>
        </w:rPr>
        <w:t>®</w:t>
      </w:r>
      <w:r w:rsidR="009454E4" w:rsidRPr="00F8697B">
        <w:rPr>
          <w:rFonts w:cs="Arial"/>
        </w:rPr>
        <w:t>) after tablet intake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530"/>
        <w:gridCol w:w="1292"/>
        <w:gridCol w:w="1080"/>
        <w:gridCol w:w="1080"/>
        <w:gridCol w:w="1180"/>
      </w:tblGrid>
      <w:tr w:rsidR="008B7004" w:rsidRPr="00DA6D02" w14:paraId="38D81F67" w14:textId="77777777" w:rsidTr="008B7004">
        <w:trPr>
          <w:trHeight w:val="1619"/>
        </w:trPr>
        <w:tc>
          <w:tcPr>
            <w:tcW w:w="2070" w:type="dxa"/>
            <w:vMerge w:val="restart"/>
            <w:shd w:val="clear" w:color="auto" w:fill="D9D9D9" w:themeFill="background1" w:themeFillShade="D9"/>
          </w:tcPr>
          <w:p w14:paraId="70978FE6" w14:textId="77777777" w:rsidR="008B7004" w:rsidRPr="00DA6D02" w:rsidRDefault="008B7004" w:rsidP="00E92041">
            <w:pPr>
              <w:pStyle w:val="Default"/>
              <w:tabs>
                <w:tab w:val="left" w:pos="567"/>
                <w:tab w:val="left" w:pos="8640"/>
              </w:tabs>
              <w:spacing w:before="120" w:after="240" w:line="300" w:lineRule="atLeast"/>
              <w:ind w:right="46"/>
              <w:rPr>
                <w:rFonts w:ascii="Arial" w:hAnsi="Arial" w:cs="Arial"/>
                <w:b/>
                <w:sz w:val="18"/>
                <w:szCs w:val="18"/>
              </w:rPr>
            </w:pPr>
            <w:r w:rsidRPr="00DA6D02">
              <w:rPr>
                <w:rFonts w:ascii="Arial" w:hAnsi="Arial" w:cs="Arial"/>
                <w:b/>
                <w:sz w:val="18"/>
                <w:szCs w:val="18"/>
              </w:rPr>
              <w:t>Dosage</w:t>
            </w:r>
          </w:p>
        </w:tc>
        <w:tc>
          <w:tcPr>
            <w:tcW w:w="1530" w:type="dxa"/>
            <w:shd w:val="clear" w:color="auto" w:fill="D9D9D9" w:themeFill="background1" w:themeFillShade="D9"/>
          </w:tcPr>
          <w:p w14:paraId="01784CB7" w14:textId="77777777" w:rsidR="008B7004" w:rsidRPr="00DA6D02" w:rsidRDefault="008B7004" w:rsidP="00E92041">
            <w:pPr>
              <w:pStyle w:val="Default"/>
              <w:tabs>
                <w:tab w:val="left" w:pos="567"/>
                <w:tab w:val="left" w:pos="8640"/>
              </w:tabs>
              <w:spacing w:before="120" w:after="240" w:line="300" w:lineRule="atLeast"/>
              <w:ind w:right="46"/>
              <w:rPr>
                <w:rFonts w:ascii="Arial" w:hAnsi="Arial" w:cs="Arial"/>
                <w:b/>
                <w:sz w:val="18"/>
                <w:szCs w:val="18"/>
              </w:rPr>
            </w:pPr>
            <w:r w:rsidRPr="00DA6D02">
              <w:rPr>
                <w:rFonts w:ascii="Arial" w:hAnsi="Arial" w:cs="Arial"/>
                <w:b/>
                <w:sz w:val="18"/>
                <w:szCs w:val="18"/>
              </w:rPr>
              <w:t>VTE Prevention in total hip and knee replacement</w:t>
            </w:r>
          </w:p>
        </w:tc>
        <w:tc>
          <w:tcPr>
            <w:tcW w:w="2372" w:type="dxa"/>
            <w:gridSpan w:val="2"/>
            <w:shd w:val="clear" w:color="auto" w:fill="D9D9D9" w:themeFill="background1" w:themeFillShade="D9"/>
          </w:tcPr>
          <w:p w14:paraId="7F23BA28" w14:textId="6FE7220C" w:rsidR="008B7004" w:rsidRPr="00DA6D02" w:rsidRDefault="008B7004" w:rsidP="007A7BFE">
            <w:pPr>
              <w:pStyle w:val="Default"/>
              <w:spacing w:before="120" w:after="240" w:line="300" w:lineRule="atLeast"/>
              <w:ind w:right="46"/>
              <w:rPr>
                <w:rFonts w:ascii="Arial" w:hAnsi="Arial" w:cs="Arial"/>
                <w:b/>
                <w:sz w:val="18"/>
                <w:szCs w:val="18"/>
              </w:rPr>
            </w:pPr>
            <w:r w:rsidRPr="00DA6D02">
              <w:rPr>
                <w:rFonts w:ascii="Arial" w:hAnsi="Arial" w:cs="Arial"/>
                <w:b/>
                <w:sz w:val="18"/>
                <w:szCs w:val="18"/>
              </w:rPr>
              <w:t xml:space="preserve">DVT </w:t>
            </w:r>
            <w:r>
              <w:rPr>
                <w:rFonts w:ascii="Arial" w:hAnsi="Arial" w:cs="Arial"/>
                <w:b/>
                <w:sz w:val="18"/>
                <w:szCs w:val="18"/>
              </w:rPr>
              <w:t xml:space="preserve">and PE </w:t>
            </w:r>
            <w:r w:rsidRPr="00DA6D02">
              <w:rPr>
                <w:rFonts w:ascii="Arial" w:hAnsi="Arial" w:cs="Arial"/>
                <w:b/>
                <w:sz w:val="18"/>
                <w:szCs w:val="18"/>
              </w:rPr>
              <w:t>Treatment and prevention of recurrent DVT and PE</w:t>
            </w:r>
          </w:p>
        </w:tc>
        <w:tc>
          <w:tcPr>
            <w:tcW w:w="2260" w:type="dxa"/>
            <w:gridSpan w:val="2"/>
            <w:shd w:val="clear" w:color="auto" w:fill="D9D9D9" w:themeFill="background1" w:themeFillShade="D9"/>
          </w:tcPr>
          <w:p w14:paraId="18A97AC9" w14:textId="77777777" w:rsidR="008B7004" w:rsidRPr="00DA6D02" w:rsidRDefault="008B7004" w:rsidP="00E92041">
            <w:pPr>
              <w:pStyle w:val="Default"/>
              <w:tabs>
                <w:tab w:val="left" w:pos="567"/>
                <w:tab w:val="left" w:pos="8640"/>
              </w:tabs>
              <w:spacing w:before="120" w:after="240" w:line="300" w:lineRule="atLeast"/>
              <w:ind w:right="46"/>
              <w:rPr>
                <w:rFonts w:ascii="Arial" w:hAnsi="Arial" w:cs="Arial"/>
                <w:b/>
                <w:sz w:val="18"/>
                <w:szCs w:val="18"/>
              </w:rPr>
            </w:pPr>
            <w:r w:rsidRPr="00DA6D02">
              <w:rPr>
                <w:rFonts w:ascii="Arial" w:hAnsi="Arial" w:cs="Arial"/>
                <w:b/>
                <w:sz w:val="18"/>
                <w:szCs w:val="18"/>
              </w:rPr>
              <w:t>Stroke Prevention in Atrial Fibrillation</w:t>
            </w:r>
            <w:r>
              <w:rPr>
                <w:rFonts w:ascii="Arial" w:hAnsi="Arial" w:cs="Arial"/>
                <w:b/>
                <w:sz w:val="18"/>
                <w:szCs w:val="18"/>
              </w:rPr>
              <w:t>*</w:t>
            </w:r>
          </w:p>
        </w:tc>
      </w:tr>
      <w:tr w:rsidR="008B7004" w:rsidRPr="002742BE" w14:paraId="4B8DB7D0" w14:textId="77777777" w:rsidTr="008B7004">
        <w:tc>
          <w:tcPr>
            <w:tcW w:w="2070" w:type="dxa"/>
            <w:vMerge/>
            <w:shd w:val="clear" w:color="auto" w:fill="D9D9D9" w:themeFill="background1" w:themeFillShade="D9"/>
          </w:tcPr>
          <w:p w14:paraId="5639769A" w14:textId="77777777" w:rsidR="008B7004" w:rsidRPr="00DA6D02" w:rsidRDefault="008B7004" w:rsidP="00E92041">
            <w:pPr>
              <w:pStyle w:val="Default"/>
              <w:tabs>
                <w:tab w:val="left" w:pos="567"/>
                <w:tab w:val="left" w:pos="8640"/>
              </w:tabs>
              <w:spacing w:before="120" w:after="240" w:line="300" w:lineRule="atLeast"/>
              <w:ind w:right="46"/>
              <w:rPr>
                <w:rFonts w:ascii="Arial" w:hAnsi="Arial" w:cs="Arial"/>
                <w:b/>
                <w:sz w:val="18"/>
                <w:szCs w:val="18"/>
              </w:rPr>
            </w:pPr>
          </w:p>
        </w:tc>
        <w:tc>
          <w:tcPr>
            <w:tcW w:w="1530" w:type="dxa"/>
            <w:shd w:val="clear" w:color="auto" w:fill="D9D9D9" w:themeFill="background1" w:themeFillShade="D9"/>
          </w:tcPr>
          <w:p w14:paraId="7587D705" w14:textId="77777777" w:rsidR="008B7004" w:rsidRPr="00DA6D02" w:rsidRDefault="008B7004" w:rsidP="00E92041">
            <w:pPr>
              <w:pStyle w:val="Default"/>
              <w:tabs>
                <w:tab w:val="left" w:pos="567"/>
                <w:tab w:val="left" w:pos="8640"/>
              </w:tabs>
              <w:spacing w:before="120" w:after="240" w:line="300" w:lineRule="atLeast"/>
              <w:ind w:right="46"/>
              <w:jc w:val="both"/>
              <w:rPr>
                <w:rFonts w:ascii="Arial" w:hAnsi="Arial" w:cs="Arial"/>
                <w:b/>
                <w:sz w:val="18"/>
                <w:szCs w:val="18"/>
              </w:rPr>
            </w:pPr>
            <w:r w:rsidRPr="00DA6D02">
              <w:rPr>
                <w:rFonts w:ascii="Arial" w:hAnsi="Arial" w:cs="Arial"/>
                <w:b/>
                <w:sz w:val="18"/>
                <w:szCs w:val="18"/>
              </w:rPr>
              <w:t>10 mg</w:t>
            </w:r>
          </w:p>
        </w:tc>
        <w:tc>
          <w:tcPr>
            <w:tcW w:w="1292" w:type="dxa"/>
            <w:shd w:val="clear" w:color="auto" w:fill="D9D9D9" w:themeFill="background1" w:themeFillShade="D9"/>
          </w:tcPr>
          <w:p w14:paraId="7750DC4A" w14:textId="77777777" w:rsidR="008B7004" w:rsidRPr="00DA6D02" w:rsidRDefault="008B7004" w:rsidP="00E92041">
            <w:pPr>
              <w:pStyle w:val="Default"/>
              <w:tabs>
                <w:tab w:val="left" w:pos="567"/>
                <w:tab w:val="left" w:pos="8640"/>
              </w:tabs>
              <w:spacing w:before="120" w:after="240" w:line="300" w:lineRule="atLeast"/>
              <w:ind w:right="46"/>
              <w:rPr>
                <w:rFonts w:ascii="Arial" w:hAnsi="Arial" w:cs="Arial"/>
                <w:b/>
                <w:sz w:val="18"/>
                <w:szCs w:val="18"/>
              </w:rPr>
            </w:pPr>
            <w:r w:rsidRPr="00DA6D02">
              <w:rPr>
                <w:rFonts w:ascii="Arial" w:hAnsi="Arial" w:cs="Arial"/>
                <w:b/>
                <w:sz w:val="18"/>
                <w:szCs w:val="18"/>
              </w:rPr>
              <w:t>15 mg bid</w:t>
            </w:r>
          </w:p>
        </w:tc>
        <w:tc>
          <w:tcPr>
            <w:tcW w:w="1080" w:type="dxa"/>
            <w:shd w:val="clear" w:color="auto" w:fill="D9D9D9" w:themeFill="background1" w:themeFillShade="D9"/>
          </w:tcPr>
          <w:p w14:paraId="741FFE49" w14:textId="77777777" w:rsidR="008B7004" w:rsidRPr="00DA6D02" w:rsidRDefault="008B7004" w:rsidP="00E92041">
            <w:pPr>
              <w:pStyle w:val="Default"/>
              <w:tabs>
                <w:tab w:val="left" w:pos="567"/>
                <w:tab w:val="left" w:pos="8640"/>
              </w:tabs>
              <w:spacing w:before="120" w:after="240" w:line="300" w:lineRule="atLeast"/>
              <w:ind w:right="46"/>
              <w:rPr>
                <w:rFonts w:ascii="Arial" w:hAnsi="Arial" w:cs="Arial"/>
                <w:b/>
                <w:sz w:val="18"/>
                <w:szCs w:val="18"/>
              </w:rPr>
            </w:pPr>
            <w:r w:rsidRPr="00DA6D02">
              <w:rPr>
                <w:rFonts w:ascii="Arial" w:hAnsi="Arial" w:cs="Arial"/>
                <w:b/>
                <w:sz w:val="18"/>
                <w:szCs w:val="18"/>
              </w:rPr>
              <w:t>20 mg od</w:t>
            </w:r>
          </w:p>
        </w:tc>
        <w:tc>
          <w:tcPr>
            <w:tcW w:w="1080" w:type="dxa"/>
            <w:shd w:val="clear" w:color="auto" w:fill="D9D9D9" w:themeFill="background1" w:themeFillShade="D9"/>
          </w:tcPr>
          <w:p w14:paraId="0A6B3D05" w14:textId="77777777" w:rsidR="008B7004" w:rsidRPr="00DA6D02" w:rsidRDefault="008B7004" w:rsidP="00E92041">
            <w:pPr>
              <w:pStyle w:val="Default"/>
              <w:tabs>
                <w:tab w:val="left" w:pos="567"/>
                <w:tab w:val="left" w:pos="8640"/>
              </w:tabs>
              <w:spacing w:before="120" w:after="240" w:line="300" w:lineRule="atLeast"/>
              <w:ind w:right="46"/>
              <w:rPr>
                <w:rFonts w:ascii="Arial" w:hAnsi="Arial" w:cs="Arial"/>
                <w:b/>
                <w:sz w:val="18"/>
                <w:szCs w:val="18"/>
              </w:rPr>
            </w:pPr>
            <w:r w:rsidRPr="00DA6D02">
              <w:rPr>
                <w:rFonts w:ascii="Arial" w:hAnsi="Arial" w:cs="Arial"/>
                <w:b/>
                <w:sz w:val="18"/>
                <w:szCs w:val="18"/>
              </w:rPr>
              <w:t>15 mg od</w:t>
            </w:r>
          </w:p>
        </w:tc>
        <w:tc>
          <w:tcPr>
            <w:tcW w:w="1180" w:type="dxa"/>
            <w:shd w:val="clear" w:color="auto" w:fill="D9D9D9" w:themeFill="background1" w:themeFillShade="D9"/>
          </w:tcPr>
          <w:p w14:paraId="4F109E17" w14:textId="77777777" w:rsidR="008B7004" w:rsidRPr="00DA6D02" w:rsidRDefault="008B7004" w:rsidP="00E92041">
            <w:pPr>
              <w:pStyle w:val="Default"/>
              <w:tabs>
                <w:tab w:val="left" w:pos="567"/>
                <w:tab w:val="left" w:pos="8640"/>
              </w:tabs>
              <w:spacing w:before="120" w:after="240" w:line="300" w:lineRule="atLeast"/>
              <w:ind w:right="46"/>
              <w:rPr>
                <w:rFonts w:ascii="Arial" w:hAnsi="Arial" w:cs="Arial"/>
                <w:b/>
                <w:sz w:val="18"/>
                <w:szCs w:val="18"/>
              </w:rPr>
            </w:pPr>
            <w:r w:rsidRPr="00DA6D02">
              <w:rPr>
                <w:rFonts w:ascii="Arial" w:hAnsi="Arial" w:cs="Arial"/>
                <w:b/>
                <w:sz w:val="18"/>
                <w:szCs w:val="18"/>
              </w:rPr>
              <w:t>20 mg od</w:t>
            </w:r>
          </w:p>
        </w:tc>
      </w:tr>
      <w:tr w:rsidR="009454E4" w:rsidRPr="002742BE" w14:paraId="7E5ED0E4" w14:textId="77777777" w:rsidTr="00D9199E">
        <w:trPr>
          <w:trHeight w:val="1313"/>
        </w:trPr>
        <w:tc>
          <w:tcPr>
            <w:tcW w:w="2070" w:type="dxa"/>
            <w:shd w:val="clear" w:color="auto" w:fill="auto"/>
          </w:tcPr>
          <w:p w14:paraId="16D19024" w14:textId="77777777" w:rsidR="009454E4" w:rsidRPr="002742BE" w:rsidRDefault="009454E4" w:rsidP="0080392D">
            <w:pPr>
              <w:pStyle w:val="Default"/>
              <w:tabs>
                <w:tab w:val="left" w:pos="567"/>
                <w:tab w:val="left" w:pos="8640"/>
              </w:tabs>
              <w:spacing w:before="120" w:after="240" w:line="300" w:lineRule="atLeast"/>
              <w:ind w:right="46"/>
              <w:rPr>
                <w:rFonts w:ascii="Arial" w:hAnsi="Arial" w:cs="Arial"/>
                <w:sz w:val="18"/>
                <w:szCs w:val="18"/>
              </w:rPr>
            </w:pPr>
            <w:r w:rsidRPr="002742BE">
              <w:rPr>
                <w:rFonts w:ascii="Arial" w:hAnsi="Arial" w:cs="Arial"/>
                <w:sz w:val="18"/>
                <w:szCs w:val="18"/>
              </w:rPr>
              <w:t>5/95 percentiles for PT (Neoplastin</w:t>
            </w:r>
            <w:r w:rsidR="00A605B5" w:rsidRPr="00A605B5">
              <w:rPr>
                <w:rFonts w:ascii="Arial" w:hAnsi="Arial" w:cs="Arial"/>
                <w:sz w:val="18"/>
                <w:szCs w:val="18"/>
                <w:vertAlign w:val="superscript"/>
              </w:rPr>
              <w:t>®</w:t>
            </w:r>
            <w:r w:rsidRPr="002742BE">
              <w:rPr>
                <w:rFonts w:ascii="Arial" w:hAnsi="Arial" w:cs="Arial"/>
                <w:sz w:val="18"/>
                <w:szCs w:val="18"/>
              </w:rPr>
              <w:t>) 2 – 4 hours after tablet intake (seconds)</w:t>
            </w:r>
          </w:p>
        </w:tc>
        <w:tc>
          <w:tcPr>
            <w:tcW w:w="1530" w:type="dxa"/>
            <w:shd w:val="clear" w:color="auto" w:fill="auto"/>
          </w:tcPr>
          <w:p w14:paraId="009365F0" w14:textId="77777777" w:rsidR="009454E4" w:rsidRPr="002742BE" w:rsidRDefault="009454E4" w:rsidP="00E92041">
            <w:pPr>
              <w:pStyle w:val="Default"/>
              <w:tabs>
                <w:tab w:val="left" w:pos="567"/>
                <w:tab w:val="left" w:pos="8640"/>
              </w:tabs>
              <w:spacing w:before="120" w:after="240" w:line="300" w:lineRule="atLeast"/>
              <w:ind w:right="46"/>
              <w:jc w:val="both"/>
              <w:rPr>
                <w:rFonts w:ascii="Arial" w:hAnsi="Arial" w:cs="Arial"/>
                <w:sz w:val="18"/>
                <w:szCs w:val="18"/>
              </w:rPr>
            </w:pPr>
            <w:r w:rsidRPr="002742BE">
              <w:rPr>
                <w:rFonts w:ascii="Arial" w:hAnsi="Arial" w:cs="Arial"/>
                <w:sz w:val="18"/>
                <w:szCs w:val="18"/>
              </w:rPr>
              <w:t>13 – 25</w:t>
            </w:r>
          </w:p>
        </w:tc>
        <w:tc>
          <w:tcPr>
            <w:tcW w:w="1292" w:type="dxa"/>
            <w:shd w:val="clear" w:color="auto" w:fill="auto"/>
          </w:tcPr>
          <w:p w14:paraId="31BA45C9" w14:textId="7E27ED75" w:rsidR="009454E4" w:rsidRPr="002742BE" w:rsidRDefault="00476D1B" w:rsidP="00E92041">
            <w:pPr>
              <w:pStyle w:val="Default"/>
              <w:tabs>
                <w:tab w:val="left" w:pos="567"/>
                <w:tab w:val="left" w:pos="8640"/>
              </w:tabs>
              <w:spacing w:before="120" w:after="240" w:line="300" w:lineRule="atLeast"/>
              <w:ind w:right="46"/>
              <w:jc w:val="both"/>
              <w:rPr>
                <w:rFonts w:ascii="Arial" w:hAnsi="Arial" w:cs="Arial"/>
                <w:sz w:val="18"/>
                <w:szCs w:val="18"/>
              </w:rPr>
            </w:pPr>
            <w:r>
              <w:rPr>
                <w:rFonts w:ascii="Arial" w:hAnsi="Arial" w:cs="Arial"/>
                <w:sz w:val="18"/>
                <w:szCs w:val="18"/>
              </w:rPr>
              <w:t>17 - 32</w:t>
            </w:r>
            <w:r w:rsidR="009454E4" w:rsidRPr="002742BE">
              <w:rPr>
                <w:rFonts w:ascii="Arial" w:hAnsi="Arial" w:cs="Arial"/>
                <w:sz w:val="18"/>
                <w:szCs w:val="18"/>
              </w:rPr>
              <w:t xml:space="preserve"> </w:t>
            </w:r>
          </w:p>
        </w:tc>
        <w:tc>
          <w:tcPr>
            <w:tcW w:w="1080" w:type="dxa"/>
            <w:shd w:val="clear" w:color="auto" w:fill="auto"/>
          </w:tcPr>
          <w:p w14:paraId="52140031" w14:textId="77777777" w:rsidR="009454E4" w:rsidRPr="002742BE" w:rsidRDefault="009454E4" w:rsidP="00E92041">
            <w:pPr>
              <w:pStyle w:val="Default"/>
              <w:tabs>
                <w:tab w:val="left" w:pos="567"/>
                <w:tab w:val="left" w:pos="8640"/>
              </w:tabs>
              <w:spacing w:before="120" w:after="240" w:line="300" w:lineRule="atLeast"/>
              <w:ind w:right="46"/>
              <w:jc w:val="both"/>
              <w:rPr>
                <w:rFonts w:ascii="Arial" w:hAnsi="Arial" w:cs="Arial"/>
                <w:sz w:val="18"/>
                <w:szCs w:val="18"/>
              </w:rPr>
            </w:pPr>
            <w:r w:rsidRPr="002742BE">
              <w:rPr>
                <w:rFonts w:ascii="Arial" w:hAnsi="Arial" w:cs="Arial"/>
                <w:sz w:val="18"/>
                <w:szCs w:val="18"/>
              </w:rPr>
              <w:t xml:space="preserve">15 – 30 </w:t>
            </w:r>
          </w:p>
        </w:tc>
        <w:tc>
          <w:tcPr>
            <w:tcW w:w="1080" w:type="dxa"/>
            <w:shd w:val="clear" w:color="auto" w:fill="auto"/>
          </w:tcPr>
          <w:p w14:paraId="64584AC7" w14:textId="77777777" w:rsidR="009454E4" w:rsidRPr="002742BE" w:rsidRDefault="009454E4" w:rsidP="00E92041">
            <w:pPr>
              <w:pStyle w:val="Default"/>
              <w:tabs>
                <w:tab w:val="left" w:pos="567"/>
                <w:tab w:val="left" w:pos="8640"/>
              </w:tabs>
              <w:spacing w:before="120" w:after="240" w:line="300" w:lineRule="atLeast"/>
              <w:ind w:right="46"/>
              <w:jc w:val="both"/>
              <w:rPr>
                <w:rFonts w:ascii="Arial" w:hAnsi="Arial" w:cs="Arial"/>
                <w:sz w:val="18"/>
                <w:szCs w:val="18"/>
              </w:rPr>
            </w:pPr>
            <w:r w:rsidRPr="002742BE">
              <w:rPr>
                <w:rFonts w:ascii="Arial" w:hAnsi="Arial" w:cs="Arial"/>
                <w:sz w:val="18"/>
                <w:szCs w:val="18"/>
              </w:rPr>
              <w:t xml:space="preserve">10 – 50 </w:t>
            </w:r>
          </w:p>
        </w:tc>
        <w:tc>
          <w:tcPr>
            <w:tcW w:w="1180" w:type="dxa"/>
            <w:shd w:val="clear" w:color="auto" w:fill="auto"/>
          </w:tcPr>
          <w:p w14:paraId="2A3996E6" w14:textId="77777777" w:rsidR="009454E4" w:rsidRPr="002742BE" w:rsidRDefault="009454E4" w:rsidP="00E92041">
            <w:pPr>
              <w:pStyle w:val="Default"/>
              <w:tabs>
                <w:tab w:val="left" w:pos="567"/>
                <w:tab w:val="left" w:pos="8640"/>
              </w:tabs>
              <w:spacing w:before="120" w:after="240" w:line="300" w:lineRule="atLeast"/>
              <w:ind w:right="46"/>
              <w:jc w:val="both"/>
              <w:rPr>
                <w:rFonts w:ascii="Arial" w:hAnsi="Arial" w:cs="Arial"/>
                <w:sz w:val="18"/>
                <w:szCs w:val="18"/>
              </w:rPr>
            </w:pPr>
            <w:r w:rsidRPr="002742BE">
              <w:rPr>
                <w:rFonts w:ascii="Arial" w:hAnsi="Arial" w:cs="Arial"/>
                <w:sz w:val="18"/>
                <w:szCs w:val="18"/>
              </w:rPr>
              <w:t>14 – 40</w:t>
            </w:r>
          </w:p>
        </w:tc>
      </w:tr>
    </w:tbl>
    <w:p w14:paraId="1680A4C8" w14:textId="77777777" w:rsidR="009454E4" w:rsidRPr="002742BE" w:rsidRDefault="009454E4" w:rsidP="00E46321">
      <w:pPr>
        <w:pStyle w:val="Default"/>
        <w:ind w:right="45" w:firstLine="720"/>
        <w:jc w:val="both"/>
        <w:rPr>
          <w:rFonts w:ascii="Arial" w:hAnsi="Arial" w:cs="Arial"/>
          <w:sz w:val="20"/>
          <w:szCs w:val="20"/>
        </w:rPr>
      </w:pPr>
      <w:r w:rsidRPr="002742BE">
        <w:rPr>
          <w:rFonts w:ascii="Arial" w:hAnsi="Arial" w:cs="Arial"/>
          <w:sz w:val="20"/>
          <w:szCs w:val="20"/>
        </w:rPr>
        <w:t>od = once daily, bid = twice daily</w:t>
      </w:r>
    </w:p>
    <w:p w14:paraId="603E3A23" w14:textId="77777777" w:rsidR="009454E4" w:rsidRPr="002742BE" w:rsidRDefault="009454E4" w:rsidP="00E46321">
      <w:pPr>
        <w:pStyle w:val="Default"/>
        <w:ind w:right="46" w:firstLine="630"/>
        <w:jc w:val="both"/>
        <w:rPr>
          <w:rFonts w:ascii="Arial" w:hAnsi="Arial" w:cs="Arial"/>
          <w:sz w:val="20"/>
          <w:szCs w:val="20"/>
        </w:rPr>
      </w:pPr>
      <w:r w:rsidRPr="002742BE">
        <w:rPr>
          <w:rFonts w:ascii="Arial" w:hAnsi="Arial" w:cs="Arial"/>
          <w:sz w:val="20"/>
          <w:szCs w:val="20"/>
        </w:rPr>
        <w:t>*measurements of 5/95 percentiles for PT were recorded 1 – 4 hours after tablet intake</w:t>
      </w:r>
    </w:p>
    <w:p w14:paraId="4E49345E" w14:textId="77777777" w:rsidR="009454E4" w:rsidRPr="002742BE" w:rsidRDefault="009454E4" w:rsidP="00AB3AD6">
      <w:pPr>
        <w:pStyle w:val="Default"/>
        <w:spacing w:before="120" w:after="240"/>
        <w:ind w:left="630" w:right="46"/>
        <w:rPr>
          <w:rFonts w:ascii="Arial" w:hAnsi="Arial" w:cs="Arial"/>
          <w:sz w:val="22"/>
          <w:szCs w:val="22"/>
        </w:rPr>
      </w:pPr>
      <w:r w:rsidRPr="002742BE">
        <w:rPr>
          <w:rFonts w:ascii="Arial" w:hAnsi="Arial" w:cs="Arial"/>
          <w:sz w:val="22"/>
          <w:szCs w:val="22"/>
        </w:rPr>
        <w:t>The activated partial thromboplastin time (aPTT) and HepTest are also prolonged dose-dependently; however, they are not recommended to assess the pharmacodynamic effect of rivaroxaban.</w:t>
      </w:r>
      <w:r w:rsidR="000D76B8">
        <w:rPr>
          <w:rFonts w:ascii="Arial" w:hAnsi="Arial" w:cs="Arial"/>
          <w:sz w:val="22"/>
          <w:szCs w:val="22"/>
        </w:rPr>
        <w:t xml:space="preserve"> </w:t>
      </w:r>
      <w:r w:rsidRPr="002742BE">
        <w:rPr>
          <w:rFonts w:ascii="Arial" w:hAnsi="Arial" w:cs="Arial"/>
          <w:sz w:val="22"/>
          <w:szCs w:val="22"/>
        </w:rPr>
        <w:t xml:space="preserve"> Anti-Factor Xa activity is influenced by rivaroxaban (see</w:t>
      </w:r>
      <w:r w:rsidR="00C50B2C">
        <w:rPr>
          <w:rFonts w:ascii="Arial" w:hAnsi="Arial" w:cs="Arial"/>
          <w:sz w:val="22"/>
          <w:szCs w:val="22"/>
        </w:rPr>
        <w:t xml:space="preserve"> Section </w:t>
      </w:r>
      <w:r w:rsidR="0068602B">
        <w:rPr>
          <w:rFonts w:ascii="Arial" w:hAnsi="Arial" w:cs="Arial"/>
          <w:sz w:val="22"/>
          <w:szCs w:val="22"/>
        </w:rPr>
        <w:t xml:space="preserve">4.4 </w:t>
      </w:r>
      <w:r w:rsidR="00A810D1" w:rsidRPr="00A810D1">
        <w:rPr>
          <w:rFonts w:ascii="Arial" w:hAnsi="Arial" w:cs="Arial"/>
          <w:sz w:val="22"/>
          <w:szCs w:val="22"/>
        </w:rPr>
        <w:fldChar w:fldCharType="begin"/>
      </w:r>
      <w:r w:rsidR="00A810D1" w:rsidRPr="00A810D1">
        <w:rPr>
          <w:rFonts w:ascii="Arial" w:hAnsi="Arial" w:cs="Arial"/>
          <w:sz w:val="22"/>
          <w:szCs w:val="22"/>
        </w:rPr>
        <w:instrText xml:space="preserve"> REF _Ref522882516 \h  \* MERGEFORMAT </w:instrText>
      </w:r>
      <w:r w:rsidR="00A810D1" w:rsidRPr="00A810D1">
        <w:rPr>
          <w:rFonts w:ascii="Arial" w:hAnsi="Arial" w:cs="Arial"/>
          <w:sz w:val="22"/>
          <w:szCs w:val="22"/>
        </w:rPr>
      </w:r>
      <w:r w:rsidR="00A810D1" w:rsidRPr="00A810D1">
        <w:rPr>
          <w:rFonts w:ascii="Arial" w:hAnsi="Arial" w:cs="Arial"/>
          <w:sz w:val="22"/>
          <w:szCs w:val="22"/>
        </w:rPr>
        <w:fldChar w:fldCharType="separate"/>
      </w:r>
      <w:r w:rsidR="00C51DA4" w:rsidRPr="00C51DA4">
        <w:rPr>
          <w:rFonts w:ascii="Arial" w:hAnsi="Arial" w:cs="Arial"/>
          <w:sz w:val="22"/>
          <w:szCs w:val="22"/>
        </w:rPr>
        <w:t>SPECIAL WARNINGS AND PRECAUTIONS FOR USE</w:t>
      </w:r>
      <w:r w:rsidR="00A810D1" w:rsidRPr="00A810D1">
        <w:rPr>
          <w:rFonts w:ascii="Arial" w:hAnsi="Arial" w:cs="Arial"/>
          <w:sz w:val="22"/>
          <w:szCs w:val="22"/>
        </w:rPr>
        <w:fldChar w:fldCharType="end"/>
      </w:r>
      <w:r w:rsidR="00AA5C0C" w:rsidRPr="00BA01EB">
        <w:rPr>
          <w:rFonts w:ascii="Arial" w:hAnsi="Arial" w:cs="Arial"/>
          <w:sz w:val="22"/>
          <w:szCs w:val="22"/>
        </w:rPr>
        <w:t>).</w:t>
      </w:r>
    </w:p>
    <w:p w14:paraId="696AEA50" w14:textId="77777777" w:rsidR="009454E4" w:rsidRPr="002742BE" w:rsidRDefault="009454E4" w:rsidP="00AB3AD6">
      <w:pPr>
        <w:pStyle w:val="Default"/>
        <w:tabs>
          <w:tab w:val="left" w:pos="8640"/>
        </w:tabs>
        <w:spacing w:before="120" w:after="240"/>
        <w:ind w:left="630" w:right="46"/>
        <w:rPr>
          <w:rFonts w:ascii="Arial" w:hAnsi="Arial" w:cs="Arial"/>
          <w:sz w:val="22"/>
          <w:szCs w:val="22"/>
        </w:rPr>
      </w:pPr>
      <w:r w:rsidRPr="002742BE">
        <w:rPr>
          <w:rFonts w:ascii="Arial" w:hAnsi="Arial" w:cs="Arial"/>
          <w:sz w:val="22"/>
          <w:szCs w:val="22"/>
        </w:rPr>
        <w:t xml:space="preserve">There is no need for monitoring of coagulation parameters while using </w:t>
      </w:r>
      <w:r w:rsidR="005F6704">
        <w:rPr>
          <w:rFonts w:ascii="Arial" w:hAnsi="Arial" w:cs="Arial"/>
          <w:sz w:val="22"/>
          <w:szCs w:val="22"/>
        </w:rPr>
        <w:t>XARELTO</w:t>
      </w:r>
      <w:r w:rsidRPr="002742BE">
        <w:rPr>
          <w:rFonts w:ascii="Arial" w:hAnsi="Arial" w:cs="Arial"/>
          <w:sz w:val="22"/>
          <w:szCs w:val="22"/>
        </w:rPr>
        <w:t>.</w:t>
      </w:r>
    </w:p>
    <w:p w14:paraId="45ABFC0B" w14:textId="77777777" w:rsidR="009454E4" w:rsidRPr="00AB3AD6" w:rsidRDefault="009454E4" w:rsidP="00AB3AD6">
      <w:pPr>
        <w:pStyle w:val="Default"/>
        <w:tabs>
          <w:tab w:val="left" w:pos="8640"/>
        </w:tabs>
        <w:spacing w:before="120" w:after="240"/>
        <w:ind w:left="630" w:right="46"/>
        <w:rPr>
          <w:rFonts w:ascii="Arial" w:hAnsi="Arial" w:cs="Arial"/>
          <w:sz w:val="22"/>
          <w:szCs w:val="22"/>
        </w:rPr>
      </w:pPr>
      <w:r w:rsidRPr="00AB3AD6">
        <w:rPr>
          <w:rFonts w:ascii="Arial" w:hAnsi="Arial" w:cs="Arial"/>
          <w:sz w:val="22"/>
          <w:szCs w:val="22"/>
        </w:rPr>
        <w:t>No QTc prolonging effect was observed with rivaroxaban.</w:t>
      </w:r>
    </w:p>
    <w:p w14:paraId="71F10AEF" w14:textId="77777777" w:rsidR="007F08E4" w:rsidRPr="000202B5" w:rsidRDefault="00D2311E" w:rsidP="000202B5">
      <w:pPr>
        <w:pStyle w:val="Heading3"/>
      </w:pPr>
      <w:r w:rsidRPr="000202B5">
        <w:t>Clinical t</w:t>
      </w:r>
      <w:r w:rsidR="003B25EB" w:rsidRPr="000202B5">
        <w:t>rials</w:t>
      </w:r>
    </w:p>
    <w:p w14:paraId="473D63F7" w14:textId="77777777" w:rsidR="009454E4" w:rsidRPr="009454E4" w:rsidRDefault="009454E4" w:rsidP="000202B5">
      <w:pPr>
        <w:pStyle w:val="Heading3"/>
        <w:rPr>
          <w:rFonts w:eastAsia="PMingLiU"/>
          <w:lang w:eastAsia="zh-TW"/>
        </w:rPr>
      </w:pPr>
      <w:r w:rsidRPr="009454E4">
        <w:rPr>
          <w:rFonts w:eastAsia="PMingLiU"/>
          <w:lang w:eastAsia="zh-TW"/>
        </w:rPr>
        <w:t>Prevention of Venous Thromboembolic Events (VTE) in patients undergoing major orthopaedic surgery of the lower limbs</w:t>
      </w:r>
    </w:p>
    <w:p w14:paraId="1930DF5D" w14:textId="77777777" w:rsidR="009454E4" w:rsidRPr="009454E4" w:rsidRDefault="009454E4" w:rsidP="00AB3AD6">
      <w:pPr>
        <w:tabs>
          <w:tab w:val="left" w:pos="8640"/>
        </w:tabs>
        <w:autoSpaceDE w:val="0"/>
        <w:autoSpaceDN w:val="0"/>
        <w:adjustRightInd w:val="0"/>
        <w:spacing w:before="120" w:after="240"/>
        <w:ind w:left="630" w:right="46"/>
        <w:rPr>
          <w:rFonts w:eastAsia="PMingLiU" w:cs="Arial"/>
          <w:color w:val="000000"/>
          <w:szCs w:val="22"/>
          <w:lang w:eastAsia="zh-TW"/>
        </w:rPr>
      </w:pPr>
      <w:r w:rsidRPr="009454E4">
        <w:rPr>
          <w:rFonts w:eastAsia="PMingLiU" w:cs="Arial"/>
          <w:color w:val="000000"/>
          <w:szCs w:val="22"/>
          <w:lang w:eastAsia="zh-TW"/>
        </w:rPr>
        <w:t xml:space="preserve">The RECORD clinical program was designed to demonstrate the efficacy of rivaroxaban for the prevention of venous thromboembolic events (VTE), i.e. proximal and distal deep vein thrombosis (DVT) and pulmonary embolism (PE) in patients undergoing major orthopaedic surgery of the lower limbs. </w:t>
      </w:r>
      <w:r w:rsidR="000D76B8">
        <w:rPr>
          <w:rFonts w:eastAsia="PMingLiU" w:cs="Arial"/>
          <w:color w:val="000000"/>
          <w:szCs w:val="22"/>
          <w:lang w:eastAsia="zh-TW"/>
        </w:rPr>
        <w:t xml:space="preserve"> </w:t>
      </w:r>
      <w:r w:rsidRPr="009454E4">
        <w:rPr>
          <w:rFonts w:eastAsia="PMingLiU" w:cs="Arial"/>
          <w:color w:val="000000"/>
          <w:szCs w:val="22"/>
          <w:lang w:eastAsia="zh-TW"/>
        </w:rPr>
        <w:t>Over 9,500 patients (7,050 in total hip replacement surgery and 2,531 in total knee replacement surgery) were studied in controlled randomised double-blind Phase III clinical studie</w:t>
      </w:r>
      <w:r>
        <w:rPr>
          <w:rFonts w:eastAsia="PMingLiU" w:cs="Arial"/>
          <w:color w:val="000000"/>
          <w:szCs w:val="22"/>
          <w:lang w:eastAsia="zh-TW"/>
        </w:rPr>
        <w:t>s, known as the RECORD-program.</w:t>
      </w:r>
    </w:p>
    <w:p w14:paraId="02F5A418" w14:textId="77777777" w:rsidR="00D9199E" w:rsidRDefault="009454E4" w:rsidP="00AB3AD6">
      <w:pPr>
        <w:tabs>
          <w:tab w:val="left" w:pos="8640"/>
        </w:tabs>
        <w:autoSpaceDE w:val="0"/>
        <w:autoSpaceDN w:val="0"/>
        <w:adjustRightInd w:val="0"/>
        <w:spacing w:before="120" w:after="240"/>
        <w:ind w:left="630" w:right="46"/>
        <w:rPr>
          <w:rFonts w:eastAsia="PMingLiU" w:cs="Arial"/>
          <w:color w:val="000000"/>
          <w:szCs w:val="22"/>
          <w:lang w:eastAsia="zh-TW"/>
        </w:rPr>
      </w:pPr>
      <w:r w:rsidRPr="009454E4">
        <w:rPr>
          <w:rFonts w:eastAsia="PMingLiU" w:cs="Arial"/>
          <w:color w:val="000000"/>
          <w:szCs w:val="22"/>
          <w:lang w:eastAsia="zh-TW"/>
        </w:rPr>
        <w:t>RECORD 1 and 2 were conducted in patients undergoing elective total hip replacement surgery (THR) and RECORD 3 was performed in patients undergoing elective total knee replacement (TKR) surgery.  Rivaroxaban has not been studied in interventional clinical trials in patients u</w:t>
      </w:r>
      <w:r w:rsidR="0080392D">
        <w:rPr>
          <w:rFonts w:eastAsia="PMingLiU" w:cs="Arial"/>
          <w:color w:val="000000"/>
          <w:szCs w:val="22"/>
          <w:lang w:eastAsia="zh-TW"/>
        </w:rPr>
        <w:t>ndergoing hip fracture surgery.</w:t>
      </w:r>
      <w:r w:rsidR="00D9199E">
        <w:rPr>
          <w:rFonts w:eastAsia="PMingLiU" w:cs="Arial"/>
          <w:color w:val="000000"/>
          <w:szCs w:val="22"/>
          <w:lang w:eastAsia="zh-TW"/>
        </w:rPr>
        <w:br w:type="page"/>
      </w:r>
    </w:p>
    <w:p w14:paraId="24A4CDC4" w14:textId="77777777" w:rsidR="009454E4" w:rsidRPr="009454E4" w:rsidRDefault="009454E4" w:rsidP="00AB3AD6">
      <w:pPr>
        <w:tabs>
          <w:tab w:val="left" w:pos="8640"/>
        </w:tabs>
        <w:autoSpaceDE w:val="0"/>
        <w:autoSpaceDN w:val="0"/>
        <w:adjustRightInd w:val="0"/>
        <w:spacing w:before="120" w:after="240"/>
        <w:ind w:left="630" w:right="46"/>
        <w:rPr>
          <w:rFonts w:eastAsia="PMingLiU" w:cs="Arial"/>
          <w:color w:val="000000"/>
          <w:szCs w:val="22"/>
          <w:lang w:eastAsia="zh-TW"/>
        </w:rPr>
      </w:pPr>
    </w:p>
    <w:p w14:paraId="61768FA7" w14:textId="77777777" w:rsidR="00100151" w:rsidRDefault="00100151">
      <w:pPr>
        <w:rPr>
          <w:b/>
          <w:szCs w:val="22"/>
        </w:rPr>
      </w:pPr>
      <w:bookmarkStart w:id="34" w:name="_Ref318971425"/>
    </w:p>
    <w:p w14:paraId="1C71D409" w14:textId="589EC477" w:rsidR="009454E4" w:rsidRPr="00476145" w:rsidRDefault="00476145" w:rsidP="00B30379">
      <w:pPr>
        <w:pStyle w:val="Caption"/>
        <w:ind w:firstLine="630"/>
      </w:pPr>
      <w:r>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10</w:t>
      </w:r>
      <w:r w:rsidR="005D4DAE">
        <w:rPr>
          <w:noProof/>
        </w:rPr>
        <w:fldChar w:fldCharType="end"/>
      </w:r>
      <w:r>
        <w:t xml:space="preserve">: </w:t>
      </w:r>
      <w:r w:rsidRPr="00476145">
        <w:t>Patient demographics – RECORD studies</w:t>
      </w:r>
      <w:bookmarkEnd w:id="34"/>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2160"/>
        <w:gridCol w:w="1440"/>
        <w:gridCol w:w="1620"/>
        <w:gridCol w:w="1879"/>
      </w:tblGrid>
      <w:tr w:rsidR="009454E4" w:rsidRPr="00DA6D02" w14:paraId="46E59106" w14:textId="77777777" w:rsidTr="00A21F84">
        <w:tc>
          <w:tcPr>
            <w:tcW w:w="1216" w:type="dxa"/>
            <w:shd w:val="clear" w:color="auto" w:fill="D9D9D9" w:themeFill="background1" w:themeFillShade="D9"/>
          </w:tcPr>
          <w:p w14:paraId="55E012FE" w14:textId="77777777" w:rsidR="009454E4" w:rsidRPr="00DA6D02" w:rsidRDefault="009454E4" w:rsidP="009454E4">
            <w:pPr>
              <w:tabs>
                <w:tab w:val="left" w:pos="567"/>
              </w:tabs>
              <w:autoSpaceDE w:val="0"/>
              <w:autoSpaceDN w:val="0"/>
              <w:adjustRightInd w:val="0"/>
              <w:spacing w:before="60" w:after="60"/>
              <w:ind w:right="46"/>
              <w:jc w:val="center"/>
              <w:rPr>
                <w:rFonts w:eastAsia="PMingLiU" w:cs="Arial"/>
                <w:b/>
                <w:color w:val="000000"/>
                <w:lang w:eastAsia="zh-TW"/>
              </w:rPr>
            </w:pPr>
            <w:r w:rsidRPr="00DA6D02">
              <w:rPr>
                <w:rFonts w:eastAsia="PMingLiU" w:cs="Arial"/>
                <w:b/>
                <w:color w:val="000000"/>
                <w:lang w:eastAsia="zh-TW"/>
              </w:rPr>
              <w:t>Study</w:t>
            </w:r>
          </w:p>
        </w:tc>
        <w:tc>
          <w:tcPr>
            <w:tcW w:w="2160" w:type="dxa"/>
            <w:shd w:val="clear" w:color="auto" w:fill="D9D9D9" w:themeFill="background1" w:themeFillShade="D9"/>
          </w:tcPr>
          <w:p w14:paraId="10457D2F" w14:textId="77777777" w:rsidR="009454E4" w:rsidRPr="00DA6D02" w:rsidRDefault="009454E4" w:rsidP="009454E4">
            <w:pPr>
              <w:tabs>
                <w:tab w:val="left" w:pos="567"/>
              </w:tabs>
              <w:autoSpaceDE w:val="0"/>
              <w:autoSpaceDN w:val="0"/>
              <w:adjustRightInd w:val="0"/>
              <w:spacing w:before="60" w:after="60"/>
              <w:ind w:right="46"/>
              <w:jc w:val="center"/>
              <w:rPr>
                <w:rFonts w:eastAsia="PMingLiU" w:cs="Arial"/>
                <w:b/>
                <w:color w:val="000000"/>
                <w:lang w:eastAsia="zh-TW"/>
              </w:rPr>
            </w:pPr>
            <w:r w:rsidRPr="00DA6D02">
              <w:rPr>
                <w:rFonts w:eastAsia="PMingLiU" w:cs="Arial"/>
                <w:b/>
                <w:color w:val="000000"/>
                <w:lang w:eastAsia="zh-TW"/>
              </w:rPr>
              <w:t>No of patients</w:t>
            </w:r>
          </w:p>
        </w:tc>
        <w:tc>
          <w:tcPr>
            <w:tcW w:w="3060" w:type="dxa"/>
            <w:gridSpan w:val="2"/>
            <w:shd w:val="clear" w:color="auto" w:fill="D9D9D9" w:themeFill="background1" w:themeFillShade="D9"/>
          </w:tcPr>
          <w:p w14:paraId="54E01E8F" w14:textId="77777777" w:rsidR="009454E4" w:rsidRPr="00DA6D02" w:rsidRDefault="009454E4" w:rsidP="009454E4">
            <w:pPr>
              <w:tabs>
                <w:tab w:val="left" w:pos="567"/>
              </w:tabs>
              <w:autoSpaceDE w:val="0"/>
              <w:autoSpaceDN w:val="0"/>
              <w:adjustRightInd w:val="0"/>
              <w:spacing w:before="60" w:after="60"/>
              <w:ind w:right="46"/>
              <w:jc w:val="center"/>
              <w:rPr>
                <w:rFonts w:eastAsia="PMingLiU" w:cs="Arial"/>
                <w:b/>
                <w:color w:val="000000"/>
                <w:lang w:eastAsia="zh-TW"/>
              </w:rPr>
            </w:pPr>
            <w:r w:rsidRPr="00DA6D02">
              <w:rPr>
                <w:rFonts w:eastAsia="PMingLiU" w:cs="Arial"/>
                <w:b/>
                <w:color w:val="000000"/>
                <w:lang w:eastAsia="zh-TW"/>
              </w:rPr>
              <w:t>N (%) / Sex</w:t>
            </w:r>
          </w:p>
        </w:tc>
        <w:tc>
          <w:tcPr>
            <w:tcW w:w="1879" w:type="dxa"/>
            <w:shd w:val="clear" w:color="auto" w:fill="D9D9D9" w:themeFill="background1" w:themeFillShade="D9"/>
          </w:tcPr>
          <w:p w14:paraId="35012D6A" w14:textId="77777777" w:rsidR="009454E4" w:rsidRPr="00DA6D02" w:rsidRDefault="009454E4" w:rsidP="009454E4">
            <w:pPr>
              <w:tabs>
                <w:tab w:val="left" w:pos="567"/>
              </w:tabs>
              <w:autoSpaceDE w:val="0"/>
              <w:autoSpaceDN w:val="0"/>
              <w:adjustRightInd w:val="0"/>
              <w:spacing w:before="60" w:after="60"/>
              <w:ind w:right="46"/>
              <w:jc w:val="center"/>
              <w:rPr>
                <w:rFonts w:eastAsia="PMingLiU" w:cs="Arial"/>
                <w:b/>
                <w:color w:val="000000"/>
                <w:lang w:eastAsia="zh-TW"/>
              </w:rPr>
            </w:pPr>
            <w:r w:rsidRPr="00DA6D02">
              <w:rPr>
                <w:rFonts w:eastAsia="PMingLiU" w:cs="Arial"/>
                <w:b/>
                <w:color w:val="000000"/>
                <w:lang w:eastAsia="zh-TW"/>
              </w:rPr>
              <w:t xml:space="preserve">Mean age </w:t>
            </w:r>
          </w:p>
          <w:p w14:paraId="093810B4" w14:textId="77777777" w:rsidR="009454E4" w:rsidRPr="00DA6D02" w:rsidRDefault="009454E4" w:rsidP="009454E4">
            <w:pPr>
              <w:tabs>
                <w:tab w:val="left" w:pos="567"/>
              </w:tabs>
              <w:autoSpaceDE w:val="0"/>
              <w:autoSpaceDN w:val="0"/>
              <w:adjustRightInd w:val="0"/>
              <w:spacing w:before="60" w:after="60"/>
              <w:ind w:right="46"/>
              <w:jc w:val="center"/>
              <w:rPr>
                <w:rFonts w:eastAsia="PMingLiU" w:cs="Arial"/>
                <w:b/>
                <w:color w:val="000000"/>
                <w:lang w:eastAsia="zh-TW"/>
              </w:rPr>
            </w:pPr>
            <w:r w:rsidRPr="00DA6D02">
              <w:rPr>
                <w:rFonts w:eastAsia="PMingLiU" w:cs="Arial"/>
                <w:b/>
                <w:color w:val="000000"/>
                <w:lang w:eastAsia="zh-TW"/>
              </w:rPr>
              <w:t>± SD (years)</w:t>
            </w:r>
          </w:p>
        </w:tc>
      </w:tr>
      <w:tr w:rsidR="009454E4" w:rsidRPr="009454E4" w14:paraId="660650AB" w14:textId="77777777" w:rsidTr="00B30379">
        <w:tc>
          <w:tcPr>
            <w:tcW w:w="1216" w:type="dxa"/>
            <w:shd w:val="clear" w:color="auto" w:fill="auto"/>
          </w:tcPr>
          <w:p w14:paraId="6FF95F87"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RECORD 1 (THR)</w:t>
            </w:r>
          </w:p>
        </w:tc>
        <w:tc>
          <w:tcPr>
            <w:tcW w:w="2160" w:type="dxa"/>
            <w:shd w:val="clear" w:color="auto" w:fill="auto"/>
          </w:tcPr>
          <w:p w14:paraId="4CD2C1C4"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2</w:t>
            </w:r>
            <w:r w:rsidR="000D76B8">
              <w:rPr>
                <w:rFonts w:eastAsia="PMingLiU" w:cs="Arial"/>
                <w:color w:val="000000"/>
                <w:lang w:eastAsia="zh-TW"/>
              </w:rPr>
              <w:t>,</w:t>
            </w:r>
            <w:r w:rsidRPr="009454E4">
              <w:rPr>
                <w:rFonts w:eastAsia="PMingLiU" w:cs="Arial"/>
                <w:color w:val="000000"/>
                <w:lang w:eastAsia="zh-TW"/>
              </w:rPr>
              <w:t>209 rivaroxaban</w:t>
            </w:r>
          </w:p>
          <w:p w14:paraId="4C6062A1"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2</w:t>
            </w:r>
            <w:r w:rsidR="000D76B8">
              <w:rPr>
                <w:rFonts w:eastAsia="PMingLiU" w:cs="Arial"/>
                <w:color w:val="000000"/>
                <w:lang w:eastAsia="zh-TW"/>
              </w:rPr>
              <w:t>,</w:t>
            </w:r>
            <w:r w:rsidRPr="009454E4">
              <w:rPr>
                <w:rFonts w:eastAsia="PMingLiU" w:cs="Arial"/>
                <w:color w:val="000000"/>
                <w:lang w:eastAsia="zh-TW"/>
              </w:rPr>
              <w:t>224 enoxaparin</w:t>
            </w:r>
          </w:p>
        </w:tc>
        <w:tc>
          <w:tcPr>
            <w:tcW w:w="1440" w:type="dxa"/>
            <w:shd w:val="clear" w:color="auto" w:fill="auto"/>
          </w:tcPr>
          <w:p w14:paraId="28B49FF1"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1</w:t>
            </w:r>
            <w:r w:rsidR="000D76B8">
              <w:rPr>
                <w:rFonts w:eastAsia="PMingLiU" w:cs="Arial"/>
                <w:color w:val="000000"/>
                <w:lang w:eastAsia="zh-TW"/>
              </w:rPr>
              <w:t>,</w:t>
            </w:r>
            <w:r w:rsidRPr="009454E4">
              <w:rPr>
                <w:rFonts w:eastAsia="PMingLiU" w:cs="Arial"/>
                <w:color w:val="000000"/>
                <w:lang w:eastAsia="zh-TW"/>
              </w:rPr>
              <w:t>971 (44.5)/ male</w:t>
            </w:r>
          </w:p>
        </w:tc>
        <w:tc>
          <w:tcPr>
            <w:tcW w:w="1620" w:type="dxa"/>
            <w:shd w:val="clear" w:color="auto" w:fill="auto"/>
          </w:tcPr>
          <w:p w14:paraId="3468B825"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2</w:t>
            </w:r>
            <w:r w:rsidR="000D76B8">
              <w:rPr>
                <w:rFonts w:eastAsia="PMingLiU" w:cs="Arial"/>
                <w:color w:val="000000"/>
                <w:lang w:eastAsia="zh-TW"/>
              </w:rPr>
              <w:t>,</w:t>
            </w:r>
            <w:r w:rsidRPr="009454E4">
              <w:rPr>
                <w:rFonts w:eastAsia="PMingLiU" w:cs="Arial"/>
                <w:color w:val="000000"/>
                <w:lang w:eastAsia="zh-TW"/>
              </w:rPr>
              <w:t>462 (55.5)/ female</w:t>
            </w:r>
          </w:p>
        </w:tc>
        <w:tc>
          <w:tcPr>
            <w:tcW w:w="1879" w:type="dxa"/>
            <w:shd w:val="clear" w:color="auto" w:fill="auto"/>
          </w:tcPr>
          <w:p w14:paraId="306D23E2"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63.2 ± 11.4</w:t>
            </w:r>
          </w:p>
        </w:tc>
      </w:tr>
      <w:tr w:rsidR="009454E4" w:rsidRPr="009454E4" w14:paraId="306D0F73" w14:textId="77777777" w:rsidTr="00B30379">
        <w:tc>
          <w:tcPr>
            <w:tcW w:w="1216" w:type="dxa"/>
            <w:shd w:val="clear" w:color="auto" w:fill="auto"/>
          </w:tcPr>
          <w:p w14:paraId="1B519979"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RECORD 2</w:t>
            </w:r>
          </w:p>
          <w:p w14:paraId="24797945"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(THR)</w:t>
            </w:r>
          </w:p>
        </w:tc>
        <w:tc>
          <w:tcPr>
            <w:tcW w:w="2160" w:type="dxa"/>
            <w:shd w:val="clear" w:color="auto" w:fill="auto"/>
          </w:tcPr>
          <w:p w14:paraId="632E1C63"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1</w:t>
            </w:r>
            <w:r w:rsidR="000D76B8">
              <w:rPr>
                <w:rFonts w:eastAsia="PMingLiU" w:cs="Arial"/>
                <w:color w:val="000000"/>
                <w:lang w:eastAsia="zh-TW"/>
              </w:rPr>
              <w:t>,</w:t>
            </w:r>
            <w:r w:rsidRPr="009454E4">
              <w:rPr>
                <w:rFonts w:eastAsia="PMingLiU" w:cs="Arial"/>
                <w:color w:val="000000"/>
                <w:lang w:eastAsia="zh-TW"/>
              </w:rPr>
              <w:t>228 rivaroxaban</w:t>
            </w:r>
          </w:p>
          <w:p w14:paraId="7B03F760"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1</w:t>
            </w:r>
            <w:r w:rsidR="000D76B8">
              <w:rPr>
                <w:rFonts w:eastAsia="PMingLiU" w:cs="Arial"/>
                <w:color w:val="000000"/>
                <w:lang w:eastAsia="zh-TW"/>
              </w:rPr>
              <w:t>,</w:t>
            </w:r>
            <w:r w:rsidRPr="009454E4">
              <w:rPr>
                <w:rFonts w:eastAsia="PMingLiU" w:cs="Arial"/>
                <w:color w:val="000000"/>
                <w:lang w:eastAsia="zh-TW"/>
              </w:rPr>
              <w:t>229 enoxaparin</w:t>
            </w:r>
          </w:p>
        </w:tc>
        <w:tc>
          <w:tcPr>
            <w:tcW w:w="1440" w:type="dxa"/>
            <w:shd w:val="clear" w:color="auto" w:fill="auto"/>
          </w:tcPr>
          <w:p w14:paraId="62360FEA"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1</w:t>
            </w:r>
            <w:r w:rsidR="000D76B8">
              <w:rPr>
                <w:rFonts w:eastAsia="PMingLiU" w:cs="Arial"/>
                <w:color w:val="000000"/>
                <w:lang w:eastAsia="zh-TW"/>
              </w:rPr>
              <w:t>,</w:t>
            </w:r>
            <w:r w:rsidRPr="009454E4">
              <w:rPr>
                <w:rFonts w:eastAsia="PMingLiU" w:cs="Arial"/>
                <w:color w:val="000000"/>
                <w:lang w:eastAsia="zh-TW"/>
              </w:rPr>
              <w:t>139 (46)/ male</w:t>
            </w:r>
          </w:p>
        </w:tc>
        <w:tc>
          <w:tcPr>
            <w:tcW w:w="1620" w:type="dxa"/>
            <w:shd w:val="clear" w:color="auto" w:fill="auto"/>
          </w:tcPr>
          <w:p w14:paraId="4F0D6F88"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1</w:t>
            </w:r>
            <w:r w:rsidR="000D76B8">
              <w:rPr>
                <w:rFonts w:eastAsia="PMingLiU" w:cs="Arial"/>
                <w:color w:val="000000"/>
                <w:lang w:eastAsia="zh-TW"/>
              </w:rPr>
              <w:t>,</w:t>
            </w:r>
            <w:r w:rsidRPr="009454E4">
              <w:rPr>
                <w:rFonts w:eastAsia="PMingLiU" w:cs="Arial"/>
                <w:color w:val="000000"/>
                <w:lang w:eastAsia="zh-TW"/>
              </w:rPr>
              <w:t>318 (54)/ female</w:t>
            </w:r>
          </w:p>
        </w:tc>
        <w:tc>
          <w:tcPr>
            <w:tcW w:w="1879" w:type="dxa"/>
            <w:shd w:val="clear" w:color="auto" w:fill="auto"/>
          </w:tcPr>
          <w:p w14:paraId="517C80FB"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61.5 ± 13.4</w:t>
            </w:r>
          </w:p>
        </w:tc>
      </w:tr>
      <w:tr w:rsidR="009454E4" w:rsidRPr="009454E4" w14:paraId="77AE217D" w14:textId="77777777" w:rsidTr="00B30379">
        <w:tc>
          <w:tcPr>
            <w:tcW w:w="1216" w:type="dxa"/>
            <w:shd w:val="clear" w:color="auto" w:fill="auto"/>
          </w:tcPr>
          <w:p w14:paraId="62F688B1"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RECORD 3</w:t>
            </w:r>
          </w:p>
          <w:p w14:paraId="26E6C6F1"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(TKR)</w:t>
            </w:r>
          </w:p>
        </w:tc>
        <w:tc>
          <w:tcPr>
            <w:tcW w:w="2160" w:type="dxa"/>
            <w:shd w:val="clear" w:color="auto" w:fill="auto"/>
          </w:tcPr>
          <w:p w14:paraId="7E6AE0D1"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1</w:t>
            </w:r>
            <w:r w:rsidR="000D76B8">
              <w:rPr>
                <w:rFonts w:eastAsia="PMingLiU" w:cs="Arial"/>
                <w:color w:val="000000"/>
                <w:lang w:eastAsia="zh-TW"/>
              </w:rPr>
              <w:t>,</w:t>
            </w:r>
            <w:r w:rsidRPr="009454E4">
              <w:rPr>
                <w:rFonts w:eastAsia="PMingLiU" w:cs="Arial"/>
                <w:color w:val="000000"/>
                <w:lang w:eastAsia="zh-TW"/>
              </w:rPr>
              <w:t>220 rivaroxaban</w:t>
            </w:r>
          </w:p>
          <w:p w14:paraId="653FA6E3"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1</w:t>
            </w:r>
            <w:r w:rsidR="000D76B8">
              <w:rPr>
                <w:rFonts w:eastAsia="PMingLiU" w:cs="Arial"/>
                <w:color w:val="000000"/>
                <w:lang w:eastAsia="zh-TW"/>
              </w:rPr>
              <w:t>,</w:t>
            </w:r>
            <w:r w:rsidRPr="009454E4">
              <w:rPr>
                <w:rFonts w:eastAsia="PMingLiU" w:cs="Arial"/>
                <w:color w:val="000000"/>
                <w:lang w:eastAsia="zh-TW"/>
              </w:rPr>
              <w:t>239 enoxaparin</w:t>
            </w:r>
          </w:p>
        </w:tc>
        <w:tc>
          <w:tcPr>
            <w:tcW w:w="1440" w:type="dxa"/>
            <w:shd w:val="clear" w:color="auto" w:fill="auto"/>
          </w:tcPr>
          <w:p w14:paraId="55F24122"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781 (31.8)/ male</w:t>
            </w:r>
          </w:p>
        </w:tc>
        <w:tc>
          <w:tcPr>
            <w:tcW w:w="1620" w:type="dxa"/>
            <w:shd w:val="clear" w:color="auto" w:fill="auto"/>
          </w:tcPr>
          <w:p w14:paraId="49B99A0E"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1</w:t>
            </w:r>
            <w:r w:rsidR="000D76B8">
              <w:rPr>
                <w:rFonts w:eastAsia="PMingLiU" w:cs="Arial"/>
                <w:color w:val="000000"/>
                <w:lang w:eastAsia="zh-TW"/>
              </w:rPr>
              <w:t>,</w:t>
            </w:r>
            <w:r w:rsidRPr="009454E4">
              <w:rPr>
                <w:rFonts w:eastAsia="PMingLiU" w:cs="Arial"/>
                <w:color w:val="000000"/>
                <w:lang w:eastAsia="zh-TW"/>
              </w:rPr>
              <w:t>678 (68.2)/ female</w:t>
            </w:r>
          </w:p>
        </w:tc>
        <w:tc>
          <w:tcPr>
            <w:tcW w:w="1879" w:type="dxa"/>
            <w:shd w:val="clear" w:color="auto" w:fill="auto"/>
          </w:tcPr>
          <w:p w14:paraId="7057E9B8" w14:textId="77777777" w:rsidR="009454E4" w:rsidRPr="009454E4" w:rsidRDefault="009454E4" w:rsidP="009454E4">
            <w:pPr>
              <w:tabs>
                <w:tab w:val="left" w:pos="567"/>
              </w:tabs>
              <w:autoSpaceDE w:val="0"/>
              <w:autoSpaceDN w:val="0"/>
              <w:adjustRightInd w:val="0"/>
              <w:spacing w:before="60" w:after="60"/>
              <w:ind w:right="46"/>
              <w:jc w:val="center"/>
              <w:rPr>
                <w:rFonts w:eastAsia="PMingLiU" w:cs="Arial"/>
                <w:color w:val="000000"/>
                <w:lang w:eastAsia="zh-TW"/>
              </w:rPr>
            </w:pPr>
            <w:r w:rsidRPr="009454E4">
              <w:rPr>
                <w:rFonts w:eastAsia="PMingLiU" w:cs="Arial"/>
                <w:color w:val="000000"/>
                <w:lang w:eastAsia="zh-TW"/>
              </w:rPr>
              <w:t>67.6 ± 9.0</w:t>
            </w:r>
          </w:p>
        </w:tc>
      </w:tr>
    </w:tbl>
    <w:p w14:paraId="6E47BD1B" w14:textId="77777777" w:rsidR="0080392D" w:rsidRDefault="0080392D" w:rsidP="0080392D">
      <w:pPr>
        <w:autoSpaceDE w:val="0"/>
        <w:autoSpaceDN w:val="0"/>
        <w:adjustRightInd w:val="0"/>
        <w:ind w:right="43"/>
        <w:jc w:val="both"/>
        <w:rPr>
          <w:rFonts w:eastAsia="PMingLiU" w:cs="Arial"/>
          <w:color w:val="000000"/>
          <w:szCs w:val="22"/>
          <w:lang w:eastAsia="zh-TW"/>
        </w:rPr>
      </w:pPr>
    </w:p>
    <w:p w14:paraId="512EA906" w14:textId="77777777" w:rsidR="009454E4" w:rsidRPr="009454E4" w:rsidRDefault="009454E4" w:rsidP="00AB3AD6">
      <w:pPr>
        <w:autoSpaceDE w:val="0"/>
        <w:autoSpaceDN w:val="0"/>
        <w:adjustRightInd w:val="0"/>
        <w:spacing w:after="120"/>
        <w:ind w:left="630" w:right="43"/>
        <w:rPr>
          <w:rFonts w:eastAsia="PMingLiU" w:cs="Arial"/>
          <w:color w:val="000000"/>
          <w:szCs w:val="22"/>
          <w:lang w:eastAsia="zh-TW"/>
        </w:rPr>
      </w:pPr>
      <w:r w:rsidRPr="009454E4">
        <w:rPr>
          <w:rFonts w:eastAsia="PMingLiU" w:cs="Arial"/>
          <w:color w:val="000000"/>
          <w:szCs w:val="22"/>
          <w:lang w:eastAsia="zh-TW"/>
        </w:rPr>
        <w:t>The respective studies were heterogeneous with respect to their composition of participating countries (centres from Europe, North and South America, Asia and Australia).</w:t>
      </w:r>
      <w:r w:rsidR="000D76B8">
        <w:rPr>
          <w:rFonts w:eastAsia="PMingLiU" w:cs="Arial"/>
          <w:color w:val="000000"/>
          <w:szCs w:val="22"/>
          <w:lang w:eastAsia="zh-TW"/>
        </w:rPr>
        <w:t xml:space="preserve"> </w:t>
      </w:r>
      <w:r w:rsidRPr="009454E4">
        <w:rPr>
          <w:rFonts w:eastAsia="PMingLiU" w:cs="Arial"/>
          <w:color w:val="000000"/>
          <w:szCs w:val="22"/>
          <w:lang w:eastAsia="zh-TW"/>
        </w:rPr>
        <w:t xml:space="preserve"> Men and women of 18 years or older scheduled for hip or knee replacement surgery could be enrolled provided that they had no active or high risk of bleeding or other conditions contraindicating treatment with low-molecular weight heparin, no significant liver disease, were not pregnant or breastfeeding, or were not using HIV protease inhibitors.</w:t>
      </w:r>
    </w:p>
    <w:p w14:paraId="06171A88" w14:textId="77777777" w:rsidR="009454E4" w:rsidRPr="009454E4" w:rsidRDefault="009454E4" w:rsidP="00AB3AD6">
      <w:pPr>
        <w:autoSpaceDE w:val="0"/>
        <w:autoSpaceDN w:val="0"/>
        <w:adjustRightInd w:val="0"/>
        <w:spacing w:before="120" w:after="240"/>
        <w:ind w:left="630" w:right="46"/>
        <w:rPr>
          <w:rFonts w:eastAsia="PMingLiU" w:cs="Arial"/>
          <w:color w:val="000000"/>
          <w:szCs w:val="22"/>
          <w:lang w:eastAsia="zh-TW"/>
        </w:rPr>
      </w:pPr>
      <w:r w:rsidRPr="009454E4">
        <w:rPr>
          <w:rFonts w:eastAsia="PMingLiU" w:cs="Arial"/>
          <w:color w:val="000000"/>
          <w:szCs w:val="22"/>
          <w:lang w:eastAsia="zh-TW"/>
        </w:rPr>
        <w:t>In all three pivotal studies, rivaroxaban 10 mg once daily started not earlier than 6 hours postoperatively was compared with enoxaparin 40 mg once daily started 12 hours preoperatively.</w:t>
      </w:r>
    </w:p>
    <w:p w14:paraId="3F619498" w14:textId="77777777" w:rsidR="009454E4" w:rsidRPr="009454E4" w:rsidRDefault="009454E4" w:rsidP="00AB3AD6">
      <w:pPr>
        <w:autoSpaceDE w:val="0"/>
        <w:autoSpaceDN w:val="0"/>
        <w:adjustRightInd w:val="0"/>
        <w:spacing w:before="120" w:after="240"/>
        <w:ind w:left="630" w:right="46"/>
        <w:rPr>
          <w:rFonts w:eastAsia="PMingLiU" w:cs="Arial"/>
          <w:color w:val="000000"/>
          <w:szCs w:val="22"/>
          <w:lang w:eastAsia="zh-TW"/>
        </w:rPr>
      </w:pPr>
      <w:r w:rsidRPr="009454E4">
        <w:rPr>
          <w:rFonts w:eastAsia="PMingLiU" w:cs="Arial"/>
          <w:color w:val="000000"/>
          <w:szCs w:val="22"/>
          <w:lang w:eastAsia="zh-TW"/>
        </w:rPr>
        <w:t xml:space="preserve">The primary efficacy analysis in all studies was based on stratified (by geographical region) risk difference between rivaroxaban and enoxaparin and corresponding 2-sided 95% confidence intervals. </w:t>
      </w:r>
      <w:r w:rsidR="000D76B8">
        <w:rPr>
          <w:rFonts w:eastAsia="PMingLiU" w:cs="Arial"/>
          <w:color w:val="000000"/>
          <w:szCs w:val="22"/>
          <w:lang w:eastAsia="zh-TW"/>
        </w:rPr>
        <w:t xml:space="preserve"> </w:t>
      </w:r>
      <w:r w:rsidRPr="009454E4">
        <w:rPr>
          <w:rFonts w:eastAsia="PMingLiU" w:cs="Arial"/>
          <w:color w:val="000000"/>
          <w:szCs w:val="22"/>
          <w:lang w:eastAsia="zh-TW"/>
        </w:rPr>
        <w:t xml:space="preserve">Efficacy was assessed in two steps; first a non-inferiority test was performed based on the per protocol population. </w:t>
      </w:r>
      <w:r w:rsidR="00AA5C0C">
        <w:rPr>
          <w:rFonts w:eastAsia="PMingLiU" w:cs="Arial"/>
          <w:color w:val="000000"/>
          <w:szCs w:val="22"/>
          <w:lang w:eastAsia="zh-TW"/>
        </w:rPr>
        <w:t xml:space="preserve"> </w:t>
      </w:r>
      <w:r w:rsidRPr="009454E4">
        <w:rPr>
          <w:rFonts w:eastAsia="PMingLiU" w:cs="Arial"/>
          <w:color w:val="000000"/>
          <w:szCs w:val="22"/>
          <w:lang w:eastAsia="zh-TW"/>
        </w:rPr>
        <w:t>Since non-inferiority was shown, a pre-specified superiority analysis was performed subsequently based on the modified ITT population.</w:t>
      </w:r>
    </w:p>
    <w:p w14:paraId="1D8E661C" w14:textId="0EA9EBC0" w:rsidR="009454E4" w:rsidRPr="009454E4" w:rsidRDefault="009454E4" w:rsidP="00AB3AD6">
      <w:pPr>
        <w:widowControl w:val="0"/>
        <w:autoSpaceDE w:val="0"/>
        <w:autoSpaceDN w:val="0"/>
        <w:adjustRightInd w:val="0"/>
        <w:spacing w:before="120" w:after="240"/>
        <w:ind w:left="630"/>
        <w:rPr>
          <w:rFonts w:eastAsia="PMingLiU" w:cs="Arial"/>
          <w:color w:val="000000"/>
          <w:szCs w:val="22"/>
          <w:lang w:eastAsia="zh-TW"/>
        </w:rPr>
      </w:pPr>
      <w:r w:rsidRPr="009454E4">
        <w:rPr>
          <w:rFonts w:eastAsia="PMingLiU" w:cs="Arial"/>
          <w:color w:val="000000"/>
          <w:szCs w:val="22"/>
          <w:lang w:eastAsia="zh-TW"/>
        </w:rPr>
        <w:t xml:space="preserve">In all three phase III </w:t>
      </w:r>
      <w:r w:rsidRPr="005403C3">
        <w:rPr>
          <w:rFonts w:eastAsia="PMingLiU" w:cs="Arial"/>
          <w:color w:val="000000"/>
          <w:szCs w:val="22"/>
          <w:lang w:eastAsia="zh-TW"/>
        </w:rPr>
        <w:t>studies (</w:t>
      </w:r>
      <w:r w:rsidR="00C004D7">
        <w:rPr>
          <w:rFonts w:eastAsia="PMingLiU" w:cs="Arial"/>
          <w:color w:val="000000"/>
          <w:szCs w:val="22"/>
          <w:lang w:eastAsia="zh-TW"/>
        </w:rPr>
        <w:t xml:space="preserve">see </w:t>
      </w:r>
      <w:r w:rsidR="003860D3" w:rsidRPr="005403C3">
        <w:rPr>
          <w:rFonts w:eastAsia="PMingLiU" w:cs="Arial"/>
          <w:color w:val="000000"/>
          <w:szCs w:val="22"/>
          <w:lang w:eastAsia="zh-TW"/>
        </w:rPr>
        <w:fldChar w:fldCharType="begin"/>
      </w:r>
      <w:r w:rsidR="003860D3" w:rsidRPr="005403C3">
        <w:rPr>
          <w:rFonts w:eastAsia="PMingLiU" w:cs="Arial"/>
          <w:color w:val="000000"/>
          <w:szCs w:val="22"/>
          <w:lang w:eastAsia="zh-TW"/>
        </w:rPr>
        <w:instrText xml:space="preserve"> REF _Ref501396633 \h </w:instrText>
      </w:r>
      <w:r w:rsidR="00DA6D02" w:rsidRPr="005403C3">
        <w:rPr>
          <w:rFonts w:eastAsia="PMingLiU" w:cs="Arial"/>
          <w:color w:val="000000"/>
          <w:szCs w:val="22"/>
          <w:lang w:eastAsia="zh-TW"/>
        </w:rPr>
        <w:instrText xml:space="preserve"> \* MERGEFORMAT </w:instrText>
      </w:r>
      <w:r w:rsidR="003860D3" w:rsidRPr="005403C3">
        <w:rPr>
          <w:rFonts w:eastAsia="PMingLiU" w:cs="Arial"/>
          <w:color w:val="000000"/>
          <w:szCs w:val="22"/>
          <w:lang w:eastAsia="zh-TW"/>
        </w:rPr>
      </w:r>
      <w:r w:rsidR="003860D3" w:rsidRPr="005403C3">
        <w:rPr>
          <w:rFonts w:eastAsia="PMingLiU" w:cs="Arial"/>
          <w:color w:val="000000"/>
          <w:szCs w:val="22"/>
          <w:lang w:eastAsia="zh-TW"/>
        </w:rPr>
        <w:fldChar w:fldCharType="separate"/>
      </w:r>
      <w:r w:rsidR="00C51DA4" w:rsidRPr="00C51DA4">
        <w:rPr>
          <w:szCs w:val="22"/>
        </w:rPr>
        <w:t xml:space="preserve">Table </w:t>
      </w:r>
      <w:r w:rsidR="00C51DA4" w:rsidRPr="00C51DA4">
        <w:rPr>
          <w:noProof/>
          <w:szCs w:val="22"/>
        </w:rPr>
        <w:t>11</w:t>
      </w:r>
      <w:r w:rsidR="003860D3" w:rsidRPr="005403C3">
        <w:rPr>
          <w:rFonts w:eastAsia="PMingLiU" w:cs="Arial"/>
          <w:color w:val="000000"/>
          <w:szCs w:val="22"/>
          <w:lang w:eastAsia="zh-TW"/>
        </w:rPr>
        <w:fldChar w:fldCharType="end"/>
      </w:r>
      <w:r w:rsidRPr="005403C3">
        <w:rPr>
          <w:rFonts w:eastAsia="PMingLiU" w:cs="Arial"/>
          <w:color w:val="000000"/>
          <w:szCs w:val="22"/>
          <w:lang w:eastAsia="zh-TW"/>
        </w:rPr>
        <w:t>)</w:t>
      </w:r>
      <w:r w:rsidRPr="009454E4">
        <w:rPr>
          <w:rFonts w:eastAsia="PMingLiU" w:cs="Arial"/>
          <w:color w:val="000000"/>
          <w:szCs w:val="22"/>
          <w:lang w:eastAsia="zh-TW"/>
        </w:rPr>
        <w:t xml:space="preserve"> rivaroxaban significantly reduced the rate of total VTE (any venographically detected or symptomatic DVT, non-fatal PE or death) and major VTE (proximal DVT, non-fatal PE or VTE-related death), the pre-specified primary and major secondary efficacy endpoints. </w:t>
      </w:r>
      <w:r w:rsidR="000D76B8">
        <w:rPr>
          <w:rFonts w:eastAsia="PMingLiU" w:cs="Arial"/>
          <w:color w:val="000000"/>
          <w:szCs w:val="22"/>
          <w:lang w:eastAsia="zh-TW"/>
        </w:rPr>
        <w:t xml:space="preserve"> </w:t>
      </w:r>
      <w:r w:rsidRPr="009454E4">
        <w:rPr>
          <w:rFonts w:eastAsia="PMingLiU" w:cs="Arial"/>
          <w:color w:val="000000"/>
          <w:szCs w:val="22"/>
          <w:lang w:eastAsia="zh-TW"/>
        </w:rPr>
        <w:t xml:space="preserve">The results were clinically meaningful and statistically significant. </w:t>
      </w:r>
      <w:r w:rsidR="000D76B8">
        <w:rPr>
          <w:rFonts w:eastAsia="PMingLiU" w:cs="Arial"/>
          <w:color w:val="000000"/>
          <w:szCs w:val="22"/>
          <w:lang w:eastAsia="zh-TW"/>
        </w:rPr>
        <w:t xml:space="preserve"> </w:t>
      </w:r>
      <w:r w:rsidRPr="009454E4">
        <w:rPr>
          <w:rFonts w:eastAsia="PMingLiU" w:cs="Arial"/>
          <w:color w:val="000000"/>
          <w:szCs w:val="22"/>
          <w:lang w:eastAsia="zh-TW"/>
        </w:rPr>
        <w:t>Relative risk reductions in total VTE were 49% (RECORD 3) and 70% (RECORD 1) in comparison to enoxaparin and 79% (RECORD 2) in comparison to enoxaparin/placebo.  Furthermore in all three studies the rate of symptomatic VTE (symptomatic DVT, non-fatal PE, VTE-related death) was lower in rivaroxaban treated patients compared to patients treated with enoxaparin.</w:t>
      </w:r>
    </w:p>
    <w:p w14:paraId="7AF0004F" w14:textId="77777777" w:rsidR="009454E4" w:rsidRPr="009454E4" w:rsidRDefault="009454E4" w:rsidP="00AB3AD6">
      <w:pPr>
        <w:autoSpaceDE w:val="0"/>
        <w:autoSpaceDN w:val="0"/>
        <w:adjustRightInd w:val="0"/>
        <w:spacing w:before="120" w:after="240"/>
        <w:ind w:left="630" w:right="46"/>
        <w:rPr>
          <w:rFonts w:eastAsia="PMingLiU" w:cs="Arial"/>
          <w:color w:val="000000"/>
          <w:szCs w:val="22"/>
          <w:lang w:eastAsia="zh-TW"/>
        </w:rPr>
      </w:pPr>
      <w:r w:rsidRPr="009454E4">
        <w:rPr>
          <w:rFonts w:eastAsia="PMingLiU" w:cs="Arial"/>
          <w:color w:val="000000"/>
          <w:szCs w:val="22"/>
          <w:lang w:eastAsia="zh-TW"/>
        </w:rPr>
        <w:t>The main safety endpoint, major bleeding, showed comparable rates for patients treated with rivarox</w:t>
      </w:r>
      <w:r w:rsidR="000D76B8">
        <w:rPr>
          <w:rFonts w:eastAsia="PMingLiU" w:cs="Arial"/>
          <w:color w:val="000000"/>
          <w:szCs w:val="22"/>
          <w:lang w:eastAsia="zh-TW"/>
        </w:rPr>
        <w:t xml:space="preserve">aban 10 </w:t>
      </w:r>
      <w:r w:rsidRPr="009454E4">
        <w:rPr>
          <w:rFonts w:eastAsia="PMingLiU" w:cs="Arial"/>
          <w:color w:val="000000"/>
          <w:szCs w:val="22"/>
          <w:lang w:eastAsia="zh-TW"/>
        </w:rPr>
        <w:t>mg compared to enoxaparin 40 mg.</w:t>
      </w:r>
    </w:p>
    <w:p w14:paraId="6448C31E" w14:textId="77777777" w:rsidR="009454E4" w:rsidRPr="009454E4" w:rsidRDefault="009454E4" w:rsidP="00AB3AD6">
      <w:pPr>
        <w:autoSpaceDE w:val="0"/>
        <w:autoSpaceDN w:val="0"/>
        <w:adjustRightInd w:val="0"/>
        <w:spacing w:before="120" w:after="240"/>
        <w:ind w:left="630" w:right="46"/>
        <w:rPr>
          <w:rFonts w:eastAsia="PMingLiU" w:cs="Arial"/>
          <w:color w:val="000000"/>
          <w:szCs w:val="22"/>
          <w:lang w:eastAsia="zh-TW"/>
        </w:rPr>
      </w:pPr>
      <w:r w:rsidRPr="009454E4">
        <w:rPr>
          <w:rFonts w:eastAsia="PMingLiU" w:cs="Arial"/>
          <w:color w:val="000000"/>
          <w:szCs w:val="22"/>
          <w:lang w:eastAsia="zh-TW"/>
        </w:rPr>
        <w:lastRenderedPageBreak/>
        <w:t>The analysis of the pooled results of the Phase III trials corroborated the data obtained in the individual studies regarding reduction of total VTE, major VTE and symptomatic VTE with rivaroxaban 10 mg once daily compared to enoxaparin 40 mg once daily.</w:t>
      </w:r>
    </w:p>
    <w:p w14:paraId="56724FCE" w14:textId="77777777" w:rsidR="009454E4" w:rsidRPr="009454E4" w:rsidRDefault="009454E4" w:rsidP="00AB3AD6">
      <w:pPr>
        <w:autoSpaceDE w:val="0"/>
        <w:autoSpaceDN w:val="0"/>
        <w:adjustRightInd w:val="0"/>
        <w:spacing w:before="120" w:after="240"/>
        <w:ind w:left="630" w:right="46"/>
        <w:rPr>
          <w:rFonts w:eastAsia="PMingLiU" w:cs="Arial"/>
          <w:color w:val="000000"/>
          <w:szCs w:val="22"/>
          <w:lang w:eastAsia="zh-TW"/>
        </w:rPr>
      </w:pPr>
      <w:r w:rsidRPr="009454E4">
        <w:rPr>
          <w:rFonts w:eastAsia="PMingLiU" w:cs="Arial"/>
          <w:color w:val="000000"/>
          <w:szCs w:val="22"/>
          <w:lang w:eastAsia="zh-TW"/>
        </w:rPr>
        <w:t xml:space="preserve">In addition to the phase III RECORD program, a post-authorisation, non-interventional, open-label cohort study (XAMOS) has been conducted in 17,413 patients undergoing major orthopaedic surgery of the hip or knee, to compare rivaroxaban 10 mg with other standard-of-care (82% received LMWH) pharmacological thromboprophylaxis in a real-life setting. </w:t>
      </w:r>
      <w:r w:rsidR="000D76B8">
        <w:rPr>
          <w:rFonts w:eastAsia="PMingLiU" w:cs="Arial"/>
          <w:color w:val="000000"/>
          <w:szCs w:val="22"/>
          <w:lang w:eastAsia="zh-TW"/>
        </w:rPr>
        <w:t xml:space="preserve"> </w:t>
      </w:r>
      <w:r w:rsidRPr="009454E4">
        <w:rPr>
          <w:rFonts w:eastAsia="PMingLiU" w:cs="Arial"/>
          <w:color w:val="000000"/>
          <w:szCs w:val="22"/>
          <w:lang w:eastAsia="zh-TW"/>
        </w:rPr>
        <w:t xml:space="preserve">Symptomatic VTE occurred in 57 (0.6%) patients in the rivaroxaban group (n=8,778) and 88 (1.0%) of patients in the standard-of-care group (n=8,635; HR 0.63; 95% CI 0.43-0.91); safety population). </w:t>
      </w:r>
      <w:r w:rsidR="000D76B8">
        <w:rPr>
          <w:rFonts w:eastAsia="PMingLiU" w:cs="Arial"/>
          <w:color w:val="000000"/>
          <w:szCs w:val="22"/>
          <w:lang w:eastAsia="zh-TW"/>
        </w:rPr>
        <w:t xml:space="preserve"> </w:t>
      </w:r>
      <w:r w:rsidRPr="009454E4">
        <w:rPr>
          <w:rFonts w:eastAsia="PMingLiU" w:cs="Arial"/>
          <w:color w:val="000000"/>
          <w:szCs w:val="22"/>
          <w:lang w:eastAsia="zh-TW"/>
        </w:rPr>
        <w:t xml:space="preserve">Major bleeding occurred in 35 (0.4%) and 29 (0.3%) of patients in the rivaroxaban and standard-of-care groups (HR 1.10; 95% CI 0.67-1.80). </w:t>
      </w:r>
      <w:r w:rsidR="000D76B8">
        <w:rPr>
          <w:rFonts w:eastAsia="PMingLiU" w:cs="Arial"/>
          <w:color w:val="000000"/>
          <w:szCs w:val="22"/>
          <w:lang w:eastAsia="zh-TW"/>
        </w:rPr>
        <w:t xml:space="preserve"> </w:t>
      </w:r>
      <w:r w:rsidRPr="009454E4">
        <w:rPr>
          <w:rFonts w:eastAsia="PMingLiU" w:cs="Arial"/>
          <w:color w:val="000000"/>
          <w:szCs w:val="22"/>
          <w:lang w:eastAsia="zh-TW"/>
        </w:rPr>
        <w:t>This non-interventional study confirmed the efficacy and safety results seen in the RECORD program.</w:t>
      </w:r>
    </w:p>
    <w:p w14:paraId="7A6C7FFA" w14:textId="77777777" w:rsidR="009454E4" w:rsidRPr="009454E4" w:rsidRDefault="009454E4" w:rsidP="00DA6D02">
      <w:pPr>
        <w:rPr>
          <w:rFonts w:ascii="Times New Roman" w:hAnsi="Times New Roman"/>
          <w:sz w:val="24"/>
          <w:szCs w:val="24"/>
          <w:lang w:eastAsia="en-US"/>
        </w:rPr>
        <w:sectPr w:rsidR="009454E4" w:rsidRPr="009454E4" w:rsidSect="003E1114">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851" w:gutter="0"/>
          <w:cols w:space="708"/>
          <w:docGrid w:linePitch="360"/>
        </w:sectPr>
      </w:pPr>
      <w:bookmarkStart w:id="35" w:name="_Ref286676048"/>
    </w:p>
    <w:p w14:paraId="2F769A79" w14:textId="6F43B55D" w:rsidR="00476145" w:rsidRDefault="00476145" w:rsidP="00476145">
      <w:pPr>
        <w:pStyle w:val="Caption"/>
        <w:jc w:val="left"/>
      </w:pPr>
      <w:bookmarkStart w:id="36" w:name="_Ref501396633"/>
      <w:bookmarkStart w:id="37" w:name="_Ref318971450"/>
      <w:r>
        <w:lastRenderedPageBreak/>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11</w:t>
      </w:r>
      <w:r w:rsidR="005D4DAE">
        <w:rPr>
          <w:noProof/>
        </w:rPr>
        <w:fldChar w:fldCharType="end"/>
      </w:r>
      <w:bookmarkEnd w:id="36"/>
      <w:r>
        <w:t xml:space="preserve">: </w:t>
      </w:r>
      <w:r w:rsidRPr="00F8697B">
        <w:rPr>
          <w:lang w:eastAsia="en-US"/>
        </w:rPr>
        <w:t>Efficacy and safety results from Phase III RECORD (VTE Prevention in THR, TKR)</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1621"/>
        <w:gridCol w:w="1573"/>
        <w:gridCol w:w="1137"/>
        <w:gridCol w:w="1555"/>
        <w:gridCol w:w="1507"/>
        <w:gridCol w:w="1011"/>
        <w:gridCol w:w="1749"/>
        <w:gridCol w:w="1590"/>
        <w:gridCol w:w="994"/>
      </w:tblGrid>
      <w:tr w:rsidR="00A21F84" w:rsidRPr="009454E4" w14:paraId="565F5D5E" w14:textId="77777777" w:rsidTr="00A21F84">
        <w:trPr>
          <w:cantSplit/>
        </w:trPr>
        <w:tc>
          <w:tcPr>
            <w:tcW w:w="529" w:type="pct"/>
            <w:vMerge w:val="restart"/>
            <w:shd w:val="clear" w:color="auto" w:fill="D9D9D9" w:themeFill="background1" w:themeFillShade="D9"/>
          </w:tcPr>
          <w:bookmarkEnd w:id="35"/>
          <w:bookmarkEnd w:id="37"/>
          <w:p w14:paraId="7410E926" w14:textId="77777777" w:rsidR="00A21F84" w:rsidRPr="009454E4" w:rsidRDefault="00A21F84" w:rsidP="009454E4">
            <w:pPr>
              <w:keepNext/>
              <w:tabs>
                <w:tab w:val="left" w:pos="567"/>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Study Population</w:t>
            </w:r>
          </w:p>
        </w:tc>
        <w:tc>
          <w:tcPr>
            <w:tcW w:w="1520" w:type="pct"/>
            <w:gridSpan w:val="3"/>
            <w:shd w:val="clear" w:color="auto" w:fill="D9D9D9" w:themeFill="background1" w:themeFillShade="D9"/>
          </w:tcPr>
          <w:p w14:paraId="47CD44CD" w14:textId="77777777" w:rsidR="00A21F84" w:rsidRPr="009454E4" w:rsidRDefault="00A21F84" w:rsidP="009454E4">
            <w:pPr>
              <w:keepNext/>
              <w:tabs>
                <w:tab w:val="left" w:pos="567"/>
              </w:tab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RECORD 1</w:t>
            </w:r>
          </w:p>
        </w:tc>
        <w:tc>
          <w:tcPr>
            <w:tcW w:w="1430" w:type="pct"/>
            <w:gridSpan w:val="3"/>
            <w:shd w:val="clear" w:color="auto" w:fill="D9D9D9" w:themeFill="background1" w:themeFillShade="D9"/>
          </w:tcPr>
          <w:p w14:paraId="28D538D4" w14:textId="77777777" w:rsidR="00A21F84" w:rsidRPr="009454E4" w:rsidRDefault="00A21F84" w:rsidP="009454E4">
            <w:pPr>
              <w:keepNext/>
              <w:tabs>
                <w:tab w:val="left" w:pos="567"/>
              </w:tab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RECORD 2</w:t>
            </w:r>
          </w:p>
        </w:tc>
        <w:tc>
          <w:tcPr>
            <w:tcW w:w="1521" w:type="pct"/>
            <w:gridSpan w:val="3"/>
            <w:shd w:val="clear" w:color="auto" w:fill="D9D9D9" w:themeFill="background1" w:themeFillShade="D9"/>
          </w:tcPr>
          <w:p w14:paraId="16F1D404" w14:textId="77777777" w:rsidR="00A21F84" w:rsidRPr="009454E4" w:rsidRDefault="00A21F84" w:rsidP="009454E4">
            <w:pPr>
              <w:keepNext/>
              <w:tabs>
                <w:tab w:val="left" w:pos="567"/>
              </w:tab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RECORD 3</w:t>
            </w:r>
          </w:p>
        </w:tc>
      </w:tr>
      <w:tr w:rsidR="00A21F84" w:rsidRPr="009454E4" w14:paraId="351C0BE3" w14:textId="77777777" w:rsidTr="00A21F84">
        <w:trPr>
          <w:cantSplit/>
        </w:trPr>
        <w:tc>
          <w:tcPr>
            <w:tcW w:w="529" w:type="pct"/>
            <w:vMerge/>
            <w:shd w:val="clear" w:color="auto" w:fill="D9D9D9" w:themeFill="background1" w:themeFillShade="D9"/>
          </w:tcPr>
          <w:p w14:paraId="238DB6AB" w14:textId="77777777" w:rsidR="00A21F84" w:rsidRPr="009454E4" w:rsidRDefault="00A21F84" w:rsidP="009454E4">
            <w:pPr>
              <w:keepNext/>
              <w:tabs>
                <w:tab w:val="left" w:pos="567"/>
              </w:tabs>
              <w:autoSpaceDE w:val="0"/>
              <w:autoSpaceDN w:val="0"/>
              <w:adjustRightInd w:val="0"/>
              <w:spacing w:before="60" w:after="60"/>
              <w:ind w:right="46"/>
              <w:rPr>
                <w:rFonts w:eastAsia="PMingLiU" w:cs="Arial"/>
                <w:color w:val="000000"/>
                <w:sz w:val="17"/>
                <w:szCs w:val="17"/>
                <w:lang w:eastAsia="zh-TW"/>
              </w:rPr>
            </w:pPr>
          </w:p>
        </w:tc>
        <w:tc>
          <w:tcPr>
            <w:tcW w:w="1520" w:type="pct"/>
            <w:gridSpan w:val="3"/>
            <w:shd w:val="clear" w:color="auto" w:fill="D9D9D9" w:themeFill="background1" w:themeFillShade="D9"/>
          </w:tcPr>
          <w:p w14:paraId="0EA57798" w14:textId="77777777" w:rsidR="00A21F84" w:rsidRPr="009454E4" w:rsidRDefault="00A21F84" w:rsidP="009454E4">
            <w:pPr>
              <w:keepNext/>
              <w:tabs>
                <w:tab w:val="left" w:pos="567"/>
              </w:tab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4541 patients undergoing total hip replacement surgery</w:t>
            </w:r>
          </w:p>
        </w:tc>
        <w:tc>
          <w:tcPr>
            <w:tcW w:w="1430" w:type="pct"/>
            <w:gridSpan w:val="3"/>
            <w:shd w:val="clear" w:color="auto" w:fill="D9D9D9" w:themeFill="background1" w:themeFillShade="D9"/>
          </w:tcPr>
          <w:p w14:paraId="7CE9C1E8" w14:textId="77777777" w:rsidR="00A21F84" w:rsidRPr="009454E4" w:rsidRDefault="00A21F84" w:rsidP="009454E4">
            <w:pPr>
              <w:keepNext/>
              <w:tabs>
                <w:tab w:val="left" w:pos="567"/>
              </w:tab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2509 patients undergoing total hip replacement surgery</w:t>
            </w:r>
          </w:p>
        </w:tc>
        <w:tc>
          <w:tcPr>
            <w:tcW w:w="1521" w:type="pct"/>
            <w:gridSpan w:val="3"/>
            <w:shd w:val="clear" w:color="auto" w:fill="D9D9D9" w:themeFill="background1" w:themeFillShade="D9"/>
          </w:tcPr>
          <w:p w14:paraId="2EC0CA42" w14:textId="77777777" w:rsidR="00A21F84" w:rsidRPr="009454E4" w:rsidRDefault="00A21F84" w:rsidP="009454E4">
            <w:pPr>
              <w:keepNext/>
              <w:tabs>
                <w:tab w:val="left" w:pos="567"/>
              </w:tab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2531 patients undergoing total knee replacement surgery</w:t>
            </w:r>
          </w:p>
        </w:tc>
      </w:tr>
      <w:tr w:rsidR="009454E4" w:rsidRPr="009454E4" w14:paraId="0235723D" w14:textId="77777777" w:rsidTr="00A21F84">
        <w:trPr>
          <w:cantSplit/>
          <w:trHeight w:val="1179"/>
        </w:trPr>
        <w:tc>
          <w:tcPr>
            <w:tcW w:w="529" w:type="pct"/>
            <w:shd w:val="clear" w:color="auto" w:fill="D9D9D9" w:themeFill="background1" w:themeFillShade="D9"/>
          </w:tcPr>
          <w:p w14:paraId="1000C900" w14:textId="77777777" w:rsidR="009454E4" w:rsidRPr="009454E4" w:rsidRDefault="009454E4" w:rsidP="009454E4">
            <w:pPr>
              <w:keepNext/>
              <w:tabs>
                <w:tab w:val="left" w:pos="567"/>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Treatment dosage and duration after surgery</w:t>
            </w:r>
          </w:p>
        </w:tc>
        <w:tc>
          <w:tcPr>
            <w:tcW w:w="569" w:type="pct"/>
            <w:shd w:val="clear" w:color="auto" w:fill="D9D9D9" w:themeFill="background1" w:themeFillShade="D9"/>
          </w:tcPr>
          <w:p w14:paraId="092BCE0F"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 xml:space="preserve">Rivaroxaban </w:t>
            </w:r>
          </w:p>
          <w:p w14:paraId="708CCCBE"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10 mg od</w:t>
            </w:r>
          </w:p>
          <w:p w14:paraId="6497972C"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35 ± 4 days</w:t>
            </w:r>
          </w:p>
          <w:p w14:paraId="268F6075"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n (%)</w:t>
            </w:r>
          </w:p>
        </w:tc>
        <w:tc>
          <w:tcPr>
            <w:tcW w:w="552" w:type="pct"/>
            <w:shd w:val="clear" w:color="auto" w:fill="D9D9D9" w:themeFill="background1" w:themeFillShade="D9"/>
          </w:tcPr>
          <w:p w14:paraId="65742A70"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Enoxaparin</w:t>
            </w:r>
          </w:p>
          <w:p w14:paraId="348D04E6"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40 mg od</w:t>
            </w:r>
          </w:p>
          <w:p w14:paraId="2101A8D9"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35 ± 4 days</w:t>
            </w:r>
          </w:p>
          <w:p w14:paraId="57B756A3"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n (%)</w:t>
            </w:r>
          </w:p>
        </w:tc>
        <w:tc>
          <w:tcPr>
            <w:tcW w:w="399" w:type="pct"/>
            <w:shd w:val="clear" w:color="auto" w:fill="D9D9D9" w:themeFill="background1" w:themeFillShade="D9"/>
          </w:tcPr>
          <w:p w14:paraId="2F8381D5" w14:textId="77777777" w:rsidR="009454E4" w:rsidRPr="009454E4" w:rsidRDefault="009454E4" w:rsidP="009454E4">
            <w:pPr>
              <w:keepNext/>
              <w:tabs>
                <w:tab w:val="left" w:pos="451"/>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 xml:space="preserve"> p value</w:t>
            </w:r>
          </w:p>
        </w:tc>
        <w:tc>
          <w:tcPr>
            <w:tcW w:w="546" w:type="pct"/>
            <w:shd w:val="clear" w:color="auto" w:fill="D9D9D9" w:themeFill="background1" w:themeFillShade="D9"/>
          </w:tcPr>
          <w:p w14:paraId="6318A151"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 xml:space="preserve">Rivaroxaban </w:t>
            </w:r>
          </w:p>
          <w:p w14:paraId="42F19191"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10 mg od</w:t>
            </w:r>
          </w:p>
          <w:p w14:paraId="486A4C28"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35 ± 4 days</w:t>
            </w:r>
          </w:p>
          <w:p w14:paraId="30F86443"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n (%)</w:t>
            </w:r>
          </w:p>
        </w:tc>
        <w:tc>
          <w:tcPr>
            <w:tcW w:w="529" w:type="pct"/>
            <w:shd w:val="clear" w:color="auto" w:fill="D9D9D9" w:themeFill="background1" w:themeFillShade="D9"/>
          </w:tcPr>
          <w:p w14:paraId="442B2DFD"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Enoxaparin</w:t>
            </w:r>
          </w:p>
          <w:p w14:paraId="47901FF9"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40 mg od</w:t>
            </w:r>
          </w:p>
          <w:p w14:paraId="7F275DDB"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12 ± 2 days</w:t>
            </w:r>
          </w:p>
          <w:p w14:paraId="2448A8ED"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n (%)</w:t>
            </w:r>
          </w:p>
        </w:tc>
        <w:tc>
          <w:tcPr>
            <w:tcW w:w="355" w:type="pct"/>
            <w:shd w:val="clear" w:color="auto" w:fill="D9D9D9" w:themeFill="background1" w:themeFillShade="D9"/>
          </w:tcPr>
          <w:p w14:paraId="12854412" w14:textId="77777777" w:rsidR="009454E4" w:rsidRPr="009454E4" w:rsidRDefault="009454E4" w:rsidP="009454E4">
            <w:pPr>
              <w:keepNext/>
              <w:autoSpaceDE w:val="0"/>
              <w:autoSpaceDN w:val="0"/>
              <w:adjustRightInd w:val="0"/>
              <w:spacing w:before="60" w:after="60"/>
              <w:ind w:right="-52"/>
              <w:jc w:val="center"/>
              <w:rPr>
                <w:rFonts w:eastAsia="PMingLiU" w:cs="Arial"/>
                <w:color w:val="000000"/>
                <w:sz w:val="17"/>
                <w:szCs w:val="17"/>
                <w:lang w:eastAsia="zh-TW"/>
              </w:rPr>
            </w:pPr>
            <w:r w:rsidRPr="009454E4">
              <w:rPr>
                <w:rFonts w:eastAsia="PMingLiU" w:cs="Arial"/>
                <w:color w:val="000000"/>
                <w:sz w:val="17"/>
                <w:szCs w:val="17"/>
                <w:lang w:eastAsia="zh-TW"/>
              </w:rPr>
              <w:t>p value</w:t>
            </w:r>
          </w:p>
        </w:tc>
        <w:tc>
          <w:tcPr>
            <w:tcW w:w="614" w:type="pct"/>
            <w:shd w:val="clear" w:color="auto" w:fill="D9D9D9" w:themeFill="background1" w:themeFillShade="D9"/>
          </w:tcPr>
          <w:p w14:paraId="1D913451"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Rivaroxaban</w:t>
            </w:r>
          </w:p>
          <w:p w14:paraId="6690CFBB"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10 mg od</w:t>
            </w:r>
          </w:p>
          <w:p w14:paraId="5C7E1DA3"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12 ± 2 days</w:t>
            </w:r>
          </w:p>
          <w:p w14:paraId="6D43D4D9"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n (%)</w:t>
            </w:r>
          </w:p>
        </w:tc>
        <w:tc>
          <w:tcPr>
            <w:tcW w:w="558" w:type="pct"/>
            <w:shd w:val="clear" w:color="auto" w:fill="D9D9D9" w:themeFill="background1" w:themeFillShade="D9"/>
          </w:tcPr>
          <w:p w14:paraId="5E49727B"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Enoxaparin</w:t>
            </w:r>
          </w:p>
          <w:p w14:paraId="42B9B705"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40 mg od</w:t>
            </w:r>
          </w:p>
          <w:p w14:paraId="69AF0897"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12 ± 2 days</w:t>
            </w:r>
          </w:p>
          <w:p w14:paraId="7AE97785"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n (%)</w:t>
            </w:r>
          </w:p>
        </w:tc>
        <w:tc>
          <w:tcPr>
            <w:tcW w:w="349" w:type="pct"/>
            <w:shd w:val="clear" w:color="auto" w:fill="D9D9D9" w:themeFill="background1" w:themeFillShade="D9"/>
          </w:tcPr>
          <w:p w14:paraId="699B3462"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p value</w:t>
            </w:r>
          </w:p>
        </w:tc>
      </w:tr>
      <w:tr w:rsidR="009454E4" w:rsidRPr="009454E4" w14:paraId="44FE4D00" w14:textId="77777777" w:rsidTr="00A21F84">
        <w:trPr>
          <w:cantSplit/>
          <w:trHeight w:val="429"/>
        </w:trPr>
        <w:tc>
          <w:tcPr>
            <w:tcW w:w="529" w:type="pct"/>
            <w:shd w:val="clear" w:color="auto" w:fill="auto"/>
          </w:tcPr>
          <w:p w14:paraId="576C5172" w14:textId="77777777" w:rsidR="009454E4" w:rsidRPr="009454E4" w:rsidRDefault="009454E4" w:rsidP="009454E4">
            <w:pPr>
              <w:keepNext/>
              <w:tabs>
                <w:tab w:val="left" w:pos="567"/>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 xml:space="preserve">Total VTE </w:t>
            </w:r>
          </w:p>
        </w:tc>
        <w:tc>
          <w:tcPr>
            <w:tcW w:w="569" w:type="pct"/>
            <w:shd w:val="clear" w:color="auto" w:fill="auto"/>
          </w:tcPr>
          <w:p w14:paraId="717D6099"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18 (1.1)</w:t>
            </w:r>
          </w:p>
        </w:tc>
        <w:tc>
          <w:tcPr>
            <w:tcW w:w="552" w:type="pct"/>
            <w:shd w:val="clear" w:color="auto" w:fill="auto"/>
          </w:tcPr>
          <w:p w14:paraId="71EFCAC9"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58 (3.7)</w:t>
            </w:r>
          </w:p>
        </w:tc>
        <w:tc>
          <w:tcPr>
            <w:tcW w:w="399" w:type="pct"/>
            <w:shd w:val="clear" w:color="auto" w:fill="auto"/>
          </w:tcPr>
          <w:p w14:paraId="17436EF1"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&lt;0.001</w:t>
            </w:r>
          </w:p>
        </w:tc>
        <w:tc>
          <w:tcPr>
            <w:tcW w:w="546" w:type="pct"/>
            <w:shd w:val="clear" w:color="auto" w:fill="auto"/>
          </w:tcPr>
          <w:p w14:paraId="1103D903"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17 (2.0)</w:t>
            </w:r>
          </w:p>
        </w:tc>
        <w:tc>
          <w:tcPr>
            <w:tcW w:w="529" w:type="pct"/>
            <w:shd w:val="clear" w:color="auto" w:fill="auto"/>
          </w:tcPr>
          <w:p w14:paraId="5BA90A2D"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81 (9.3)</w:t>
            </w:r>
          </w:p>
        </w:tc>
        <w:tc>
          <w:tcPr>
            <w:tcW w:w="355" w:type="pct"/>
            <w:shd w:val="clear" w:color="auto" w:fill="auto"/>
          </w:tcPr>
          <w:p w14:paraId="7EF84220" w14:textId="77777777" w:rsidR="009454E4" w:rsidRPr="009454E4" w:rsidRDefault="009454E4" w:rsidP="009454E4">
            <w:pPr>
              <w:keepNext/>
              <w:autoSpaceDE w:val="0"/>
              <w:autoSpaceDN w:val="0"/>
              <w:adjustRightInd w:val="0"/>
              <w:spacing w:before="60" w:after="60"/>
              <w:ind w:right="-52"/>
              <w:jc w:val="center"/>
              <w:rPr>
                <w:rFonts w:eastAsia="PMingLiU" w:cs="Arial"/>
                <w:color w:val="000000"/>
                <w:sz w:val="17"/>
                <w:szCs w:val="17"/>
                <w:lang w:eastAsia="zh-TW"/>
              </w:rPr>
            </w:pPr>
            <w:r w:rsidRPr="009454E4">
              <w:rPr>
                <w:rFonts w:eastAsia="PMingLiU" w:cs="Arial"/>
                <w:color w:val="000000"/>
                <w:sz w:val="17"/>
                <w:szCs w:val="17"/>
                <w:lang w:eastAsia="zh-TW"/>
              </w:rPr>
              <w:t>&lt;0.001</w:t>
            </w:r>
          </w:p>
        </w:tc>
        <w:tc>
          <w:tcPr>
            <w:tcW w:w="614" w:type="pct"/>
            <w:shd w:val="clear" w:color="auto" w:fill="auto"/>
          </w:tcPr>
          <w:p w14:paraId="150DC767"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79 (9.6)</w:t>
            </w:r>
          </w:p>
        </w:tc>
        <w:tc>
          <w:tcPr>
            <w:tcW w:w="558" w:type="pct"/>
            <w:shd w:val="clear" w:color="auto" w:fill="auto"/>
          </w:tcPr>
          <w:p w14:paraId="4CA784F9"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166 (18.9)</w:t>
            </w:r>
          </w:p>
        </w:tc>
        <w:tc>
          <w:tcPr>
            <w:tcW w:w="349" w:type="pct"/>
            <w:shd w:val="clear" w:color="auto" w:fill="auto"/>
          </w:tcPr>
          <w:p w14:paraId="51A51408"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&lt;0.001</w:t>
            </w:r>
          </w:p>
        </w:tc>
      </w:tr>
      <w:tr w:rsidR="009454E4" w:rsidRPr="009454E4" w14:paraId="27133FE4" w14:textId="77777777" w:rsidTr="00A21F84">
        <w:trPr>
          <w:cantSplit/>
          <w:trHeight w:val="421"/>
        </w:trPr>
        <w:tc>
          <w:tcPr>
            <w:tcW w:w="529" w:type="pct"/>
            <w:shd w:val="clear" w:color="auto" w:fill="auto"/>
          </w:tcPr>
          <w:p w14:paraId="6ADCC786" w14:textId="77777777" w:rsidR="009454E4" w:rsidRPr="009454E4" w:rsidRDefault="009454E4" w:rsidP="009454E4">
            <w:pPr>
              <w:keepNext/>
              <w:tabs>
                <w:tab w:val="left" w:pos="567"/>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 xml:space="preserve">Major VTE </w:t>
            </w:r>
          </w:p>
        </w:tc>
        <w:tc>
          <w:tcPr>
            <w:tcW w:w="569" w:type="pct"/>
            <w:shd w:val="clear" w:color="auto" w:fill="auto"/>
          </w:tcPr>
          <w:p w14:paraId="32DF474F"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 (0.2)</w:t>
            </w:r>
          </w:p>
        </w:tc>
        <w:tc>
          <w:tcPr>
            <w:tcW w:w="552" w:type="pct"/>
            <w:shd w:val="clear" w:color="auto" w:fill="auto"/>
          </w:tcPr>
          <w:p w14:paraId="3ABF5D45"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33 (2.0)</w:t>
            </w:r>
          </w:p>
        </w:tc>
        <w:tc>
          <w:tcPr>
            <w:tcW w:w="399" w:type="pct"/>
            <w:shd w:val="clear" w:color="auto" w:fill="auto"/>
          </w:tcPr>
          <w:p w14:paraId="5A69E30D"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&lt;0.001</w:t>
            </w:r>
          </w:p>
        </w:tc>
        <w:tc>
          <w:tcPr>
            <w:tcW w:w="546" w:type="pct"/>
            <w:shd w:val="clear" w:color="auto" w:fill="auto"/>
          </w:tcPr>
          <w:p w14:paraId="2B385266"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6 (0.6)</w:t>
            </w:r>
          </w:p>
        </w:tc>
        <w:tc>
          <w:tcPr>
            <w:tcW w:w="529" w:type="pct"/>
            <w:shd w:val="clear" w:color="auto" w:fill="auto"/>
          </w:tcPr>
          <w:p w14:paraId="2ABDE361"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49 (5.1)</w:t>
            </w:r>
          </w:p>
        </w:tc>
        <w:tc>
          <w:tcPr>
            <w:tcW w:w="355" w:type="pct"/>
            <w:shd w:val="clear" w:color="auto" w:fill="auto"/>
          </w:tcPr>
          <w:p w14:paraId="51C8CF49" w14:textId="77777777" w:rsidR="009454E4" w:rsidRPr="009454E4" w:rsidRDefault="009454E4" w:rsidP="009454E4">
            <w:pPr>
              <w:keepNext/>
              <w:autoSpaceDE w:val="0"/>
              <w:autoSpaceDN w:val="0"/>
              <w:adjustRightInd w:val="0"/>
              <w:spacing w:before="60" w:after="60"/>
              <w:ind w:right="-52"/>
              <w:jc w:val="center"/>
              <w:rPr>
                <w:rFonts w:eastAsia="PMingLiU" w:cs="Arial"/>
                <w:color w:val="000000"/>
                <w:sz w:val="17"/>
                <w:szCs w:val="17"/>
                <w:lang w:eastAsia="zh-TW"/>
              </w:rPr>
            </w:pPr>
            <w:r w:rsidRPr="009454E4">
              <w:rPr>
                <w:rFonts w:eastAsia="PMingLiU" w:cs="Arial"/>
                <w:color w:val="000000"/>
                <w:sz w:val="17"/>
                <w:szCs w:val="17"/>
                <w:lang w:eastAsia="zh-TW"/>
              </w:rPr>
              <w:t>&lt;0.001</w:t>
            </w:r>
          </w:p>
        </w:tc>
        <w:tc>
          <w:tcPr>
            <w:tcW w:w="614" w:type="pct"/>
            <w:shd w:val="clear" w:color="auto" w:fill="auto"/>
          </w:tcPr>
          <w:p w14:paraId="1FC51590"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9 (1.0)</w:t>
            </w:r>
          </w:p>
        </w:tc>
        <w:tc>
          <w:tcPr>
            <w:tcW w:w="558" w:type="pct"/>
            <w:shd w:val="clear" w:color="auto" w:fill="auto"/>
          </w:tcPr>
          <w:p w14:paraId="66D8FA52"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24 (2.6)</w:t>
            </w:r>
          </w:p>
        </w:tc>
        <w:tc>
          <w:tcPr>
            <w:tcW w:w="349" w:type="pct"/>
            <w:shd w:val="clear" w:color="auto" w:fill="auto"/>
          </w:tcPr>
          <w:p w14:paraId="2D0800CB"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0.01</w:t>
            </w:r>
          </w:p>
        </w:tc>
      </w:tr>
      <w:tr w:rsidR="009454E4" w:rsidRPr="009454E4" w14:paraId="73997FEA" w14:textId="77777777" w:rsidTr="00A21F84">
        <w:trPr>
          <w:cantSplit/>
        </w:trPr>
        <w:tc>
          <w:tcPr>
            <w:tcW w:w="529" w:type="pct"/>
            <w:shd w:val="clear" w:color="auto" w:fill="auto"/>
          </w:tcPr>
          <w:p w14:paraId="2886E6FF" w14:textId="77777777" w:rsidR="009454E4" w:rsidRPr="009454E4" w:rsidRDefault="009454E4" w:rsidP="009454E4">
            <w:pPr>
              <w:keepNext/>
              <w:tabs>
                <w:tab w:val="left" w:pos="567"/>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 xml:space="preserve">Symptomatic VTE </w:t>
            </w:r>
          </w:p>
        </w:tc>
        <w:tc>
          <w:tcPr>
            <w:tcW w:w="569" w:type="pct"/>
            <w:shd w:val="clear" w:color="auto" w:fill="auto"/>
          </w:tcPr>
          <w:p w14:paraId="5A587DF5"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snapToGrid w:val="0"/>
                <w:color w:val="000000"/>
                <w:sz w:val="17"/>
                <w:szCs w:val="17"/>
                <w:lang w:eastAsia="zh-TW"/>
              </w:rPr>
              <w:t>6 (</w:t>
            </w:r>
            <w:r w:rsidRPr="009454E4">
              <w:rPr>
                <w:rFonts w:eastAsia="PMingLiU" w:cs="Arial"/>
                <w:color w:val="000000"/>
                <w:sz w:val="17"/>
                <w:szCs w:val="17"/>
                <w:lang w:eastAsia="zh-TW"/>
              </w:rPr>
              <w:t>0.4)</w:t>
            </w:r>
          </w:p>
        </w:tc>
        <w:tc>
          <w:tcPr>
            <w:tcW w:w="552" w:type="pct"/>
            <w:shd w:val="clear" w:color="auto" w:fill="auto"/>
          </w:tcPr>
          <w:p w14:paraId="0FE4F81F"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snapToGrid w:val="0"/>
                <w:color w:val="000000"/>
                <w:sz w:val="17"/>
                <w:szCs w:val="17"/>
                <w:lang w:eastAsia="zh-TW"/>
              </w:rPr>
              <w:t>11 (</w:t>
            </w:r>
            <w:r w:rsidRPr="009454E4">
              <w:rPr>
                <w:rFonts w:eastAsia="PMingLiU" w:cs="Arial"/>
                <w:color w:val="000000"/>
                <w:sz w:val="17"/>
                <w:szCs w:val="17"/>
                <w:lang w:eastAsia="zh-TW"/>
              </w:rPr>
              <w:t>0.7)</w:t>
            </w:r>
          </w:p>
        </w:tc>
        <w:tc>
          <w:tcPr>
            <w:tcW w:w="399" w:type="pct"/>
            <w:shd w:val="clear" w:color="auto" w:fill="auto"/>
          </w:tcPr>
          <w:p w14:paraId="5E0F881D"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546" w:type="pct"/>
            <w:shd w:val="clear" w:color="auto" w:fill="auto"/>
          </w:tcPr>
          <w:p w14:paraId="14E5ABFC"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3 (0.4)</w:t>
            </w:r>
          </w:p>
        </w:tc>
        <w:tc>
          <w:tcPr>
            <w:tcW w:w="529" w:type="pct"/>
            <w:shd w:val="clear" w:color="auto" w:fill="auto"/>
          </w:tcPr>
          <w:p w14:paraId="4A03A828"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15 (1.7 )</w:t>
            </w:r>
          </w:p>
        </w:tc>
        <w:tc>
          <w:tcPr>
            <w:tcW w:w="355" w:type="pct"/>
            <w:shd w:val="clear" w:color="auto" w:fill="auto"/>
          </w:tcPr>
          <w:p w14:paraId="0956D68F" w14:textId="77777777" w:rsidR="009454E4" w:rsidRPr="009454E4" w:rsidRDefault="009454E4" w:rsidP="009454E4">
            <w:pPr>
              <w:keepNext/>
              <w:autoSpaceDE w:val="0"/>
              <w:autoSpaceDN w:val="0"/>
              <w:adjustRightInd w:val="0"/>
              <w:spacing w:before="60" w:after="60"/>
              <w:ind w:right="-52"/>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614" w:type="pct"/>
            <w:shd w:val="clear" w:color="auto" w:fill="auto"/>
          </w:tcPr>
          <w:p w14:paraId="6371DF20"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8 (1.0)</w:t>
            </w:r>
          </w:p>
        </w:tc>
        <w:tc>
          <w:tcPr>
            <w:tcW w:w="558" w:type="pct"/>
            <w:shd w:val="clear" w:color="auto" w:fill="auto"/>
          </w:tcPr>
          <w:p w14:paraId="2289AACA"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24 (2.7)</w:t>
            </w:r>
          </w:p>
        </w:tc>
        <w:tc>
          <w:tcPr>
            <w:tcW w:w="349" w:type="pct"/>
            <w:shd w:val="clear" w:color="auto" w:fill="auto"/>
          </w:tcPr>
          <w:p w14:paraId="1669CAE5" w14:textId="77777777" w:rsidR="009454E4" w:rsidRPr="009454E4" w:rsidRDefault="009454E4" w:rsidP="009454E4">
            <w:pPr>
              <w:keepNext/>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r>
      <w:tr w:rsidR="009454E4" w:rsidRPr="009454E4" w14:paraId="7A7CDD75" w14:textId="77777777" w:rsidTr="00A21F84">
        <w:trPr>
          <w:cantSplit/>
          <w:trHeight w:val="449"/>
        </w:trPr>
        <w:tc>
          <w:tcPr>
            <w:tcW w:w="529" w:type="pct"/>
            <w:shd w:val="clear" w:color="auto" w:fill="auto"/>
          </w:tcPr>
          <w:p w14:paraId="62CD3435" w14:textId="77777777" w:rsidR="009454E4" w:rsidRPr="009454E4" w:rsidRDefault="009454E4" w:rsidP="009454E4">
            <w:pPr>
              <w:keepLines/>
              <w:tabs>
                <w:tab w:val="left" w:pos="567"/>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Major bleedings</w:t>
            </w:r>
          </w:p>
        </w:tc>
        <w:tc>
          <w:tcPr>
            <w:tcW w:w="569" w:type="pct"/>
            <w:shd w:val="clear" w:color="auto" w:fill="auto"/>
          </w:tcPr>
          <w:p w14:paraId="7558CD5C"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6 (0.3 )</w:t>
            </w:r>
          </w:p>
        </w:tc>
        <w:tc>
          <w:tcPr>
            <w:tcW w:w="552" w:type="pct"/>
            <w:shd w:val="clear" w:color="auto" w:fill="auto"/>
          </w:tcPr>
          <w:p w14:paraId="6ACB4924"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2 (0.1)</w:t>
            </w:r>
          </w:p>
        </w:tc>
        <w:tc>
          <w:tcPr>
            <w:tcW w:w="399" w:type="pct"/>
            <w:shd w:val="clear" w:color="auto" w:fill="auto"/>
          </w:tcPr>
          <w:p w14:paraId="13C1DAB3"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546" w:type="pct"/>
            <w:shd w:val="clear" w:color="auto" w:fill="auto"/>
          </w:tcPr>
          <w:p w14:paraId="0EEFB8CE"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 (0.1)</w:t>
            </w:r>
          </w:p>
        </w:tc>
        <w:tc>
          <w:tcPr>
            <w:tcW w:w="529" w:type="pct"/>
            <w:shd w:val="clear" w:color="auto" w:fill="auto"/>
          </w:tcPr>
          <w:p w14:paraId="1D917E05"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 (0.1)</w:t>
            </w:r>
          </w:p>
        </w:tc>
        <w:tc>
          <w:tcPr>
            <w:tcW w:w="355" w:type="pct"/>
            <w:shd w:val="clear" w:color="auto" w:fill="auto"/>
          </w:tcPr>
          <w:p w14:paraId="719C4EB8" w14:textId="77777777" w:rsidR="009454E4" w:rsidRPr="009454E4" w:rsidRDefault="009454E4" w:rsidP="009454E4">
            <w:pPr>
              <w:keepLines/>
              <w:autoSpaceDE w:val="0"/>
              <w:autoSpaceDN w:val="0"/>
              <w:adjustRightInd w:val="0"/>
              <w:spacing w:before="60" w:after="60"/>
              <w:ind w:right="-52"/>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614" w:type="pct"/>
            <w:shd w:val="clear" w:color="auto" w:fill="auto"/>
          </w:tcPr>
          <w:p w14:paraId="1484DEEF"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7 (0.6)</w:t>
            </w:r>
          </w:p>
        </w:tc>
        <w:tc>
          <w:tcPr>
            <w:tcW w:w="558" w:type="pct"/>
            <w:shd w:val="clear" w:color="auto" w:fill="auto"/>
          </w:tcPr>
          <w:p w14:paraId="4869347D"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6 (0.5)</w:t>
            </w:r>
          </w:p>
        </w:tc>
        <w:tc>
          <w:tcPr>
            <w:tcW w:w="349" w:type="pct"/>
            <w:shd w:val="clear" w:color="auto" w:fill="auto"/>
          </w:tcPr>
          <w:p w14:paraId="070F8C0F"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r>
      <w:tr w:rsidR="009454E4" w:rsidRPr="009454E4" w14:paraId="58A3A227" w14:textId="77777777" w:rsidTr="00A21F84">
        <w:trPr>
          <w:cantSplit/>
          <w:trHeight w:val="413"/>
        </w:trPr>
        <w:tc>
          <w:tcPr>
            <w:tcW w:w="529" w:type="pct"/>
            <w:shd w:val="clear" w:color="auto" w:fill="auto"/>
          </w:tcPr>
          <w:p w14:paraId="2348D2AF" w14:textId="77777777" w:rsidR="009454E4" w:rsidRPr="009454E4" w:rsidRDefault="009454E4" w:rsidP="009454E4">
            <w:pPr>
              <w:keepLines/>
              <w:widowControl w:val="0"/>
              <w:tabs>
                <w:tab w:val="left" w:pos="567"/>
                <w:tab w:val="left" w:pos="972"/>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 xml:space="preserve"> PE (non-fatal)</w:t>
            </w:r>
          </w:p>
        </w:tc>
        <w:tc>
          <w:tcPr>
            <w:tcW w:w="569" w:type="pct"/>
            <w:shd w:val="clear" w:color="auto" w:fill="auto"/>
          </w:tcPr>
          <w:p w14:paraId="3BC73CBF"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 (0.3)</w:t>
            </w:r>
          </w:p>
        </w:tc>
        <w:tc>
          <w:tcPr>
            <w:tcW w:w="552" w:type="pct"/>
            <w:shd w:val="clear" w:color="auto" w:fill="auto"/>
          </w:tcPr>
          <w:p w14:paraId="65723590"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 (&lt;0.1)</w:t>
            </w:r>
          </w:p>
        </w:tc>
        <w:tc>
          <w:tcPr>
            <w:tcW w:w="399" w:type="pct"/>
            <w:shd w:val="clear" w:color="auto" w:fill="auto"/>
          </w:tcPr>
          <w:p w14:paraId="697DCEC5"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546" w:type="pct"/>
            <w:shd w:val="clear" w:color="auto" w:fill="auto"/>
          </w:tcPr>
          <w:p w14:paraId="1A724644"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 (0.1)</w:t>
            </w:r>
          </w:p>
        </w:tc>
        <w:tc>
          <w:tcPr>
            <w:tcW w:w="529" w:type="pct"/>
            <w:shd w:val="clear" w:color="auto" w:fill="auto"/>
          </w:tcPr>
          <w:p w14:paraId="2CFE6B5B"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 (0.5)</w:t>
            </w:r>
          </w:p>
        </w:tc>
        <w:tc>
          <w:tcPr>
            <w:tcW w:w="355" w:type="pct"/>
            <w:shd w:val="clear" w:color="auto" w:fill="auto"/>
          </w:tcPr>
          <w:p w14:paraId="376954EE" w14:textId="77777777" w:rsidR="009454E4" w:rsidRPr="009454E4" w:rsidRDefault="009454E4" w:rsidP="009454E4">
            <w:pPr>
              <w:keepLines/>
              <w:autoSpaceDE w:val="0"/>
              <w:autoSpaceDN w:val="0"/>
              <w:adjustRightInd w:val="0"/>
              <w:spacing w:before="60" w:after="60"/>
              <w:ind w:right="-52"/>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614" w:type="pct"/>
            <w:shd w:val="clear" w:color="auto" w:fill="auto"/>
          </w:tcPr>
          <w:p w14:paraId="5EEC0441"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0 (0.0)</w:t>
            </w:r>
          </w:p>
        </w:tc>
        <w:tc>
          <w:tcPr>
            <w:tcW w:w="558" w:type="pct"/>
            <w:shd w:val="clear" w:color="auto" w:fill="auto"/>
          </w:tcPr>
          <w:p w14:paraId="1F6C0AA1"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 (0.5)</w:t>
            </w:r>
          </w:p>
        </w:tc>
        <w:tc>
          <w:tcPr>
            <w:tcW w:w="349" w:type="pct"/>
            <w:shd w:val="clear" w:color="auto" w:fill="auto"/>
          </w:tcPr>
          <w:p w14:paraId="0EE0943D"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r>
      <w:tr w:rsidR="009454E4" w:rsidRPr="009454E4" w14:paraId="38BA0A97" w14:textId="77777777" w:rsidTr="00A21F84">
        <w:trPr>
          <w:cantSplit/>
          <w:trHeight w:val="547"/>
        </w:trPr>
        <w:tc>
          <w:tcPr>
            <w:tcW w:w="529" w:type="pct"/>
            <w:shd w:val="clear" w:color="auto" w:fill="auto"/>
          </w:tcPr>
          <w:p w14:paraId="1890A2A3" w14:textId="77777777" w:rsidR="009454E4" w:rsidRPr="009454E4" w:rsidRDefault="009454E4" w:rsidP="009454E4">
            <w:pPr>
              <w:keepLines/>
              <w:widowControl w:val="0"/>
              <w:tabs>
                <w:tab w:val="left" w:pos="567"/>
                <w:tab w:val="left" w:pos="1049"/>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Death  (any cause)</w:t>
            </w:r>
          </w:p>
        </w:tc>
        <w:tc>
          <w:tcPr>
            <w:tcW w:w="569" w:type="pct"/>
            <w:shd w:val="clear" w:color="auto" w:fill="auto"/>
          </w:tcPr>
          <w:p w14:paraId="7FBC1357"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 (0.3)</w:t>
            </w:r>
          </w:p>
        </w:tc>
        <w:tc>
          <w:tcPr>
            <w:tcW w:w="552" w:type="pct"/>
            <w:shd w:val="clear" w:color="auto" w:fill="auto"/>
          </w:tcPr>
          <w:p w14:paraId="6D3EDF6C"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4 (0.3)</w:t>
            </w:r>
          </w:p>
        </w:tc>
        <w:tc>
          <w:tcPr>
            <w:tcW w:w="399" w:type="pct"/>
            <w:shd w:val="clear" w:color="auto" w:fill="auto"/>
          </w:tcPr>
          <w:p w14:paraId="200E24F4"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546" w:type="pct"/>
            <w:shd w:val="clear" w:color="auto" w:fill="auto"/>
          </w:tcPr>
          <w:p w14:paraId="59AC5BB6"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2 (0.2)</w:t>
            </w:r>
          </w:p>
        </w:tc>
        <w:tc>
          <w:tcPr>
            <w:tcW w:w="529" w:type="pct"/>
            <w:shd w:val="clear" w:color="auto" w:fill="auto"/>
          </w:tcPr>
          <w:p w14:paraId="4447425D"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6 (0.7)</w:t>
            </w:r>
          </w:p>
        </w:tc>
        <w:tc>
          <w:tcPr>
            <w:tcW w:w="355" w:type="pct"/>
            <w:shd w:val="clear" w:color="auto" w:fill="auto"/>
          </w:tcPr>
          <w:p w14:paraId="7CC9BD2D" w14:textId="77777777" w:rsidR="009454E4" w:rsidRPr="009454E4" w:rsidRDefault="009454E4" w:rsidP="009454E4">
            <w:pPr>
              <w:keepLines/>
              <w:autoSpaceDE w:val="0"/>
              <w:autoSpaceDN w:val="0"/>
              <w:adjustRightInd w:val="0"/>
              <w:spacing w:before="60" w:after="60"/>
              <w:ind w:right="-52"/>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614" w:type="pct"/>
            <w:shd w:val="clear" w:color="auto" w:fill="auto"/>
          </w:tcPr>
          <w:p w14:paraId="626B6DEB"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0 (0.0)</w:t>
            </w:r>
          </w:p>
        </w:tc>
        <w:tc>
          <w:tcPr>
            <w:tcW w:w="558" w:type="pct"/>
            <w:shd w:val="clear" w:color="auto" w:fill="auto"/>
          </w:tcPr>
          <w:p w14:paraId="4E64B2E7"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2 (0.2)</w:t>
            </w:r>
          </w:p>
        </w:tc>
        <w:tc>
          <w:tcPr>
            <w:tcW w:w="349" w:type="pct"/>
            <w:shd w:val="clear" w:color="auto" w:fill="auto"/>
          </w:tcPr>
          <w:p w14:paraId="08301C4A"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r>
      <w:tr w:rsidR="009454E4" w:rsidRPr="009454E4" w14:paraId="3AC7B08D" w14:textId="77777777" w:rsidTr="00A21F84">
        <w:trPr>
          <w:cantSplit/>
          <w:trHeight w:val="521"/>
        </w:trPr>
        <w:tc>
          <w:tcPr>
            <w:tcW w:w="529" w:type="pct"/>
            <w:shd w:val="clear" w:color="auto" w:fill="auto"/>
          </w:tcPr>
          <w:p w14:paraId="5435162D" w14:textId="77777777" w:rsidR="009454E4" w:rsidRPr="009454E4" w:rsidRDefault="009454E4" w:rsidP="009454E4">
            <w:pPr>
              <w:keepLines/>
              <w:widowControl w:val="0"/>
              <w:tabs>
                <w:tab w:val="left" w:pos="567"/>
                <w:tab w:val="left" w:pos="1049"/>
              </w:tabs>
              <w:autoSpaceDE w:val="0"/>
              <w:autoSpaceDN w:val="0"/>
              <w:adjustRightInd w:val="0"/>
              <w:spacing w:before="60" w:after="60"/>
              <w:ind w:right="46"/>
              <w:rPr>
                <w:rFonts w:eastAsia="PMingLiU" w:cs="Arial"/>
                <w:color w:val="000000"/>
                <w:sz w:val="17"/>
                <w:szCs w:val="17"/>
                <w:lang w:eastAsia="zh-TW"/>
              </w:rPr>
            </w:pPr>
            <w:r w:rsidRPr="009454E4">
              <w:rPr>
                <w:rFonts w:eastAsia="PMingLiU" w:cs="Arial"/>
                <w:color w:val="000000"/>
                <w:sz w:val="17"/>
                <w:szCs w:val="17"/>
                <w:lang w:eastAsia="zh-TW"/>
              </w:rPr>
              <w:t>VTE related death</w:t>
            </w:r>
          </w:p>
        </w:tc>
        <w:tc>
          <w:tcPr>
            <w:tcW w:w="569" w:type="pct"/>
            <w:shd w:val="clear" w:color="auto" w:fill="auto"/>
          </w:tcPr>
          <w:p w14:paraId="13A09597" w14:textId="77777777" w:rsidR="009454E4" w:rsidRPr="009454E4" w:rsidRDefault="009454E4" w:rsidP="009454E4">
            <w:pPr>
              <w:keepLines/>
              <w:widowControl w:val="0"/>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0 (0.0)</w:t>
            </w:r>
          </w:p>
        </w:tc>
        <w:tc>
          <w:tcPr>
            <w:tcW w:w="552" w:type="pct"/>
            <w:shd w:val="clear" w:color="auto" w:fill="auto"/>
          </w:tcPr>
          <w:p w14:paraId="12978226" w14:textId="77777777" w:rsidR="009454E4" w:rsidRPr="009454E4" w:rsidRDefault="009454E4" w:rsidP="009454E4">
            <w:pPr>
              <w:keepLines/>
              <w:widowControl w:val="0"/>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 (&lt;0.1)</w:t>
            </w:r>
          </w:p>
        </w:tc>
        <w:tc>
          <w:tcPr>
            <w:tcW w:w="399" w:type="pct"/>
            <w:shd w:val="clear" w:color="auto" w:fill="auto"/>
          </w:tcPr>
          <w:p w14:paraId="5968996F"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546" w:type="pct"/>
            <w:shd w:val="clear" w:color="auto" w:fill="auto"/>
          </w:tcPr>
          <w:p w14:paraId="1CD328EB" w14:textId="77777777" w:rsidR="009454E4" w:rsidRPr="009454E4" w:rsidRDefault="009454E4" w:rsidP="009454E4">
            <w:pPr>
              <w:keepLines/>
              <w:widowControl w:val="0"/>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0 (0.0)</w:t>
            </w:r>
          </w:p>
        </w:tc>
        <w:tc>
          <w:tcPr>
            <w:tcW w:w="529" w:type="pct"/>
            <w:shd w:val="clear" w:color="auto" w:fill="auto"/>
          </w:tcPr>
          <w:p w14:paraId="6BD580EE" w14:textId="77777777" w:rsidR="009454E4" w:rsidRPr="009454E4" w:rsidRDefault="009454E4" w:rsidP="009454E4">
            <w:pPr>
              <w:keepLines/>
              <w:widowControl w:val="0"/>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1 (0.1)</w:t>
            </w:r>
          </w:p>
        </w:tc>
        <w:tc>
          <w:tcPr>
            <w:tcW w:w="355" w:type="pct"/>
            <w:shd w:val="clear" w:color="auto" w:fill="auto"/>
          </w:tcPr>
          <w:p w14:paraId="78C02830" w14:textId="77777777" w:rsidR="009454E4" w:rsidRPr="009454E4" w:rsidRDefault="009454E4" w:rsidP="009454E4">
            <w:pPr>
              <w:keepLines/>
              <w:autoSpaceDE w:val="0"/>
              <w:autoSpaceDN w:val="0"/>
              <w:adjustRightInd w:val="0"/>
              <w:spacing w:before="60" w:after="60"/>
              <w:ind w:right="-52"/>
              <w:jc w:val="center"/>
              <w:rPr>
                <w:rFonts w:eastAsia="PMingLiU" w:cs="Arial"/>
                <w:color w:val="000000"/>
                <w:sz w:val="17"/>
                <w:szCs w:val="17"/>
                <w:lang w:eastAsia="zh-TW"/>
              </w:rPr>
            </w:pPr>
            <w:r w:rsidRPr="009454E4">
              <w:rPr>
                <w:rFonts w:eastAsia="PMingLiU" w:cs="Arial"/>
                <w:color w:val="000000"/>
                <w:sz w:val="17"/>
                <w:szCs w:val="17"/>
                <w:lang w:eastAsia="zh-TW"/>
              </w:rPr>
              <w:t>--</w:t>
            </w:r>
          </w:p>
        </w:tc>
        <w:tc>
          <w:tcPr>
            <w:tcW w:w="614" w:type="pct"/>
            <w:shd w:val="clear" w:color="auto" w:fill="auto"/>
          </w:tcPr>
          <w:p w14:paraId="7ED2B1D8" w14:textId="77777777" w:rsidR="009454E4" w:rsidRPr="009454E4" w:rsidRDefault="009454E4" w:rsidP="009454E4">
            <w:pPr>
              <w:keepLines/>
              <w:widowControl w:val="0"/>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0 (0.0)</w:t>
            </w:r>
          </w:p>
        </w:tc>
        <w:tc>
          <w:tcPr>
            <w:tcW w:w="558" w:type="pct"/>
            <w:shd w:val="clear" w:color="auto" w:fill="auto"/>
          </w:tcPr>
          <w:p w14:paraId="73FDA7C6" w14:textId="77777777" w:rsidR="009454E4" w:rsidRPr="009454E4" w:rsidRDefault="009454E4" w:rsidP="009454E4">
            <w:pPr>
              <w:keepLines/>
              <w:widowControl w:val="0"/>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0 (0.0)</w:t>
            </w:r>
          </w:p>
        </w:tc>
        <w:tc>
          <w:tcPr>
            <w:tcW w:w="349" w:type="pct"/>
            <w:shd w:val="clear" w:color="auto" w:fill="auto"/>
          </w:tcPr>
          <w:p w14:paraId="651A3DF4" w14:textId="77777777" w:rsidR="009454E4" w:rsidRPr="009454E4" w:rsidRDefault="009454E4" w:rsidP="009454E4">
            <w:pPr>
              <w:keepLines/>
              <w:autoSpaceDE w:val="0"/>
              <w:autoSpaceDN w:val="0"/>
              <w:adjustRightInd w:val="0"/>
              <w:spacing w:before="60" w:after="60"/>
              <w:ind w:right="46"/>
              <w:jc w:val="center"/>
              <w:rPr>
                <w:rFonts w:eastAsia="PMingLiU" w:cs="Arial"/>
                <w:color w:val="000000"/>
                <w:sz w:val="17"/>
                <w:szCs w:val="17"/>
                <w:lang w:eastAsia="zh-TW"/>
              </w:rPr>
            </w:pPr>
            <w:r w:rsidRPr="009454E4">
              <w:rPr>
                <w:rFonts w:eastAsia="PMingLiU" w:cs="Arial"/>
                <w:color w:val="000000"/>
                <w:sz w:val="17"/>
                <w:szCs w:val="17"/>
                <w:lang w:eastAsia="zh-TW"/>
              </w:rPr>
              <w:t>--</w:t>
            </w:r>
          </w:p>
        </w:tc>
      </w:tr>
    </w:tbl>
    <w:p w14:paraId="19CCF52E" w14:textId="77777777" w:rsidR="009454E4" w:rsidRPr="009454E4" w:rsidRDefault="009454E4" w:rsidP="009454E4">
      <w:pPr>
        <w:autoSpaceDE w:val="0"/>
        <w:autoSpaceDN w:val="0"/>
        <w:adjustRightInd w:val="0"/>
        <w:spacing w:after="240"/>
        <w:ind w:right="46"/>
        <w:jc w:val="both"/>
        <w:rPr>
          <w:rFonts w:eastAsia="PMingLiU" w:cs="Arial"/>
          <w:color w:val="000000"/>
          <w:sz w:val="18"/>
          <w:szCs w:val="18"/>
          <w:lang w:eastAsia="zh-TW"/>
        </w:rPr>
      </w:pPr>
      <w:r w:rsidRPr="009454E4">
        <w:rPr>
          <w:rFonts w:eastAsia="PMingLiU" w:cs="Arial"/>
          <w:color w:val="000000"/>
          <w:sz w:val="18"/>
          <w:szCs w:val="18"/>
          <w:lang w:eastAsia="zh-TW"/>
        </w:rPr>
        <w:t>n = number of events; (%) = percentage</w:t>
      </w:r>
    </w:p>
    <w:p w14:paraId="66E6A506" w14:textId="77777777" w:rsidR="009454E4" w:rsidRPr="009454E4" w:rsidRDefault="009454E4" w:rsidP="009454E4">
      <w:pPr>
        <w:autoSpaceDE w:val="0"/>
        <w:autoSpaceDN w:val="0"/>
        <w:adjustRightInd w:val="0"/>
        <w:spacing w:before="120" w:after="240"/>
        <w:ind w:right="46"/>
        <w:jc w:val="both"/>
        <w:rPr>
          <w:rFonts w:eastAsia="PMingLiU" w:cs="Arial"/>
          <w:color w:val="000000"/>
          <w:szCs w:val="22"/>
          <w:lang w:eastAsia="zh-TW"/>
        </w:rPr>
        <w:sectPr w:rsidR="009454E4" w:rsidRPr="009454E4" w:rsidSect="00E92041">
          <w:pgSz w:w="16838" w:h="11906" w:orient="landscape" w:code="9"/>
          <w:pgMar w:top="1797" w:right="1274" w:bottom="206" w:left="1418" w:header="709" w:footer="851" w:gutter="0"/>
          <w:cols w:space="708"/>
          <w:docGrid w:linePitch="360"/>
        </w:sectPr>
      </w:pPr>
    </w:p>
    <w:p w14:paraId="3955C3AD" w14:textId="77777777" w:rsidR="009454E4" w:rsidRPr="00DA6D02" w:rsidRDefault="009454E4" w:rsidP="000202B5">
      <w:pPr>
        <w:pStyle w:val="Heading3"/>
        <w:rPr>
          <w:rFonts w:eastAsia="PMingLiU"/>
          <w:lang w:eastAsia="zh-TW"/>
        </w:rPr>
      </w:pPr>
      <w:r w:rsidRPr="00DA6D02">
        <w:rPr>
          <w:rFonts w:eastAsia="PMingLiU"/>
          <w:lang w:eastAsia="zh-TW"/>
        </w:rPr>
        <w:lastRenderedPageBreak/>
        <w:t>Prevention of stroke and systemic embolism in patients with non-valvular atrial fibrillation</w:t>
      </w:r>
    </w:p>
    <w:p w14:paraId="2A409E4A" w14:textId="77777777" w:rsidR="009454E4" w:rsidRPr="00DA6D02" w:rsidRDefault="009454E4" w:rsidP="00AB3AD6">
      <w:pPr>
        <w:autoSpaceDE w:val="0"/>
        <w:autoSpaceDN w:val="0"/>
        <w:adjustRightInd w:val="0"/>
        <w:spacing w:before="120" w:after="120"/>
        <w:ind w:left="630" w:right="46"/>
        <w:rPr>
          <w:rFonts w:eastAsia="PMingLiU" w:cs="Arial"/>
          <w:color w:val="000000"/>
          <w:szCs w:val="22"/>
          <w:lang w:eastAsia="zh-TW"/>
        </w:rPr>
      </w:pPr>
      <w:r w:rsidRPr="00DA6D02">
        <w:rPr>
          <w:rFonts w:eastAsia="PMingLiU" w:cs="Arial"/>
          <w:color w:val="000000"/>
          <w:szCs w:val="22"/>
          <w:lang w:eastAsia="zh-TW"/>
        </w:rPr>
        <w:t xml:space="preserve">The ROCKET-AF clinical program was designed to demonstrate the efficacy of </w:t>
      </w:r>
      <w:r w:rsidR="005F6704" w:rsidRPr="00DA6D02">
        <w:rPr>
          <w:rFonts w:eastAsia="PMingLiU" w:cs="Arial"/>
          <w:color w:val="000000"/>
          <w:szCs w:val="22"/>
          <w:lang w:eastAsia="zh-TW"/>
        </w:rPr>
        <w:t>XARELTO</w:t>
      </w:r>
      <w:r w:rsidRPr="00DA6D02">
        <w:rPr>
          <w:rFonts w:eastAsia="PMingLiU" w:cs="Arial"/>
          <w:color w:val="000000"/>
          <w:szCs w:val="22"/>
          <w:lang w:eastAsia="zh-TW"/>
        </w:rPr>
        <w:t xml:space="preserve"> for the prevention of stroke and systemic embolism in patients with non-val</w:t>
      </w:r>
      <w:r w:rsidR="0080392D" w:rsidRPr="00DA6D02">
        <w:rPr>
          <w:rFonts w:eastAsia="PMingLiU" w:cs="Arial"/>
          <w:color w:val="000000"/>
          <w:szCs w:val="22"/>
          <w:lang w:eastAsia="zh-TW"/>
        </w:rPr>
        <w:t>vular atrial fibrillation (AF).</w:t>
      </w:r>
    </w:p>
    <w:p w14:paraId="0C053994" w14:textId="77777777" w:rsidR="009454E4" w:rsidRPr="00DA6D02" w:rsidRDefault="009454E4" w:rsidP="00AB3AD6">
      <w:pPr>
        <w:autoSpaceDE w:val="0"/>
        <w:autoSpaceDN w:val="0"/>
        <w:adjustRightInd w:val="0"/>
        <w:spacing w:before="120" w:after="120"/>
        <w:ind w:left="630" w:right="46"/>
        <w:rPr>
          <w:rFonts w:eastAsia="PMingLiU" w:cs="Arial"/>
          <w:color w:val="000000"/>
          <w:szCs w:val="22"/>
          <w:lang w:eastAsia="zh-TW"/>
        </w:rPr>
      </w:pPr>
      <w:r w:rsidRPr="00DA6D02">
        <w:rPr>
          <w:rFonts w:eastAsia="PMingLiU" w:cs="Arial"/>
          <w:color w:val="000000"/>
          <w:szCs w:val="22"/>
          <w:lang w:eastAsia="zh-TW"/>
        </w:rPr>
        <w:t xml:space="preserve">In the pivotal randomised, double-blind, double-dummy, parallel-group, event-driven, non-inferiority ROCKET-AF study comparing once daily oral rivaroxaban with adjusted-dose oral warfarin, 14,264 patients were assigned either to rivaroxaban 20 mg orally once daily (15 mg orally once daily in patients with CrCl 30 - 49 mL/min) or to warfarin titrated to a target INR of 2.5 (therapeutic range 2.0 to 3.0). </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The median time on treatment was 19 months and overall treatment duration was up to 41 months.</w:t>
      </w:r>
    </w:p>
    <w:p w14:paraId="3F7E9B30" w14:textId="77777777" w:rsidR="009454E4" w:rsidRPr="00DA6D02" w:rsidRDefault="009454E4" w:rsidP="00AB3AD6">
      <w:pPr>
        <w:autoSpaceDE w:val="0"/>
        <w:autoSpaceDN w:val="0"/>
        <w:adjustRightInd w:val="0"/>
        <w:spacing w:before="120" w:after="120"/>
        <w:ind w:left="630" w:right="45"/>
        <w:rPr>
          <w:rFonts w:ascii="Times New Roman" w:eastAsia="PMingLiU" w:hAnsi="Times New Roman"/>
          <w:color w:val="000000"/>
          <w:szCs w:val="22"/>
          <w:lang w:eastAsia="zh-TW"/>
        </w:rPr>
      </w:pPr>
      <w:r w:rsidRPr="00DA6D02">
        <w:rPr>
          <w:rFonts w:eastAsia="PMingLiU" w:cs="Arial"/>
          <w:color w:val="000000"/>
          <w:szCs w:val="22"/>
          <w:lang w:eastAsia="zh-TW"/>
        </w:rPr>
        <w:t>Patients included in the trial had non-valvular atrial fibrillation and a history of prior stroke (ischemic or unknown type), transient ischemic attack (TIA) or non-CNS systemic embolism, or two or more of the following risk factors without prior stroke:</w:t>
      </w:r>
    </w:p>
    <w:p w14:paraId="771451A8" w14:textId="77777777" w:rsidR="009454E4" w:rsidRPr="00AB3AD6" w:rsidRDefault="009454E4" w:rsidP="0043158B">
      <w:pPr>
        <w:pStyle w:val="ListParagraph"/>
        <w:numPr>
          <w:ilvl w:val="0"/>
          <w:numId w:val="11"/>
        </w:numPr>
        <w:ind w:right="46"/>
        <w:rPr>
          <w:rFonts w:ascii="Arial" w:hAnsi="Arial" w:cs="Arial"/>
        </w:rPr>
      </w:pPr>
      <w:r w:rsidRPr="00AB3AD6">
        <w:rPr>
          <w:rFonts w:ascii="Arial" w:hAnsi="Arial" w:cs="Arial"/>
        </w:rPr>
        <w:t>age ≥ 75 years,</w:t>
      </w:r>
    </w:p>
    <w:p w14:paraId="618D9656" w14:textId="77777777" w:rsidR="009454E4" w:rsidRPr="00AB3AD6" w:rsidRDefault="009454E4" w:rsidP="0043158B">
      <w:pPr>
        <w:pStyle w:val="ListParagraph"/>
        <w:numPr>
          <w:ilvl w:val="0"/>
          <w:numId w:val="11"/>
        </w:numPr>
        <w:ind w:right="46"/>
        <w:rPr>
          <w:rFonts w:ascii="Arial" w:hAnsi="Arial" w:cs="Arial"/>
        </w:rPr>
      </w:pPr>
      <w:r w:rsidRPr="00AB3AD6">
        <w:rPr>
          <w:rFonts w:ascii="Arial" w:hAnsi="Arial" w:cs="Arial"/>
        </w:rPr>
        <w:t>hypertension,</w:t>
      </w:r>
    </w:p>
    <w:p w14:paraId="0FCD4846" w14:textId="77777777" w:rsidR="009454E4" w:rsidRPr="00AB3AD6" w:rsidRDefault="009454E4" w:rsidP="0043158B">
      <w:pPr>
        <w:pStyle w:val="ListParagraph"/>
        <w:numPr>
          <w:ilvl w:val="0"/>
          <w:numId w:val="11"/>
        </w:numPr>
        <w:ind w:right="46"/>
        <w:rPr>
          <w:rFonts w:ascii="Arial" w:hAnsi="Arial" w:cs="Arial"/>
        </w:rPr>
      </w:pPr>
      <w:r w:rsidRPr="00AB3AD6">
        <w:rPr>
          <w:rFonts w:ascii="Arial" w:hAnsi="Arial" w:cs="Arial"/>
        </w:rPr>
        <w:t>heart failure or left ventricular ejection fraction ≤ 35%, or</w:t>
      </w:r>
    </w:p>
    <w:p w14:paraId="515A4F8A" w14:textId="77777777" w:rsidR="009454E4" w:rsidRPr="00AB3AD6" w:rsidRDefault="009454E4" w:rsidP="0043158B">
      <w:pPr>
        <w:pStyle w:val="ListParagraph"/>
        <w:numPr>
          <w:ilvl w:val="0"/>
          <w:numId w:val="11"/>
        </w:numPr>
        <w:ind w:right="46"/>
        <w:rPr>
          <w:rFonts w:ascii="Arial" w:hAnsi="Arial" w:cs="Arial"/>
        </w:rPr>
      </w:pPr>
      <w:r w:rsidRPr="00AB3AD6">
        <w:rPr>
          <w:rFonts w:ascii="Arial" w:hAnsi="Arial" w:cs="Arial"/>
        </w:rPr>
        <w:t>diabetes mellitus</w:t>
      </w:r>
    </w:p>
    <w:p w14:paraId="10AA3E1F" w14:textId="56EC4F55" w:rsidR="009454E4" w:rsidRPr="00DA6D02" w:rsidRDefault="009454E4" w:rsidP="00AB3AD6">
      <w:pPr>
        <w:widowControl w:val="0"/>
        <w:autoSpaceDE w:val="0"/>
        <w:autoSpaceDN w:val="0"/>
        <w:adjustRightInd w:val="0"/>
        <w:spacing w:before="120" w:after="120"/>
        <w:ind w:left="630" w:right="45"/>
        <w:rPr>
          <w:rFonts w:eastAsia="PMingLiU" w:cs="Arial"/>
          <w:color w:val="000000"/>
          <w:szCs w:val="22"/>
          <w:lang w:eastAsia="zh-TW"/>
        </w:rPr>
      </w:pPr>
      <w:r w:rsidRPr="00DA6D02">
        <w:rPr>
          <w:rFonts w:eastAsia="PMingLiU" w:cs="Arial"/>
          <w:color w:val="000000"/>
          <w:szCs w:val="22"/>
          <w:lang w:eastAsia="zh-TW"/>
        </w:rPr>
        <w:t xml:space="preserve">The mean age of patients was 71 years with 44% &gt; 75 years. </w:t>
      </w:r>
      <w:r w:rsidR="009824DF" w:rsidRPr="00DA6D02">
        <w:rPr>
          <w:rFonts w:eastAsia="PMingLiU" w:cs="Arial"/>
          <w:color w:val="000000"/>
          <w:szCs w:val="22"/>
          <w:lang w:eastAsia="zh-TW"/>
        </w:rPr>
        <w:t xml:space="preserve"> </w:t>
      </w:r>
      <w:r w:rsidRPr="00DA6D02">
        <w:rPr>
          <w:rFonts w:eastAsia="PMingLiU" w:cs="Arial"/>
          <w:color w:val="000000"/>
          <w:szCs w:val="22"/>
          <w:lang w:eastAsia="zh-TW"/>
        </w:rPr>
        <w:t>The population was 60% male, 83% Caucasian, 13% Asian and 4% other.</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 xml:space="preserve"> There was a history of stroke, TIA, or non-CNS systemic embolism in 55% of patients, and 38% of patients had not taken a vitamin K antagonist (VKA) within 6 weeks at time of screening. </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At baseline, 37% of patients were on aspirin (almost exclusively at a dose of 100</w:t>
      </w:r>
      <w:r w:rsidR="00596686" w:rsidRPr="00DA6D02">
        <w:rPr>
          <w:rFonts w:eastAsia="PMingLiU" w:cs="Arial"/>
          <w:color w:val="000000"/>
          <w:szCs w:val="22"/>
          <w:lang w:eastAsia="zh-TW"/>
        </w:rPr>
        <w:t xml:space="preserve"> </w:t>
      </w:r>
      <w:r w:rsidRPr="00DA6D02">
        <w:rPr>
          <w:rFonts w:eastAsia="PMingLiU" w:cs="Arial"/>
          <w:color w:val="000000"/>
          <w:szCs w:val="22"/>
          <w:lang w:eastAsia="zh-TW"/>
        </w:rPr>
        <w:t xml:space="preserve">mg or less). </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A few patients were on clopidogrel and 11.4 % on class III antiarr</w:t>
      </w:r>
      <w:r w:rsidR="00644E89">
        <w:rPr>
          <w:rFonts w:eastAsia="PMingLiU" w:cs="Arial"/>
          <w:color w:val="000000"/>
          <w:szCs w:val="22"/>
          <w:lang w:eastAsia="zh-TW"/>
        </w:rPr>
        <w:t>h</w:t>
      </w:r>
      <w:r w:rsidRPr="00DA6D02">
        <w:rPr>
          <w:rFonts w:eastAsia="PMingLiU" w:cs="Arial"/>
          <w:color w:val="000000"/>
          <w:szCs w:val="22"/>
          <w:lang w:eastAsia="zh-TW"/>
        </w:rPr>
        <w:t xml:space="preserve">ythmics including amiodarone. </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 xml:space="preserve">The study included patients with co morbidities e.g. 55% secondary prevention population (prior stroke/ TIA/ Systemic embolism), hypertension 91%, diabetes 40%, congestive heart failure 63%, and prior myocardial infarction 17%. </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Patients with various degree</w:t>
      </w:r>
      <w:r w:rsidR="00644E89">
        <w:rPr>
          <w:rFonts w:eastAsia="PMingLiU" w:cs="Arial"/>
          <w:color w:val="000000"/>
          <w:szCs w:val="22"/>
          <w:lang w:eastAsia="zh-TW"/>
        </w:rPr>
        <w:t>s</w:t>
      </w:r>
      <w:r w:rsidRPr="00DA6D02">
        <w:rPr>
          <w:rFonts w:eastAsia="PMingLiU" w:cs="Arial"/>
          <w:color w:val="000000"/>
          <w:szCs w:val="22"/>
          <w:lang w:eastAsia="zh-TW"/>
        </w:rPr>
        <w:t xml:space="preserve"> of renal impairment were included in the study, see </w:t>
      </w:r>
      <w:r w:rsidR="003860D3" w:rsidRPr="005403C3">
        <w:rPr>
          <w:rFonts w:eastAsia="PMingLiU" w:cs="Arial"/>
          <w:color w:val="000000"/>
          <w:szCs w:val="22"/>
          <w:lang w:eastAsia="zh-TW"/>
        </w:rPr>
        <w:fldChar w:fldCharType="begin"/>
      </w:r>
      <w:r w:rsidR="003860D3" w:rsidRPr="005403C3">
        <w:rPr>
          <w:rFonts w:eastAsia="PMingLiU" w:cs="Arial"/>
          <w:color w:val="000000"/>
          <w:szCs w:val="22"/>
          <w:lang w:eastAsia="zh-TW"/>
        </w:rPr>
        <w:instrText xml:space="preserve"> REF _Ref501396664 \h </w:instrText>
      </w:r>
      <w:r w:rsidR="00DA6D02" w:rsidRPr="005403C3">
        <w:rPr>
          <w:rFonts w:eastAsia="PMingLiU" w:cs="Arial"/>
          <w:color w:val="000000"/>
          <w:szCs w:val="22"/>
          <w:lang w:eastAsia="zh-TW"/>
        </w:rPr>
        <w:instrText xml:space="preserve"> \* MERGEFORMAT </w:instrText>
      </w:r>
      <w:r w:rsidR="003860D3" w:rsidRPr="005403C3">
        <w:rPr>
          <w:rFonts w:eastAsia="PMingLiU" w:cs="Arial"/>
          <w:color w:val="000000"/>
          <w:szCs w:val="22"/>
          <w:lang w:eastAsia="zh-TW"/>
        </w:rPr>
      </w:r>
      <w:r w:rsidR="003860D3" w:rsidRPr="005403C3">
        <w:rPr>
          <w:rFonts w:eastAsia="PMingLiU" w:cs="Arial"/>
          <w:color w:val="000000"/>
          <w:szCs w:val="22"/>
          <w:lang w:eastAsia="zh-TW"/>
        </w:rPr>
        <w:fldChar w:fldCharType="separate"/>
      </w:r>
      <w:r w:rsidR="00C51DA4" w:rsidRPr="00C51DA4">
        <w:rPr>
          <w:szCs w:val="22"/>
        </w:rPr>
        <w:t xml:space="preserve">Table </w:t>
      </w:r>
      <w:r w:rsidR="00C51DA4" w:rsidRPr="00C51DA4">
        <w:rPr>
          <w:noProof/>
          <w:szCs w:val="22"/>
        </w:rPr>
        <w:t>12</w:t>
      </w:r>
      <w:r w:rsidR="003860D3" w:rsidRPr="005403C3">
        <w:rPr>
          <w:rFonts w:eastAsia="PMingLiU" w:cs="Arial"/>
          <w:color w:val="000000"/>
          <w:szCs w:val="22"/>
          <w:lang w:eastAsia="zh-TW"/>
        </w:rPr>
        <w:fldChar w:fldCharType="end"/>
      </w:r>
      <w:r w:rsidRPr="00DA6D02">
        <w:rPr>
          <w:rFonts w:eastAsia="PMingLiU" w:cs="Arial"/>
          <w:color w:val="000000"/>
          <w:szCs w:val="22"/>
          <w:lang w:eastAsia="zh-TW"/>
        </w:rPr>
        <w:t xml:space="preserve"> for details.</w:t>
      </w:r>
    </w:p>
    <w:p w14:paraId="6E1DEEB2" w14:textId="672D42A9" w:rsidR="009454E4" w:rsidRPr="00F8697B" w:rsidRDefault="00476145" w:rsidP="0060743A">
      <w:pPr>
        <w:pStyle w:val="Caption"/>
        <w:ind w:firstLine="630"/>
      </w:pPr>
      <w:bookmarkStart w:id="38" w:name="_Ref501396664"/>
      <w:bookmarkStart w:id="39" w:name="_Ref318989396"/>
      <w:r>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12</w:t>
      </w:r>
      <w:r w:rsidR="005D4DAE">
        <w:rPr>
          <w:noProof/>
        </w:rPr>
        <w:fldChar w:fldCharType="end"/>
      </w:r>
      <w:bookmarkEnd w:id="38"/>
      <w:r>
        <w:t xml:space="preserve">: </w:t>
      </w:r>
      <w:r w:rsidRPr="00F8697B">
        <w:rPr>
          <w:lang w:eastAsia="en-US"/>
        </w:rPr>
        <w:t>Baseline patient numbers for creatinine clearance groups</w:t>
      </w:r>
      <w:bookmarkEnd w:id="39"/>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552"/>
        <w:gridCol w:w="2976"/>
      </w:tblGrid>
      <w:tr w:rsidR="009454E4" w:rsidRPr="00DA6D02" w14:paraId="041EE204" w14:textId="77777777" w:rsidTr="00A21F84">
        <w:tc>
          <w:tcPr>
            <w:tcW w:w="3004" w:type="dxa"/>
            <w:shd w:val="clear" w:color="auto" w:fill="D9D9D9" w:themeFill="background1" w:themeFillShade="D9"/>
          </w:tcPr>
          <w:p w14:paraId="0D5B0ECA" w14:textId="77777777" w:rsidR="009454E4" w:rsidRPr="00DA6D02" w:rsidRDefault="00DF6C29" w:rsidP="009454E4">
            <w:pPr>
              <w:tabs>
                <w:tab w:val="left" w:pos="567"/>
              </w:tabs>
              <w:autoSpaceDE w:val="0"/>
              <w:autoSpaceDN w:val="0"/>
              <w:adjustRightInd w:val="0"/>
              <w:spacing w:before="120" w:line="260" w:lineRule="exact"/>
              <w:ind w:right="-108"/>
              <w:jc w:val="center"/>
              <w:rPr>
                <w:rFonts w:eastAsia="PMingLiU" w:cs="Arial"/>
                <w:b/>
                <w:color w:val="000000"/>
                <w:szCs w:val="21"/>
                <w:lang w:eastAsia="zh-TW"/>
              </w:rPr>
            </w:pPr>
            <w:r w:rsidRPr="00DA6D02">
              <w:rPr>
                <w:rFonts w:eastAsia="PMingLiU" w:cs="Arial"/>
                <w:b/>
                <w:color w:val="000000"/>
                <w:szCs w:val="21"/>
                <w:lang w:eastAsia="zh-TW"/>
              </w:rPr>
              <w:t>CrCl  mL</w:t>
            </w:r>
            <w:r w:rsidR="009454E4" w:rsidRPr="00DA6D02">
              <w:rPr>
                <w:rFonts w:eastAsia="PMingLiU" w:cs="Arial"/>
                <w:b/>
                <w:color w:val="000000"/>
                <w:szCs w:val="21"/>
                <w:lang w:eastAsia="zh-TW"/>
              </w:rPr>
              <w:t xml:space="preserve">/min </w:t>
            </w:r>
          </w:p>
          <w:p w14:paraId="7953130D" w14:textId="77777777" w:rsidR="009454E4" w:rsidRPr="00DA6D02" w:rsidRDefault="009454E4" w:rsidP="009454E4">
            <w:pPr>
              <w:tabs>
                <w:tab w:val="left" w:pos="567"/>
              </w:tabs>
              <w:autoSpaceDE w:val="0"/>
              <w:autoSpaceDN w:val="0"/>
              <w:adjustRightInd w:val="0"/>
              <w:spacing w:before="120" w:line="260" w:lineRule="exact"/>
              <w:ind w:right="-108"/>
              <w:jc w:val="center"/>
              <w:rPr>
                <w:rFonts w:eastAsia="PMingLiU" w:cs="Arial"/>
                <w:b/>
                <w:color w:val="000000"/>
                <w:szCs w:val="21"/>
                <w:lang w:eastAsia="zh-TW"/>
              </w:rPr>
            </w:pPr>
            <w:r w:rsidRPr="00DA6D02">
              <w:rPr>
                <w:rFonts w:eastAsia="PMingLiU" w:cs="Arial"/>
                <w:b/>
                <w:color w:val="000000"/>
                <w:szCs w:val="21"/>
                <w:lang w:eastAsia="zh-TW"/>
              </w:rPr>
              <w:t>(degree of renal impairment)</w:t>
            </w:r>
          </w:p>
        </w:tc>
        <w:tc>
          <w:tcPr>
            <w:tcW w:w="2552" w:type="dxa"/>
            <w:shd w:val="clear" w:color="auto" w:fill="D9D9D9" w:themeFill="background1" w:themeFillShade="D9"/>
          </w:tcPr>
          <w:p w14:paraId="030ED85B" w14:textId="77777777" w:rsidR="009454E4" w:rsidRPr="00DA6D02" w:rsidRDefault="009454E4" w:rsidP="009454E4">
            <w:pPr>
              <w:autoSpaceDE w:val="0"/>
              <w:autoSpaceDN w:val="0"/>
              <w:adjustRightInd w:val="0"/>
              <w:spacing w:before="120" w:line="260" w:lineRule="exact"/>
              <w:ind w:right="-141"/>
              <w:jc w:val="center"/>
              <w:rPr>
                <w:rFonts w:eastAsia="PMingLiU" w:cs="Arial"/>
                <w:b/>
                <w:color w:val="000000"/>
                <w:szCs w:val="21"/>
                <w:lang w:eastAsia="zh-TW"/>
              </w:rPr>
            </w:pPr>
            <w:r w:rsidRPr="00DA6D02">
              <w:rPr>
                <w:rFonts w:eastAsia="PMingLiU" w:cs="Arial"/>
                <w:b/>
                <w:color w:val="000000"/>
                <w:szCs w:val="21"/>
                <w:lang w:eastAsia="zh-TW"/>
              </w:rPr>
              <w:t>rivaroxaban</w:t>
            </w:r>
          </w:p>
          <w:p w14:paraId="6B8ECDA2" w14:textId="77777777" w:rsidR="009454E4" w:rsidRPr="00DA6D02" w:rsidRDefault="009454E4" w:rsidP="009454E4">
            <w:pPr>
              <w:autoSpaceDE w:val="0"/>
              <w:autoSpaceDN w:val="0"/>
              <w:adjustRightInd w:val="0"/>
              <w:spacing w:before="120" w:line="260" w:lineRule="exact"/>
              <w:ind w:right="-141"/>
              <w:jc w:val="center"/>
              <w:rPr>
                <w:rFonts w:eastAsia="PMingLiU" w:cs="Arial"/>
                <w:b/>
                <w:color w:val="000000"/>
                <w:szCs w:val="21"/>
                <w:lang w:eastAsia="zh-TW"/>
              </w:rPr>
            </w:pPr>
            <w:r w:rsidRPr="00DA6D02">
              <w:rPr>
                <w:rFonts w:eastAsia="PMingLiU" w:cs="Arial"/>
                <w:b/>
                <w:color w:val="000000"/>
                <w:szCs w:val="21"/>
                <w:lang w:eastAsia="zh-TW"/>
              </w:rPr>
              <w:t>n = 7123</w:t>
            </w:r>
          </w:p>
        </w:tc>
        <w:tc>
          <w:tcPr>
            <w:tcW w:w="2976" w:type="dxa"/>
            <w:shd w:val="clear" w:color="auto" w:fill="D9D9D9" w:themeFill="background1" w:themeFillShade="D9"/>
          </w:tcPr>
          <w:p w14:paraId="6073B0FE" w14:textId="77777777" w:rsidR="009454E4" w:rsidRPr="00DA6D02" w:rsidRDefault="009454E4" w:rsidP="009454E4">
            <w:pPr>
              <w:autoSpaceDE w:val="0"/>
              <w:autoSpaceDN w:val="0"/>
              <w:adjustRightInd w:val="0"/>
              <w:spacing w:before="120" w:line="260" w:lineRule="exact"/>
              <w:ind w:right="-142"/>
              <w:jc w:val="center"/>
              <w:rPr>
                <w:rFonts w:eastAsia="PMingLiU" w:cs="Arial"/>
                <w:b/>
                <w:color w:val="000000"/>
                <w:szCs w:val="21"/>
                <w:lang w:eastAsia="zh-TW"/>
              </w:rPr>
            </w:pPr>
            <w:r w:rsidRPr="00DA6D02">
              <w:rPr>
                <w:rFonts w:eastAsia="PMingLiU" w:cs="Arial"/>
                <w:b/>
                <w:color w:val="000000"/>
                <w:szCs w:val="21"/>
                <w:lang w:eastAsia="zh-TW"/>
              </w:rPr>
              <w:t>warfarin</w:t>
            </w:r>
          </w:p>
          <w:p w14:paraId="5159FBD4" w14:textId="77777777" w:rsidR="009454E4" w:rsidRPr="00DA6D02" w:rsidRDefault="009454E4" w:rsidP="009454E4">
            <w:pPr>
              <w:autoSpaceDE w:val="0"/>
              <w:autoSpaceDN w:val="0"/>
              <w:adjustRightInd w:val="0"/>
              <w:spacing w:before="120" w:line="260" w:lineRule="exact"/>
              <w:ind w:right="-142"/>
              <w:jc w:val="center"/>
              <w:rPr>
                <w:rFonts w:eastAsia="PMingLiU" w:cs="Arial"/>
                <w:b/>
                <w:color w:val="000000"/>
                <w:szCs w:val="21"/>
                <w:lang w:eastAsia="zh-TW"/>
              </w:rPr>
            </w:pPr>
            <w:r w:rsidRPr="00DA6D02">
              <w:rPr>
                <w:rFonts w:eastAsia="PMingLiU" w:cs="Arial"/>
                <w:b/>
                <w:color w:val="000000"/>
                <w:szCs w:val="21"/>
                <w:lang w:eastAsia="zh-TW"/>
              </w:rPr>
              <w:t>n = 7124</w:t>
            </w:r>
          </w:p>
        </w:tc>
      </w:tr>
      <w:tr w:rsidR="009454E4" w:rsidRPr="009454E4" w14:paraId="0A2FC9C1" w14:textId="77777777" w:rsidTr="0060743A">
        <w:tc>
          <w:tcPr>
            <w:tcW w:w="3004" w:type="dxa"/>
            <w:shd w:val="clear" w:color="auto" w:fill="auto"/>
          </w:tcPr>
          <w:p w14:paraId="2FD15971" w14:textId="77777777" w:rsidR="009454E4" w:rsidRPr="00DA6D02" w:rsidRDefault="009454E4" w:rsidP="009454E4">
            <w:pPr>
              <w:tabs>
                <w:tab w:val="left" w:pos="567"/>
              </w:tabs>
              <w:autoSpaceDE w:val="0"/>
              <w:autoSpaceDN w:val="0"/>
              <w:adjustRightInd w:val="0"/>
              <w:spacing w:before="120" w:line="260" w:lineRule="exact"/>
              <w:ind w:right="-108"/>
              <w:jc w:val="center"/>
              <w:rPr>
                <w:rFonts w:eastAsia="PMingLiU" w:cs="Arial"/>
                <w:color w:val="000000"/>
                <w:szCs w:val="21"/>
                <w:lang w:eastAsia="zh-TW"/>
              </w:rPr>
            </w:pPr>
            <w:r w:rsidRPr="00DA6D02">
              <w:rPr>
                <w:rFonts w:eastAsia="PMingLiU" w:cs="Arial"/>
                <w:color w:val="000000"/>
                <w:szCs w:val="21"/>
                <w:lang w:eastAsia="zh-TW"/>
              </w:rPr>
              <w:t>&lt;30 (severe)</w:t>
            </w:r>
          </w:p>
        </w:tc>
        <w:tc>
          <w:tcPr>
            <w:tcW w:w="2552" w:type="dxa"/>
            <w:shd w:val="clear" w:color="auto" w:fill="auto"/>
          </w:tcPr>
          <w:p w14:paraId="0D61216A" w14:textId="77777777" w:rsidR="009454E4" w:rsidRPr="00DA6D02" w:rsidRDefault="009454E4" w:rsidP="009454E4">
            <w:pPr>
              <w:autoSpaceDE w:val="0"/>
              <w:autoSpaceDN w:val="0"/>
              <w:adjustRightInd w:val="0"/>
              <w:spacing w:before="120" w:line="260" w:lineRule="exact"/>
              <w:ind w:right="-141"/>
              <w:jc w:val="center"/>
              <w:rPr>
                <w:rFonts w:eastAsia="PMingLiU" w:cs="Arial"/>
                <w:color w:val="000000"/>
                <w:szCs w:val="21"/>
                <w:lang w:eastAsia="zh-TW"/>
              </w:rPr>
            </w:pPr>
            <w:r w:rsidRPr="00DA6D02">
              <w:rPr>
                <w:rFonts w:eastAsia="PMingLiU" w:cs="Arial"/>
                <w:color w:val="000000"/>
                <w:szCs w:val="21"/>
                <w:lang w:eastAsia="zh-TW"/>
              </w:rPr>
              <w:t>4 (0.1%)</w:t>
            </w:r>
          </w:p>
        </w:tc>
        <w:tc>
          <w:tcPr>
            <w:tcW w:w="2976" w:type="dxa"/>
            <w:shd w:val="clear" w:color="auto" w:fill="auto"/>
          </w:tcPr>
          <w:p w14:paraId="624B9F6B" w14:textId="77777777" w:rsidR="009454E4" w:rsidRPr="00DA6D02" w:rsidRDefault="009454E4" w:rsidP="009454E4">
            <w:pPr>
              <w:autoSpaceDE w:val="0"/>
              <w:autoSpaceDN w:val="0"/>
              <w:adjustRightInd w:val="0"/>
              <w:spacing w:before="120" w:line="260" w:lineRule="exact"/>
              <w:ind w:right="-142"/>
              <w:jc w:val="center"/>
              <w:rPr>
                <w:rFonts w:eastAsia="PMingLiU" w:cs="Arial"/>
                <w:color w:val="000000"/>
                <w:szCs w:val="21"/>
                <w:lang w:eastAsia="zh-TW"/>
              </w:rPr>
            </w:pPr>
            <w:r w:rsidRPr="00DA6D02">
              <w:rPr>
                <w:rFonts w:eastAsia="PMingLiU" w:cs="Arial"/>
                <w:color w:val="000000"/>
                <w:szCs w:val="21"/>
                <w:lang w:eastAsia="zh-TW"/>
              </w:rPr>
              <w:t>4 (0.1%)</w:t>
            </w:r>
          </w:p>
        </w:tc>
      </w:tr>
      <w:tr w:rsidR="009454E4" w:rsidRPr="009454E4" w14:paraId="32DB7AC6" w14:textId="77777777" w:rsidTr="0060743A">
        <w:tc>
          <w:tcPr>
            <w:tcW w:w="3004" w:type="dxa"/>
            <w:shd w:val="clear" w:color="auto" w:fill="auto"/>
          </w:tcPr>
          <w:p w14:paraId="665BAA95" w14:textId="77777777" w:rsidR="009454E4" w:rsidRPr="00DA6D02" w:rsidRDefault="009454E4" w:rsidP="009454E4">
            <w:pPr>
              <w:tabs>
                <w:tab w:val="left" w:pos="567"/>
              </w:tabs>
              <w:autoSpaceDE w:val="0"/>
              <w:autoSpaceDN w:val="0"/>
              <w:adjustRightInd w:val="0"/>
              <w:spacing w:before="120" w:line="260" w:lineRule="exact"/>
              <w:ind w:right="-108"/>
              <w:jc w:val="center"/>
              <w:rPr>
                <w:rFonts w:eastAsia="PMingLiU" w:cs="Arial"/>
                <w:color w:val="000000"/>
                <w:szCs w:val="21"/>
                <w:lang w:eastAsia="zh-TW"/>
              </w:rPr>
            </w:pPr>
            <w:r w:rsidRPr="00DA6D02">
              <w:rPr>
                <w:rFonts w:eastAsia="PMingLiU" w:cs="Arial"/>
                <w:color w:val="000000"/>
                <w:szCs w:val="21"/>
                <w:lang w:eastAsia="zh-TW"/>
              </w:rPr>
              <w:t>30 - 49 (moderate)</w:t>
            </w:r>
          </w:p>
        </w:tc>
        <w:tc>
          <w:tcPr>
            <w:tcW w:w="2552" w:type="dxa"/>
            <w:shd w:val="clear" w:color="auto" w:fill="auto"/>
          </w:tcPr>
          <w:p w14:paraId="65ABFC2E" w14:textId="77777777" w:rsidR="009454E4" w:rsidRPr="00DA6D02" w:rsidRDefault="009454E4" w:rsidP="009454E4">
            <w:pPr>
              <w:autoSpaceDE w:val="0"/>
              <w:autoSpaceDN w:val="0"/>
              <w:adjustRightInd w:val="0"/>
              <w:spacing w:before="120" w:line="260" w:lineRule="exact"/>
              <w:ind w:right="-141"/>
              <w:jc w:val="center"/>
              <w:rPr>
                <w:rFonts w:eastAsia="PMingLiU" w:cs="Arial"/>
                <w:color w:val="000000"/>
                <w:szCs w:val="21"/>
                <w:lang w:eastAsia="zh-TW"/>
              </w:rPr>
            </w:pPr>
            <w:r w:rsidRPr="00DA6D02">
              <w:rPr>
                <w:rFonts w:eastAsia="PMingLiU" w:cs="Arial"/>
                <w:color w:val="000000"/>
                <w:szCs w:val="21"/>
                <w:lang w:eastAsia="zh-TW"/>
              </w:rPr>
              <w:t>1503 (21.1%)</w:t>
            </w:r>
          </w:p>
        </w:tc>
        <w:tc>
          <w:tcPr>
            <w:tcW w:w="2976" w:type="dxa"/>
            <w:shd w:val="clear" w:color="auto" w:fill="auto"/>
          </w:tcPr>
          <w:p w14:paraId="11F659B0" w14:textId="77777777" w:rsidR="009454E4" w:rsidRPr="00DA6D02" w:rsidRDefault="009454E4" w:rsidP="009454E4">
            <w:pPr>
              <w:autoSpaceDE w:val="0"/>
              <w:autoSpaceDN w:val="0"/>
              <w:adjustRightInd w:val="0"/>
              <w:spacing w:before="120" w:line="260" w:lineRule="exact"/>
              <w:ind w:right="-142"/>
              <w:jc w:val="center"/>
              <w:rPr>
                <w:rFonts w:eastAsia="PMingLiU" w:cs="Arial"/>
                <w:color w:val="000000"/>
                <w:szCs w:val="21"/>
                <w:lang w:eastAsia="zh-TW"/>
              </w:rPr>
            </w:pPr>
            <w:r w:rsidRPr="00DA6D02">
              <w:rPr>
                <w:rFonts w:eastAsia="PMingLiU" w:cs="Arial"/>
                <w:color w:val="000000"/>
                <w:szCs w:val="21"/>
                <w:lang w:eastAsia="zh-TW"/>
              </w:rPr>
              <w:t>1475 (20.7%)</w:t>
            </w:r>
          </w:p>
        </w:tc>
      </w:tr>
      <w:tr w:rsidR="009454E4" w:rsidRPr="009454E4" w14:paraId="76A550A3" w14:textId="77777777" w:rsidTr="0060743A">
        <w:trPr>
          <w:trHeight w:val="471"/>
        </w:trPr>
        <w:tc>
          <w:tcPr>
            <w:tcW w:w="3004" w:type="dxa"/>
            <w:shd w:val="clear" w:color="auto" w:fill="auto"/>
          </w:tcPr>
          <w:p w14:paraId="2901BC7F" w14:textId="77777777" w:rsidR="009454E4" w:rsidRPr="00DA6D02" w:rsidRDefault="009454E4" w:rsidP="009454E4">
            <w:pPr>
              <w:tabs>
                <w:tab w:val="left" w:pos="567"/>
              </w:tabs>
              <w:autoSpaceDE w:val="0"/>
              <w:autoSpaceDN w:val="0"/>
              <w:adjustRightInd w:val="0"/>
              <w:spacing w:before="120" w:line="260" w:lineRule="exact"/>
              <w:ind w:right="-108"/>
              <w:jc w:val="center"/>
              <w:rPr>
                <w:rFonts w:eastAsia="PMingLiU" w:cs="Arial"/>
                <w:color w:val="000000"/>
                <w:szCs w:val="21"/>
                <w:lang w:eastAsia="zh-TW"/>
              </w:rPr>
            </w:pPr>
            <w:r w:rsidRPr="00DA6D02">
              <w:rPr>
                <w:rFonts w:eastAsia="PMingLiU" w:cs="Arial"/>
                <w:color w:val="000000"/>
                <w:szCs w:val="21"/>
                <w:lang w:eastAsia="zh-TW"/>
              </w:rPr>
              <w:t>50 - 80 (mild)</w:t>
            </w:r>
          </w:p>
        </w:tc>
        <w:tc>
          <w:tcPr>
            <w:tcW w:w="2552" w:type="dxa"/>
            <w:shd w:val="clear" w:color="auto" w:fill="auto"/>
          </w:tcPr>
          <w:p w14:paraId="42A92150" w14:textId="77777777" w:rsidR="009454E4" w:rsidRPr="00DA6D02" w:rsidRDefault="009454E4" w:rsidP="009454E4">
            <w:pPr>
              <w:autoSpaceDE w:val="0"/>
              <w:autoSpaceDN w:val="0"/>
              <w:adjustRightInd w:val="0"/>
              <w:spacing w:before="120" w:line="260" w:lineRule="exact"/>
              <w:ind w:right="-141"/>
              <w:jc w:val="center"/>
              <w:rPr>
                <w:rFonts w:eastAsia="PMingLiU" w:cs="Arial"/>
                <w:color w:val="000000"/>
                <w:szCs w:val="21"/>
                <w:lang w:eastAsia="zh-TW"/>
              </w:rPr>
            </w:pPr>
            <w:r w:rsidRPr="00DA6D02">
              <w:rPr>
                <w:rFonts w:eastAsia="PMingLiU" w:cs="Arial"/>
                <w:color w:val="000000"/>
                <w:szCs w:val="21"/>
                <w:lang w:eastAsia="zh-TW"/>
              </w:rPr>
              <w:t>3321 (46.6%)</w:t>
            </w:r>
          </w:p>
        </w:tc>
        <w:tc>
          <w:tcPr>
            <w:tcW w:w="2976" w:type="dxa"/>
            <w:shd w:val="clear" w:color="auto" w:fill="auto"/>
          </w:tcPr>
          <w:p w14:paraId="6D6FD759" w14:textId="77777777" w:rsidR="009454E4" w:rsidRPr="00DA6D02" w:rsidRDefault="009454E4" w:rsidP="009454E4">
            <w:pPr>
              <w:autoSpaceDE w:val="0"/>
              <w:autoSpaceDN w:val="0"/>
              <w:adjustRightInd w:val="0"/>
              <w:spacing w:before="120" w:line="260" w:lineRule="exact"/>
              <w:ind w:right="-142"/>
              <w:jc w:val="center"/>
              <w:rPr>
                <w:rFonts w:eastAsia="PMingLiU" w:cs="Arial"/>
                <w:color w:val="000000"/>
                <w:szCs w:val="21"/>
                <w:lang w:eastAsia="zh-TW"/>
              </w:rPr>
            </w:pPr>
            <w:r w:rsidRPr="00DA6D02">
              <w:rPr>
                <w:rFonts w:eastAsia="PMingLiU" w:cs="Arial"/>
                <w:color w:val="000000"/>
                <w:szCs w:val="21"/>
                <w:lang w:eastAsia="zh-TW"/>
              </w:rPr>
              <w:t>3414 (47.9%)</w:t>
            </w:r>
          </w:p>
        </w:tc>
      </w:tr>
      <w:tr w:rsidR="009454E4" w:rsidRPr="009454E4" w14:paraId="6C293572" w14:textId="77777777" w:rsidTr="0060743A">
        <w:tc>
          <w:tcPr>
            <w:tcW w:w="3004" w:type="dxa"/>
            <w:shd w:val="clear" w:color="auto" w:fill="auto"/>
          </w:tcPr>
          <w:p w14:paraId="3F137F37" w14:textId="77777777" w:rsidR="009454E4" w:rsidRPr="00DA6D02" w:rsidRDefault="009454E4" w:rsidP="009454E4">
            <w:pPr>
              <w:tabs>
                <w:tab w:val="left" w:pos="567"/>
              </w:tabs>
              <w:autoSpaceDE w:val="0"/>
              <w:autoSpaceDN w:val="0"/>
              <w:adjustRightInd w:val="0"/>
              <w:spacing w:before="120" w:line="260" w:lineRule="exact"/>
              <w:ind w:right="-108"/>
              <w:jc w:val="center"/>
              <w:rPr>
                <w:rFonts w:eastAsia="PMingLiU" w:cs="Arial"/>
                <w:color w:val="000000"/>
                <w:szCs w:val="21"/>
                <w:lang w:eastAsia="zh-TW"/>
              </w:rPr>
            </w:pPr>
            <w:r w:rsidRPr="00DA6D02">
              <w:rPr>
                <w:rFonts w:eastAsia="PMingLiU" w:cs="Arial"/>
                <w:color w:val="000000"/>
                <w:szCs w:val="21"/>
                <w:lang w:eastAsia="zh-TW"/>
              </w:rPr>
              <w:t>&gt; 80 (normal)</w:t>
            </w:r>
          </w:p>
        </w:tc>
        <w:tc>
          <w:tcPr>
            <w:tcW w:w="2552" w:type="dxa"/>
            <w:shd w:val="clear" w:color="auto" w:fill="auto"/>
          </w:tcPr>
          <w:p w14:paraId="6A044083" w14:textId="77777777" w:rsidR="009454E4" w:rsidRPr="00DA6D02" w:rsidRDefault="009454E4" w:rsidP="009454E4">
            <w:pPr>
              <w:autoSpaceDE w:val="0"/>
              <w:autoSpaceDN w:val="0"/>
              <w:adjustRightInd w:val="0"/>
              <w:spacing w:before="120" w:line="260" w:lineRule="exact"/>
              <w:ind w:right="-141"/>
              <w:jc w:val="center"/>
              <w:rPr>
                <w:rFonts w:eastAsia="PMingLiU" w:cs="Arial"/>
                <w:color w:val="000000"/>
                <w:szCs w:val="21"/>
                <w:lang w:eastAsia="zh-TW"/>
              </w:rPr>
            </w:pPr>
            <w:r w:rsidRPr="00DA6D02">
              <w:rPr>
                <w:rFonts w:eastAsia="PMingLiU" w:cs="Arial"/>
                <w:color w:val="000000"/>
                <w:szCs w:val="21"/>
                <w:lang w:eastAsia="zh-TW"/>
              </w:rPr>
              <w:t>2295 (32.2%)</w:t>
            </w:r>
          </w:p>
        </w:tc>
        <w:tc>
          <w:tcPr>
            <w:tcW w:w="2976" w:type="dxa"/>
            <w:shd w:val="clear" w:color="auto" w:fill="auto"/>
          </w:tcPr>
          <w:p w14:paraId="402BD222" w14:textId="77777777" w:rsidR="009454E4" w:rsidRPr="00DA6D02" w:rsidRDefault="009454E4" w:rsidP="009454E4">
            <w:pPr>
              <w:autoSpaceDE w:val="0"/>
              <w:autoSpaceDN w:val="0"/>
              <w:adjustRightInd w:val="0"/>
              <w:spacing w:before="120" w:line="260" w:lineRule="exact"/>
              <w:ind w:right="-142"/>
              <w:jc w:val="center"/>
              <w:rPr>
                <w:rFonts w:eastAsia="PMingLiU" w:cs="Arial"/>
                <w:color w:val="000000"/>
                <w:szCs w:val="21"/>
                <w:lang w:eastAsia="zh-TW"/>
              </w:rPr>
            </w:pPr>
            <w:r w:rsidRPr="00DA6D02">
              <w:rPr>
                <w:rFonts w:eastAsia="PMingLiU" w:cs="Arial"/>
                <w:color w:val="000000"/>
                <w:szCs w:val="21"/>
                <w:lang w:eastAsia="zh-TW"/>
              </w:rPr>
              <w:t>2231 (31.3%)</w:t>
            </w:r>
          </w:p>
        </w:tc>
      </w:tr>
    </w:tbl>
    <w:p w14:paraId="03F4411E" w14:textId="77777777" w:rsidR="009454E4" w:rsidRPr="009454E4" w:rsidRDefault="009454E4" w:rsidP="00AB3AD6">
      <w:pPr>
        <w:widowControl w:val="0"/>
        <w:autoSpaceDE w:val="0"/>
        <w:autoSpaceDN w:val="0"/>
        <w:adjustRightInd w:val="0"/>
        <w:spacing w:before="120"/>
        <w:ind w:left="630" w:right="46"/>
        <w:rPr>
          <w:rFonts w:eastAsia="PMingLiU" w:cs="Arial"/>
          <w:color w:val="000000"/>
          <w:szCs w:val="22"/>
          <w:lang w:eastAsia="zh-TW"/>
        </w:rPr>
      </w:pPr>
      <w:r w:rsidRPr="009454E4">
        <w:rPr>
          <w:rFonts w:eastAsia="PMingLiU" w:cs="Arial"/>
          <w:color w:val="000000"/>
          <w:szCs w:val="22"/>
          <w:lang w:eastAsia="zh-TW"/>
        </w:rPr>
        <w:t xml:space="preserve">Exclusion criteria included: </w:t>
      </w:r>
    </w:p>
    <w:p w14:paraId="4C72C230" w14:textId="77777777" w:rsidR="009454E4" w:rsidRPr="00AB3AD6" w:rsidRDefault="009454E4" w:rsidP="0043158B">
      <w:pPr>
        <w:pStyle w:val="ListParagraph"/>
        <w:widowControl w:val="0"/>
        <w:numPr>
          <w:ilvl w:val="0"/>
          <w:numId w:val="13"/>
        </w:numPr>
        <w:autoSpaceDE w:val="0"/>
        <w:autoSpaceDN w:val="0"/>
        <w:adjustRightInd w:val="0"/>
        <w:spacing w:before="120"/>
        <w:ind w:right="46"/>
        <w:rPr>
          <w:rFonts w:ascii="Arial" w:eastAsia="PMingLiU" w:hAnsi="Arial" w:cs="Arial"/>
          <w:color w:val="000000"/>
          <w:lang w:eastAsia="zh-TW"/>
        </w:rPr>
      </w:pPr>
      <w:r w:rsidRPr="00AB3AD6">
        <w:rPr>
          <w:rFonts w:ascii="Arial" w:eastAsia="PMingLiU" w:hAnsi="Arial" w:cs="Arial"/>
          <w:color w:val="000000"/>
          <w:lang w:eastAsia="zh-TW"/>
        </w:rPr>
        <w:t>cardiac related conditions (haemodynamically significant mitral valve stenosis, prosthetic heart valve, planned cardioversion, transient atrial fibrillation caused by reversible disease, known presence of atrial myxoma or left ventricular thrombus and active endocarditis),</w:t>
      </w:r>
    </w:p>
    <w:p w14:paraId="69907E4E" w14:textId="77777777" w:rsidR="009454E4" w:rsidRPr="00AB3AD6" w:rsidRDefault="009454E4" w:rsidP="0043158B">
      <w:pPr>
        <w:pStyle w:val="ListParagraph"/>
        <w:widowControl w:val="0"/>
        <w:numPr>
          <w:ilvl w:val="0"/>
          <w:numId w:val="13"/>
        </w:numPr>
        <w:autoSpaceDE w:val="0"/>
        <w:autoSpaceDN w:val="0"/>
        <w:adjustRightInd w:val="0"/>
        <w:spacing w:before="120"/>
        <w:ind w:right="46"/>
        <w:rPr>
          <w:rFonts w:ascii="Arial" w:eastAsia="PMingLiU" w:hAnsi="Arial" w:cs="Arial"/>
          <w:color w:val="000000"/>
          <w:lang w:eastAsia="zh-TW"/>
        </w:rPr>
      </w:pPr>
      <w:r w:rsidRPr="00AB3AD6">
        <w:rPr>
          <w:rFonts w:ascii="Arial" w:eastAsia="PMingLiU" w:hAnsi="Arial" w:cs="Arial"/>
          <w:color w:val="000000"/>
          <w:lang w:eastAsia="zh-TW"/>
        </w:rPr>
        <w:t xml:space="preserve">haemorrhage risk related conditions (active internal bleeding, major surgical procedure or trauma within 30 days before randomisation, clinically significant </w:t>
      </w:r>
      <w:r w:rsidRPr="00AB3AD6">
        <w:rPr>
          <w:rFonts w:ascii="Arial" w:eastAsia="PMingLiU" w:hAnsi="Arial" w:cs="Arial"/>
          <w:color w:val="000000"/>
          <w:lang w:eastAsia="zh-TW"/>
        </w:rPr>
        <w:lastRenderedPageBreak/>
        <w:t>gastrointestinal (GI) bleeding within 6 months of randomisation, history of intracranial, intraocular, spinal or atraumatic intra-articular bleeding, chronic haemorrhagic disorder, known intracranial neoplasm, arteriovenous malformation, or aneurysm)</w:t>
      </w:r>
    </w:p>
    <w:p w14:paraId="674A727D" w14:textId="77777777" w:rsidR="009454E4" w:rsidRPr="00AB3AD6" w:rsidRDefault="009454E4" w:rsidP="0043158B">
      <w:pPr>
        <w:pStyle w:val="ListParagraph"/>
        <w:widowControl w:val="0"/>
        <w:numPr>
          <w:ilvl w:val="0"/>
          <w:numId w:val="13"/>
        </w:numPr>
        <w:autoSpaceDE w:val="0"/>
        <w:autoSpaceDN w:val="0"/>
        <w:adjustRightInd w:val="0"/>
        <w:spacing w:before="120"/>
        <w:ind w:right="46"/>
        <w:rPr>
          <w:rFonts w:ascii="Arial" w:eastAsia="PMingLiU" w:hAnsi="Arial" w:cs="Arial"/>
          <w:color w:val="000000"/>
          <w:lang w:eastAsia="zh-TW"/>
        </w:rPr>
      </w:pPr>
      <w:r w:rsidRPr="00AB3AD6">
        <w:rPr>
          <w:rFonts w:ascii="Arial" w:eastAsia="PMingLiU" w:hAnsi="Arial" w:cs="Arial"/>
          <w:color w:val="000000"/>
          <w:lang w:eastAsia="zh-TW"/>
        </w:rPr>
        <w:t>planned invasive procedure with potential for uncontrolled bleeding</w:t>
      </w:r>
    </w:p>
    <w:p w14:paraId="2E1724CA" w14:textId="77777777" w:rsidR="009454E4" w:rsidRPr="00AB3AD6" w:rsidRDefault="009454E4" w:rsidP="0043158B">
      <w:pPr>
        <w:pStyle w:val="ListParagraph"/>
        <w:widowControl w:val="0"/>
        <w:numPr>
          <w:ilvl w:val="0"/>
          <w:numId w:val="13"/>
        </w:numPr>
        <w:autoSpaceDE w:val="0"/>
        <w:autoSpaceDN w:val="0"/>
        <w:adjustRightInd w:val="0"/>
        <w:spacing w:before="120"/>
        <w:ind w:right="46"/>
        <w:rPr>
          <w:rFonts w:ascii="Arial" w:eastAsia="PMingLiU" w:hAnsi="Arial" w:cs="Arial"/>
          <w:color w:val="000000"/>
          <w:lang w:eastAsia="zh-TW"/>
        </w:rPr>
      </w:pPr>
      <w:r w:rsidRPr="00AB3AD6">
        <w:rPr>
          <w:rFonts w:ascii="Arial" w:eastAsia="PMingLiU" w:hAnsi="Arial" w:cs="Arial"/>
          <w:color w:val="000000"/>
          <w:lang w:eastAsia="zh-TW"/>
        </w:rPr>
        <w:t>sustained uncontrolled hypertension ( &gt;180/100 mm Hg)</w:t>
      </w:r>
      <w:r w:rsidR="00644E89">
        <w:rPr>
          <w:rFonts w:ascii="Arial" w:eastAsia="PMingLiU" w:hAnsi="Arial" w:cs="Arial"/>
          <w:color w:val="000000"/>
          <w:lang w:eastAsia="zh-TW"/>
        </w:rPr>
        <w:t xml:space="preserve"> and</w:t>
      </w:r>
    </w:p>
    <w:p w14:paraId="48EB2B21" w14:textId="77777777" w:rsidR="009454E4" w:rsidRPr="00AB3AD6" w:rsidRDefault="009454E4" w:rsidP="0043158B">
      <w:pPr>
        <w:pStyle w:val="ListParagraph"/>
        <w:widowControl w:val="0"/>
        <w:numPr>
          <w:ilvl w:val="0"/>
          <w:numId w:val="13"/>
        </w:numPr>
        <w:autoSpaceDE w:val="0"/>
        <w:autoSpaceDN w:val="0"/>
        <w:adjustRightInd w:val="0"/>
        <w:spacing w:before="120" w:after="240"/>
        <w:ind w:right="45"/>
        <w:rPr>
          <w:rFonts w:ascii="Arial" w:eastAsia="PMingLiU" w:hAnsi="Arial" w:cs="Arial"/>
          <w:color w:val="000000"/>
          <w:lang w:eastAsia="zh-TW"/>
        </w:rPr>
      </w:pPr>
      <w:r w:rsidRPr="00A810D1">
        <w:rPr>
          <w:rFonts w:ascii="Arial" w:eastAsia="PMingLiU" w:hAnsi="Arial" w:cs="Arial"/>
          <w:color w:val="000000"/>
          <w:lang w:eastAsia="zh-TW"/>
        </w:rPr>
        <w:t>concomitant conditions and therapies listed under</w:t>
      </w:r>
      <w:r w:rsidR="0068602B" w:rsidRPr="00A810D1">
        <w:rPr>
          <w:rFonts w:ascii="Arial" w:eastAsia="PMingLiU" w:hAnsi="Arial" w:cs="Arial"/>
          <w:color w:val="000000"/>
          <w:lang w:eastAsia="zh-TW"/>
        </w:rPr>
        <w:t xml:space="preserve"> Section 4.3</w:t>
      </w:r>
      <w:r w:rsidRPr="00A810D1">
        <w:rPr>
          <w:rFonts w:ascii="Arial" w:eastAsia="PMingLiU" w:hAnsi="Arial" w:cs="Arial"/>
          <w:color w:val="000000"/>
          <w:lang w:eastAsia="zh-TW"/>
        </w:rPr>
        <w:t xml:space="preserve"> </w:t>
      </w:r>
      <w:r w:rsidR="00A810D1" w:rsidRPr="00A810D1">
        <w:rPr>
          <w:rFonts w:ascii="Arial" w:hAnsi="Arial" w:cs="Arial"/>
          <w:noProof/>
        </w:rPr>
        <w:fldChar w:fldCharType="begin"/>
      </w:r>
      <w:r w:rsidR="00A810D1" w:rsidRPr="00A810D1">
        <w:rPr>
          <w:rFonts w:ascii="Arial" w:hAnsi="Arial" w:cs="Arial"/>
          <w:noProof/>
        </w:rPr>
        <w:instrText xml:space="preserve"> REF _Ref522882247 \h  \* MERGEFORMAT </w:instrText>
      </w:r>
      <w:r w:rsidR="00A810D1" w:rsidRPr="00A810D1">
        <w:rPr>
          <w:rFonts w:ascii="Arial" w:hAnsi="Arial" w:cs="Arial"/>
          <w:noProof/>
        </w:rPr>
      </w:r>
      <w:r w:rsidR="00A810D1" w:rsidRPr="00A810D1">
        <w:rPr>
          <w:rFonts w:ascii="Arial" w:hAnsi="Arial" w:cs="Arial"/>
          <w:noProof/>
        </w:rPr>
        <w:fldChar w:fldCharType="separate"/>
      </w:r>
      <w:r w:rsidR="00C51DA4" w:rsidRPr="00C51DA4">
        <w:rPr>
          <w:rFonts w:ascii="Arial" w:hAnsi="Arial" w:cs="Arial"/>
        </w:rPr>
        <w:t>CONTRAINDICATIONS</w:t>
      </w:r>
      <w:r w:rsidR="00A810D1" w:rsidRPr="00A810D1">
        <w:rPr>
          <w:rFonts w:ascii="Arial" w:hAnsi="Arial" w:cs="Arial"/>
          <w:noProof/>
        </w:rPr>
        <w:fldChar w:fldCharType="end"/>
      </w:r>
      <w:r w:rsidR="00586989" w:rsidRPr="00A810D1">
        <w:rPr>
          <w:rFonts w:ascii="Arial" w:eastAsia="PMingLiU" w:hAnsi="Arial" w:cs="Arial"/>
          <w:color w:val="000000"/>
          <w:lang w:eastAsia="zh-TW"/>
        </w:rPr>
        <w:t xml:space="preserve"> </w:t>
      </w:r>
      <w:r w:rsidRPr="00A810D1">
        <w:rPr>
          <w:rFonts w:ascii="Arial" w:eastAsia="PMingLiU" w:hAnsi="Arial" w:cs="Arial"/>
          <w:color w:val="000000"/>
          <w:lang w:eastAsia="zh-TW"/>
        </w:rPr>
        <w:t>as well as severe disabling stroke (modified Rankin score 4-5) or any stroke within 14 days, TIA</w:t>
      </w:r>
      <w:r w:rsidRPr="00AB3AD6">
        <w:rPr>
          <w:rFonts w:ascii="Arial" w:eastAsia="PMingLiU" w:hAnsi="Arial" w:cs="Arial"/>
          <w:color w:val="000000"/>
          <w:lang w:eastAsia="zh-TW"/>
        </w:rPr>
        <w:t xml:space="preserve"> within 3 days, &gt;100 mg acetylsalicylic acid (</w:t>
      </w:r>
      <w:r w:rsidR="00301499" w:rsidRPr="00AB3AD6">
        <w:rPr>
          <w:rFonts w:ascii="Arial" w:eastAsia="PMingLiU" w:hAnsi="Arial" w:cs="Arial"/>
          <w:color w:val="000000"/>
          <w:lang w:eastAsia="zh-TW"/>
        </w:rPr>
        <w:t>aspirin</w:t>
      </w:r>
      <w:r w:rsidRPr="00AB3AD6">
        <w:rPr>
          <w:rFonts w:ascii="Arial" w:eastAsia="PMingLiU" w:hAnsi="Arial" w:cs="Arial"/>
          <w:color w:val="000000"/>
          <w:lang w:eastAsia="zh-TW"/>
        </w:rPr>
        <w:t>), anticipated need for chronic NSAIDs treatment, known HIV infection at the time of screening, significant hepatic</w:t>
      </w:r>
      <w:r w:rsidR="00586989">
        <w:rPr>
          <w:rFonts w:ascii="Arial" w:eastAsia="PMingLiU" w:hAnsi="Arial" w:cs="Arial"/>
          <w:color w:val="000000"/>
          <w:lang w:eastAsia="zh-TW"/>
        </w:rPr>
        <w:t xml:space="preserve"> impairment or ( ALT &gt; 3 x ULN).</w:t>
      </w:r>
    </w:p>
    <w:p w14:paraId="00E2715A" w14:textId="77777777" w:rsidR="009454E4" w:rsidRPr="00DA6D02" w:rsidRDefault="009454E4" w:rsidP="00AB3AD6">
      <w:pPr>
        <w:autoSpaceDE w:val="0"/>
        <w:autoSpaceDN w:val="0"/>
        <w:adjustRightInd w:val="0"/>
        <w:spacing w:before="120" w:after="240"/>
        <w:ind w:left="630" w:right="45"/>
        <w:rPr>
          <w:rFonts w:eastAsia="PMingLiU" w:cs="Arial"/>
          <w:color w:val="000000"/>
          <w:szCs w:val="22"/>
          <w:lang w:eastAsia="zh-TW"/>
        </w:rPr>
      </w:pPr>
      <w:r w:rsidRPr="00DA6D02">
        <w:rPr>
          <w:rFonts w:eastAsia="PMingLiU" w:cs="Arial"/>
          <w:color w:val="000000"/>
          <w:szCs w:val="22"/>
          <w:lang w:eastAsia="zh-TW"/>
        </w:rPr>
        <w:t xml:space="preserve">The Principal Investigators were instructed to dose their patients with warfarin orally once daily, dose-adjusted to a target International Normalised Ratio [INR] of 2.5 [range 2.0 to 3.0, inclusive]. </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 xml:space="preserve">During the study, INR monitoring (using a Hemosense point of-care INR device [INRatio]) was to occur as clinically indicated but at least every 4 weeks. </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 xml:space="preserve">Unblinded INR measurements were not performed while subjects were on study drug, except in case of a medical emergency. </w:t>
      </w:r>
    </w:p>
    <w:p w14:paraId="0A232D71" w14:textId="77777777" w:rsidR="000D76B8" w:rsidRPr="00DA6D02" w:rsidRDefault="009454E4" w:rsidP="00AB3AD6">
      <w:pPr>
        <w:autoSpaceDE w:val="0"/>
        <w:autoSpaceDN w:val="0"/>
        <w:adjustRightInd w:val="0"/>
        <w:spacing w:before="120" w:after="240"/>
        <w:ind w:left="630" w:right="45"/>
        <w:rPr>
          <w:rFonts w:eastAsia="PMingLiU" w:cs="Arial"/>
          <w:color w:val="000000"/>
          <w:szCs w:val="22"/>
          <w:lang w:eastAsia="zh-TW"/>
        </w:rPr>
      </w:pPr>
      <w:r w:rsidRPr="00DA6D02">
        <w:rPr>
          <w:rFonts w:eastAsia="PMingLiU" w:cs="Arial"/>
          <w:color w:val="000000"/>
          <w:szCs w:val="22"/>
          <w:lang w:eastAsia="zh-TW"/>
        </w:rPr>
        <w:t xml:space="preserve">In order to maintain the integrity of the blind, local unblinded INR measurements (i.e., not using the study Hemosense INRatio device) were discouraged for at least 3 days after subjects stopped receiving study drug (after the start of open-label VKA therapy), including when the subject discontinued study medication, or completed the study. </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After 3 days, VKA dosing was managed using local unblinded INR measurements.</w:t>
      </w:r>
    </w:p>
    <w:p w14:paraId="0292EDD2" w14:textId="77777777" w:rsidR="009454E4" w:rsidRPr="00DA6D02" w:rsidRDefault="009454E4" w:rsidP="00AB3AD6">
      <w:pPr>
        <w:autoSpaceDE w:val="0"/>
        <w:autoSpaceDN w:val="0"/>
        <w:adjustRightInd w:val="0"/>
        <w:spacing w:before="120" w:after="240"/>
        <w:ind w:left="630" w:right="45"/>
        <w:rPr>
          <w:rFonts w:eastAsia="PMingLiU" w:cs="Arial"/>
          <w:color w:val="000000"/>
          <w:szCs w:val="22"/>
          <w:lang w:eastAsia="zh-TW"/>
        </w:rPr>
      </w:pPr>
      <w:r w:rsidRPr="00DA6D02">
        <w:rPr>
          <w:rFonts w:eastAsia="PMingLiU" w:cs="Arial"/>
          <w:color w:val="000000"/>
          <w:szCs w:val="22"/>
          <w:lang w:eastAsia="zh-TW"/>
        </w:rPr>
        <w:t xml:space="preserve">Comparative efficacy with standard of care (warfarin) in the double blind clinical trial setting provides evidence that rivaroxaban is as effective as warfarin. </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 xml:space="preserve">There is insufficient experience to determine how </w:t>
      </w:r>
      <w:r w:rsidR="005F6704" w:rsidRPr="00DA6D02">
        <w:rPr>
          <w:rFonts w:eastAsia="PMingLiU" w:cs="Arial"/>
          <w:color w:val="000000"/>
          <w:szCs w:val="22"/>
          <w:lang w:eastAsia="zh-TW"/>
        </w:rPr>
        <w:t>XARELTO</w:t>
      </w:r>
      <w:r w:rsidRPr="00DA6D02">
        <w:rPr>
          <w:rFonts w:eastAsia="PMingLiU" w:cs="Arial"/>
          <w:color w:val="000000"/>
          <w:szCs w:val="22"/>
          <w:lang w:eastAsia="zh-TW"/>
        </w:rPr>
        <w:t xml:space="preserve"> and warfarin compare when warfarin therapy is well controlled.</w:t>
      </w:r>
    </w:p>
    <w:p w14:paraId="59BA3EE2" w14:textId="77777777" w:rsidR="009454E4" w:rsidRPr="00DA6D02" w:rsidRDefault="009454E4" w:rsidP="00AB3AD6">
      <w:pPr>
        <w:autoSpaceDE w:val="0"/>
        <w:autoSpaceDN w:val="0"/>
        <w:adjustRightInd w:val="0"/>
        <w:spacing w:before="120" w:after="240"/>
        <w:ind w:left="630" w:right="45"/>
        <w:rPr>
          <w:rFonts w:eastAsia="PMingLiU" w:cs="Arial"/>
          <w:color w:val="000000"/>
          <w:szCs w:val="22"/>
          <w:lang w:eastAsia="zh-TW"/>
        </w:rPr>
      </w:pPr>
      <w:r w:rsidRPr="00DA6D02">
        <w:rPr>
          <w:rFonts w:eastAsia="PMingLiU" w:cs="Arial"/>
          <w:color w:val="000000"/>
          <w:szCs w:val="22"/>
          <w:lang w:eastAsia="zh-TW"/>
        </w:rPr>
        <w:t>Unlike some other contemporary trials, these committees did not provide detailed and focused direction to the sites about their handling of individual patient INRs, since one goal of the trial was to run the study as close to usual care as possible, to maximize generalisability of the final results to standard practice.</w:t>
      </w:r>
    </w:p>
    <w:p w14:paraId="590B3F07" w14:textId="4E9706F1" w:rsidR="009454E4" w:rsidRPr="00DA6D02" w:rsidRDefault="009454E4" w:rsidP="00AB3AD6">
      <w:pPr>
        <w:widowControl w:val="0"/>
        <w:autoSpaceDE w:val="0"/>
        <w:autoSpaceDN w:val="0"/>
        <w:adjustRightInd w:val="0"/>
        <w:spacing w:before="120" w:after="240"/>
        <w:ind w:left="630" w:right="45"/>
        <w:rPr>
          <w:rFonts w:eastAsia="PMingLiU" w:cs="Arial"/>
          <w:color w:val="000000"/>
          <w:szCs w:val="22"/>
          <w:lang w:eastAsia="zh-TW"/>
        </w:rPr>
      </w:pPr>
      <w:r w:rsidRPr="00DA6D02">
        <w:rPr>
          <w:rFonts w:eastAsia="PMingLiU" w:cs="Arial"/>
          <w:color w:val="000000"/>
          <w:szCs w:val="22"/>
          <w:lang w:eastAsia="zh-TW"/>
        </w:rPr>
        <w:t xml:space="preserve">The primary objective of the study was met, as </w:t>
      </w:r>
      <w:r w:rsidR="005F6704" w:rsidRPr="00DA6D02">
        <w:rPr>
          <w:rFonts w:eastAsia="PMingLiU" w:cs="Arial"/>
          <w:color w:val="000000"/>
          <w:szCs w:val="22"/>
          <w:lang w:eastAsia="zh-TW"/>
        </w:rPr>
        <w:t>XARELTO</w:t>
      </w:r>
      <w:r w:rsidRPr="00DA6D02">
        <w:rPr>
          <w:rFonts w:eastAsia="PMingLiU" w:cs="Arial"/>
          <w:color w:val="000000"/>
          <w:szCs w:val="22"/>
          <w:lang w:eastAsia="zh-TW"/>
        </w:rPr>
        <w:t xml:space="preserve"> was shown to be non-inferior to warfarin in the primary efficacy endpoint, composite of stroke and systemic embolism (HR 0.79, 95% CI 0.66 – 0.96, p &lt; 0.001).</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 xml:space="preserve"> As non-inferiority was met, </w:t>
      </w:r>
      <w:r w:rsidR="005F6704" w:rsidRPr="00DA6D02">
        <w:rPr>
          <w:rFonts w:eastAsia="PMingLiU" w:cs="Arial"/>
          <w:color w:val="000000"/>
          <w:szCs w:val="22"/>
          <w:lang w:eastAsia="zh-TW"/>
        </w:rPr>
        <w:t>XARELTO</w:t>
      </w:r>
      <w:r w:rsidRPr="00DA6D02">
        <w:rPr>
          <w:rFonts w:eastAsia="PMingLiU" w:cs="Arial"/>
          <w:color w:val="000000"/>
          <w:szCs w:val="22"/>
          <w:lang w:eastAsia="zh-TW"/>
        </w:rPr>
        <w:t xml:space="preserve"> was tested, as per the pre-specified analysis, for superiority in primary and secondary endpoints. </w:t>
      </w:r>
      <w:r w:rsidR="000D76B8" w:rsidRPr="00DA6D02">
        <w:rPr>
          <w:rFonts w:eastAsia="PMingLiU" w:cs="Arial"/>
          <w:color w:val="000000"/>
          <w:szCs w:val="22"/>
          <w:lang w:eastAsia="zh-TW"/>
        </w:rPr>
        <w:t xml:space="preserve"> </w:t>
      </w:r>
      <w:r w:rsidR="005F6704" w:rsidRPr="00DA6D02">
        <w:rPr>
          <w:rFonts w:eastAsia="PMingLiU" w:cs="Arial"/>
          <w:color w:val="000000"/>
          <w:szCs w:val="22"/>
          <w:lang w:eastAsia="zh-TW"/>
        </w:rPr>
        <w:t>XARELTO</w:t>
      </w:r>
      <w:r w:rsidRPr="00DA6D02">
        <w:rPr>
          <w:rFonts w:eastAsia="PMingLiU" w:cs="Arial"/>
          <w:color w:val="000000"/>
          <w:szCs w:val="22"/>
          <w:lang w:eastAsia="zh-TW"/>
        </w:rPr>
        <w:t xml:space="preserve"> demonstrated superiority over warfarin for stroke and systemic embolism in the on treatment, safety population (HR 0.79, 95% CI 0.65 – 0.95, p = 0.015).</w:t>
      </w:r>
      <w:r w:rsidR="000D76B8" w:rsidRPr="00DA6D02">
        <w:rPr>
          <w:rFonts w:eastAsia="PMingLiU" w:cs="Arial"/>
          <w:color w:val="000000"/>
          <w:szCs w:val="22"/>
          <w:lang w:eastAsia="zh-TW"/>
        </w:rPr>
        <w:t xml:space="preserve"> </w:t>
      </w:r>
      <w:r w:rsidRPr="00DA6D02">
        <w:rPr>
          <w:rFonts w:eastAsia="PMingLiU" w:cs="Arial"/>
          <w:color w:val="000000"/>
          <w:szCs w:val="22"/>
          <w:lang w:eastAsia="zh-TW"/>
        </w:rPr>
        <w:t xml:space="preserve"> Major secondary endpoints; composite of stroke, systemic embolism and vascular death and composite of stroke, systemic embolism, myocardial infarction (MI) and vascular death were also reduced significantly (</w:t>
      </w:r>
      <w:r w:rsidR="000E55D4">
        <w:rPr>
          <w:rFonts w:eastAsia="PMingLiU" w:cs="Arial"/>
          <w:color w:val="000000"/>
          <w:szCs w:val="22"/>
          <w:lang w:eastAsia="zh-TW"/>
        </w:rPr>
        <w:t xml:space="preserve">see </w:t>
      </w:r>
      <w:r w:rsidR="003860D3" w:rsidRPr="005403C3">
        <w:rPr>
          <w:rFonts w:eastAsia="PMingLiU" w:cs="Arial"/>
          <w:color w:val="000000"/>
          <w:szCs w:val="22"/>
          <w:lang w:eastAsia="zh-TW"/>
        </w:rPr>
        <w:fldChar w:fldCharType="begin"/>
      </w:r>
      <w:r w:rsidR="003860D3" w:rsidRPr="005403C3">
        <w:rPr>
          <w:rFonts w:eastAsia="PMingLiU" w:cs="Arial"/>
          <w:color w:val="000000"/>
          <w:szCs w:val="22"/>
          <w:lang w:eastAsia="zh-TW"/>
        </w:rPr>
        <w:instrText xml:space="preserve"> REF _Ref501396680 \h </w:instrText>
      </w:r>
      <w:r w:rsidR="00DA6D02" w:rsidRPr="005403C3">
        <w:rPr>
          <w:rFonts w:eastAsia="PMingLiU" w:cs="Arial"/>
          <w:color w:val="000000"/>
          <w:szCs w:val="22"/>
          <w:lang w:eastAsia="zh-TW"/>
        </w:rPr>
        <w:instrText xml:space="preserve"> \* MERGEFORMAT </w:instrText>
      </w:r>
      <w:r w:rsidR="003860D3" w:rsidRPr="005403C3">
        <w:rPr>
          <w:rFonts w:eastAsia="PMingLiU" w:cs="Arial"/>
          <w:color w:val="000000"/>
          <w:szCs w:val="22"/>
          <w:lang w:eastAsia="zh-TW"/>
        </w:rPr>
      </w:r>
      <w:r w:rsidR="003860D3" w:rsidRPr="005403C3">
        <w:rPr>
          <w:rFonts w:eastAsia="PMingLiU" w:cs="Arial"/>
          <w:color w:val="000000"/>
          <w:szCs w:val="22"/>
          <w:lang w:eastAsia="zh-TW"/>
        </w:rPr>
        <w:fldChar w:fldCharType="separate"/>
      </w:r>
      <w:r w:rsidR="00C51DA4" w:rsidRPr="00C51DA4">
        <w:rPr>
          <w:szCs w:val="22"/>
        </w:rPr>
        <w:t xml:space="preserve">Table </w:t>
      </w:r>
      <w:r w:rsidR="00C51DA4" w:rsidRPr="00C51DA4">
        <w:rPr>
          <w:noProof/>
          <w:szCs w:val="22"/>
        </w:rPr>
        <w:t>13</w:t>
      </w:r>
      <w:r w:rsidR="003860D3" w:rsidRPr="005403C3">
        <w:rPr>
          <w:rFonts w:eastAsia="PMingLiU" w:cs="Arial"/>
          <w:color w:val="000000"/>
          <w:szCs w:val="22"/>
          <w:lang w:eastAsia="zh-TW"/>
        </w:rPr>
        <w:fldChar w:fldCharType="end"/>
      </w:r>
      <w:r w:rsidRPr="00DA6D02">
        <w:rPr>
          <w:rFonts w:eastAsia="PMingLiU" w:cs="Arial"/>
          <w:i/>
          <w:color w:val="000000"/>
          <w:szCs w:val="22"/>
          <w:lang w:eastAsia="zh-TW"/>
        </w:rPr>
        <w:t>)</w:t>
      </w:r>
      <w:r w:rsidR="00586989">
        <w:rPr>
          <w:rFonts w:eastAsia="PMingLiU" w:cs="Arial"/>
          <w:color w:val="000000"/>
          <w:szCs w:val="22"/>
          <w:lang w:eastAsia="zh-TW"/>
        </w:rPr>
        <w:t>.</w:t>
      </w:r>
    </w:p>
    <w:p w14:paraId="3AA023E0" w14:textId="126F8367" w:rsidR="009454E4" w:rsidRPr="005403C3" w:rsidRDefault="009454E4" w:rsidP="00FD3CDC">
      <w:pPr>
        <w:pStyle w:val="BayerBodyText-left"/>
        <w:ind w:left="630"/>
        <w:jc w:val="left"/>
      </w:pPr>
      <w:r w:rsidRPr="00DA6D02">
        <w:rPr>
          <w:rFonts w:eastAsia="PMingLiU"/>
          <w:lang w:eastAsia="zh-TW"/>
        </w:rPr>
        <w:t>The incidence rates for the principal safety outcome (major and non-major clinically relevant bleeding events) were similar for both treatment groups (</w:t>
      </w:r>
      <w:r w:rsidR="000E55D4">
        <w:rPr>
          <w:rFonts w:eastAsia="PMingLiU"/>
          <w:lang w:eastAsia="zh-TW"/>
        </w:rPr>
        <w:t xml:space="preserve">see </w:t>
      </w:r>
      <w:r w:rsidR="004A4FD1" w:rsidRPr="005403C3">
        <w:fldChar w:fldCharType="begin"/>
      </w:r>
      <w:r w:rsidR="004A4FD1" w:rsidRPr="005403C3">
        <w:rPr>
          <w:rFonts w:eastAsia="PMingLiU"/>
          <w:lang w:eastAsia="zh-TW"/>
        </w:rPr>
        <w:instrText xml:space="preserve"> REF _Ref505604933 \h </w:instrText>
      </w:r>
      <w:r w:rsidR="004A4FD1" w:rsidRPr="005403C3">
        <w:instrText xml:space="preserve"> \* MERGEFORMAT </w:instrText>
      </w:r>
      <w:r w:rsidR="004A4FD1" w:rsidRPr="005403C3">
        <w:fldChar w:fldCharType="separate"/>
      </w:r>
      <w:r w:rsidR="00C51DA4">
        <w:t xml:space="preserve">Table </w:t>
      </w:r>
      <w:r w:rsidR="00C51DA4">
        <w:rPr>
          <w:noProof/>
        </w:rPr>
        <w:t>14</w:t>
      </w:r>
      <w:r w:rsidR="004A4FD1" w:rsidRPr="005403C3">
        <w:fldChar w:fldCharType="end"/>
      </w:r>
      <w:r w:rsidR="00586989" w:rsidRPr="004A4FD1">
        <w:rPr>
          <w:noProof/>
        </w:rPr>
        <w:t>).</w:t>
      </w:r>
      <w:r w:rsidR="00FD3CDC" w:rsidRPr="00586989" w:rsidDel="00FD3CDC">
        <w:rPr>
          <w:rFonts w:eastAsia="PMingLiU"/>
          <w:lang w:eastAsia="zh-TW"/>
        </w:rPr>
        <w:t xml:space="preserve"> </w:t>
      </w:r>
    </w:p>
    <w:p w14:paraId="2C8D0BBD" w14:textId="77777777" w:rsidR="009454E4" w:rsidRPr="009454E4" w:rsidRDefault="009454E4" w:rsidP="009454E4">
      <w:pPr>
        <w:autoSpaceDE w:val="0"/>
        <w:autoSpaceDN w:val="0"/>
        <w:adjustRightInd w:val="0"/>
        <w:spacing w:before="120"/>
        <w:ind w:right="46"/>
        <w:rPr>
          <w:rFonts w:eastAsia="PMingLiU" w:cs="Arial"/>
          <w:color w:val="000000"/>
          <w:szCs w:val="22"/>
          <w:lang w:eastAsia="zh-TW"/>
        </w:rPr>
      </w:pPr>
      <w:r>
        <w:rPr>
          <w:rFonts w:eastAsia="PMingLiU" w:cs="Arial"/>
          <w:color w:val="000000"/>
          <w:szCs w:val="22"/>
          <w:lang w:eastAsia="zh-TW"/>
        </w:rPr>
        <w:br w:type="page"/>
      </w:r>
    </w:p>
    <w:p w14:paraId="3A081073" w14:textId="2ECBF46E" w:rsidR="00476145" w:rsidRDefault="00476145" w:rsidP="00476145">
      <w:pPr>
        <w:pStyle w:val="Caption"/>
        <w:jc w:val="left"/>
      </w:pPr>
      <w:bookmarkStart w:id="40" w:name="_Ref501396680"/>
      <w:bookmarkStart w:id="41" w:name="_Ref285203211"/>
      <w:r>
        <w:lastRenderedPageBreak/>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13</w:t>
      </w:r>
      <w:r w:rsidR="005D4DAE">
        <w:rPr>
          <w:noProof/>
        </w:rPr>
        <w:fldChar w:fldCharType="end"/>
      </w:r>
      <w:bookmarkEnd w:id="40"/>
      <w:r>
        <w:t xml:space="preserve">: </w:t>
      </w:r>
      <w:r w:rsidRPr="00F8697B">
        <w:rPr>
          <w:lang w:eastAsia="en-US"/>
        </w:rPr>
        <w:t>Efficacy results from Phase III ROCKET AF (Stroke Prevention in AF)</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580"/>
        <w:gridCol w:w="2220"/>
        <w:gridCol w:w="2040"/>
      </w:tblGrid>
      <w:tr w:rsidR="009454E4" w:rsidRPr="009454E4" w14:paraId="0E34FBE8" w14:textId="77777777" w:rsidTr="00A21F84">
        <w:trPr>
          <w:cantSplit/>
          <w:trHeight w:val="399"/>
          <w:tblHeader/>
        </w:trPr>
        <w:tc>
          <w:tcPr>
            <w:tcW w:w="2340" w:type="dxa"/>
            <w:shd w:val="clear" w:color="auto" w:fill="D9D9D9" w:themeFill="background1" w:themeFillShade="D9"/>
            <w:vAlign w:val="center"/>
          </w:tcPr>
          <w:bookmarkEnd w:id="41"/>
          <w:p w14:paraId="626BEDDB" w14:textId="77777777" w:rsidR="009454E4" w:rsidRPr="008B5BCF" w:rsidRDefault="009454E4" w:rsidP="009A6D73">
            <w:pPr>
              <w:widowControl w:val="0"/>
              <w:autoSpaceDE w:val="0"/>
              <w:autoSpaceDN w:val="0"/>
              <w:adjustRightInd w:val="0"/>
              <w:spacing w:before="120"/>
              <w:ind w:right="46"/>
              <w:rPr>
                <w:rFonts w:eastAsia="PMingLiU" w:cs="Arial"/>
                <w:b/>
                <w:color w:val="000000"/>
                <w:sz w:val="18"/>
                <w:szCs w:val="18"/>
                <w:lang w:eastAsia="zh-TW"/>
              </w:rPr>
            </w:pPr>
            <w:r w:rsidRPr="008B5BCF">
              <w:rPr>
                <w:rFonts w:eastAsia="PMingLiU" w:cs="Arial"/>
                <w:b/>
                <w:color w:val="000000"/>
                <w:sz w:val="18"/>
                <w:szCs w:val="18"/>
                <w:lang w:eastAsia="zh-TW"/>
              </w:rPr>
              <w:t>Study Population</w:t>
            </w:r>
          </w:p>
        </w:tc>
        <w:tc>
          <w:tcPr>
            <w:tcW w:w="6840" w:type="dxa"/>
            <w:gridSpan w:val="3"/>
            <w:shd w:val="clear" w:color="auto" w:fill="D9D9D9" w:themeFill="background1" w:themeFillShade="D9"/>
            <w:vAlign w:val="center"/>
          </w:tcPr>
          <w:p w14:paraId="6190E1D8" w14:textId="77777777" w:rsidR="009454E4" w:rsidRPr="008B5BCF" w:rsidRDefault="009454E4" w:rsidP="0080392D">
            <w:pPr>
              <w:keepNext/>
              <w:ind w:right="46"/>
              <w:jc w:val="center"/>
              <w:rPr>
                <w:rFonts w:cs="Arial"/>
                <w:b/>
                <w:sz w:val="18"/>
                <w:szCs w:val="18"/>
                <w:lang w:eastAsia="en-US"/>
              </w:rPr>
            </w:pPr>
            <w:r w:rsidRPr="008B5BCF">
              <w:rPr>
                <w:rFonts w:cs="Arial"/>
                <w:b/>
                <w:sz w:val="18"/>
                <w:szCs w:val="18"/>
                <w:lang w:eastAsia="en-US"/>
              </w:rPr>
              <w:t>Patients with non-valvular atrial fibrillation (AF) ^</w:t>
            </w:r>
          </w:p>
        </w:tc>
      </w:tr>
      <w:tr w:rsidR="009454E4" w:rsidRPr="009454E4" w14:paraId="4B7C518C" w14:textId="77777777" w:rsidTr="00A21F84">
        <w:trPr>
          <w:cantSplit/>
          <w:trHeight w:val="1501"/>
          <w:tblHeader/>
        </w:trPr>
        <w:tc>
          <w:tcPr>
            <w:tcW w:w="2340" w:type="dxa"/>
            <w:shd w:val="clear" w:color="auto" w:fill="D9D9D9" w:themeFill="background1" w:themeFillShade="D9"/>
            <w:vAlign w:val="center"/>
          </w:tcPr>
          <w:p w14:paraId="21B09DFE" w14:textId="77777777" w:rsidR="009454E4" w:rsidRPr="008B5BCF" w:rsidRDefault="009454E4" w:rsidP="009A6D73">
            <w:pPr>
              <w:widowControl w:val="0"/>
              <w:autoSpaceDE w:val="0"/>
              <w:autoSpaceDN w:val="0"/>
              <w:adjustRightInd w:val="0"/>
              <w:spacing w:before="120"/>
              <w:ind w:right="46"/>
              <w:rPr>
                <w:rFonts w:eastAsia="PMingLiU" w:cs="Arial"/>
                <w:b/>
                <w:color w:val="000000"/>
                <w:sz w:val="18"/>
                <w:szCs w:val="18"/>
                <w:lang w:eastAsia="zh-TW"/>
              </w:rPr>
            </w:pPr>
            <w:r w:rsidRPr="008B5BCF">
              <w:rPr>
                <w:rFonts w:eastAsia="PMingLiU" w:cs="Arial"/>
                <w:b/>
                <w:color w:val="000000"/>
                <w:sz w:val="18"/>
                <w:szCs w:val="18"/>
                <w:lang w:eastAsia="zh-TW"/>
              </w:rPr>
              <w:t xml:space="preserve">Treatment Dosage </w:t>
            </w:r>
          </w:p>
        </w:tc>
        <w:tc>
          <w:tcPr>
            <w:tcW w:w="2580" w:type="dxa"/>
            <w:shd w:val="clear" w:color="auto" w:fill="D9D9D9" w:themeFill="background1" w:themeFillShade="D9"/>
            <w:vAlign w:val="center"/>
          </w:tcPr>
          <w:p w14:paraId="0FA9E148" w14:textId="77777777" w:rsidR="009454E4" w:rsidRPr="008B5BCF" w:rsidRDefault="009454E4" w:rsidP="009454E4">
            <w:pPr>
              <w:keepNext/>
              <w:spacing w:before="120" w:after="120"/>
              <w:ind w:right="46"/>
              <w:jc w:val="center"/>
              <w:rPr>
                <w:rFonts w:cs="Arial"/>
                <w:sz w:val="18"/>
                <w:szCs w:val="18"/>
                <w:lang w:eastAsia="en-US"/>
              </w:rPr>
            </w:pPr>
            <w:r w:rsidRPr="008B5BCF">
              <w:rPr>
                <w:rFonts w:cs="Arial"/>
                <w:sz w:val="18"/>
                <w:szCs w:val="18"/>
                <w:lang w:eastAsia="en-US"/>
              </w:rPr>
              <w:t>Rivaroxaban</w:t>
            </w:r>
            <w:r w:rsidRPr="008B5BCF">
              <w:rPr>
                <w:rFonts w:cs="Arial"/>
                <w:sz w:val="18"/>
                <w:szCs w:val="18"/>
                <w:lang w:eastAsia="en-US"/>
              </w:rPr>
              <w:br/>
              <w:t xml:space="preserve">20 mg orally od </w:t>
            </w:r>
            <w:r w:rsidRPr="008B5BCF">
              <w:rPr>
                <w:rFonts w:cs="Arial"/>
                <w:sz w:val="18"/>
                <w:szCs w:val="18"/>
                <w:lang w:eastAsia="en-US"/>
              </w:rPr>
              <w:br/>
              <w:t>(15 mg orally od in patients with CrCl 30 to 49 mL/min)</w:t>
            </w:r>
          </w:p>
          <w:p w14:paraId="03344FFE" w14:textId="77777777" w:rsidR="009454E4" w:rsidRPr="008B5BCF" w:rsidRDefault="009454E4" w:rsidP="009454E4">
            <w:pPr>
              <w:keepNext/>
              <w:spacing w:before="120" w:after="120"/>
              <w:ind w:right="46"/>
              <w:jc w:val="center"/>
              <w:rPr>
                <w:rFonts w:cs="Arial"/>
                <w:sz w:val="18"/>
                <w:szCs w:val="18"/>
                <w:lang w:eastAsia="en-US"/>
              </w:rPr>
            </w:pPr>
            <w:r w:rsidRPr="008B5BCF">
              <w:rPr>
                <w:rFonts w:cs="Arial"/>
                <w:sz w:val="18"/>
                <w:szCs w:val="18"/>
                <w:lang w:eastAsia="en-US"/>
              </w:rPr>
              <w:t>N=7061</w:t>
            </w:r>
            <w:r w:rsidRPr="008B5BCF">
              <w:rPr>
                <w:rFonts w:cs="Arial"/>
                <w:sz w:val="18"/>
                <w:szCs w:val="18"/>
                <w:lang w:eastAsia="en-US"/>
              </w:rPr>
              <w:br/>
              <w:t>Event Rate (100 Pt-yr)#</w:t>
            </w:r>
          </w:p>
        </w:tc>
        <w:tc>
          <w:tcPr>
            <w:tcW w:w="2220" w:type="dxa"/>
            <w:shd w:val="clear" w:color="auto" w:fill="D9D9D9" w:themeFill="background1" w:themeFillShade="D9"/>
            <w:vAlign w:val="center"/>
          </w:tcPr>
          <w:p w14:paraId="08ED65AB" w14:textId="77777777" w:rsidR="009454E4" w:rsidRPr="008B5BCF" w:rsidRDefault="009454E4" w:rsidP="009454E4">
            <w:pPr>
              <w:keepNext/>
              <w:spacing w:before="120" w:after="120"/>
              <w:ind w:right="46"/>
              <w:jc w:val="center"/>
              <w:rPr>
                <w:rFonts w:cs="Arial"/>
                <w:sz w:val="18"/>
                <w:szCs w:val="18"/>
                <w:lang w:eastAsia="en-US"/>
              </w:rPr>
            </w:pPr>
            <w:r w:rsidRPr="008B5BCF">
              <w:rPr>
                <w:rFonts w:cs="Arial"/>
                <w:sz w:val="18"/>
                <w:szCs w:val="18"/>
                <w:lang w:eastAsia="en-US"/>
              </w:rPr>
              <w:t>Warfarin</w:t>
            </w:r>
            <w:r w:rsidRPr="008B5BCF">
              <w:rPr>
                <w:rFonts w:cs="Arial"/>
                <w:sz w:val="18"/>
                <w:szCs w:val="18"/>
                <w:lang w:eastAsia="en-US"/>
              </w:rPr>
              <w:br/>
              <w:t>titrated to a target INR of 2.5 (therapeutic range 2.0 to 3.0)</w:t>
            </w:r>
            <w:r w:rsidRPr="008B5BCF">
              <w:rPr>
                <w:rFonts w:cs="Arial"/>
                <w:sz w:val="18"/>
                <w:szCs w:val="18"/>
                <w:lang w:eastAsia="en-US"/>
              </w:rPr>
              <w:br/>
              <w:t>N=7082</w:t>
            </w:r>
            <w:r w:rsidRPr="008B5BCF">
              <w:rPr>
                <w:rFonts w:cs="Arial"/>
                <w:sz w:val="18"/>
                <w:szCs w:val="18"/>
                <w:lang w:eastAsia="en-US"/>
              </w:rPr>
              <w:br/>
              <w:t>Event Rate (100 Pt-yr) #</w:t>
            </w:r>
          </w:p>
        </w:tc>
        <w:tc>
          <w:tcPr>
            <w:tcW w:w="2040" w:type="dxa"/>
            <w:shd w:val="clear" w:color="auto" w:fill="D9D9D9" w:themeFill="background1" w:themeFillShade="D9"/>
            <w:vAlign w:val="center"/>
          </w:tcPr>
          <w:p w14:paraId="166212EA" w14:textId="77777777" w:rsidR="009454E4" w:rsidRPr="008B5BCF" w:rsidRDefault="009454E4" w:rsidP="009454E4">
            <w:pPr>
              <w:keepNext/>
              <w:spacing w:before="120" w:after="120"/>
              <w:ind w:right="46"/>
              <w:jc w:val="center"/>
              <w:rPr>
                <w:rFonts w:cs="Arial"/>
                <w:sz w:val="18"/>
                <w:szCs w:val="18"/>
                <w:lang w:eastAsia="en-US"/>
              </w:rPr>
            </w:pPr>
            <w:r w:rsidRPr="008B5BCF">
              <w:rPr>
                <w:rFonts w:cs="Arial"/>
                <w:sz w:val="18"/>
                <w:szCs w:val="18"/>
                <w:lang w:eastAsia="en-US"/>
              </w:rPr>
              <w:t>Hazard Ratio (95% CI)</w:t>
            </w:r>
            <w:r w:rsidRPr="008B5BCF">
              <w:rPr>
                <w:rFonts w:cs="Arial"/>
                <w:sz w:val="18"/>
                <w:szCs w:val="18"/>
                <w:lang w:eastAsia="en-US"/>
              </w:rPr>
              <w:br/>
              <w:t xml:space="preserve">p-value </w:t>
            </w:r>
          </w:p>
        </w:tc>
      </w:tr>
      <w:tr w:rsidR="009454E4" w:rsidRPr="009454E4" w14:paraId="6BE06F4A" w14:textId="77777777" w:rsidTr="00E92041">
        <w:trPr>
          <w:cantSplit/>
          <w:trHeight w:val="531"/>
        </w:trPr>
        <w:tc>
          <w:tcPr>
            <w:tcW w:w="2340" w:type="dxa"/>
            <w:shd w:val="clear" w:color="auto" w:fill="auto"/>
            <w:vAlign w:val="center"/>
          </w:tcPr>
          <w:p w14:paraId="7B513B70" w14:textId="77777777" w:rsidR="009454E4" w:rsidRPr="008B5BCF" w:rsidRDefault="009A6D73" w:rsidP="009A6D73">
            <w:pPr>
              <w:widowControl w:val="0"/>
              <w:autoSpaceDE w:val="0"/>
              <w:autoSpaceDN w:val="0"/>
              <w:adjustRightInd w:val="0"/>
              <w:spacing w:before="120"/>
              <w:ind w:right="46"/>
              <w:rPr>
                <w:rFonts w:eastAsia="PMingLiU" w:cs="Arial"/>
                <w:b/>
                <w:color w:val="000000"/>
                <w:sz w:val="18"/>
                <w:szCs w:val="18"/>
                <w:lang w:eastAsia="zh-TW"/>
              </w:rPr>
            </w:pPr>
            <w:r w:rsidRPr="008B5BCF">
              <w:rPr>
                <w:rFonts w:eastAsia="PMingLiU" w:cs="Arial"/>
                <w:b/>
                <w:color w:val="000000"/>
                <w:sz w:val="18"/>
                <w:szCs w:val="18"/>
                <w:lang w:eastAsia="zh-TW"/>
              </w:rPr>
              <w:t>Stroke and Non-CNS Systemic E</w:t>
            </w:r>
            <w:r w:rsidR="009454E4" w:rsidRPr="008B5BCF">
              <w:rPr>
                <w:rFonts w:eastAsia="PMingLiU" w:cs="Arial"/>
                <w:b/>
                <w:color w:val="000000"/>
                <w:sz w:val="18"/>
                <w:szCs w:val="18"/>
                <w:lang w:eastAsia="zh-TW"/>
              </w:rPr>
              <w:t>mbolism</w:t>
            </w:r>
          </w:p>
        </w:tc>
        <w:tc>
          <w:tcPr>
            <w:tcW w:w="2580" w:type="dxa"/>
            <w:shd w:val="clear" w:color="auto" w:fill="auto"/>
            <w:vAlign w:val="center"/>
          </w:tcPr>
          <w:p w14:paraId="76623C75"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189</w:t>
            </w:r>
            <w:r w:rsidRPr="008B5BCF">
              <w:rPr>
                <w:rFonts w:cs="Arial"/>
                <w:sz w:val="18"/>
                <w:szCs w:val="18"/>
                <w:lang w:eastAsia="en-US"/>
              </w:rPr>
              <w:br/>
              <w:t>(1.70)</w:t>
            </w:r>
          </w:p>
        </w:tc>
        <w:tc>
          <w:tcPr>
            <w:tcW w:w="2220" w:type="dxa"/>
            <w:shd w:val="clear" w:color="auto" w:fill="auto"/>
            <w:vAlign w:val="center"/>
          </w:tcPr>
          <w:p w14:paraId="31B64F9D"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243</w:t>
            </w:r>
            <w:r w:rsidRPr="008B5BCF">
              <w:rPr>
                <w:rFonts w:cs="Arial"/>
                <w:sz w:val="18"/>
                <w:szCs w:val="18"/>
                <w:lang w:eastAsia="en-US"/>
              </w:rPr>
              <w:br/>
              <w:t>(2.15)</w:t>
            </w:r>
          </w:p>
        </w:tc>
        <w:tc>
          <w:tcPr>
            <w:tcW w:w="2040" w:type="dxa"/>
            <w:shd w:val="clear" w:color="auto" w:fill="auto"/>
            <w:vAlign w:val="center"/>
          </w:tcPr>
          <w:p w14:paraId="3A18FE4C"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0.79 (0.65-0.95)</w:t>
            </w:r>
            <w:r w:rsidRPr="008B5BCF">
              <w:rPr>
                <w:rFonts w:cs="Arial"/>
                <w:sz w:val="18"/>
                <w:szCs w:val="18"/>
                <w:lang w:eastAsia="en-US"/>
              </w:rPr>
              <w:br/>
              <w:t>0.015*</w:t>
            </w:r>
          </w:p>
        </w:tc>
      </w:tr>
      <w:tr w:rsidR="009454E4" w:rsidRPr="009454E4" w14:paraId="17C01CD8" w14:textId="77777777" w:rsidTr="00E92041">
        <w:trPr>
          <w:cantSplit/>
          <w:trHeight w:val="705"/>
        </w:trPr>
        <w:tc>
          <w:tcPr>
            <w:tcW w:w="2340" w:type="dxa"/>
            <w:shd w:val="clear" w:color="auto" w:fill="auto"/>
            <w:vAlign w:val="center"/>
          </w:tcPr>
          <w:p w14:paraId="1C1A673E" w14:textId="77777777" w:rsidR="009454E4" w:rsidRPr="008B5BCF" w:rsidRDefault="009454E4" w:rsidP="009A6D73">
            <w:pPr>
              <w:widowControl w:val="0"/>
              <w:autoSpaceDE w:val="0"/>
              <w:autoSpaceDN w:val="0"/>
              <w:adjustRightInd w:val="0"/>
              <w:spacing w:before="120"/>
              <w:ind w:right="46"/>
              <w:rPr>
                <w:rFonts w:eastAsia="PMingLiU" w:cs="Arial"/>
                <w:b/>
                <w:color w:val="000000"/>
                <w:sz w:val="18"/>
                <w:szCs w:val="18"/>
                <w:lang w:eastAsia="zh-TW"/>
              </w:rPr>
            </w:pPr>
            <w:r w:rsidRPr="008B5BCF">
              <w:rPr>
                <w:rFonts w:eastAsia="PMingLiU" w:cs="Arial"/>
                <w:b/>
                <w:color w:val="000000"/>
                <w:sz w:val="18"/>
                <w:szCs w:val="18"/>
                <w:lang w:eastAsia="zh-TW"/>
              </w:rPr>
              <w:t>Stroke, Non-CNS Systemic embolism and Vascular Death</w:t>
            </w:r>
          </w:p>
        </w:tc>
        <w:tc>
          <w:tcPr>
            <w:tcW w:w="2580" w:type="dxa"/>
            <w:shd w:val="clear" w:color="auto" w:fill="auto"/>
            <w:vAlign w:val="center"/>
          </w:tcPr>
          <w:p w14:paraId="3BF764A7"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346</w:t>
            </w:r>
            <w:r w:rsidRPr="008B5BCF">
              <w:rPr>
                <w:rFonts w:cs="Arial"/>
                <w:sz w:val="18"/>
                <w:szCs w:val="18"/>
                <w:lang w:eastAsia="en-US"/>
              </w:rPr>
              <w:br/>
              <w:t>(3.11)</w:t>
            </w:r>
          </w:p>
        </w:tc>
        <w:tc>
          <w:tcPr>
            <w:tcW w:w="2220" w:type="dxa"/>
            <w:shd w:val="clear" w:color="auto" w:fill="auto"/>
            <w:vAlign w:val="center"/>
          </w:tcPr>
          <w:p w14:paraId="1CDD3E2D"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410</w:t>
            </w:r>
            <w:r w:rsidRPr="008B5BCF">
              <w:rPr>
                <w:rFonts w:cs="Arial"/>
                <w:sz w:val="18"/>
                <w:szCs w:val="18"/>
                <w:lang w:eastAsia="en-US"/>
              </w:rPr>
              <w:br/>
              <w:t>(3.63)</w:t>
            </w:r>
          </w:p>
        </w:tc>
        <w:tc>
          <w:tcPr>
            <w:tcW w:w="2040" w:type="dxa"/>
            <w:shd w:val="clear" w:color="auto" w:fill="auto"/>
            <w:vAlign w:val="center"/>
          </w:tcPr>
          <w:p w14:paraId="6EA70036"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0.86 (0.74-0.99)</w:t>
            </w:r>
            <w:r w:rsidRPr="008B5BCF">
              <w:rPr>
                <w:rFonts w:cs="Arial"/>
                <w:sz w:val="18"/>
                <w:szCs w:val="18"/>
                <w:lang w:eastAsia="en-US"/>
              </w:rPr>
              <w:br/>
              <w:t>0.034*</w:t>
            </w:r>
          </w:p>
        </w:tc>
      </w:tr>
      <w:tr w:rsidR="009454E4" w:rsidRPr="009454E4" w14:paraId="6E716BE3" w14:textId="77777777" w:rsidTr="00E92041">
        <w:trPr>
          <w:cantSplit/>
          <w:trHeight w:val="697"/>
        </w:trPr>
        <w:tc>
          <w:tcPr>
            <w:tcW w:w="2340" w:type="dxa"/>
            <w:shd w:val="clear" w:color="auto" w:fill="auto"/>
            <w:vAlign w:val="center"/>
          </w:tcPr>
          <w:p w14:paraId="401F3C72" w14:textId="77777777" w:rsidR="009454E4" w:rsidRPr="008B5BCF" w:rsidRDefault="009A6D73" w:rsidP="009A6D73">
            <w:pPr>
              <w:widowControl w:val="0"/>
              <w:autoSpaceDE w:val="0"/>
              <w:autoSpaceDN w:val="0"/>
              <w:adjustRightInd w:val="0"/>
              <w:spacing w:before="120"/>
              <w:ind w:right="46"/>
              <w:rPr>
                <w:rFonts w:eastAsia="PMingLiU" w:cs="Arial"/>
                <w:b/>
                <w:color w:val="000000"/>
                <w:sz w:val="18"/>
                <w:szCs w:val="18"/>
                <w:lang w:eastAsia="zh-TW"/>
              </w:rPr>
            </w:pPr>
            <w:r w:rsidRPr="008B5BCF">
              <w:rPr>
                <w:rFonts w:eastAsia="PMingLiU" w:cs="Arial"/>
                <w:b/>
                <w:color w:val="000000"/>
                <w:sz w:val="18"/>
                <w:szCs w:val="18"/>
                <w:lang w:eastAsia="zh-TW"/>
              </w:rPr>
              <w:t>Stroke, Non-CNS Systemic E</w:t>
            </w:r>
            <w:r w:rsidR="009454E4" w:rsidRPr="008B5BCF">
              <w:rPr>
                <w:rFonts w:eastAsia="PMingLiU" w:cs="Arial"/>
                <w:b/>
                <w:color w:val="000000"/>
                <w:sz w:val="18"/>
                <w:szCs w:val="18"/>
                <w:lang w:eastAsia="zh-TW"/>
              </w:rPr>
              <w:t>mbolism, Vascular Death and MI</w:t>
            </w:r>
          </w:p>
        </w:tc>
        <w:tc>
          <w:tcPr>
            <w:tcW w:w="2580" w:type="dxa"/>
            <w:shd w:val="clear" w:color="auto" w:fill="auto"/>
            <w:vAlign w:val="center"/>
          </w:tcPr>
          <w:p w14:paraId="095EC12D"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433</w:t>
            </w:r>
            <w:r w:rsidRPr="008B5BCF">
              <w:rPr>
                <w:rFonts w:cs="Arial"/>
                <w:sz w:val="18"/>
                <w:szCs w:val="18"/>
                <w:lang w:eastAsia="en-US"/>
              </w:rPr>
              <w:br/>
              <w:t>(3.91)</w:t>
            </w:r>
          </w:p>
        </w:tc>
        <w:tc>
          <w:tcPr>
            <w:tcW w:w="2220" w:type="dxa"/>
            <w:shd w:val="clear" w:color="auto" w:fill="auto"/>
            <w:vAlign w:val="center"/>
          </w:tcPr>
          <w:p w14:paraId="13259412"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519</w:t>
            </w:r>
            <w:r w:rsidRPr="008B5BCF">
              <w:rPr>
                <w:rFonts w:cs="Arial"/>
                <w:sz w:val="18"/>
                <w:szCs w:val="18"/>
                <w:lang w:eastAsia="en-US"/>
              </w:rPr>
              <w:br/>
              <w:t>(4.62)</w:t>
            </w:r>
          </w:p>
        </w:tc>
        <w:tc>
          <w:tcPr>
            <w:tcW w:w="2040" w:type="dxa"/>
            <w:shd w:val="clear" w:color="auto" w:fill="auto"/>
            <w:vAlign w:val="center"/>
          </w:tcPr>
          <w:p w14:paraId="23AE3D46"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0.85 (0.74-0.96)</w:t>
            </w:r>
            <w:r w:rsidRPr="008B5BCF">
              <w:rPr>
                <w:rFonts w:cs="Arial"/>
                <w:sz w:val="18"/>
                <w:szCs w:val="18"/>
                <w:lang w:eastAsia="en-US"/>
              </w:rPr>
              <w:br/>
              <w:t>0.010*</w:t>
            </w:r>
          </w:p>
        </w:tc>
      </w:tr>
      <w:tr w:rsidR="009454E4" w:rsidRPr="009454E4" w14:paraId="4479EABD" w14:textId="77777777" w:rsidTr="00E92041">
        <w:trPr>
          <w:cantSplit/>
          <w:trHeight w:val="537"/>
        </w:trPr>
        <w:tc>
          <w:tcPr>
            <w:tcW w:w="2340" w:type="dxa"/>
            <w:shd w:val="clear" w:color="auto" w:fill="auto"/>
            <w:vAlign w:val="center"/>
          </w:tcPr>
          <w:p w14:paraId="1044CBEB" w14:textId="77777777" w:rsidR="009454E4" w:rsidRPr="008B5BCF" w:rsidRDefault="009454E4" w:rsidP="009A6D73">
            <w:pPr>
              <w:widowControl w:val="0"/>
              <w:autoSpaceDE w:val="0"/>
              <w:autoSpaceDN w:val="0"/>
              <w:adjustRightInd w:val="0"/>
              <w:spacing w:before="120"/>
              <w:ind w:right="46"/>
              <w:rPr>
                <w:rFonts w:eastAsia="PMingLiU" w:cs="Arial"/>
                <w:b/>
                <w:color w:val="000000"/>
                <w:sz w:val="18"/>
                <w:szCs w:val="18"/>
                <w:lang w:eastAsia="zh-TW"/>
              </w:rPr>
            </w:pPr>
            <w:r w:rsidRPr="008B5BCF">
              <w:rPr>
                <w:rFonts w:eastAsia="PMingLiU" w:cs="Arial"/>
                <w:b/>
                <w:color w:val="000000"/>
                <w:sz w:val="18"/>
                <w:szCs w:val="18"/>
                <w:lang w:eastAsia="zh-TW"/>
              </w:rPr>
              <w:t xml:space="preserve">Stroke </w:t>
            </w:r>
          </w:p>
        </w:tc>
        <w:tc>
          <w:tcPr>
            <w:tcW w:w="2580" w:type="dxa"/>
            <w:shd w:val="clear" w:color="auto" w:fill="auto"/>
            <w:vAlign w:val="center"/>
          </w:tcPr>
          <w:p w14:paraId="3A4FB1F1"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184</w:t>
            </w:r>
            <w:r w:rsidRPr="008B5BCF">
              <w:rPr>
                <w:rFonts w:cs="Arial"/>
                <w:sz w:val="18"/>
                <w:szCs w:val="18"/>
                <w:lang w:eastAsia="en-US"/>
              </w:rPr>
              <w:br/>
              <w:t>(1.65)</w:t>
            </w:r>
          </w:p>
        </w:tc>
        <w:tc>
          <w:tcPr>
            <w:tcW w:w="2220" w:type="dxa"/>
            <w:shd w:val="clear" w:color="auto" w:fill="auto"/>
            <w:vAlign w:val="center"/>
          </w:tcPr>
          <w:p w14:paraId="1E6A2D8A"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221</w:t>
            </w:r>
            <w:r w:rsidRPr="008B5BCF">
              <w:rPr>
                <w:rFonts w:cs="Arial"/>
                <w:sz w:val="18"/>
                <w:szCs w:val="18"/>
                <w:lang w:eastAsia="en-US"/>
              </w:rPr>
              <w:br/>
              <w:t>(1.96)</w:t>
            </w:r>
          </w:p>
        </w:tc>
        <w:tc>
          <w:tcPr>
            <w:tcW w:w="2040" w:type="dxa"/>
            <w:shd w:val="clear" w:color="auto" w:fill="auto"/>
            <w:vAlign w:val="center"/>
          </w:tcPr>
          <w:p w14:paraId="6A61C971" w14:textId="616CE8B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 xml:space="preserve">0.85 (0.70 </w:t>
            </w:r>
            <w:r w:rsidR="000E55D4">
              <w:rPr>
                <w:rFonts w:cs="Arial"/>
                <w:sz w:val="18"/>
                <w:szCs w:val="18"/>
                <w:lang w:eastAsia="en-US"/>
              </w:rPr>
              <w:t>–</w:t>
            </w:r>
            <w:r w:rsidRPr="008B5BCF">
              <w:rPr>
                <w:rFonts w:cs="Arial"/>
                <w:sz w:val="18"/>
                <w:szCs w:val="18"/>
                <w:lang w:eastAsia="en-US"/>
              </w:rPr>
              <w:t xml:space="preserve"> 1.03)</w:t>
            </w:r>
            <w:r w:rsidRPr="008B5BCF">
              <w:rPr>
                <w:rFonts w:cs="Arial"/>
                <w:sz w:val="18"/>
                <w:szCs w:val="18"/>
                <w:lang w:eastAsia="en-US"/>
              </w:rPr>
              <w:br/>
              <w:t>0.092</w:t>
            </w:r>
          </w:p>
        </w:tc>
      </w:tr>
      <w:tr w:rsidR="009454E4" w:rsidRPr="009454E4" w14:paraId="6C187FEE" w14:textId="77777777" w:rsidTr="00E92041">
        <w:trPr>
          <w:cantSplit/>
          <w:trHeight w:val="531"/>
        </w:trPr>
        <w:tc>
          <w:tcPr>
            <w:tcW w:w="2340" w:type="dxa"/>
            <w:shd w:val="clear" w:color="auto" w:fill="auto"/>
            <w:vAlign w:val="center"/>
          </w:tcPr>
          <w:p w14:paraId="142F23B6" w14:textId="77777777" w:rsidR="009454E4" w:rsidRPr="008B5BCF" w:rsidRDefault="009454E4" w:rsidP="009A6D73">
            <w:pPr>
              <w:widowControl w:val="0"/>
              <w:autoSpaceDE w:val="0"/>
              <w:autoSpaceDN w:val="0"/>
              <w:adjustRightInd w:val="0"/>
              <w:spacing w:before="120"/>
              <w:ind w:right="46"/>
              <w:rPr>
                <w:rFonts w:eastAsia="PMingLiU" w:cs="Arial"/>
                <w:b/>
                <w:color w:val="000000"/>
                <w:sz w:val="18"/>
                <w:szCs w:val="18"/>
                <w:lang w:eastAsia="zh-TW"/>
              </w:rPr>
            </w:pPr>
            <w:r w:rsidRPr="008B5BCF">
              <w:rPr>
                <w:rFonts w:eastAsia="PMingLiU" w:cs="Arial"/>
                <w:b/>
                <w:color w:val="000000"/>
                <w:sz w:val="18"/>
                <w:szCs w:val="18"/>
                <w:lang w:eastAsia="zh-TW"/>
              </w:rPr>
              <w:t xml:space="preserve">Non-CNS Systemic </w:t>
            </w:r>
            <w:r w:rsidRPr="008B5BCF">
              <w:rPr>
                <w:rFonts w:eastAsia="PMingLiU" w:cs="Arial"/>
                <w:b/>
                <w:color w:val="000000"/>
                <w:sz w:val="18"/>
                <w:szCs w:val="18"/>
                <w:lang w:eastAsia="zh-TW"/>
              </w:rPr>
              <w:br/>
              <w:t xml:space="preserve">Embolism </w:t>
            </w:r>
          </w:p>
        </w:tc>
        <w:tc>
          <w:tcPr>
            <w:tcW w:w="2580" w:type="dxa"/>
            <w:shd w:val="clear" w:color="auto" w:fill="auto"/>
            <w:vAlign w:val="center"/>
          </w:tcPr>
          <w:p w14:paraId="6F79C8CB"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5</w:t>
            </w:r>
            <w:r w:rsidRPr="008B5BCF">
              <w:rPr>
                <w:rFonts w:cs="Arial"/>
                <w:sz w:val="18"/>
                <w:szCs w:val="18"/>
                <w:lang w:eastAsia="en-US"/>
              </w:rPr>
              <w:br/>
              <w:t>(0.04)</w:t>
            </w:r>
          </w:p>
        </w:tc>
        <w:tc>
          <w:tcPr>
            <w:tcW w:w="2220" w:type="dxa"/>
            <w:shd w:val="clear" w:color="auto" w:fill="auto"/>
            <w:vAlign w:val="center"/>
          </w:tcPr>
          <w:p w14:paraId="2E18FF1F"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22</w:t>
            </w:r>
            <w:r w:rsidRPr="008B5BCF">
              <w:rPr>
                <w:rFonts w:cs="Arial"/>
                <w:sz w:val="18"/>
                <w:szCs w:val="18"/>
                <w:lang w:eastAsia="en-US"/>
              </w:rPr>
              <w:br/>
              <w:t>(0.19)</w:t>
            </w:r>
          </w:p>
        </w:tc>
        <w:tc>
          <w:tcPr>
            <w:tcW w:w="2040" w:type="dxa"/>
            <w:shd w:val="clear" w:color="auto" w:fill="auto"/>
            <w:vAlign w:val="center"/>
          </w:tcPr>
          <w:p w14:paraId="100006FB" w14:textId="2A289CA2"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 xml:space="preserve">0.23 (0.09 </w:t>
            </w:r>
            <w:r w:rsidR="000E55D4">
              <w:rPr>
                <w:rFonts w:cs="Arial"/>
                <w:sz w:val="18"/>
                <w:szCs w:val="18"/>
                <w:lang w:eastAsia="en-US"/>
              </w:rPr>
              <w:t>–</w:t>
            </w:r>
            <w:r w:rsidRPr="008B5BCF">
              <w:rPr>
                <w:rFonts w:cs="Arial"/>
                <w:sz w:val="18"/>
                <w:szCs w:val="18"/>
                <w:lang w:eastAsia="en-US"/>
              </w:rPr>
              <w:t xml:space="preserve"> 0.61)</w:t>
            </w:r>
            <w:r w:rsidRPr="008B5BCF">
              <w:rPr>
                <w:rFonts w:cs="Arial"/>
                <w:sz w:val="18"/>
                <w:szCs w:val="18"/>
                <w:lang w:eastAsia="en-US"/>
              </w:rPr>
              <w:br/>
              <w:t>0.003**</w:t>
            </w:r>
          </w:p>
        </w:tc>
      </w:tr>
      <w:tr w:rsidR="009454E4" w:rsidRPr="009454E4" w14:paraId="42748D5F" w14:textId="77777777" w:rsidTr="00E92041">
        <w:trPr>
          <w:cantSplit/>
          <w:trHeight w:val="531"/>
        </w:trPr>
        <w:tc>
          <w:tcPr>
            <w:tcW w:w="2340" w:type="dxa"/>
            <w:shd w:val="clear" w:color="auto" w:fill="auto"/>
            <w:vAlign w:val="center"/>
          </w:tcPr>
          <w:p w14:paraId="02F0C8DF" w14:textId="77777777" w:rsidR="009454E4" w:rsidRPr="008B5BCF" w:rsidRDefault="009454E4" w:rsidP="009A6D73">
            <w:pPr>
              <w:widowControl w:val="0"/>
              <w:autoSpaceDE w:val="0"/>
              <w:autoSpaceDN w:val="0"/>
              <w:adjustRightInd w:val="0"/>
              <w:spacing w:before="120"/>
              <w:ind w:right="46"/>
              <w:rPr>
                <w:rFonts w:eastAsia="PMingLiU" w:cs="Arial"/>
                <w:b/>
                <w:color w:val="000000"/>
                <w:sz w:val="18"/>
                <w:szCs w:val="18"/>
                <w:lang w:eastAsia="zh-TW"/>
              </w:rPr>
            </w:pPr>
            <w:r w:rsidRPr="008B5BCF">
              <w:rPr>
                <w:rFonts w:eastAsia="PMingLiU" w:cs="Arial"/>
                <w:b/>
                <w:color w:val="000000"/>
                <w:sz w:val="18"/>
                <w:szCs w:val="18"/>
                <w:lang w:eastAsia="zh-TW"/>
              </w:rPr>
              <w:t>All-cause Mortality</w:t>
            </w:r>
          </w:p>
        </w:tc>
        <w:tc>
          <w:tcPr>
            <w:tcW w:w="2580" w:type="dxa"/>
            <w:shd w:val="clear" w:color="auto" w:fill="auto"/>
            <w:vAlign w:val="center"/>
          </w:tcPr>
          <w:p w14:paraId="6A56CCC7"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208 (1.87)</w:t>
            </w:r>
          </w:p>
        </w:tc>
        <w:tc>
          <w:tcPr>
            <w:tcW w:w="2220" w:type="dxa"/>
            <w:shd w:val="clear" w:color="auto" w:fill="auto"/>
            <w:vAlign w:val="center"/>
          </w:tcPr>
          <w:p w14:paraId="1EFAF039" w14:textId="77777777"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250 (2.21)</w:t>
            </w:r>
          </w:p>
        </w:tc>
        <w:tc>
          <w:tcPr>
            <w:tcW w:w="2040" w:type="dxa"/>
            <w:shd w:val="clear" w:color="auto" w:fill="auto"/>
            <w:vAlign w:val="center"/>
          </w:tcPr>
          <w:p w14:paraId="1BDE83D7" w14:textId="730DB8C2" w:rsidR="009454E4" w:rsidRPr="008B5BCF" w:rsidRDefault="009454E4" w:rsidP="009454E4">
            <w:pPr>
              <w:spacing w:before="120" w:after="120"/>
              <w:ind w:right="46"/>
              <w:jc w:val="center"/>
              <w:rPr>
                <w:rFonts w:cs="Arial"/>
                <w:sz w:val="18"/>
                <w:szCs w:val="18"/>
                <w:lang w:eastAsia="en-US"/>
              </w:rPr>
            </w:pPr>
            <w:r w:rsidRPr="008B5BCF">
              <w:rPr>
                <w:rFonts w:cs="Arial"/>
                <w:sz w:val="18"/>
                <w:szCs w:val="18"/>
                <w:lang w:eastAsia="en-US"/>
              </w:rPr>
              <w:t xml:space="preserve">0.85 (0.70 </w:t>
            </w:r>
            <w:r w:rsidR="000E55D4">
              <w:rPr>
                <w:rFonts w:cs="Arial"/>
                <w:sz w:val="18"/>
                <w:szCs w:val="18"/>
                <w:lang w:eastAsia="en-US"/>
              </w:rPr>
              <w:t>–</w:t>
            </w:r>
            <w:r w:rsidRPr="008B5BCF">
              <w:rPr>
                <w:rFonts w:cs="Arial"/>
                <w:sz w:val="18"/>
                <w:szCs w:val="18"/>
                <w:lang w:eastAsia="en-US"/>
              </w:rPr>
              <w:t xml:space="preserve"> 1.02)</w:t>
            </w:r>
            <w:r w:rsidRPr="008B5BCF">
              <w:rPr>
                <w:rFonts w:cs="Arial"/>
                <w:sz w:val="18"/>
                <w:szCs w:val="18"/>
                <w:lang w:eastAsia="en-US"/>
              </w:rPr>
              <w:br/>
              <w:t>0.073</w:t>
            </w:r>
            <w:r w:rsidRPr="008B5BCF">
              <w:rPr>
                <w:rFonts w:cs="Arial"/>
                <w:sz w:val="18"/>
                <w:szCs w:val="18"/>
                <w:vertAlign w:val="superscript"/>
                <w:lang w:eastAsia="en-US"/>
              </w:rPr>
              <w:t>a</w:t>
            </w:r>
          </w:p>
        </w:tc>
      </w:tr>
    </w:tbl>
    <w:p w14:paraId="0C604D2E" w14:textId="77777777" w:rsidR="009454E4" w:rsidRPr="009454E4" w:rsidRDefault="009454E4" w:rsidP="009454E4">
      <w:pPr>
        <w:ind w:left="284" w:right="46" w:hanging="284"/>
        <w:rPr>
          <w:rFonts w:eastAsia="PMingLiU" w:cs="Arial"/>
          <w:bCs/>
          <w:lang w:eastAsia="zh-TW"/>
        </w:rPr>
      </w:pPr>
      <w:r w:rsidRPr="009454E4">
        <w:rPr>
          <w:rFonts w:eastAsia="PMingLiU" w:cs="Arial"/>
          <w:b/>
          <w:lang w:eastAsia="zh-TW"/>
        </w:rPr>
        <w:t>^</w:t>
      </w:r>
      <w:r w:rsidRPr="009454E4">
        <w:rPr>
          <w:rFonts w:eastAsia="PMingLiU" w:cs="Arial"/>
          <w:bCs/>
          <w:lang w:eastAsia="zh-TW"/>
        </w:rPr>
        <w:t xml:space="preserve">   Safety population, on treatment = All ITT subjects who take at least 1 do</w:t>
      </w:r>
      <w:r w:rsidR="00FE6E8F">
        <w:rPr>
          <w:rFonts w:eastAsia="PMingLiU" w:cs="Arial"/>
          <w:bCs/>
          <w:lang w:eastAsia="zh-TW"/>
        </w:rPr>
        <w:t xml:space="preserve">se of study medication after </w:t>
      </w:r>
      <w:r w:rsidRPr="009454E4">
        <w:rPr>
          <w:rFonts w:eastAsia="PMingLiU" w:cs="Arial"/>
          <w:bCs/>
          <w:lang w:eastAsia="zh-TW"/>
        </w:rPr>
        <w:t>randomisation during double-blind treatment period or within 2 days after discontinuation (site 042012 was excluded for efficacy analysis)</w:t>
      </w:r>
    </w:p>
    <w:p w14:paraId="657DA51E" w14:textId="77777777" w:rsidR="009454E4" w:rsidRPr="009454E4" w:rsidRDefault="009454E4" w:rsidP="009454E4">
      <w:pPr>
        <w:ind w:left="284" w:right="46" w:hanging="284"/>
        <w:rPr>
          <w:rFonts w:eastAsia="PMingLiU" w:cs="Arial"/>
          <w:b/>
          <w:lang w:eastAsia="zh-TW"/>
        </w:rPr>
      </w:pPr>
      <w:r w:rsidRPr="009454E4">
        <w:rPr>
          <w:rFonts w:eastAsia="PMingLiU" w:cs="Arial"/>
          <w:b/>
          <w:lang w:eastAsia="zh-TW"/>
        </w:rPr>
        <w:t xml:space="preserve">#   </w:t>
      </w:r>
      <w:r w:rsidRPr="009454E4">
        <w:rPr>
          <w:rFonts w:eastAsia="PMingLiU" w:cs="Arial"/>
          <w:bCs/>
          <w:lang w:eastAsia="zh-TW"/>
        </w:rPr>
        <w:t>Number of events per 100 patient years of follow up</w:t>
      </w:r>
    </w:p>
    <w:p w14:paraId="20344DB6" w14:textId="77777777" w:rsidR="009454E4" w:rsidRPr="009454E4" w:rsidRDefault="009454E4" w:rsidP="009454E4">
      <w:pPr>
        <w:ind w:left="284" w:right="46" w:hanging="284"/>
        <w:rPr>
          <w:rFonts w:eastAsia="PMingLiU" w:cs="Arial"/>
          <w:bCs/>
          <w:lang w:eastAsia="zh-TW"/>
        </w:rPr>
      </w:pPr>
      <w:r w:rsidRPr="009454E4">
        <w:rPr>
          <w:rFonts w:eastAsia="SimSun" w:cs="Arial"/>
          <w:lang w:eastAsia="zh-CN" w:bidi="he-IL"/>
        </w:rPr>
        <w:t>*</w:t>
      </w:r>
      <w:r w:rsidRPr="009454E4">
        <w:rPr>
          <w:rFonts w:eastAsia="PMingLiU" w:cs="Arial"/>
          <w:b/>
          <w:lang w:eastAsia="zh-TW"/>
        </w:rPr>
        <w:t xml:space="preserve">   </w:t>
      </w:r>
      <w:r w:rsidRPr="009454E4">
        <w:rPr>
          <w:rFonts w:eastAsia="PMingLiU" w:cs="Arial"/>
          <w:bCs/>
          <w:lang w:eastAsia="zh-TW"/>
        </w:rPr>
        <w:t>Statistically significant at 0.025 (one-sided) for non-inferiority and 0.05 (two-sided) for superiority in favour of rivaroxaban</w:t>
      </w:r>
    </w:p>
    <w:p w14:paraId="1196027B" w14:textId="77777777" w:rsidR="009454E4" w:rsidRPr="009454E4" w:rsidRDefault="009454E4" w:rsidP="009454E4">
      <w:pPr>
        <w:ind w:left="284" w:right="46" w:hanging="284"/>
        <w:rPr>
          <w:rFonts w:eastAsia="SimSun" w:cs="Arial"/>
          <w:lang w:eastAsia="zh-CN" w:bidi="he-IL"/>
        </w:rPr>
      </w:pPr>
      <w:r w:rsidRPr="009454E4">
        <w:rPr>
          <w:rFonts w:eastAsia="SimSun" w:cs="Arial"/>
          <w:lang w:eastAsia="zh-CN" w:bidi="he-IL"/>
        </w:rPr>
        <w:t>**  Statistically significant at nominal alpha = 0.05 (two-sided)</w:t>
      </w:r>
    </w:p>
    <w:p w14:paraId="42E9E779" w14:textId="77777777" w:rsidR="009454E4" w:rsidRPr="009454E4" w:rsidRDefault="009454E4" w:rsidP="009454E4">
      <w:pPr>
        <w:autoSpaceDE w:val="0"/>
        <w:autoSpaceDN w:val="0"/>
        <w:adjustRightInd w:val="0"/>
        <w:spacing w:after="120"/>
        <w:ind w:left="284" w:right="46" w:hanging="284"/>
        <w:rPr>
          <w:rFonts w:eastAsia="SimSun" w:cs="Arial"/>
          <w:lang w:eastAsia="zh-CN" w:bidi="he-IL"/>
        </w:rPr>
      </w:pPr>
      <w:r w:rsidRPr="009454E4">
        <w:rPr>
          <w:rFonts w:eastAsia="SimSun" w:cs="Arial"/>
          <w:lang w:eastAsia="zh-CN" w:bidi="he-IL"/>
        </w:rPr>
        <w:t>a</w:t>
      </w:r>
      <w:r w:rsidRPr="009454E4">
        <w:rPr>
          <w:rFonts w:eastAsia="SimSun" w:cs="Arial"/>
          <w:lang w:eastAsia="zh-CN" w:bidi="he-IL"/>
        </w:rPr>
        <w:tab/>
      </w:r>
      <w:r w:rsidRPr="009454E4">
        <w:rPr>
          <w:rFonts w:cs="Arial"/>
          <w:color w:val="000000"/>
          <w:lang w:eastAsia="en-US"/>
        </w:rPr>
        <w:t>p value (two-sided) for superiority of rivaroxaban versus warfarin in hazard ratio</w:t>
      </w:r>
    </w:p>
    <w:p w14:paraId="2261EF0A" w14:textId="77777777" w:rsidR="008B5BCF" w:rsidRPr="003554CC" w:rsidRDefault="008B5BCF" w:rsidP="00476145">
      <w:pPr>
        <w:pStyle w:val="Caption"/>
        <w:rPr>
          <w:b w:val="0"/>
        </w:rPr>
      </w:pPr>
      <w:bookmarkStart w:id="42" w:name="_Ref501396693"/>
      <w:bookmarkStart w:id="43" w:name="_Ref285192620"/>
    </w:p>
    <w:p w14:paraId="221C238F" w14:textId="73ADE9ED" w:rsidR="009454E4" w:rsidRPr="00F8697B" w:rsidRDefault="00476145" w:rsidP="00476145">
      <w:pPr>
        <w:pStyle w:val="Caption"/>
        <w:rPr>
          <w:lang w:eastAsia="en-US"/>
        </w:rPr>
      </w:pPr>
      <w:bookmarkStart w:id="44" w:name="_Ref505604933"/>
      <w:r>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14</w:t>
      </w:r>
      <w:r w:rsidR="005D4DAE">
        <w:rPr>
          <w:noProof/>
        </w:rPr>
        <w:fldChar w:fldCharType="end"/>
      </w:r>
      <w:bookmarkEnd w:id="42"/>
      <w:bookmarkEnd w:id="44"/>
      <w:r>
        <w:t xml:space="preserve">: </w:t>
      </w:r>
      <w:r w:rsidRPr="00F8697B">
        <w:rPr>
          <w:lang w:eastAsia="en-US"/>
        </w:rPr>
        <w:t>Safety results from Phase III ROCKET AF (Stroke Prevention in AF)</w:t>
      </w:r>
      <w:bookmarkEnd w:id="4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460"/>
        <w:gridCol w:w="2220"/>
        <w:gridCol w:w="2374"/>
      </w:tblGrid>
      <w:tr w:rsidR="009454E4" w:rsidRPr="009454E4" w14:paraId="4EBA59D5" w14:textId="77777777" w:rsidTr="00A21F84">
        <w:trPr>
          <w:cantSplit/>
          <w:trHeight w:val="455"/>
          <w:tblHeader/>
        </w:trPr>
        <w:tc>
          <w:tcPr>
            <w:tcW w:w="2160" w:type="dxa"/>
            <w:shd w:val="clear" w:color="auto" w:fill="D9D9D9" w:themeFill="background1" w:themeFillShade="D9"/>
            <w:vAlign w:val="center"/>
          </w:tcPr>
          <w:p w14:paraId="2C8CDF05"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t>Study Population</w:t>
            </w:r>
          </w:p>
        </w:tc>
        <w:tc>
          <w:tcPr>
            <w:tcW w:w="7054" w:type="dxa"/>
            <w:gridSpan w:val="3"/>
            <w:shd w:val="clear" w:color="auto" w:fill="D9D9D9" w:themeFill="background1" w:themeFillShade="D9"/>
            <w:vAlign w:val="center"/>
          </w:tcPr>
          <w:p w14:paraId="335493E4" w14:textId="77777777" w:rsidR="009454E4" w:rsidRPr="008B5BCF" w:rsidRDefault="009454E4" w:rsidP="0080392D">
            <w:pPr>
              <w:keepNext/>
              <w:spacing w:before="60" w:after="60"/>
              <w:ind w:right="46"/>
              <w:jc w:val="center"/>
              <w:rPr>
                <w:rFonts w:cs="Arial"/>
                <w:b/>
                <w:sz w:val="18"/>
                <w:szCs w:val="18"/>
                <w:lang w:eastAsia="en-US"/>
              </w:rPr>
            </w:pPr>
            <w:r w:rsidRPr="008B5BCF">
              <w:rPr>
                <w:rFonts w:cs="Arial"/>
                <w:b/>
                <w:sz w:val="18"/>
                <w:szCs w:val="18"/>
                <w:lang w:eastAsia="en-US"/>
              </w:rPr>
              <w:t>Patients with non-valvular atrial fibrillation (AF)</w:t>
            </w:r>
            <w:r w:rsidRPr="008B5BCF">
              <w:rPr>
                <w:rFonts w:eastAsia="PMingLiU" w:cs="Arial"/>
                <w:sz w:val="18"/>
                <w:szCs w:val="18"/>
                <w:lang w:eastAsia="zh-TW"/>
              </w:rPr>
              <w:t xml:space="preserve"> ^</w:t>
            </w:r>
          </w:p>
        </w:tc>
      </w:tr>
      <w:tr w:rsidR="009454E4" w:rsidRPr="009454E4" w14:paraId="769BAAF6" w14:textId="77777777" w:rsidTr="00A21F84">
        <w:trPr>
          <w:cantSplit/>
          <w:tblHeader/>
        </w:trPr>
        <w:tc>
          <w:tcPr>
            <w:tcW w:w="2160" w:type="dxa"/>
            <w:shd w:val="clear" w:color="auto" w:fill="D9D9D9" w:themeFill="background1" w:themeFillShade="D9"/>
            <w:vAlign w:val="center"/>
          </w:tcPr>
          <w:p w14:paraId="5E152F92"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t xml:space="preserve">Treatment Dosage </w:t>
            </w:r>
          </w:p>
        </w:tc>
        <w:tc>
          <w:tcPr>
            <w:tcW w:w="2460" w:type="dxa"/>
            <w:shd w:val="clear" w:color="auto" w:fill="D9D9D9" w:themeFill="background1" w:themeFillShade="D9"/>
            <w:vAlign w:val="center"/>
          </w:tcPr>
          <w:p w14:paraId="6DCEE328" w14:textId="77777777" w:rsidR="009454E4" w:rsidRPr="008B5BCF" w:rsidRDefault="009454E4" w:rsidP="009454E4">
            <w:pPr>
              <w:keepNext/>
              <w:spacing w:before="60" w:after="60"/>
              <w:ind w:right="46"/>
              <w:jc w:val="center"/>
              <w:rPr>
                <w:rFonts w:cs="Arial"/>
                <w:sz w:val="18"/>
                <w:szCs w:val="18"/>
                <w:lang w:eastAsia="en-US"/>
              </w:rPr>
            </w:pPr>
            <w:r w:rsidRPr="008B5BCF">
              <w:rPr>
                <w:rFonts w:cs="Arial"/>
                <w:sz w:val="18"/>
                <w:szCs w:val="18"/>
                <w:lang w:eastAsia="en-US"/>
              </w:rPr>
              <w:t>Rivaroxaban</w:t>
            </w:r>
            <w:r w:rsidRPr="008B5BCF">
              <w:rPr>
                <w:rFonts w:cs="Arial"/>
                <w:sz w:val="18"/>
                <w:szCs w:val="18"/>
                <w:lang w:eastAsia="en-US"/>
              </w:rPr>
              <w:br/>
              <w:t xml:space="preserve">20 mg orally od </w:t>
            </w:r>
            <w:r w:rsidRPr="008B5BCF">
              <w:rPr>
                <w:rFonts w:cs="Arial"/>
                <w:sz w:val="18"/>
                <w:szCs w:val="18"/>
                <w:lang w:eastAsia="en-US"/>
              </w:rPr>
              <w:br/>
              <w:t>(15 mg orally od in patients with CrCl 30 to 49 mL/min)</w:t>
            </w:r>
          </w:p>
          <w:p w14:paraId="34ED5DAF" w14:textId="77777777" w:rsidR="009454E4" w:rsidRPr="008B5BCF" w:rsidRDefault="009454E4" w:rsidP="009454E4">
            <w:pPr>
              <w:keepNext/>
              <w:spacing w:before="60" w:after="60"/>
              <w:ind w:right="46"/>
              <w:jc w:val="center"/>
              <w:rPr>
                <w:rFonts w:cs="Arial"/>
                <w:sz w:val="18"/>
                <w:szCs w:val="18"/>
                <w:lang w:eastAsia="en-US"/>
              </w:rPr>
            </w:pPr>
            <w:r w:rsidRPr="008B5BCF">
              <w:rPr>
                <w:rFonts w:cs="Arial"/>
                <w:sz w:val="18"/>
                <w:szCs w:val="18"/>
                <w:lang w:eastAsia="en-US"/>
              </w:rPr>
              <w:t>N=7111</w:t>
            </w:r>
            <w:r w:rsidRPr="008B5BCF">
              <w:rPr>
                <w:rFonts w:cs="Arial"/>
                <w:sz w:val="18"/>
                <w:szCs w:val="18"/>
                <w:lang w:eastAsia="en-US"/>
              </w:rPr>
              <w:br/>
              <w:t>Event Rate (100 Pt-yr)</w:t>
            </w:r>
            <w:r w:rsidRPr="008B5BCF">
              <w:rPr>
                <w:rFonts w:eastAsia="PMingLiU" w:cs="Arial"/>
                <w:b/>
                <w:sz w:val="18"/>
                <w:szCs w:val="18"/>
                <w:lang w:eastAsia="zh-TW"/>
              </w:rPr>
              <w:t xml:space="preserve"> </w:t>
            </w:r>
            <w:r w:rsidRPr="008B5BCF">
              <w:rPr>
                <w:rFonts w:eastAsia="PMingLiU" w:cs="Arial"/>
                <w:b/>
                <w:sz w:val="18"/>
                <w:szCs w:val="18"/>
                <w:vertAlign w:val="superscript"/>
                <w:lang w:eastAsia="zh-TW"/>
              </w:rPr>
              <w:t>#</w:t>
            </w:r>
          </w:p>
        </w:tc>
        <w:tc>
          <w:tcPr>
            <w:tcW w:w="2220" w:type="dxa"/>
            <w:shd w:val="clear" w:color="auto" w:fill="D9D9D9" w:themeFill="background1" w:themeFillShade="D9"/>
            <w:vAlign w:val="center"/>
          </w:tcPr>
          <w:p w14:paraId="112FC8A3" w14:textId="77777777" w:rsidR="009454E4" w:rsidRPr="008B5BCF" w:rsidRDefault="009454E4" w:rsidP="009454E4">
            <w:pPr>
              <w:keepNext/>
              <w:spacing w:before="60" w:after="60"/>
              <w:ind w:right="46"/>
              <w:jc w:val="center"/>
              <w:rPr>
                <w:rFonts w:cs="Arial"/>
                <w:sz w:val="18"/>
                <w:szCs w:val="18"/>
                <w:lang w:eastAsia="en-US"/>
              </w:rPr>
            </w:pPr>
            <w:r w:rsidRPr="008B5BCF">
              <w:rPr>
                <w:rFonts w:cs="Arial"/>
                <w:sz w:val="18"/>
                <w:szCs w:val="18"/>
                <w:lang w:eastAsia="en-US"/>
              </w:rPr>
              <w:t>Warfarin</w:t>
            </w:r>
            <w:r w:rsidRPr="008B5BCF">
              <w:rPr>
                <w:rFonts w:cs="Arial"/>
                <w:sz w:val="18"/>
                <w:szCs w:val="18"/>
                <w:lang w:eastAsia="en-US"/>
              </w:rPr>
              <w:br/>
              <w:t>titrated to a target INR of 2.5 (therapeutic range 2.0 to 3.0)</w:t>
            </w:r>
            <w:r w:rsidRPr="008B5BCF">
              <w:rPr>
                <w:rFonts w:cs="Arial"/>
                <w:sz w:val="18"/>
                <w:szCs w:val="18"/>
                <w:lang w:eastAsia="en-US"/>
              </w:rPr>
              <w:br/>
              <w:t>N=7125</w:t>
            </w:r>
            <w:r w:rsidRPr="008B5BCF">
              <w:rPr>
                <w:rFonts w:cs="Arial"/>
                <w:sz w:val="18"/>
                <w:szCs w:val="18"/>
                <w:lang w:eastAsia="en-US"/>
              </w:rPr>
              <w:br/>
              <w:t>Event Rate (100 Pt-yr)</w:t>
            </w:r>
            <w:r w:rsidRPr="008B5BCF">
              <w:rPr>
                <w:rFonts w:eastAsia="PMingLiU" w:cs="Arial"/>
                <w:b/>
                <w:sz w:val="18"/>
                <w:szCs w:val="18"/>
                <w:lang w:eastAsia="zh-TW"/>
              </w:rPr>
              <w:t xml:space="preserve"> </w:t>
            </w:r>
            <w:r w:rsidRPr="008B5BCF">
              <w:rPr>
                <w:rFonts w:eastAsia="PMingLiU" w:cs="Arial"/>
                <w:b/>
                <w:sz w:val="18"/>
                <w:szCs w:val="18"/>
                <w:vertAlign w:val="superscript"/>
                <w:lang w:eastAsia="zh-TW"/>
              </w:rPr>
              <w:t>#</w:t>
            </w:r>
          </w:p>
        </w:tc>
        <w:tc>
          <w:tcPr>
            <w:tcW w:w="2374" w:type="dxa"/>
            <w:shd w:val="clear" w:color="auto" w:fill="D9D9D9" w:themeFill="background1" w:themeFillShade="D9"/>
            <w:vAlign w:val="center"/>
          </w:tcPr>
          <w:p w14:paraId="7130C252" w14:textId="77777777" w:rsidR="009454E4" w:rsidRPr="008B5BCF" w:rsidRDefault="009454E4" w:rsidP="009454E4">
            <w:pPr>
              <w:keepNext/>
              <w:spacing w:before="60" w:after="60"/>
              <w:ind w:right="46"/>
              <w:jc w:val="center"/>
              <w:rPr>
                <w:rFonts w:cs="Arial"/>
                <w:sz w:val="18"/>
                <w:szCs w:val="18"/>
                <w:lang w:eastAsia="en-US"/>
              </w:rPr>
            </w:pPr>
            <w:r w:rsidRPr="008B5BCF">
              <w:rPr>
                <w:rFonts w:cs="Arial"/>
                <w:sz w:val="18"/>
                <w:szCs w:val="18"/>
                <w:lang w:eastAsia="en-US"/>
              </w:rPr>
              <w:t>Hazard Ratio (95% CI)</w:t>
            </w:r>
            <w:r w:rsidRPr="008B5BCF">
              <w:rPr>
                <w:rFonts w:cs="Arial"/>
                <w:sz w:val="18"/>
                <w:szCs w:val="18"/>
                <w:lang w:eastAsia="en-US"/>
              </w:rPr>
              <w:br/>
              <w:t xml:space="preserve">p-value </w:t>
            </w:r>
          </w:p>
        </w:tc>
      </w:tr>
      <w:tr w:rsidR="009454E4" w:rsidRPr="009454E4" w14:paraId="58A4CC0C" w14:textId="77777777" w:rsidTr="00E92041">
        <w:trPr>
          <w:cantSplit/>
        </w:trPr>
        <w:tc>
          <w:tcPr>
            <w:tcW w:w="2160" w:type="dxa"/>
            <w:shd w:val="clear" w:color="auto" w:fill="auto"/>
            <w:vAlign w:val="center"/>
          </w:tcPr>
          <w:p w14:paraId="4CFAA437"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t>Major and Non-major Clinically Relevant bleeding events</w:t>
            </w:r>
          </w:p>
        </w:tc>
        <w:tc>
          <w:tcPr>
            <w:tcW w:w="2460" w:type="dxa"/>
            <w:shd w:val="clear" w:color="auto" w:fill="auto"/>
            <w:vAlign w:val="center"/>
          </w:tcPr>
          <w:p w14:paraId="467AADC4"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1475</w:t>
            </w:r>
            <w:r w:rsidRPr="008B5BCF">
              <w:rPr>
                <w:rFonts w:cs="Arial"/>
                <w:sz w:val="18"/>
                <w:szCs w:val="18"/>
                <w:lang w:eastAsia="en-US"/>
              </w:rPr>
              <w:br/>
              <w:t>(14.91)</w:t>
            </w:r>
          </w:p>
        </w:tc>
        <w:tc>
          <w:tcPr>
            <w:tcW w:w="2220" w:type="dxa"/>
            <w:shd w:val="clear" w:color="auto" w:fill="auto"/>
            <w:vAlign w:val="center"/>
          </w:tcPr>
          <w:p w14:paraId="6B692599"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1449</w:t>
            </w:r>
            <w:r w:rsidRPr="008B5BCF">
              <w:rPr>
                <w:rFonts w:cs="Arial"/>
                <w:sz w:val="18"/>
                <w:szCs w:val="18"/>
                <w:lang w:eastAsia="en-US"/>
              </w:rPr>
              <w:br/>
              <w:t>(14.52)</w:t>
            </w:r>
          </w:p>
        </w:tc>
        <w:tc>
          <w:tcPr>
            <w:tcW w:w="2374" w:type="dxa"/>
            <w:shd w:val="clear" w:color="auto" w:fill="auto"/>
            <w:vAlign w:val="center"/>
          </w:tcPr>
          <w:p w14:paraId="3BD43FEA" w14:textId="71F42D32"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 xml:space="preserve">1.03 (0.96 </w:t>
            </w:r>
            <w:r w:rsidR="000E55D4">
              <w:rPr>
                <w:rFonts w:cs="Arial"/>
                <w:sz w:val="18"/>
                <w:szCs w:val="18"/>
                <w:lang w:eastAsia="en-US"/>
              </w:rPr>
              <w:t>–</w:t>
            </w:r>
            <w:r w:rsidRPr="008B5BCF">
              <w:rPr>
                <w:rFonts w:cs="Arial"/>
                <w:sz w:val="18"/>
                <w:szCs w:val="18"/>
                <w:lang w:eastAsia="en-US"/>
              </w:rPr>
              <w:t xml:space="preserve"> 1.11)</w:t>
            </w:r>
            <w:r w:rsidRPr="008B5BCF">
              <w:rPr>
                <w:rFonts w:cs="Arial"/>
                <w:sz w:val="18"/>
                <w:szCs w:val="18"/>
                <w:lang w:eastAsia="en-US"/>
              </w:rPr>
              <w:br/>
              <w:t>0.442</w:t>
            </w:r>
          </w:p>
        </w:tc>
      </w:tr>
      <w:tr w:rsidR="009454E4" w:rsidRPr="009454E4" w14:paraId="2E019D25" w14:textId="77777777" w:rsidTr="00E92041">
        <w:trPr>
          <w:cantSplit/>
        </w:trPr>
        <w:tc>
          <w:tcPr>
            <w:tcW w:w="2160" w:type="dxa"/>
            <w:shd w:val="clear" w:color="auto" w:fill="auto"/>
            <w:vAlign w:val="center"/>
          </w:tcPr>
          <w:p w14:paraId="4534D29C"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t>Major bleeding events</w:t>
            </w:r>
          </w:p>
        </w:tc>
        <w:tc>
          <w:tcPr>
            <w:tcW w:w="2460" w:type="dxa"/>
            <w:shd w:val="clear" w:color="auto" w:fill="auto"/>
            <w:vAlign w:val="center"/>
          </w:tcPr>
          <w:p w14:paraId="168073E1"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395</w:t>
            </w:r>
            <w:r w:rsidRPr="008B5BCF">
              <w:rPr>
                <w:rFonts w:cs="Arial"/>
                <w:sz w:val="18"/>
                <w:szCs w:val="18"/>
                <w:lang w:eastAsia="en-US"/>
              </w:rPr>
              <w:br/>
              <w:t>(3.60)</w:t>
            </w:r>
          </w:p>
        </w:tc>
        <w:tc>
          <w:tcPr>
            <w:tcW w:w="2220" w:type="dxa"/>
            <w:shd w:val="clear" w:color="auto" w:fill="auto"/>
            <w:vAlign w:val="center"/>
          </w:tcPr>
          <w:p w14:paraId="58EA43F9"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386</w:t>
            </w:r>
            <w:r w:rsidRPr="008B5BCF">
              <w:rPr>
                <w:rFonts w:cs="Arial"/>
                <w:sz w:val="18"/>
                <w:szCs w:val="18"/>
                <w:lang w:eastAsia="en-US"/>
              </w:rPr>
              <w:br/>
              <w:t>(3.45)</w:t>
            </w:r>
          </w:p>
        </w:tc>
        <w:tc>
          <w:tcPr>
            <w:tcW w:w="2374" w:type="dxa"/>
            <w:shd w:val="clear" w:color="auto" w:fill="auto"/>
            <w:vAlign w:val="center"/>
          </w:tcPr>
          <w:p w14:paraId="2E3E7B01" w14:textId="3F76B9FF"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 xml:space="preserve">1.04 (0.90 </w:t>
            </w:r>
            <w:r w:rsidR="000E55D4">
              <w:rPr>
                <w:rFonts w:cs="Arial"/>
                <w:sz w:val="18"/>
                <w:szCs w:val="18"/>
                <w:lang w:eastAsia="en-US"/>
              </w:rPr>
              <w:t>–</w:t>
            </w:r>
            <w:r w:rsidRPr="008B5BCF">
              <w:rPr>
                <w:rFonts w:cs="Arial"/>
                <w:sz w:val="18"/>
                <w:szCs w:val="18"/>
                <w:lang w:eastAsia="en-US"/>
              </w:rPr>
              <w:t xml:space="preserve"> 1.20)</w:t>
            </w:r>
            <w:r w:rsidRPr="008B5BCF">
              <w:rPr>
                <w:rFonts w:cs="Arial"/>
                <w:sz w:val="18"/>
                <w:szCs w:val="18"/>
                <w:lang w:eastAsia="en-US"/>
              </w:rPr>
              <w:br/>
              <w:t>0.576</w:t>
            </w:r>
          </w:p>
        </w:tc>
      </w:tr>
      <w:tr w:rsidR="009454E4" w:rsidRPr="009454E4" w14:paraId="52A85BB1" w14:textId="77777777" w:rsidTr="00E92041">
        <w:trPr>
          <w:cantSplit/>
        </w:trPr>
        <w:tc>
          <w:tcPr>
            <w:tcW w:w="2160" w:type="dxa"/>
            <w:shd w:val="clear" w:color="auto" w:fill="auto"/>
            <w:vAlign w:val="center"/>
          </w:tcPr>
          <w:p w14:paraId="0EF66EBC"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t>Death due to bleeding</w:t>
            </w:r>
          </w:p>
        </w:tc>
        <w:tc>
          <w:tcPr>
            <w:tcW w:w="2460" w:type="dxa"/>
            <w:shd w:val="clear" w:color="auto" w:fill="auto"/>
            <w:vAlign w:val="center"/>
          </w:tcPr>
          <w:p w14:paraId="1F02D10E"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27</w:t>
            </w:r>
            <w:r w:rsidRPr="008B5BCF">
              <w:rPr>
                <w:rFonts w:cs="Arial"/>
                <w:sz w:val="18"/>
                <w:szCs w:val="18"/>
                <w:lang w:eastAsia="en-US"/>
              </w:rPr>
              <w:br/>
              <w:t>(0.24)</w:t>
            </w:r>
          </w:p>
        </w:tc>
        <w:tc>
          <w:tcPr>
            <w:tcW w:w="2220" w:type="dxa"/>
            <w:shd w:val="clear" w:color="auto" w:fill="auto"/>
            <w:vAlign w:val="center"/>
          </w:tcPr>
          <w:p w14:paraId="4A1AC6C0"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55</w:t>
            </w:r>
            <w:r w:rsidRPr="008B5BCF">
              <w:rPr>
                <w:rFonts w:cs="Arial"/>
                <w:sz w:val="18"/>
                <w:szCs w:val="18"/>
                <w:lang w:eastAsia="en-US"/>
              </w:rPr>
              <w:br/>
              <w:t>(0.48)</w:t>
            </w:r>
          </w:p>
        </w:tc>
        <w:tc>
          <w:tcPr>
            <w:tcW w:w="2374" w:type="dxa"/>
            <w:shd w:val="clear" w:color="auto" w:fill="auto"/>
            <w:vAlign w:val="center"/>
          </w:tcPr>
          <w:p w14:paraId="0047843A" w14:textId="48CA359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 xml:space="preserve">0.50 (0.31 </w:t>
            </w:r>
            <w:r w:rsidR="000E55D4">
              <w:rPr>
                <w:rFonts w:cs="Arial"/>
                <w:sz w:val="18"/>
                <w:szCs w:val="18"/>
                <w:lang w:eastAsia="en-US"/>
              </w:rPr>
              <w:t>–</w:t>
            </w:r>
            <w:r w:rsidRPr="008B5BCF">
              <w:rPr>
                <w:rFonts w:cs="Arial"/>
                <w:sz w:val="18"/>
                <w:szCs w:val="18"/>
                <w:lang w:eastAsia="en-US"/>
              </w:rPr>
              <w:t xml:space="preserve"> 0.79)</w:t>
            </w:r>
            <w:r w:rsidRPr="008B5BCF">
              <w:rPr>
                <w:rFonts w:cs="Arial"/>
                <w:sz w:val="18"/>
                <w:szCs w:val="18"/>
                <w:lang w:eastAsia="en-US"/>
              </w:rPr>
              <w:br/>
              <w:t>0.003*</w:t>
            </w:r>
          </w:p>
        </w:tc>
      </w:tr>
      <w:tr w:rsidR="009454E4" w:rsidRPr="009454E4" w14:paraId="1967DF9E" w14:textId="77777777" w:rsidTr="00E92041">
        <w:trPr>
          <w:cantSplit/>
        </w:trPr>
        <w:tc>
          <w:tcPr>
            <w:tcW w:w="2160" w:type="dxa"/>
            <w:shd w:val="clear" w:color="auto" w:fill="auto"/>
            <w:vAlign w:val="center"/>
          </w:tcPr>
          <w:p w14:paraId="1FD27F1A"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lastRenderedPageBreak/>
              <w:t>Critical Organ</w:t>
            </w:r>
            <w:r w:rsidRPr="008B5BCF">
              <w:rPr>
                <w:rFonts w:cs="Arial"/>
                <w:b/>
                <w:bCs/>
                <w:sz w:val="18"/>
                <w:szCs w:val="18"/>
                <w:lang w:eastAsia="en-US"/>
              </w:rPr>
              <w:br/>
              <w:t xml:space="preserve">Bleeding </w:t>
            </w:r>
          </w:p>
        </w:tc>
        <w:tc>
          <w:tcPr>
            <w:tcW w:w="2460" w:type="dxa"/>
            <w:shd w:val="clear" w:color="auto" w:fill="auto"/>
            <w:vAlign w:val="center"/>
          </w:tcPr>
          <w:p w14:paraId="6962DC96"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91</w:t>
            </w:r>
            <w:r w:rsidRPr="008B5BCF">
              <w:rPr>
                <w:rFonts w:cs="Arial"/>
                <w:sz w:val="18"/>
                <w:szCs w:val="18"/>
                <w:lang w:eastAsia="en-US"/>
              </w:rPr>
              <w:br/>
              <w:t>(0.82)</w:t>
            </w:r>
          </w:p>
        </w:tc>
        <w:tc>
          <w:tcPr>
            <w:tcW w:w="2220" w:type="dxa"/>
            <w:shd w:val="clear" w:color="auto" w:fill="auto"/>
            <w:vAlign w:val="center"/>
          </w:tcPr>
          <w:p w14:paraId="10B56606"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133</w:t>
            </w:r>
            <w:r w:rsidRPr="008B5BCF">
              <w:rPr>
                <w:rFonts w:cs="Arial"/>
                <w:sz w:val="18"/>
                <w:szCs w:val="18"/>
                <w:lang w:eastAsia="en-US"/>
              </w:rPr>
              <w:br/>
              <w:t>(1.18)</w:t>
            </w:r>
          </w:p>
        </w:tc>
        <w:tc>
          <w:tcPr>
            <w:tcW w:w="2374" w:type="dxa"/>
            <w:shd w:val="clear" w:color="auto" w:fill="auto"/>
            <w:vAlign w:val="center"/>
          </w:tcPr>
          <w:p w14:paraId="1A17AD81" w14:textId="1076C66A"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 xml:space="preserve">0.69 (0.53 </w:t>
            </w:r>
            <w:r w:rsidR="000E55D4">
              <w:rPr>
                <w:rFonts w:cs="Arial"/>
                <w:sz w:val="18"/>
                <w:szCs w:val="18"/>
                <w:lang w:eastAsia="en-US"/>
              </w:rPr>
              <w:t>–</w:t>
            </w:r>
            <w:r w:rsidRPr="008B5BCF">
              <w:rPr>
                <w:rFonts w:cs="Arial"/>
                <w:sz w:val="18"/>
                <w:szCs w:val="18"/>
                <w:lang w:eastAsia="en-US"/>
              </w:rPr>
              <w:t xml:space="preserve"> 0.91)</w:t>
            </w:r>
            <w:r w:rsidRPr="008B5BCF">
              <w:rPr>
                <w:rFonts w:cs="Arial"/>
                <w:sz w:val="18"/>
                <w:szCs w:val="18"/>
                <w:lang w:eastAsia="en-US"/>
              </w:rPr>
              <w:br/>
              <w:t>0.007*</w:t>
            </w:r>
          </w:p>
        </w:tc>
      </w:tr>
      <w:tr w:rsidR="009454E4" w:rsidRPr="009454E4" w14:paraId="6564848E" w14:textId="77777777" w:rsidTr="00E92041">
        <w:trPr>
          <w:cantSplit/>
        </w:trPr>
        <w:tc>
          <w:tcPr>
            <w:tcW w:w="2160" w:type="dxa"/>
            <w:shd w:val="clear" w:color="auto" w:fill="auto"/>
            <w:vAlign w:val="center"/>
          </w:tcPr>
          <w:p w14:paraId="40FA7B41"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t xml:space="preserve">Intracranial </w:t>
            </w:r>
            <w:r w:rsidRPr="008B5BCF">
              <w:rPr>
                <w:rFonts w:cs="Arial"/>
                <w:b/>
                <w:bCs/>
                <w:sz w:val="18"/>
                <w:szCs w:val="18"/>
                <w:lang w:eastAsia="en-US"/>
              </w:rPr>
              <w:br/>
              <w:t xml:space="preserve">haemorrhage </w:t>
            </w:r>
          </w:p>
        </w:tc>
        <w:tc>
          <w:tcPr>
            <w:tcW w:w="2460" w:type="dxa"/>
            <w:shd w:val="clear" w:color="auto" w:fill="auto"/>
            <w:vAlign w:val="center"/>
          </w:tcPr>
          <w:p w14:paraId="645731B2"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55</w:t>
            </w:r>
            <w:r w:rsidRPr="008B5BCF">
              <w:rPr>
                <w:rFonts w:cs="Arial"/>
                <w:sz w:val="18"/>
                <w:szCs w:val="18"/>
                <w:lang w:eastAsia="en-US"/>
              </w:rPr>
              <w:br/>
              <w:t>(0.49)</w:t>
            </w:r>
          </w:p>
        </w:tc>
        <w:tc>
          <w:tcPr>
            <w:tcW w:w="2220" w:type="dxa"/>
            <w:shd w:val="clear" w:color="auto" w:fill="auto"/>
            <w:vAlign w:val="center"/>
          </w:tcPr>
          <w:p w14:paraId="001A65A4"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84</w:t>
            </w:r>
            <w:r w:rsidRPr="008B5BCF">
              <w:rPr>
                <w:rFonts w:cs="Arial"/>
                <w:sz w:val="18"/>
                <w:szCs w:val="18"/>
                <w:lang w:eastAsia="en-US"/>
              </w:rPr>
              <w:br/>
              <w:t>(0.75)</w:t>
            </w:r>
          </w:p>
        </w:tc>
        <w:tc>
          <w:tcPr>
            <w:tcW w:w="2374" w:type="dxa"/>
            <w:shd w:val="clear" w:color="auto" w:fill="auto"/>
            <w:vAlign w:val="center"/>
          </w:tcPr>
          <w:p w14:paraId="0FB9EE3E" w14:textId="37A67AD8"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 xml:space="preserve">0.67 (0.47 </w:t>
            </w:r>
            <w:r w:rsidR="000E55D4">
              <w:rPr>
                <w:rFonts w:cs="Arial"/>
                <w:sz w:val="18"/>
                <w:szCs w:val="18"/>
                <w:lang w:eastAsia="en-US"/>
              </w:rPr>
              <w:t>–</w:t>
            </w:r>
            <w:r w:rsidRPr="008B5BCF">
              <w:rPr>
                <w:rFonts w:cs="Arial"/>
                <w:sz w:val="18"/>
                <w:szCs w:val="18"/>
                <w:lang w:eastAsia="en-US"/>
              </w:rPr>
              <w:t xml:space="preserve"> 0.93) </w:t>
            </w:r>
          </w:p>
          <w:p w14:paraId="6AF573B3"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0.019*</w:t>
            </w:r>
          </w:p>
        </w:tc>
      </w:tr>
      <w:tr w:rsidR="009454E4" w:rsidRPr="009454E4" w14:paraId="269A0627" w14:textId="77777777" w:rsidTr="00E92041">
        <w:trPr>
          <w:cantSplit/>
        </w:trPr>
        <w:tc>
          <w:tcPr>
            <w:tcW w:w="2160" w:type="dxa"/>
            <w:shd w:val="clear" w:color="auto" w:fill="auto"/>
            <w:vAlign w:val="center"/>
          </w:tcPr>
          <w:p w14:paraId="5C3E289B"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t xml:space="preserve">Haemoglobin drop </w:t>
            </w:r>
          </w:p>
        </w:tc>
        <w:tc>
          <w:tcPr>
            <w:tcW w:w="2460" w:type="dxa"/>
            <w:shd w:val="clear" w:color="auto" w:fill="auto"/>
            <w:vAlign w:val="center"/>
          </w:tcPr>
          <w:p w14:paraId="57A8A729"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305</w:t>
            </w:r>
            <w:r w:rsidRPr="008B5BCF">
              <w:rPr>
                <w:rFonts w:cs="Arial"/>
                <w:sz w:val="18"/>
                <w:szCs w:val="18"/>
                <w:lang w:eastAsia="en-US"/>
              </w:rPr>
              <w:br/>
              <w:t>(2.77)</w:t>
            </w:r>
          </w:p>
        </w:tc>
        <w:tc>
          <w:tcPr>
            <w:tcW w:w="2220" w:type="dxa"/>
            <w:shd w:val="clear" w:color="auto" w:fill="auto"/>
            <w:vAlign w:val="center"/>
          </w:tcPr>
          <w:p w14:paraId="7C21BC76"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254</w:t>
            </w:r>
            <w:r w:rsidRPr="008B5BCF">
              <w:rPr>
                <w:rFonts w:cs="Arial"/>
                <w:sz w:val="18"/>
                <w:szCs w:val="18"/>
                <w:lang w:eastAsia="en-US"/>
              </w:rPr>
              <w:br/>
              <w:t>(2.26)</w:t>
            </w:r>
          </w:p>
        </w:tc>
        <w:tc>
          <w:tcPr>
            <w:tcW w:w="2374" w:type="dxa"/>
            <w:shd w:val="clear" w:color="auto" w:fill="auto"/>
            <w:vAlign w:val="center"/>
          </w:tcPr>
          <w:p w14:paraId="354802A3" w14:textId="08C37C00"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 xml:space="preserve">1.22 (1.03 </w:t>
            </w:r>
            <w:r w:rsidR="000E55D4">
              <w:rPr>
                <w:rFonts w:cs="Arial"/>
                <w:sz w:val="18"/>
                <w:szCs w:val="18"/>
                <w:lang w:eastAsia="en-US"/>
              </w:rPr>
              <w:t>–</w:t>
            </w:r>
            <w:r w:rsidRPr="008B5BCF">
              <w:rPr>
                <w:rFonts w:cs="Arial"/>
                <w:sz w:val="18"/>
                <w:szCs w:val="18"/>
                <w:lang w:eastAsia="en-US"/>
              </w:rPr>
              <w:t xml:space="preserve"> 1.44)</w:t>
            </w:r>
            <w:r w:rsidRPr="008B5BCF">
              <w:rPr>
                <w:rFonts w:cs="Arial"/>
                <w:sz w:val="18"/>
                <w:szCs w:val="18"/>
                <w:lang w:eastAsia="en-US"/>
              </w:rPr>
              <w:br/>
              <w:t>0.019*</w:t>
            </w:r>
          </w:p>
        </w:tc>
      </w:tr>
      <w:tr w:rsidR="009454E4" w:rsidRPr="009454E4" w14:paraId="21A9667F" w14:textId="77777777" w:rsidTr="00E92041">
        <w:trPr>
          <w:cantSplit/>
        </w:trPr>
        <w:tc>
          <w:tcPr>
            <w:tcW w:w="2160" w:type="dxa"/>
            <w:shd w:val="clear" w:color="auto" w:fill="auto"/>
            <w:vAlign w:val="center"/>
          </w:tcPr>
          <w:p w14:paraId="7DEABEF6"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t xml:space="preserve">Transfusion of 2 or more units of packed red blood cells or whole blood. </w:t>
            </w:r>
          </w:p>
        </w:tc>
        <w:tc>
          <w:tcPr>
            <w:tcW w:w="2460" w:type="dxa"/>
            <w:shd w:val="clear" w:color="auto" w:fill="auto"/>
            <w:vAlign w:val="center"/>
          </w:tcPr>
          <w:p w14:paraId="31ACD76F"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183</w:t>
            </w:r>
            <w:r w:rsidRPr="008B5BCF">
              <w:rPr>
                <w:rFonts w:cs="Arial"/>
                <w:sz w:val="18"/>
                <w:szCs w:val="18"/>
                <w:lang w:eastAsia="en-US"/>
              </w:rPr>
              <w:br/>
              <w:t>(1.65)</w:t>
            </w:r>
          </w:p>
        </w:tc>
        <w:tc>
          <w:tcPr>
            <w:tcW w:w="2220" w:type="dxa"/>
            <w:shd w:val="clear" w:color="auto" w:fill="auto"/>
            <w:vAlign w:val="center"/>
          </w:tcPr>
          <w:p w14:paraId="4ED17EBC"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149</w:t>
            </w:r>
            <w:r w:rsidRPr="008B5BCF">
              <w:rPr>
                <w:rFonts w:cs="Arial"/>
                <w:sz w:val="18"/>
                <w:szCs w:val="18"/>
                <w:lang w:eastAsia="en-US"/>
              </w:rPr>
              <w:br/>
              <w:t>(1.32)</w:t>
            </w:r>
          </w:p>
        </w:tc>
        <w:tc>
          <w:tcPr>
            <w:tcW w:w="2374" w:type="dxa"/>
            <w:shd w:val="clear" w:color="auto" w:fill="auto"/>
            <w:vAlign w:val="center"/>
          </w:tcPr>
          <w:p w14:paraId="55F7E217" w14:textId="4E78C312"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 xml:space="preserve">1.25 (1.01 </w:t>
            </w:r>
            <w:r w:rsidR="000E55D4">
              <w:rPr>
                <w:rFonts w:cs="Arial"/>
                <w:sz w:val="18"/>
                <w:szCs w:val="18"/>
                <w:lang w:eastAsia="en-US"/>
              </w:rPr>
              <w:t>–</w:t>
            </w:r>
            <w:r w:rsidRPr="008B5BCF">
              <w:rPr>
                <w:rFonts w:cs="Arial"/>
                <w:sz w:val="18"/>
                <w:szCs w:val="18"/>
                <w:lang w:eastAsia="en-US"/>
              </w:rPr>
              <w:t xml:space="preserve"> 1.55)</w:t>
            </w:r>
            <w:r w:rsidRPr="008B5BCF">
              <w:rPr>
                <w:rFonts w:cs="Arial"/>
                <w:sz w:val="18"/>
                <w:szCs w:val="18"/>
                <w:lang w:eastAsia="en-US"/>
              </w:rPr>
              <w:br/>
              <w:t>0.044*</w:t>
            </w:r>
          </w:p>
        </w:tc>
      </w:tr>
      <w:tr w:rsidR="009454E4" w:rsidRPr="009454E4" w14:paraId="2617BED0" w14:textId="77777777" w:rsidTr="00E92041">
        <w:trPr>
          <w:cantSplit/>
        </w:trPr>
        <w:tc>
          <w:tcPr>
            <w:tcW w:w="2160" w:type="dxa"/>
            <w:shd w:val="clear" w:color="auto" w:fill="auto"/>
            <w:vAlign w:val="center"/>
          </w:tcPr>
          <w:p w14:paraId="7ACDDD51" w14:textId="77777777" w:rsidR="009454E4" w:rsidRPr="008B5BCF" w:rsidRDefault="009454E4" w:rsidP="009454E4">
            <w:pPr>
              <w:ind w:right="46"/>
              <w:rPr>
                <w:rFonts w:cs="Arial"/>
                <w:b/>
                <w:bCs/>
                <w:sz w:val="18"/>
                <w:szCs w:val="18"/>
                <w:lang w:eastAsia="en-US"/>
              </w:rPr>
            </w:pPr>
            <w:r w:rsidRPr="008B5BCF">
              <w:rPr>
                <w:rFonts w:cs="Arial"/>
                <w:b/>
                <w:bCs/>
                <w:sz w:val="18"/>
                <w:szCs w:val="18"/>
                <w:lang w:eastAsia="en-US"/>
              </w:rPr>
              <w:t>Non-major Clinically</w:t>
            </w:r>
            <w:r w:rsidRPr="008B5BCF">
              <w:rPr>
                <w:rFonts w:cs="Arial"/>
                <w:b/>
                <w:bCs/>
                <w:sz w:val="18"/>
                <w:szCs w:val="18"/>
                <w:lang w:eastAsia="en-US"/>
              </w:rPr>
              <w:br/>
              <w:t xml:space="preserve">Relevant bleeding </w:t>
            </w:r>
            <w:r w:rsidRPr="008B5BCF">
              <w:rPr>
                <w:rFonts w:cs="Arial"/>
                <w:b/>
                <w:bCs/>
                <w:sz w:val="18"/>
                <w:szCs w:val="18"/>
                <w:lang w:eastAsia="en-US"/>
              </w:rPr>
              <w:br/>
              <w:t>events</w:t>
            </w:r>
          </w:p>
        </w:tc>
        <w:tc>
          <w:tcPr>
            <w:tcW w:w="2460" w:type="dxa"/>
            <w:shd w:val="clear" w:color="auto" w:fill="auto"/>
            <w:vAlign w:val="center"/>
          </w:tcPr>
          <w:p w14:paraId="46B05BB2"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1185</w:t>
            </w:r>
            <w:r w:rsidRPr="008B5BCF">
              <w:rPr>
                <w:rFonts w:cs="Arial"/>
                <w:sz w:val="18"/>
                <w:szCs w:val="18"/>
                <w:lang w:eastAsia="en-US"/>
              </w:rPr>
              <w:br/>
              <w:t>(11.80)</w:t>
            </w:r>
          </w:p>
        </w:tc>
        <w:tc>
          <w:tcPr>
            <w:tcW w:w="2220" w:type="dxa"/>
            <w:shd w:val="clear" w:color="auto" w:fill="auto"/>
            <w:vAlign w:val="center"/>
          </w:tcPr>
          <w:p w14:paraId="76BA8B76" w14:textId="77777777"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1151</w:t>
            </w:r>
            <w:r w:rsidRPr="008B5BCF">
              <w:rPr>
                <w:rFonts w:cs="Arial"/>
                <w:sz w:val="18"/>
                <w:szCs w:val="18"/>
                <w:lang w:eastAsia="en-US"/>
              </w:rPr>
              <w:br/>
              <w:t>(11.37)</w:t>
            </w:r>
          </w:p>
        </w:tc>
        <w:tc>
          <w:tcPr>
            <w:tcW w:w="2374" w:type="dxa"/>
            <w:shd w:val="clear" w:color="auto" w:fill="auto"/>
            <w:vAlign w:val="center"/>
          </w:tcPr>
          <w:p w14:paraId="6D8518DD" w14:textId="09E076CA" w:rsidR="009454E4" w:rsidRPr="008B5BCF" w:rsidRDefault="009454E4" w:rsidP="009454E4">
            <w:pPr>
              <w:spacing w:before="60" w:after="60"/>
              <w:ind w:right="46"/>
              <w:jc w:val="center"/>
              <w:rPr>
                <w:rFonts w:cs="Arial"/>
                <w:sz w:val="18"/>
                <w:szCs w:val="18"/>
                <w:lang w:eastAsia="en-US"/>
              </w:rPr>
            </w:pPr>
            <w:r w:rsidRPr="008B5BCF">
              <w:rPr>
                <w:rFonts w:cs="Arial"/>
                <w:sz w:val="18"/>
                <w:szCs w:val="18"/>
                <w:lang w:eastAsia="en-US"/>
              </w:rPr>
              <w:t xml:space="preserve">1.04 (0.96 </w:t>
            </w:r>
            <w:r w:rsidR="000E55D4">
              <w:rPr>
                <w:rFonts w:cs="Arial"/>
                <w:sz w:val="18"/>
                <w:szCs w:val="18"/>
                <w:lang w:eastAsia="en-US"/>
              </w:rPr>
              <w:t>–</w:t>
            </w:r>
            <w:r w:rsidRPr="008B5BCF">
              <w:rPr>
                <w:rFonts w:cs="Arial"/>
                <w:sz w:val="18"/>
                <w:szCs w:val="18"/>
                <w:lang w:eastAsia="en-US"/>
              </w:rPr>
              <w:t xml:space="preserve"> 1.13)</w:t>
            </w:r>
            <w:r w:rsidRPr="008B5BCF">
              <w:rPr>
                <w:rFonts w:cs="Arial"/>
                <w:sz w:val="18"/>
                <w:szCs w:val="18"/>
                <w:lang w:eastAsia="en-US"/>
              </w:rPr>
              <w:br/>
              <w:t>0.345</w:t>
            </w:r>
          </w:p>
        </w:tc>
      </w:tr>
    </w:tbl>
    <w:p w14:paraId="77FFF405" w14:textId="77777777" w:rsidR="009454E4" w:rsidRPr="009454E4" w:rsidRDefault="009454E4" w:rsidP="009454E4">
      <w:pPr>
        <w:ind w:left="284" w:right="46" w:hanging="284"/>
        <w:rPr>
          <w:rFonts w:eastAsia="PMingLiU" w:cs="Arial"/>
          <w:bCs/>
          <w:lang w:eastAsia="zh-TW"/>
        </w:rPr>
      </w:pPr>
      <w:r w:rsidRPr="009454E4">
        <w:rPr>
          <w:rFonts w:eastAsia="PMingLiU" w:cs="Arial"/>
          <w:b/>
          <w:lang w:eastAsia="zh-TW"/>
        </w:rPr>
        <w:t>^</w:t>
      </w:r>
      <w:r w:rsidRPr="009454E4">
        <w:rPr>
          <w:rFonts w:eastAsia="PMingLiU" w:cs="Arial"/>
          <w:bCs/>
          <w:lang w:eastAsia="zh-TW"/>
        </w:rPr>
        <w:t xml:space="preserve">   Safety population, on treatment = All ITT subjects who take at least 1 d</w:t>
      </w:r>
      <w:r w:rsidR="00FE6E8F">
        <w:rPr>
          <w:rFonts w:eastAsia="PMingLiU" w:cs="Arial"/>
          <w:bCs/>
          <w:lang w:eastAsia="zh-TW"/>
        </w:rPr>
        <w:t>ose of study medication after</w:t>
      </w:r>
      <w:r w:rsidRPr="009454E4">
        <w:rPr>
          <w:rFonts w:eastAsia="PMingLiU" w:cs="Arial"/>
          <w:bCs/>
          <w:lang w:eastAsia="zh-TW"/>
        </w:rPr>
        <w:t xml:space="preserve"> randomisation during double-blind treatment period or within 2 days after discontinuation (site 042012 was excluded for efficacy analysis)</w:t>
      </w:r>
    </w:p>
    <w:p w14:paraId="31416871" w14:textId="77777777" w:rsidR="009454E4" w:rsidRPr="009454E4" w:rsidRDefault="009454E4" w:rsidP="009454E4">
      <w:pPr>
        <w:ind w:left="284" w:right="46" w:hanging="284"/>
        <w:rPr>
          <w:rFonts w:eastAsia="PMingLiU" w:cs="Arial"/>
          <w:b/>
          <w:lang w:eastAsia="zh-TW"/>
        </w:rPr>
      </w:pPr>
      <w:r w:rsidRPr="009454E4">
        <w:rPr>
          <w:rFonts w:eastAsia="PMingLiU" w:cs="Arial"/>
          <w:b/>
          <w:vertAlign w:val="superscript"/>
          <w:lang w:eastAsia="zh-TW"/>
        </w:rPr>
        <w:t>#</w:t>
      </w:r>
      <w:r w:rsidRPr="009454E4">
        <w:rPr>
          <w:rFonts w:eastAsia="PMingLiU" w:cs="Arial"/>
          <w:b/>
          <w:lang w:eastAsia="zh-TW"/>
        </w:rPr>
        <w:t xml:space="preserve">   </w:t>
      </w:r>
      <w:r w:rsidRPr="009454E4">
        <w:rPr>
          <w:rFonts w:eastAsia="PMingLiU" w:cs="Arial"/>
          <w:bCs/>
          <w:lang w:eastAsia="zh-TW"/>
        </w:rPr>
        <w:t>Number of events per 100 patient years of follow up</w:t>
      </w:r>
    </w:p>
    <w:p w14:paraId="35507E02" w14:textId="77777777" w:rsidR="009454E4" w:rsidRPr="009454E4" w:rsidRDefault="009454E4" w:rsidP="009454E4">
      <w:pPr>
        <w:ind w:left="284" w:right="46" w:hanging="284"/>
        <w:rPr>
          <w:rFonts w:cs="Arial"/>
          <w:bCs/>
          <w:lang w:eastAsia="en-US"/>
        </w:rPr>
      </w:pPr>
      <w:r w:rsidRPr="009454E4">
        <w:rPr>
          <w:rFonts w:cs="Arial"/>
          <w:bCs/>
          <w:lang w:eastAsia="en-US"/>
        </w:rPr>
        <w:t xml:space="preserve">* </w:t>
      </w:r>
      <w:r w:rsidRPr="009454E4">
        <w:rPr>
          <w:rFonts w:cs="Arial"/>
          <w:bCs/>
          <w:lang w:eastAsia="en-US"/>
        </w:rPr>
        <w:tab/>
        <w:t xml:space="preserve">Statistically significant at nominal alpha = 0.05 (two-sided) </w:t>
      </w:r>
    </w:p>
    <w:p w14:paraId="6BFEED16" w14:textId="77777777" w:rsidR="009454E4" w:rsidRPr="009454E4" w:rsidRDefault="009454E4" w:rsidP="009454E4">
      <w:pPr>
        <w:ind w:left="284" w:right="46" w:hanging="284"/>
        <w:rPr>
          <w:rFonts w:cs="Arial"/>
          <w:bCs/>
          <w:szCs w:val="22"/>
          <w:lang w:eastAsia="en-US"/>
        </w:rPr>
      </w:pPr>
    </w:p>
    <w:p w14:paraId="2DDA6772" w14:textId="77777777" w:rsidR="009454E4" w:rsidRPr="009454E4" w:rsidRDefault="009454E4" w:rsidP="00AB3AD6">
      <w:pPr>
        <w:ind w:left="630" w:right="46"/>
        <w:rPr>
          <w:rFonts w:cs="Arial"/>
          <w:bCs/>
          <w:lang w:eastAsia="en-US"/>
        </w:rPr>
      </w:pPr>
      <w:r w:rsidRPr="009454E4">
        <w:rPr>
          <w:rFonts w:cs="Arial"/>
          <w:bCs/>
          <w:szCs w:val="22"/>
          <w:lang w:eastAsia="en-US"/>
        </w:rPr>
        <w:t xml:space="preserve">In addition to the phase III ROCKET AF study, a prospective, single-arm, post-authorisation, non-interventional, open-label cohort study (XANTUS) with central outcome adjudication including thromboembolic events and major bleeding has been conducted, wherein 6,785 patients with non-valvular atrial fibrillation were enrolled for prevention of stroke and non-central nervous system (CNS) systemic embolism under real-world conditions (safety analysis set  n= 6,784). </w:t>
      </w:r>
      <w:r w:rsidR="009A6D73">
        <w:rPr>
          <w:rFonts w:cs="Arial"/>
          <w:bCs/>
          <w:szCs w:val="22"/>
          <w:lang w:eastAsia="en-US"/>
        </w:rPr>
        <w:t xml:space="preserve"> </w:t>
      </w:r>
      <w:r w:rsidRPr="009454E4">
        <w:rPr>
          <w:rFonts w:cs="Arial"/>
          <w:bCs/>
          <w:szCs w:val="22"/>
          <w:lang w:eastAsia="en-US"/>
        </w:rPr>
        <w:t>The mean CHADS</w:t>
      </w:r>
      <w:r w:rsidRPr="009454E4">
        <w:rPr>
          <w:rFonts w:cs="Arial"/>
          <w:bCs/>
          <w:szCs w:val="22"/>
          <w:vertAlign w:val="subscript"/>
          <w:lang w:eastAsia="en-US"/>
        </w:rPr>
        <w:t>2</w:t>
      </w:r>
      <w:r w:rsidRPr="009454E4">
        <w:rPr>
          <w:rFonts w:cs="Arial"/>
          <w:bCs/>
          <w:szCs w:val="22"/>
          <w:lang w:eastAsia="en-US"/>
        </w:rPr>
        <w:t xml:space="preserve"> score was 2.0 compared to a mean CHADS</w:t>
      </w:r>
      <w:r w:rsidRPr="009454E4">
        <w:rPr>
          <w:rFonts w:cs="Arial"/>
          <w:bCs/>
          <w:szCs w:val="22"/>
          <w:vertAlign w:val="subscript"/>
          <w:lang w:eastAsia="en-US"/>
        </w:rPr>
        <w:t>2</w:t>
      </w:r>
      <w:r w:rsidRPr="009454E4">
        <w:rPr>
          <w:rFonts w:cs="Arial"/>
          <w:bCs/>
          <w:szCs w:val="22"/>
          <w:lang w:eastAsia="en-US"/>
        </w:rPr>
        <w:t xml:space="preserve"> score of 3.5 in ROCKET AF.</w:t>
      </w:r>
      <w:r w:rsidR="009A6D73">
        <w:rPr>
          <w:rFonts w:cs="Arial"/>
          <w:bCs/>
          <w:szCs w:val="22"/>
          <w:lang w:eastAsia="en-US"/>
        </w:rPr>
        <w:t xml:space="preserve"> </w:t>
      </w:r>
      <w:r w:rsidRPr="009454E4">
        <w:rPr>
          <w:rFonts w:cs="Arial"/>
          <w:bCs/>
          <w:szCs w:val="22"/>
          <w:lang w:eastAsia="en-US"/>
        </w:rPr>
        <w:t xml:space="preserve"> Major bleeding occurred in 2.1 per 100 patient years. </w:t>
      </w:r>
      <w:r w:rsidR="009A6D73">
        <w:rPr>
          <w:rFonts w:cs="Arial"/>
          <w:bCs/>
          <w:szCs w:val="22"/>
          <w:lang w:eastAsia="en-US"/>
        </w:rPr>
        <w:t xml:space="preserve"> </w:t>
      </w:r>
      <w:r w:rsidRPr="009454E4">
        <w:rPr>
          <w:rFonts w:cs="Arial"/>
          <w:bCs/>
          <w:szCs w:val="22"/>
          <w:lang w:eastAsia="en-US"/>
        </w:rPr>
        <w:t xml:space="preserve">Fatal haemorrhage was reported in 0.2 per 100 patient years and intracranial haemorrhage in 0.4 per 100 patient years. </w:t>
      </w:r>
      <w:r w:rsidR="009A6D73">
        <w:rPr>
          <w:rFonts w:cs="Arial"/>
          <w:bCs/>
          <w:szCs w:val="22"/>
          <w:lang w:eastAsia="en-US"/>
        </w:rPr>
        <w:t xml:space="preserve"> </w:t>
      </w:r>
      <w:r w:rsidRPr="009454E4">
        <w:rPr>
          <w:rFonts w:cs="Arial"/>
          <w:bCs/>
          <w:szCs w:val="22"/>
          <w:lang w:eastAsia="en-US"/>
        </w:rPr>
        <w:t xml:space="preserve">Stroke or non-CNS systemic embolism was recorded in 0.8 per 100 patient years. </w:t>
      </w:r>
      <w:r w:rsidR="009A6D73">
        <w:rPr>
          <w:rFonts w:cs="Arial"/>
          <w:bCs/>
          <w:szCs w:val="22"/>
          <w:lang w:eastAsia="en-US"/>
        </w:rPr>
        <w:t xml:space="preserve"> </w:t>
      </w:r>
      <w:r w:rsidRPr="009454E4">
        <w:rPr>
          <w:rFonts w:cs="Arial"/>
          <w:bCs/>
          <w:szCs w:val="22"/>
          <w:lang w:eastAsia="en-US"/>
        </w:rPr>
        <w:t>These observations from routine clinical practice are consistent with the results observed in the ROCKET AF study.</w:t>
      </w:r>
    </w:p>
    <w:p w14:paraId="2EBF3D08" w14:textId="77777777" w:rsidR="009454E4" w:rsidRPr="009454E4" w:rsidRDefault="009454E4" w:rsidP="000202B5">
      <w:pPr>
        <w:pStyle w:val="Heading3"/>
        <w:rPr>
          <w:lang w:eastAsia="en-US"/>
        </w:rPr>
      </w:pPr>
      <w:r w:rsidRPr="009454E4">
        <w:rPr>
          <w:lang w:eastAsia="en-US"/>
        </w:rPr>
        <w:t>Cardioversion</w:t>
      </w:r>
    </w:p>
    <w:p w14:paraId="799533B8" w14:textId="77777777" w:rsidR="009454E4" w:rsidRDefault="009454E4" w:rsidP="00AB3AD6">
      <w:pPr>
        <w:ind w:left="630" w:right="46"/>
        <w:rPr>
          <w:rFonts w:eastAsia="PMingLiU" w:cs="Arial"/>
          <w:color w:val="000000"/>
          <w:szCs w:val="22"/>
          <w:lang w:eastAsia="zh-TW"/>
        </w:rPr>
      </w:pPr>
      <w:r w:rsidRPr="009454E4">
        <w:rPr>
          <w:rFonts w:eastAsia="PMingLiU" w:cs="Arial"/>
          <w:color w:val="000000"/>
          <w:szCs w:val="22"/>
          <w:lang w:eastAsia="zh-TW"/>
        </w:rPr>
        <w:t>A prospective, randomised, open-label, multicentre, exploratory study with blinded endpoint evaluation (X-VERT) was conducted in 1</w:t>
      </w:r>
      <w:r w:rsidR="009A6D73">
        <w:rPr>
          <w:rFonts w:eastAsia="PMingLiU" w:cs="Arial"/>
          <w:color w:val="000000"/>
          <w:szCs w:val="22"/>
          <w:lang w:eastAsia="zh-TW"/>
        </w:rPr>
        <w:t>,</w:t>
      </w:r>
      <w:r w:rsidRPr="009454E4">
        <w:rPr>
          <w:rFonts w:eastAsia="PMingLiU" w:cs="Arial"/>
          <w:color w:val="000000"/>
          <w:szCs w:val="22"/>
          <w:lang w:eastAsia="zh-TW"/>
        </w:rPr>
        <w:t xml:space="preserve">504 patients (oral anticoagulant naïve and pre-treated) with non-valvular atrial fibrillation scheduled for cardioversion to compare rivaroxaban with dose-adjusted VKA (randomized 2:1), for the prevention of cardiovascular events. </w:t>
      </w:r>
      <w:r w:rsidR="009A6D73">
        <w:rPr>
          <w:rFonts w:eastAsia="PMingLiU" w:cs="Arial"/>
          <w:color w:val="000000"/>
          <w:szCs w:val="22"/>
          <w:lang w:eastAsia="zh-TW"/>
        </w:rPr>
        <w:t xml:space="preserve"> </w:t>
      </w:r>
      <w:r w:rsidRPr="009454E4">
        <w:rPr>
          <w:rFonts w:cs="Arial"/>
          <w:szCs w:val="22"/>
          <w:lang w:eastAsia="en-US"/>
        </w:rPr>
        <w:t>Transoesophageal echocardiogram-guided (</w:t>
      </w:r>
      <w:r w:rsidRPr="009454E4">
        <w:rPr>
          <w:rFonts w:eastAsia="PMingLiU" w:cs="Arial"/>
          <w:color w:val="000000"/>
          <w:szCs w:val="22"/>
          <w:lang w:eastAsia="zh-TW"/>
        </w:rPr>
        <w:t xml:space="preserve">TOE-guided) (1-5 days of pre-treatment) or conventional cardioversion (at least three weeks of pre-treatment) strategies were employed. </w:t>
      </w:r>
      <w:r w:rsidR="009A6D73">
        <w:rPr>
          <w:rFonts w:eastAsia="PMingLiU" w:cs="Arial"/>
          <w:color w:val="000000"/>
          <w:szCs w:val="22"/>
          <w:lang w:eastAsia="zh-TW"/>
        </w:rPr>
        <w:t xml:space="preserve"> </w:t>
      </w:r>
      <w:r w:rsidRPr="009454E4">
        <w:rPr>
          <w:rFonts w:eastAsia="PMingLiU" w:cs="Arial"/>
          <w:color w:val="000000"/>
          <w:szCs w:val="22"/>
          <w:lang w:eastAsia="zh-TW"/>
        </w:rPr>
        <w:t>The primary efficacy outcome (all stroke, transient ischaemic attack, non-CNS systemic embolism, MI and cardiovascular death) occurred in 5 (0.5%) patients in the rivaroxaban group (n=978) and 5 (1.0%) patients in the VKA group (n=492; RR 0.50; 95% CI 0.15-1.73; modified ITT population).</w:t>
      </w:r>
      <w:r w:rsidR="009A6D73">
        <w:rPr>
          <w:rFonts w:eastAsia="PMingLiU" w:cs="Arial"/>
          <w:color w:val="000000"/>
          <w:szCs w:val="22"/>
          <w:lang w:eastAsia="zh-TW"/>
        </w:rPr>
        <w:t xml:space="preserve"> </w:t>
      </w:r>
      <w:r w:rsidRPr="009454E4">
        <w:rPr>
          <w:rFonts w:eastAsia="PMingLiU" w:cs="Arial"/>
          <w:color w:val="000000"/>
          <w:szCs w:val="22"/>
          <w:lang w:eastAsia="zh-TW"/>
        </w:rPr>
        <w:t xml:space="preserve"> The principal safety outcome (major bleeding) occurred in 6 (0.6%) and 4 (0.8%) patients in the rivaroxaban (n=988) and VKA (n=499) groups, respectively (RR 0.76; 95% CI 0.21-2.67; safety population). </w:t>
      </w:r>
      <w:r w:rsidR="009A6D73">
        <w:rPr>
          <w:rFonts w:eastAsia="PMingLiU" w:cs="Arial"/>
          <w:color w:val="000000"/>
          <w:szCs w:val="22"/>
          <w:lang w:eastAsia="zh-TW"/>
        </w:rPr>
        <w:t xml:space="preserve"> </w:t>
      </w:r>
      <w:r w:rsidRPr="009454E4">
        <w:rPr>
          <w:rFonts w:eastAsia="PMingLiU" w:cs="Arial"/>
          <w:color w:val="000000"/>
          <w:szCs w:val="22"/>
          <w:lang w:eastAsia="zh-TW"/>
        </w:rPr>
        <w:t xml:space="preserve">This exploratory study showed </w:t>
      </w:r>
      <w:r w:rsidRPr="009454E4">
        <w:rPr>
          <w:rFonts w:eastAsia="PMingLiU" w:cs="Arial"/>
          <w:color w:val="000000"/>
          <w:szCs w:val="22"/>
          <w:lang w:eastAsia="zh-TW"/>
        </w:rPr>
        <w:lastRenderedPageBreak/>
        <w:t>comparable efficacy and safety between rivaroxaban and the VKAs treatment groups in the setting of cardioversion.</w:t>
      </w:r>
    </w:p>
    <w:p w14:paraId="6BEE158C" w14:textId="77777777" w:rsidR="008759B6" w:rsidRDefault="008759B6" w:rsidP="00AB3AD6">
      <w:pPr>
        <w:ind w:left="630" w:right="46"/>
        <w:rPr>
          <w:rFonts w:eastAsia="PMingLiU" w:cs="Arial"/>
          <w:color w:val="000000"/>
          <w:szCs w:val="22"/>
          <w:lang w:eastAsia="zh-TW"/>
        </w:rPr>
      </w:pPr>
    </w:p>
    <w:p w14:paraId="27BD97DE" w14:textId="77777777" w:rsidR="00052F2C" w:rsidRDefault="00052F2C" w:rsidP="00A556C6">
      <w:pPr>
        <w:spacing w:before="240" w:after="120"/>
        <w:ind w:left="630" w:right="46"/>
        <w:jc w:val="both"/>
        <w:rPr>
          <w:rFonts w:eastAsia="PMingLiU" w:cs="Arial"/>
          <w:b/>
          <w:color w:val="000000" w:themeColor="text1"/>
          <w:szCs w:val="22"/>
          <w:lang w:eastAsia="zh-TW"/>
        </w:rPr>
      </w:pPr>
      <w:r>
        <w:rPr>
          <w:rFonts w:eastAsia="PMingLiU" w:cs="Arial"/>
          <w:b/>
          <w:color w:val="000000" w:themeColor="text1"/>
          <w:szCs w:val="22"/>
          <w:lang w:eastAsia="zh-TW"/>
        </w:rPr>
        <w:br w:type="page"/>
      </w:r>
    </w:p>
    <w:p w14:paraId="2F77EACE" w14:textId="77777777" w:rsidR="008759B6" w:rsidRPr="008759B6" w:rsidRDefault="008759B6" w:rsidP="00A556C6">
      <w:pPr>
        <w:spacing w:before="240" w:after="120"/>
        <w:ind w:left="630" w:right="46"/>
        <w:jc w:val="both"/>
        <w:rPr>
          <w:rFonts w:eastAsia="PMingLiU" w:cs="Arial"/>
          <w:b/>
          <w:color w:val="000000" w:themeColor="text1"/>
          <w:szCs w:val="22"/>
          <w:lang w:eastAsia="zh-TW"/>
        </w:rPr>
      </w:pPr>
      <w:r w:rsidRPr="008759B6">
        <w:rPr>
          <w:rFonts w:eastAsia="PMingLiU" w:cs="Arial"/>
          <w:b/>
          <w:color w:val="000000" w:themeColor="text1"/>
          <w:szCs w:val="22"/>
          <w:lang w:eastAsia="zh-TW"/>
        </w:rPr>
        <w:lastRenderedPageBreak/>
        <w:t xml:space="preserve">Safety study in Patients who undergo PCI (percutaneous coronary intervention) with stent placement </w:t>
      </w:r>
    </w:p>
    <w:p w14:paraId="26779B6F" w14:textId="77777777" w:rsidR="008759B6" w:rsidRPr="008759B6" w:rsidRDefault="008759B6" w:rsidP="00A556C6">
      <w:pPr>
        <w:autoSpaceDE w:val="0"/>
        <w:autoSpaceDN w:val="0"/>
        <w:adjustRightInd w:val="0"/>
        <w:ind w:left="630"/>
        <w:rPr>
          <w:rFonts w:ascii="TimesNewRoman" w:hAnsi="TimesNewRoman" w:cs="TimesNewRoman"/>
          <w:sz w:val="24"/>
          <w:szCs w:val="24"/>
        </w:rPr>
      </w:pPr>
      <w:r w:rsidRPr="008759B6">
        <w:rPr>
          <w:rFonts w:eastAsia="PMingLiU" w:cs="Arial"/>
          <w:color w:val="000000" w:themeColor="text1"/>
          <w:szCs w:val="22"/>
          <w:lang w:eastAsia="zh-TW"/>
        </w:rPr>
        <w:t>A randomised, open-label, multicentre study (PIONEER AF-PCI) was conducted in 2124 patients with non-valvular atrial fibrillation who underwent PCI with stent placement for primary atherosclerotic disease to compare safety of two rivaroxaban regimens and a VKA regimen.</w:t>
      </w:r>
    </w:p>
    <w:p w14:paraId="5592A673" w14:textId="77777777" w:rsidR="008759B6" w:rsidRPr="008759B6" w:rsidRDefault="008759B6" w:rsidP="00A556C6">
      <w:pPr>
        <w:ind w:left="630" w:right="46"/>
        <w:jc w:val="both"/>
        <w:rPr>
          <w:rFonts w:eastAsia="PMingLiU" w:cs="Arial"/>
          <w:color w:val="000000" w:themeColor="text1"/>
          <w:szCs w:val="22"/>
          <w:lang w:eastAsia="zh-TW"/>
        </w:rPr>
      </w:pPr>
      <w:r w:rsidRPr="008759B6">
        <w:rPr>
          <w:rFonts w:eastAsia="PMingLiU" w:cs="Arial"/>
          <w:color w:val="000000" w:themeColor="text1"/>
          <w:szCs w:val="22"/>
          <w:lang w:eastAsia="zh-TW"/>
        </w:rPr>
        <w:t>PIONEER AF-PCI was designed and powered to assess safety but was not powered to compare efficacy between the rivaroxaban regimens and a VKA regimen. Data on efficacy (including thromboembolic events) in this population are limited.</w:t>
      </w:r>
    </w:p>
    <w:p w14:paraId="76085B4C" w14:textId="77777777" w:rsidR="008759B6" w:rsidRPr="008759B6" w:rsidRDefault="008759B6" w:rsidP="00A556C6">
      <w:pPr>
        <w:ind w:left="630" w:right="46"/>
        <w:jc w:val="both"/>
        <w:rPr>
          <w:rFonts w:eastAsia="PMingLiU" w:cs="Arial"/>
          <w:color w:val="000000" w:themeColor="text1"/>
          <w:szCs w:val="22"/>
          <w:lang w:eastAsia="zh-TW"/>
        </w:rPr>
      </w:pPr>
    </w:p>
    <w:p w14:paraId="39A3646D" w14:textId="0339D06B" w:rsidR="008759B6" w:rsidRPr="008759B6" w:rsidRDefault="008759B6" w:rsidP="00A556C6">
      <w:pPr>
        <w:ind w:left="630" w:right="46"/>
        <w:jc w:val="both"/>
        <w:rPr>
          <w:rFonts w:eastAsia="PMingLiU" w:cs="Arial"/>
          <w:color w:val="000000" w:themeColor="text1"/>
          <w:szCs w:val="22"/>
          <w:lang w:eastAsia="zh-TW"/>
        </w:rPr>
      </w:pPr>
      <w:r w:rsidRPr="008759B6">
        <w:rPr>
          <w:rFonts w:eastAsia="PMingLiU" w:cs="Arial"/>
          <w:color w:val="000000" w:themeColor="text1"/>
          <w:szCs w:val="22"/>
          <w:lang w:eastAsia="zh-TW"/>
        </w:rPr>
        <w:t>In this 12-month safety study, Group 1 of 696 patients received</w:t>
      </w:r>
      <w:r w:rsidRPr="008759B6">
        <w:rPr>
          <w:rFonts w:ascii="TimesNewRoman" w:hAnsi="TimesNewRoman" w:cs="TimesNewRoman"/>
          <w:sz w:val="24"/>
          <w:szCs w:val="24"/>
        </w:rPr>
        <w:t xml:space="preserve"> </w:t>
      </w:r>
      <w:r w:rsidRPr="008759B6">
        <w:rPr>
          <w:rFonts w:eastAsia="PMingLiU" w:cs="Arial"/>
          <w:color w:val="000000" w:themeColor="text1"/>
          <w:szCs w:val="22"/>
          <w:lang w:eastAsia="zh-TW"/>
        </w:rPr>
        <w:t xml:space="preserve">rivaroxaban 15 mg once daily (10 mg once daily in patients with creatinine clearance  30 – 49 mL/min) plus single antiplatelet (P2Y12 inhibitor). Group 2 of 706 patients received rivaroxaban 2.5 mg twice daily– this strength is currently not registered in Australia </w:t>
      </w:r>
      <w:r w:rsidR="000E55D4">
        <w:rPr>
          <w:rFonts w:eastAsia="PMingLiU" w:cs="Arial"/>
          <w:color w:val="000000" w:themeColor="text1"/>
          <w:szCs w:val="22"/>
          <w:lang w:eastAsia="zh-TW"/>
        </w:rPr>
        <w:t>–</w:t>
      </w:r>
      <w:r w:rsidRPr="008759B6">
        <w:rPr>
          <w:rFonts w:eastAsia="PMingLiU" w:cs="Arial"/>
          <w:color w:val="000000" w:themeColor="text1"/>
          <w:szCs w:val="22"/>
          <w:lang w:eastAsia="zh-TW"/>
        </w:rPr>
        <w:t xml:space="preserve"> plus DAPT (dual antiplatelet therapy i.e. clopidogrel 75 mg or alternate P2Y12 inhibitor plus low dose acetylsalicylic acid (ASA) for 1, 6 or 12 months followed by rivaroxaban 15 mg (or 10 mg for subjects with creatinine clearance 30 – 49 mL/min) once daily plus low dose ASA. Group 3 of 697 patients received dose-adjusted VKA plus DAPT for 1, 6 or 12 months followed by dose-adjusted VKA plus low-dose ASA. Patients with a history of stroke or TIA were excluded from the trial.</w:t>
      </w:r>
    </w:p>
    <w:p w14:paraId="4C508024" w14:textId="77777777" w:rsidR="008759B6" w:rsidRPr="008759B6" w:rsidRDefault="008759B6" w:rsidP="00A556C6">
      <w:pPr>
        <w:ind w:left="630" w:right="46"/>
        <w:jc w:val="both"/>
        <w:rPr>
          <w:rFonts w:eastAsia="PMingLiU" w:cs="Arial"/>
          <w:color w:val="000000" w:themeColor="text1"/>
          <w:szCs w:val="22"/>
          <w:lang w:eastAsia="zh-TW"/>
        </w:rPr>
      </w:pPr>
    </w:p>
    <w:p w14:paraId="4750B70D" w14:textId="77777777" w:rsidR="008759B6" w:rsidRPr="008759B6" w:rsidRDefault="008759B6" w:rsidP="006F1102">
      <w:pPr>
        <w:ind w:left="630" w:right="46"/>
        <w:jc w:val="both"/>
        <w:rPr>
          <w:rFonts w:eastAsia="PMingLiU" w:cs="Arial"/>
          <w:color w:val="000000" w:themeColor="text1"/>
          <w:szCs w:val="22"/>
          <w:lang w:eastAsia="zh-TW"/>
        </w:rPr>
      </w:pPr>
      <w:r w:rsidRPr="008759B6">
        <w:rPr>
          <w:rFonts w:eastAsia="PMingLiU" w:cs="Arial"/>
          <w:color w:val="000000" w:themeColor="text1"/>
          <w:szCs w:val="22"/>
          <w:lang w:eastAsia="zh-TW"/>
        </w:rPr>
        <w:t>The primary safety endpoint, clinically significant bleeding events [a composite of TIMI major</w:t>
      </w:r>
      <w:r w:rsidR="006F1102">
        <w:rPr>
          <w:rFonts w:eastAsia="PMingLiU" w:cs="Arial"/>
          <w:color w:val="000000" w:themeColor="text1"/>
          <w:szCs w:val="22"/>
          <w:lang w:eastAsia="zh-TW"/>
        </w:rPr>
        <w:t xml:space="preserve"> </w:t>
      </w:r>
      <w:r w:rsidRPr="008759B6">
        <w:rPr>
          <w:rFonts w:eastAsia="PMingLiU" w:cs="Arial"/>
          <w:color w:val="000000" w:themeColor="text1"/>
          <w:szCs w:val="22"/>
          <w:lang w:eastAsia="zh-TW"/>
        </w:rPr>
        <w:t xml:space="preserve">bleeding, TIMI minor bleeding and Bleeding Requiring Medical Attention (BRMA)], occurred in 109 (15.7%) and in 117 (16.6%), and 167 (24.0%) subjects in Group 1, Group 2, and Group 3, respectively (HR 0.59; 95% CI 0.47-0.76; p&lt;0.001, and HR 0.63; 95% CI 0.50-0.80; p&lt;0.001, respectively) The reduction in the risk of clinically significant bleeding events was primarily a result of significantly fewer BRMA events in patients on the rivaroxaban regimen. </w:t>
      </w:r>
    </w:p>
    <w:p w14:paraId="7E8B3C9E" w14:textId="77777777" w:rsidR="008759B6" w:rsidRPr="008759B6" w:rsidRDefault="008759B6" w:rsidP="00A556C6">
      <w:pPr>
        <w:ind w:left="630" w:right="46"/>
        <w:jc w:val="both"/>
        <w:rPr>
          <w:rFonts w:eastAsia="PMingLiU" w:cs="Arial"/>
          <w:color w:val="000000" w:themeColor="text1"/>
          <w:szCs w:val="22"/>
          <w:lang w:eastAsia="zh-TW"/>
        </w:rPr>
      </w:pPr>
    </w:p>
    <w:p w14:paraId="3EA183DE" w14:textId="77777777" w:rsidR="008759B6" w:rsidRPr="008759B6" w:rsidRDefault="008759B6" w:rsidP="00A556C6">
      <w:pPr>
        <w:ind w:left="630" w:right="46"/>
        <w:jc w:val="both"/>
        <w:rPr>
          <w:rFonts w:eastAsia="PMingLiU" w:cs="Arial"/>
          <w:color w:val="000000" w:themeColor="text1"/>
          <w:szCs w:val="22"/>
          <w:lang w:eastAsia="zh-TW"/>
        </w:rPr>
      </w:pPr>
      <w:r w:rsidRPr="008759B6">
        <w:rPr>
          <w:rFonts w:eastAsia="PMingLiU" w:cs="Arial"/>
          <w:color w:val="000000" w:themeColor="text1"/>
          <w:szCs w:val="22"/>
          <w:lang w:eastAsia="zh-TW"/>
        </w:rPr>
        <w:t xml:space="preserve">The secondary efficacy endpoints composite of cardiovascular events (CV death, MI, or stroke) occurred in 41(5.9%) and in 36(5.1%) and 36 (5.2%) subjects in the Group 1, Group 2 and Group 3, respectively. </w:t>
      </w:r>
    </w:p>
    <w:p w14:paraId="554CA8E6" w14:textId="77777777" w:rsidR="008759B6" w:rsidRDefault="008759B6" w:rsidP="00AB3AD6">
      <w:pPr>
        <w:ind w:left="630" w:right="46"/>
        <w:rPr>
          <w:rFonts w:eastAsia="PMingLiU" w:cs="Arial"/>
          <w:color w:val="000000"/>
          <w:szCs w:val="22"/>
          <w:lang w:eastAsia="zh-TW"/>
        </w:rPr>
      </w:pPr>
    </w:p>
    <w:p w14:paraId="6C19D762" w14:textId="5BFD52B7" w:rsidR="009454E4" w:rsidRDefault="009454E4" w:rsidP="000202B5">
      <w:pPr>
        <w:pStyle w:val="Heading3"/>
        <w:rPr>
          <w:rFonts w:eastAsia="PMingLiU"/>
          <w:lang w:eastAsia="zh-TW"/>
        </w:rPr>
      </w:pPr>
      <w:r w:rsidRPr="009454E4">
        <w:rPr>
          <w:rFonts w:eastAsia="PMingLiU"/>
          <w:lang w:eastAsia="zh-TW"/>
        </w:rPr>
        <w:t>Treatment of Deep Vein Thrombosis (DVT), Pulmonary Embolism (PE) and prevention of recur</w:t>
      </w:r>
      <w:r>
        <w:rPr>
          <w:rFonts w:eastAsia="PMingLiU"/>
          <w:lang w:eastAsia="zh-TW"/>
        </w:rPr>
        <w:t xml:space="preserve">rent DVT and </w:t>
      </w:r>
      <w:r w:rsidR="009C7504">
        <w:rPr>
          <w:rFonts w:eastAsia="PMingLiU"/>
          <w:lang w:eastAsia="zh-TW"/>
        </w:rPr>
        <w:t>PE.</w:t>
      </w:r>
    </w:p>
    <w:p w14:paraId="3668CD0D" w14:textId="77777777" w:rsidR="009454E4" w:rsidRPr="009454E4" w:rsidRDefault="009454E4" w:rsidP="008B5BCF">
      <w:pPr>
        <w:ind w:right="46"/>
        <w:rPr>
          <w:rFonts w:eastAsia="PMingLiU" w:cs="Arial"/>
          <w:b/>
          <w:color w:val="000000"/>
          <w:szCs w:val="22"/>
          <w:lang w:eastAsia="zh-TW"/>
        </w:rPr>
      </w:pPr>
    </w:p>
    <w:p w14:paraId="6D8F4EB3" w14:textId="5C9AE059" w:rsidR="003554CC" w:rsidRPr="009454E4" w:rsidRDefault="009454E4" w:rsidP="003554CC">
      <w:pPr>
        <w:widowControl w:val="0"/>
        <w:autoSpaceDE w:val="0"/>
        <w:autoSpaceDN w:val="0"/>
        <w:adjustRightInd w:val="0"/>
        <w:spacing w:after="240"/>
        <w:ind w:left="630" w:right="46"/>
        <w:rPr>
          <w:rFonts w:eastAsia="PMingLiU" w:cs="Arial"/>
          <w:color w:val="000000"/>
          <w:szCs w:val="22"/>
          <w:lang w:eastAsia="zh-TW"/>
        </w:rPr>
      </w:pPr>
      <w:r w:rsidRPr="009454E4">
        <w:rPr>
          <w:rFonts w:eastAsia="PMingLiU" w:cs="Arial"/>
          <w:color w:val="000000"/>
          <w:szCs w:val="22"/>
          <w:lang w:eastAsia="zh-TW"/>
        </w:rPr>
        <w:t xml:space="preserve">The EINSTEIN clinical program was designed to demonstrate the efficacy of rivaroxaban in the initial and continued treatment of acute DVT and PE and prevention of recurrent DVT and PE. </w:t>
      </w:r>
      <w:r w:rsidR="00C0749F">
        <w:rPr>
          <w:rFonts w:eastAsia="PMingLiU" w:cs="Arial"/>
          <w:color w:val="000000"/>
          <w:szCs w:val="22"/>
          <w:lang w:eastAsia="zh-TW"/>
        </w:rPr>
        <w:t xml:space="preserve"> </w:t>
      </w:r>
      <w:r w:rsidRPr="009454E4">
        <w:rPr>
          <w:rFonts w:eastAsia="PMingLiU" w:cs="Arial"/>
          <w:color w:val="000000"/>
          <w:szCs w:val="22"/>
          <w:lang w:eastAsia="zh-TW"/>
        </w:rPr>
        <w:t xml:space="preserve">Over </w:t>
      </w:r>
      <w:r w:rsidR="009A0B93" w:rsidRPr="009A0B93">
        <w:rPr>
          <w:rFonts w:eastAsia="PMingLiU" w:cs="Arial"/>
          <w:color w:val="000000"/>
          <w:szCs w:val="22"/>
          <w:lang w:eastAsia="zh-TW"/>
        </w:rPr>
        <w:t>12,800</w:t>
      </w:r>
      <w:r w:rsidR="009A0B93">
        <w:rPr>
          <w:rFonts w:eastAsia="PMingLiU" w:cs="Arial"/>
          <w:color w:val="000000"/>
          <w:szCs w:val="22"/>
          <w:lang w:eastAsia="zh-TW"/>
        </w:rPr>
        <w:t xml:space="preserve"> </w:t>
      </w:r>
      <w:r w:rsidRPr="009454E4">
        <w:rPr>
          <w:rFonts w:eastAsia="PMingLiU" w:cs="Arial"/>
          <w:color w:val="000000"/>
          <w:szCs w:val="22"/>
          <w:lang w:eastAsia="zh-TW"/>
        </w:rPr>
        <w:t xml:space="preserve">patients were studied in </w:t>
      </w:r>
      <w:r w:rsidR="009A0B93">
        <w:rPr>
          <w:rFonts w:eastAsia="PMingLiU" w:cs="Arial"/>
          <w:color w:val="000000"/>
          <w:szCs w:val="22"/>
          <w:lang w:eastAsia="zh-TW"/>
        </w:rPr>
        <w:t>four</w:t>
      </w:r>
      <w:r w:rsidR="009A0B93" w:rsidRPr="009454E4">
        <w:rPr>
          <w:rFonts w:eastAsia="PMingLiU" w:cs="Arial"/>
          <w:color w:val="000000"/>
          <w:szCs w:val="22"/>
          <w:lang w:eastAsia="zh-TW"/>
        </w:rPr>
        <w:t xml:space="preserve"> </w:t>
      </w:r>
      <w:r w:rsidRPr="009454E4">
        <w:rPr>
          <w:rFonts w:eastAsia="PMingLiU" w:cs="Arial"/>
          <w:color w:val="000000"/>
          <w:szCs w:val="22"/>
          <w:lang w:eastAsia="zh-TW"/>
        </w:rPr>
        <w:t>randomised cont</w:t>
      </w:r>
      <w:r w:rsidR="009A6D73">
        <w:rPr>
          <w:rFonts w:eastAsia="PMingLiU" w:cs="Arial"/>
          <w:color w:val="000000"/>
          <w:szCs w:val="22"/>
          <w:lang w:eastAsia="zh-TW"/>
        </w:rPr>
        <w:t xml:space="preserve">rolled Phase </w:t>
      </w:r>
      <w:r w:rsidRPr="009454E4">
        <w:rPr>
          <w:rFonts w:eastAsia="PMingLiU" w:cs="Arial"/>
          <w:color w:val="000000"/>
          <w:szCs w:val="22"/>
          <w:lang w:eastAsia="zh-TW"/>
        </w:rPr>
        <w:t>III clinical studies (EINSTEIN DVT, EINSTEIN PE and EINSTEIN Extension) and additionally a predefined analysis of the pooled EINSTEIN DVT and EINSTEIN PE studies was conducted</w:t>
      </w:r>
      <w:r w:rsidR="003554CC">
        <w:rPr>
          <w:rFonts w:eastAsia="PMingLiU" w:cs="Arial"/>
          <w:color w:val="000000"/>
          <w:szCs w:val="22"/>
          <w:lang w:eastAsia="zh-TW"/>
        </w:rPr>
        <w:t xml:space="preserve"> (</w:t>
      </w:r>
      <w:r w:rsidR="000E55D4">
        <w:rPr>
          <w:rFonts w:eastAsia="PMingLiU" w:cs="Arial"/>
          <w:color w:val="000000"/>
          <w:szCs w:val="22"/>
          <w:lang w:eastAsia="zh-TW"/>
        </w:rPr>
        <w:t xml:space="preserve">see </w:t>
      </w:r>
      <w:r w:rsidR="004A4FD1" w:rsidRPr="005403C3">
        <w:rPr>
          <w:rFonts w:eastAsia="PMingLiU" w:cs="Arial"/>
          <w:color w:val="000000"/>
          <w:szCs w:val="22"/>
          <w:lang w:eastAsia="zh-TW"/>
        </w:rPr>
        <w:fldChar w:fldCharType="begin"/>
      </w:r>
      <w:r w:rsidR="004A4FD1" w:rsidRPr="005403C3">
        <w:rPr>
          <w:rFonts w:eastAsia="PMingLiU" w:cs="Arial"/>
          <w:color w:val="000000"/>
          <w:szCs w:val="22"/>
          <w:lang w:eastAsia="zh-TW"/>
        </w:rPr>
        <w:instrText xml:space="preserve"> REF _Ref505604985 \h </w:instrText>
      </w:r>
      <w:r w:rsidR="005403C3">
        <w:rPr>
          <w:rFonts w:eastAsia="PMingLiU" w:cs="Arial"/>
          <w:color w:val="000000"/>
          <w:szCs w:val="22"/>
          <w:lang w:eastAsia="zh-TW"/>
        </w:rPr>
        <w:instrText xml:space="preserve"> \* MERGEFORMAT </w:instrText>
      </w:r>
      <w:r w:rsidR="004A4FD1" w:rsidRPr="005403C3">
        <w:rPr>
          <w:rFonts w:eastAsia="PMingLiU" w:cs="Arial"/>
          <w:color w:val="000000"/>
          <w:szCs w:val="22"/>
          <w:lang w:eastAsia="zh-TW"/>
        </w:rPr>
      </w:r>
      <w:r w:rsidR="004A4FD1" w:rsidRPr="005403C3">
        <w:rPr>
          <w:rFonts w:eastAsia="PMingLiU" w:cs="Arial"/>
          <w:color w:val="000000"/>
          <w:szCs w:val="22"/>
          <w:lang w:eastAsia="zh-TW"/>
        </w:rPr>
        <w:fldChar w:fldCharType="separate"/>
      </w:r>
      <w:r w:rsidR="00C51DA4" w:rsidRPr="00C51DA4">
        <w:rPr>
          <w:szCs w:val="22"/>
        </w:rPr>
        <w:t xml:space="preserve">Table </w:t>
      </w:r>
      <w:r w:rsidR="00C51DA4" w:rsidRPr="00C51DA4">
        <w:rPr>
          <w:noProof/>
          <w:szCs w:val="22"/>
        </w:rPr>
        <w:t>18</w:t>
      </w:r>
      <w:r w:rsidR="004A4FD1" w:rsidRPr="005403C3">
        <w:rPr>
          <w:rFonts w:eastAsia="PMingLiU" w:cs="Arial"/>
          <w:color w:val="000000"/>
          <w:szCs w:val="22"/>
          <w:lang w:eastAsia="zh-TW"/>
        </w:rPr>
        <w:fldChar w:fldCharType="end"/>
      </w:r>
      <w:r w:rsidR="003554CC">
        <w:rPr>
          <w:rFonts w:eastAsia="PMingLiU" w:cs="Arial"/>
          <w:color w:val="000000"/>
          <w:szCs w:val="22"/>
          <w:lang w:eastAsia="zh-TW"/>
        </w:rPr>
        <w:t>)</w:t>
      </w:r>
      <w:r w:rsidR="003554CC" w:rsidRPr="009454E4">
        <w:rPr>
          <w:rFonts w:eastAsia="PMingLiU" w:cs="Arial"/>
          <w:color w:val="000000"/>
          <w:szCs w:val="22"/>
          <w:lang w:eastAsia="zh-TW"/>
        </w:rPr>
        <w:t xml:space="preserve">. </w:t>
      </w:r>
      <w:r w:rsidR="003554CC">
        <w:rPr>
          <w:rFonts w:eastAsia="PMingLiU" w:cs="Arial"/>
          <w:color w:val="000000"/>
          <w:szCs w:val="22"/>
          <w:lang w:eastAsia="zh-TW"/>
        </w:rPr>
        <w:t xml:space="preserve"> </w:t>
      </w:r>
      <w:r w:rsidR="003554CC" w:rsidRPr="009454E4">
        <w:rPr>
          <w:rFonts w:eastAsia="PMingLiU" w:cs="Arial"/>
          <w:color w:val="000000"/>
          <w:szCs w:val="22"/>
          <w:lang w:eastAsia="zh-TW"/>
        </w:rPr>
        <w:t>The overall combined treatment duration in all studies was up to 21 months.</w:t>
      </w:r>
    </w:p>
    <w:p w14:paraId="2DCB2735" w14:textId="3C9D8E73" w:rsidR="009454E4" w:rsidRDefault="008F4402" w:rsidP="00AB3AD6">
      <w:pPr>
        <w:widowControl w:val="0"/>
        <w:autoSpaceDE w:val="0"/>
        <w:autoSpaceDN w:val="0"/>
        <w:adjustRightInd w:val="0"/>
        <w:spacing w:after="240"/>
        <w:ind w:left="630" w:right="46"/>
        <w:rPr>
          <w:rFonts w:eastAsia="PMingLiU" w:cs="Arial"/>
          <w:color w:val="000000"/>
          <w:szCs w:val="22"/>
          <w:lang w:eastAsia="zh-TW"/>
        </w:rPr>
      </w:pPr>
      <w:r w:rsidRPr="008F4402">
        <w:rPr>
          <w:rFonts w:cs="Arial"/>
          <w:szCs w:val="22"/>
        </w:rPr>
        <w:t>EINSTEIN DVT, PE and Extension</w:t>
      </w:r>
      <w:r>
        <w:rPr>
          <w:rFonts w:cs="Arial"/>
          <w:sz w:val="18"/>
          <w:szCs w:val="18"/>
        </w:rPr>
        <w:t xml:space="preserve"> </w:t>
      </w:r>
      <w:r w:rsidR="009454E4" w:rsidRPr="009454E4">
        <w:rPr>
          <w:rFonts w:eastAsia="PMingLiU" w:cs="Arial"/>
          <w:color w:val="000000"/>
          <w:szCs w:val="22"/>
          <w:lang w:eastAsia="zh-TW"/>
        </w:rPr>
        <w:t>used the same pre-defined primary and secondary efficacy outcomes.</w:t>
      </w:r>
      <w:r w:rsidR="00DF6C29">
        <w:rPr>
          <w:rFonts w:eastAsia="PMingLiU" w:cs="Arial"/>
          <w:color w:val="000000"/>
          <w:szCs w:val="22"/>
          <w:lang w:eastAsia="zh-TW"/>
        </w:rPr>
        <w:t xml:space="preserve"> </w:t>
      </w:r>
      <w:r w:rsidR="009454E4" w:rsidRPr="009454E4">
        <w:rPr>
          <w:rFonts w:eastAsia="PMingLiU" w:cs="Arial"/>
          <w:color w:val="000000"/>
          <w:szCs w:val="22"/>
          <w:lang w:eastAsia="zh-TW"/>
        </w:rPr>
        <w:t xml:space="preserve"> The primary efficacy outcome was symptomatic recurrent VTE defined as the composite of recurrent DVT or fatal or non-fatal PE. </w:t>
      </w:r>
      <w:r w:rsidR="00DF6C29">
        <w:rPr>
          <w:rFonts w:eastAsia="PMingLiU" w:cs="Arial"/>
          <w:color w:val="000000"/>
          <w:szCs w:val="22"/>
          <w:lang w:eastAsia="zh-TW"/>
        </w:rPr>
        <w:t xml:space="preserve"> </w:t>
      </w:r>
      <w:r w:rsidR="009454E4" w:rsidRPr="009454E4">
        <w:rPr>
          <w:rFonts w:eastAsia="PMingLiU" w:cs="Arial"/>
          <w:color w:val="000000"/>
          <w:szCs w:val="22"/>
          <w:lang w:eastAsia="zh-TW"/>
        </w:rPr>
        <w:t>The secondary efficacy outcome was defined as the composite of recurrent DVT, non-fatal PE and</w:t>
      </w:r>
      <w:r w:rsidR="0080392D">
        <w:rPr>
          <w:rFonts w:eastAsia="PMingLiU" w:cs="Arial"/>
          <w:color w:val="000000"/>
          <w:szCs w:val="22"/>
          <w:lang w:eastAsia="zh-TW"/>
        </w:rPr>
        <w:t xml:space="preserve"> all-cause mortality.</w:t>
      </w:r>
    </w:p>
    <w:p w14:paraId="65ABF198" w14:textId="77777777" w:rsidR="00306A3D" w:rsidRPr="00306A3D" w:rsidRDefault="00306A3D" w:rsidP="00306A3D">
      <w:pPr>
        <w:widowControl w:val="0"/>
        <w:autoSpaceDE w:val="0"/>
        <w:autoSpaceDN w:val="0"/>
        <w:adjustRightInd w:val="0"/>
        <w:spacing w:after="240"/>
        <w:ind w:left="630" w:right="46"/>
        <w:jc w:val="both"/>
        <w:rPr>
          <w:rFonts w:eastAsia="PMingLiU" w:cs="Arial"/>
          <w:color w:val="000000" w:themeColor="text1"/>
          <w:szCs w:val="22"/>
          <w:lang w:eastAsia="zh-TW"/>
        </w:rPr>
      </w:pPr>
      <w:r w:rsidRPr="00306A3D">
        <w:rPr>
          <w:rFonts w:eastAsia="PMingLiU" w:cs="Arial"/>
          <w:color w:val="000000" w:themeColor="text1"/>
          <w:szCs w:val="22"/>
          <w:lang w:eastAsia="zh-TW"/>
        </w:rPr>
        <w:t xml:space="preserve">In EINSTEIN CHOICE, the primary efficacy outcome was symptomatic recurrent VTE defined as the composite of recurrent DVT or fatal or non-fatal PE. The secondary </w:t>
      </w:r>
      <w:r w:rsidRPr="00306A3D">
        <w:rPr>
          <w:rFonts w:eastAsia="PMingLiU" w:cs="Arial"/>
          <w:color w:val="000000" w:themeColor="text1"/>
          <w:szCs w:val="22"/>
          <w:lang w:eastAsia="zh-TW"/>
        </w:rPr>
        <w:lastRenderedPageBreak/>
        <w:t>efficacy outcome was the composite of the primary efficacy outcome, MI, ischemic stroke, or non-CNS systemic embolism.</w:t>
      </w:r>
    </w:p>
    <w:p w14:paraId="10605027" w14:textId="77777777" w:rsidR="00306A3D" w:rsidRPr="009454E4" w:rsidRDefault="00306A3D" w:rsidP="00AB3AD6">
      <w:pPr>
        <w:widowControl w:val="0"/>
        <w:autoSpaceDE w:val="0"/>
        <w:autoSpaceDN w:val="0"/>
        <w:adjustRightInd w:val="0"/>
        <w:spacing w:after="240"/>
        <w:ind w:left="630" w:right="46"/>
        <w:rPr>
          <w:rFonts w:eastAsia="PMingLiU" w:cs="Arial"/>
          <w:color w:val="000000"/>
          <w:szCs w:val="22"/>
          <w:lang w:eastAsia="zh-TW"/>
        </w:rPr>
      </w:pPr>
    </w:p>
    <w:p w14:paraId="59EFAC47" w14:textId="77777777" w:rsidR="009454E4" w:rsidRPr="007D79EA" w:rsidRDefault="009454E4" w:rsidP="00AB3AD6">
      <w:pPr>
        <w:widowControl w:val="0"/>
        <w:autoSpaceDE w:val="0"/>
        <w:autoSpaceDN w:val="0"/>
        <w:adjustRightInd w:val="0"/>
        <w:spacing w:after="240"/>
        <w:ind w:right="46" w:firstLine="630"/>
        <w:rPr>
          <w:rFonts w:eastAsia="PMingLiU" w:cs="Arial"/>
          <w:b/>
          <w:color w:val="000000"/>
          <w:szCs w:val="22"/>
          <w:u w:val="single"/>
          <w:lang w:val="de-DE" w:eastAsia="zh-TW"/>
        </w:rPr>
      </w:pPr>
      <w:r w:rsidRPr="007D79EA">
        <w:rPr>
          <w:rFonts w:eastAsia="PMingLiU" w:cs="Arial"/>
          <w:b/>
          <w:color w:val="000000"/>
          <w:szCs w:val="22"/>
          <w:u w:val="single"/>
          <w:lang w:val="de-DE" w:eastAsia="zh-TW"/>
        </w:rPr>
        <w:t>EINSTEIN DVT and EINSTEIN PE studies</w:t>
      </w:r>
    </w:p>
    <w:p w14:paraId="5AB0FDE7" w14:textId="77777777" w:rsidR="009454E4" w:rsidRPr="009454E4" w:rsidRDefault="009454E4" w:rsidP="00AB3AD6">
      <w:pPr>
        <w:widowControl w:val="0"/>
        <w:autoSpaceDE w:val="0"/>
        <w:autoSpaceDN w:val="0"/>
        <w:adjustRightInd w:val="0"/>
        <w:spacing w:after="240"/>
        <w:ind w:left="630" w:right="46"/>
        <w:rPr>
          <w:rFonts w:eastAsia="PMingLiU" w:cs="Arial"/>
          <w:color w:val="000000"/>
          <w:szCs w:val="22"/>
          <w:lang w:eastAsia="zh-TW"/>
        </w:rPr>
      </w:pPr>
      <w:r w:rsidRPr="009454E4">
        <w:rPr>
          <w:rFonts w:eastAsia="PMingLiU" w:cs="Arial"/>
          <w:color w:val="000000"/>
          <w:szCs w:val="22"/>
          <w:lang w:eastAsia="zh-TW"/>
        </w:rPr>
        <w:t>In the EINSTEIN DVT and EINSTEIN PE, open label, randomised, event driven non-inferiority studies, 3</w:t>
      </w:r>
      <w:r w:rsidR="0080392D">
        <w:rPr>
          <w:rFonts w:eastAsia="PMingLiU" w:cs="Arial"/>
          <w:color w:val="000000"/>
          <w:szCs w:val="22"/>
          <w:lang w:eastAsia="zh-TW"/>
        </w:rPr>
        <w:t>,</w:t>
      </w:r>
      <w:r w:rsidRPr="009454E4">
        <w:rPr>
          <w:rFonts w:eastAsia="PMingLiU" w:cs="Arial"/>
          <w:color w:val="000000"/>
          <w:szCs w:val="22"/>
          <w:lang w:eastAsia="zh-TW"/>
        </w:rPr>
        <w:t>449 patients with acute DVT were studied for the treatment of DVT and the prevention of recurrent DVT and PE; 4</w:t>
      </w:r>
      <w:r w:rsidR="0080392D">
        <w:rPr>
          <w:rFonts w:eastAsia="PMingLiU" w:cs="Arial"/>
          <w:color w:val="000000"/>
          <w:szCs w:val="22"/>
          <w:lang w:eastAsia="zh-TW"/>
        </w:rPr>
        <w:t>,</w:t>
      </w:r>
      <w:r w:rsidRPr="009454E4">
        <w:rPr>
          <w:rFonts w:eastAsia="PMingLiU" w:cs="Arial"/>
          <w:color w:val="000000"/>
          <w:szCs w:val="22"/>
          <w:lang w:eastAsia="zh-TW"/>
        </w:rPr>
        <w:t xml:space="preserve">832 patients with acute PE were studied for the treatment of PE and the prevention of recurrent DVT and PE. </w:t>
      </w:r>
      <w:r w:rsidR="00DF6C29">
        <w:rPr>
          <w:rFonts w:eastAsia="PMingLiU" w:cs="Arial"/>
          <w:color w:val="000000"/>
          <w:szCs w:val="22"/>
          <w:lang w:eastAsia="zh-TW"/>
        </w:rPr>
        <w:t xml:space="preserve"> </w:t>
      </w:r>
      <w:r w:rsidRPr="009454E4">
        <w:rPr>
          <w:rFonts w:eastAsia="PMingLiU" w:cs="Arial"/>
          <w:szCs w:val="22"/>
          <w:lang w:eastAsia="zh-TW"/>
        </w:rPr>
        <w:t>Concomitant conditions listed under</w:t>
      </w:r>
      <w:r w:rsidR="0068602B">
        <w:rPr>
          <w:rFonts w:eastAsia="PMingLiU" w:cs="Arial"/>
          <w:szCs w:val="22"/>
          <w:lang w:eastAsia="zh-TW"/>
        </w:rPr>
        <w:t xml:space="preserve"> Section 4.3</w:t>
      </w:r>
      <w:r w:rsidRPr="009454E4">
        <w:rPr>
          <w:rFonts w:eastAsia="PMingLiU" w:cs="Arial"/>
          <w:szCs w:val="22"/>
          <w:lang w:eastAsia="zh-TW"/>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00113EE0">
        <w:rPr>
          <w:rFonts w:cs="Arial"/>
          <w:noProof/>
          <w:szCs w:val="22"/>
        </w:rPr>
        <w:t xml:space="preserve"> </w:t>
      </w:r>
      <w:r w:rsidRPr="009454E4">
        <w:rPr>
          <w:rFonts w:eastAsia="PMingLiU" w:cs="Arial"/>
          <w:szCs w:val="22"/>
          <w:lang w:eastAsia="zh-TW"/>
        </w:rPr>
        <w:t>as well as subjects who had significant liver disease or ALT &gt; 3 x ULN, bacterial endocarditis, VKA treatment ind</w:t>
      </w:r>
      <w:r w:rsidR="0080392D">
        <w:rPr>
          <w:rFonts w:eastAsia="PMingLiU" w:cs="Arial"/>
          <w:szCs w:val="22"/>
          <w:lang w:eastAsia="zh-TW"/>
        </w:rPr>
        <w:t xml:space="preserve">icated other than DVT and/or PE </w:t>
      </w:r>
      <w:r w:rsidRPr="009454E4">
        <w:rPr>
          <w:rFonts w:eastAsia="PMingLiU" w:cs="Arial"/>
          <w:szCs w:val="22"/>
          <w:lang w:eastAsia="zh-TW"/>
        </w:rPr>
        <w:t>were excluded from these studies.</w:t>
      </w:r>
    </w:p>
    <w:p w14:paraId="53096627" w14:textId="77777777" w:rsidR="009454E4" w:rsidRPr="009454E4" w:rsidRDefault="009454E4" w:rsidP="00AB3AD6">
      <w:pPr>
        <w:widowControl w:val="0"/>
        <w:autoSpaceDE w:val="0"/>
        <w:autoSpaceDN w:val="0"/>
        <w:adjustRightInd w:val="0"/>
        <w:spacing w:before="120" w:after="240"/>
        <w:ind w:left="630" w:right="45"/>
        <w:rPr>
          <w:rFonts w:eastAsia="PMingLiU" w:cs="Arial"/>
          <w:color w:val="000000"/>
          <w:szCs w:val="22"/>
          <w:lang w:eastAsia="zh-TW"/>
        </w:rPr>
      </w:pPr>
      <w:r w:rsidRPr="009454E4">
        <w:rPr>
          <w:rFonts w:eastAsia="PMingLiU" w:cs="Arial"/>
          <w:color w:val="000000"/>
          <w:szCs w:val="22"/>
          <w:lang w:eastAsia="zh-TW"/>
        </w:rPr>
        <w:t xml:space="preserve">Based on the clinical judgement of the investigator, the </w:t>
      </w:r>
      <w:r w:rsidR="00DF6C29">
        <w:rPr>
          <w:rFonts w:eastAsia="PMingLiU" w:cs="Arial"/>
          <w:color w:val="000000"/>
          <w:szCs w:val="22"/>
          <w:lang w:eastAsia="zh-TW"/>
        </w:rPr>
        <w:t xml:space="preserve">treatment duration was up to 12 </w:t>
      </w:r>
      <w:r w:rsidRPr="009454E4">
        <w:rPr>
          <w:rFonts w:eastAsia="PMingLiU" w:cs="Arial"/>
          <w:color w:val="000000"/>
          <w:szCs w:val="22"/>
          <w:lang w:eastAsia="zh-TW"/>
        </w:rPr>
        <w:t>months in both studies, assigned prior to randomisation</w:t>
      </w:r>
      <w:r w:rsidR="00C0749F">
        <w:rPr>
          <w:rFonts w:eastAsia="PMingLiU" w:cs="Arial"/>
          <w:color w:val="000000"/>
          <w:szCs w:val="22"/>
          <w:lang w:eastAsia="zh-TW"/>
        </w:rPr>
        <w:t>.</w:t>
      </w:r>
      <w:r w:rsidRPr="009454E4">
        <w:rPr>
          <w:rFonts w:eastAsia="PMingLiU" w:cs="Arial"/>
          <w:color w:val="000000"/>
          <w:szCs w:val="22"/>
          <w:lang w:eastAsia="zh-TW"/>
        </w:rPr>
        <w:t xml:space="preserve"> </w:t>
      </w:r>
      <w:r w:rsidR="00DF6C29">
        <w:rPr>
          <w:rFonts w:eastAsia="PMingLiU" w:cs="Arial"/>
          <w:color w:val="000000"/>
          <w:szCs w:val="22"/>
          <w:lang w:eastAsia="zh-TW"/>
        </w:rPr>
        <w:t xml:space="preserve"> </w:t>
      </w:r>
      <w:r w:rsidRPr="009454E4">
        <w:rPr>
          <w:rFonts w:eastAsia="PMingLiU" w:cs="Arial"/>
          <w:color w:val="000000"/>
          <w:szCs w:val="22"/>
          <w:lang w:eastAsia="zh-TW"/>
        </w:rPr>
        <w:t xml:space="preserve">For the initial 3 week treatment of acute DVT and acute PE, 15 mg of </w:t>
      </w:r>
      <w:r w:rsidR="005F6704">
        <w:rPr>
          <w:rFonts w:eastAsia="PMingLiU" w:cs="Arial"/>
          <w:color w:val="000000"/>
          <w:szCs w:val="22"/>
          <w:lang w:eastAsia="zh-TW"/>
        </w:rPr>
        <w:t>XARELTO</w:t>
      </w:r>
      <w:r w:rsidRPr="009454E4">
        <w:rPr>
          <w:rFonts w:eastAsia="PMingLiU" w:cs="Arial"/>
          <w:color w:val="000000"/>
          <w:szCs w:val="22"/>
          <w:lang w:eastAsia="zh-TW"/>
        </w:rPr>
        <w:t xml:space="preserve"> was administered twice daily. </w:t>
      </w:r>
      <w:r w:rsidR="00DF6C29">
        <w:rPr>
          <w:rFonts w:eastAsia="PMingLiU" w:cs="Arial"/>
          <w:color w:val="000000"/>
          <w:szCs w:val="22"/>
          <w:lang w:eastAsia="zh-TW"/>
        </w:rPr>
        <w:t xml:space="preserve"> </w:t>
      </w:r>
      <w:r w:rsidRPr="009454E4">
        <w:rPr>
          <w:rFonts w:eastAsia="PMingLiU" w:cs="Arial"/>
          <w:color w:val="000000"/>
          <w:szCs w:val="22"/>
          <w:lang w:eastAsia="zh-TW"/>
        </w:rPr>
        <w:t xml:space="preserve">This was followed by 20 mg of </w:t>
      </w:r>
      <w:r w:rsidR="005F6704">
        <w:rPr>
          <w:rFonts w:eastAsia="PMingLiU" w:cs="Arial"/>
          <w:color w:val="000000"/>
          <w:szCs w:val="22"/>
          <w:lang w:eastAsia="zh-TW"/>
        </w:rPr>
        <w:t>XARELTO</w:t>
      </w:r>
      <w:r w:rsidRPr="009454E4">
        <w:rPr>
          <w:rFonts w:eastAsia="PMingLiU" w:cs="Arial"/>
          <w:color w:val="000000"/>
          <w:szCs w:val="22"/>
          <w:lang w:eastAsia="zh-TW"/>
        </w:rPr>
        <w:t xml:space="preserve"> once daily. </w:t>
      </w:r>
      <w:r w:rsidR="00DF6C29">
        <w:rPr>
          <w:rFonts w:eastAsia="PMingLiU" w:cs="Arial"/>
          <w:color w:val="000000"/>
          <w:szCs w:val="22"/>
          <w:lang w:eastAsia="zh-TW"/>
        </w:rPr>
        <w:t xml:space="preserve"> </w:t>
      </w:r>
      <w:r w:rsidRPr="009454E4">
        <w:rPr>
          <w:rFonts w:eastAsia="PMingLiU" w:cs="Arial"/>
          <w:color w:val="000000"/>
          <w:szCs w:val="22"/>
          <w:lang w:eastAsia="zh-TW"/>
        </w:rPr>
        <w:t>Patients with moderate renal impair</w:t>
      </w:r>
      <w:r w:rsidR="0080392D">
        <w:rPr>
          <w:rFonts w:eastAsia="PMingLiU" w:cs="Arial"/>
          <w:color w:val="000000"/>
          <w:szCs w:val="22"/>
          <w:lang w:eastAsia="zh-TW"/>
        </w:rPr>
        <w:t>ment (creatinine clearance 30 -</w:t>
      </w:r>
      <w:r w:rsidR="00DF6C29">
        <w:rPr>
          <w:rFonts w:eastAsia="PMingLiU" w:cs="Arial"/>
          <w:color w:val="000000"/>
          <w:szCs w:val="22"/>
          <w:lang w:eastAsia="zh-TW"/>
        </w:rPr>
        <w:t xml:space="preserve"> 49 </w:t>
      </w:r>
      <w:r w:rsidRPr="009454E4">
        <w:rPr>
          <w:rFonts w:eastAsia="PMingLiU" w:cs="Arial"/>
          <w:color w:val="000000"/>
          <w:szCs w:val="22"/>
          <w:lang w:eastAsia="zh-TW"/>
        </w:rPr>
        <w:t>mL/min) were treated with the same dose as patients wit</w:t>
      </w:r>
      <w:r w:rsidR="00DF6C29">
        <w:rPr>
          <w:rFonts w:eastAsia="PMingLiU" w:cs="Arial"/>
          <w:color w:val="000000"/>
          <w:szCs w:val="22"/>
          <w:lang w:eastAsia="zh-TW"/>
        </w:rPr>
        <w:t xml:space="preserve">h creatinine clearance above 50 mL/min (i.e. 15 </w:t>
      </w:r>
      <w:r w:rsidRPr="009454E4">
        <w:rPr>
          <w:rFonts w:eastAsia="PMingLiU" w:cs="Arial"/>
          <w:color w:val="000000"/>
          <w:szCs w:val="22"/>
          <w:lang w:eastAsia="zh-TW"/>
        </w:rPr>
        <w:t>mg twice daily for the first three week</w:t>
      </w:r>
      <w:r w:rsidR="00DF6C29">
        <w:rPr>
          <w:rFonts w:eastAsia="PMingLiU" w:cs="Arial"/>
          <w:color w:val="000000"/>
          <w:szCs w:val="22"/>
          <w:lang w:eastAsia="zh-TW"/>
        </w:rPr>
        <w:t xml:space="preserve">s and 20 mg once daily from day </w:t>
      </w:r>
      <w:r w:rsidRPr="009454E4">
        <w:rPr>
          <w:rFonts w:eastAsia="PMingLiU" w:cs="Arial"/>
          <w:color w:val="000000"/>
          <w:szCs w:val="22"/>
          <w:lang w:eastAsia="zh-TW"/>
        </w:rPr>
        <w:t xml:space="preserve">22 onwards). </w:t>
      </w:r>
      <w:r w:rsidR="00DF6C29">
        <w:rPr>
          <w:rFonts w:eastAsia="PMingLiU" w:cs="Arial"/>
          <w:color w:val="000000"/>
          <w:szCs w:val="22"/>
          <w:lang w:eastAsia="zh-TW"/>
        </w:rPr>
        <w:t xml:space="preserve"> </w:t>
      </w:r>
      <w:r w:rsidRPr="009454E4">
        <w:rPr>
          <w:rFonts w:eastAsia="PMingLiU" w:cs="Arial"/>
          <w:color w:val="000000"/>
          <w:szCs w:val="22"/>
          <w:lang w:eastAsia="zh-TW"/>
        </w:rPr>
        <w:t>The comparator treatment regimen consisted of enoxapa</w:t>
      </w:r>
      <w:r w:rsidR="00DF6C29">
        <w:rPr>
          <w:rFonts w:eastAsia="PMingLiU" w:cs="Arial"/>
          <w:color w:val="000000"/>
          <w:szCs w:val="22"/>
          <w:lang w:eastAsia="zh-TW"/>
        </w:rPr>
        <w:t xml:space="preserve">rin administered for at least 5 </w:t>
      </w:r>
      <w:r w:rsidRPr="009454E4">
        <w:rPr>
          <w:rFonts w:eastAsia="PMingLiU" w:cs="Arial"/>
          <w:color w:val="000000"/>
          <w:szCs w:val="22"/>
          <w:lang w:eastAsia="zh-TW"/>
        </w:rPr>
        <w:t>d</w:t>
      </w:r>
      <w:r w:rsidR="00DF6C29">
        <w:rPr>
          <w:rFonts w:eastAsia="PMingLiU" w:cs="Arial"/>
          <w:color w:val="000000"/>
          <w:szCs w:val="22"/>
          <w:lang w:eastAsia="zh-TW"/>
        </w:rPr>
        <w:t xml:space="preserve">ays in combination with vitamin </w:t>
      </w:r>
      <w:r w:rsidRPr="009454E4">
        <w:rPr>
          <w:rFonts w:eastAsia="PMingLiU" w:cs="Arial"/>
          <w:color w:val="000000"/>
          <w:szCs w:val="22"/>
          <w:lang w:eastAsia="zh-TW"/>
        </w:rPr>
        <w:t>K antagonist treatment until the prothrombin time/international normalised ratio (PT/INR) was in therapeutic range (</w:t>
      </w:r>
      <w:r w:rsidRPr="009454E4">
        <w:rPr>
          <w:rFonts w:eastAsia="PMingLiU" w:cs="Arial"/>
          <w:color w:val="000000"/>
          <w:szCs w:val="22"/>
          <w:lang w:eastAsia="zh-TW"/>
        </w:rPr>
        <w:sym w:font="Symbol" w:char="00B3"/>
      </w:r>
      <w:r w:rsidRPr="009454E4">
        <w:rPr>
          <w:rFonts w:eastAsia="PMingLiU" w:cs="Arial"/>
          <w:color w:val="000000"/>
          <w:szCs w:val="22"/>
          <w:lang w:eastAsia="zh-TW"/>
        </w:rPr>
        <w:t xml:space="preserve"> 2.0).</w:t>
      </w:r>
      <w:r w:rsidR="00DF6C29">
        <w:rPr>
          <w:rFonts w:eastAsia="PMingLiU" w:cs="Arial"/>
          <w:color w:val="000000"/>
          <w:szCs w:val="22"/>
          <w:lang w:eastAsia="zh-TW"/>
        </w:rPr>
        <w:t xml:space="preserve"> </w:t>
      </w:r>
      <w:r w:rsidRPr="009454E4">
        <w:rPr>
          <w:rFonts w:eastAsia="PMingLiU" w:cs="Arial"/>
          <w:color w:val="000000"/>
          <w:szCs w:val="22"/>
          <w:lang w:eastAsia="zh-TW"/>
        </w:rPr>
        <w:t xml:space="preserve"> Treatme</w:t>
      </w:r>
      <w:r w:rsidR="00DF6C29">
        <w:rPr>
          <w:rFonts w:eastAsia="PMingLiU" w:cs="Arial"/>
          <w:color w:val="000000"/>
          <w:szCs w:val="22"/>
          <w:lang w:eastAsia="zh-TW"/>
        </w:rPr>
        <w:t xml:space="preserve">nt was continued with a vitamin </w:t>
      </w:r>
      <w:r w:rsidRPr="009454E4">
        <w:rPr>
          <w:rFonts w:eastAsia="PMingLiU" w:cs="Arial"/>
          <w:color w:val="000000"/>
          <w:szCs w:val="22"/>
          <w:lang w:eastAsia="zh-TW"/>
        </w:rPr>
        <w:t>K antagonist dose-adjusted to maintain the PT/INR values within the t</w:t>
      </w:r>
      <w:r w:rsidR="00DF6C29">
        <w:rPr>
          <w:rFonts w:eastAsia="PMingLiU" w:cs="Arial"/>
          <w:color w:val="000000"/>
          <w:szCs w:val="22"/>
          <w:lang w:eastAsia="zh-TW"/>
        </w:rPr>
        <w:t>herapeutic range of 2.0 to 3.0.</w:t>
      </w:r>
    </w:p>
    <w:p w14:paraId="2AA0BAD7" w14:textId="77777777" w:rsidR="009454E4" w:rsidRPr="009454E4" w:rsidRDefault="009454E4" w:rsidP="00AB3AD6">
      <w:pPr>
        <w:widowControl w:val="0"/>
        <w:autoSpaceDE w:val="0"/>
        <w:autoSpaceDN w:val="0"/>
        <w:adjustRightInd w:val="0"/>
        <w:spacing w:after="240"/>
        <w:ind w:left="630" w:right="46"/>
        <w:rPr>
          <w:rFonts w:eastAsia="PMingLiU" w:cs="Arial"/>
          <w:color w:val="000000"/>
          <w:szCs w:val="22"/>
          <w:lang w:eastAsia="zh-TW"/>
        </w:rPr>
      </w:pPr>
      <w:r w:rsidRPr="009454E4">
        <w:rPr>
          <w:rFonts w:eastAsia="PMingLiU" w:cs="Arial"/>
          <w:color w:val="000000"/>
          <w:szCs w:val="22"/>
          <w:lang w:eastAsia="zh-TW"/>
        </w:rPr>
        <w:t xml:space="preserve">After randomisation, subjects allocated to the comparator arm received enoxaparin twice daily for at least 5 days in combination with VKA (overlap 4 to 5 days) and continued with VKA only after the INR had been ≥ 2 for two consecutive measurements at least 24 hours apart. </w:t>
      </w:r>
      <w:r w:rsidR="00DF6C29">
        <w:rPr>
          <w:rFonts w:eastAsia="PMingLiU" w:cs="Arial"/>
          <w:color w:val="000000"/>
          <w:szCs w:val="22"/>
          <w:lang w:eastAsia="zh-TW"/>
        </w:rPr>
        <w:t xml:space="preserve"> </w:t>
      </w:r>
      <w:r w:rsidRPr="009454E4">
        <w:rPr>
          <w:rFonts w:eastAsia="PMingLiU" w:cs="Arial"/>
          <w:color w:val="000000"/>
          <w:szCs w:val="22"/>
          <w:lang w:eastAsia="zh-TW"/>
        </w:rPr>
        <w:t>Warfarin and aceno</w:t>
      </w:r>
      <w:r w:rsidR="00DF6C29">
        <w:rPr>
          <w:rFonts w:eastAsia="PMingLiU" w:cs="Arial"/>
          <w:color w:val="000000"/>
          <w:szCs w:val="22"/>
          <w:lang w:eastAsia="zh-TW"/>
        </w:rPr>
        <w:t xml:space="preserve">coumarol were allowed as VKAs.  </w:t>
      </w:r>
      <w:r w:rsidRPr="009454E4">
        <w:rPr>
          <w:rFonts w:eastAsia="PMingLiU" w:cs="Arial"/>
          <w:color w:val="000000"/>
          <w:szCs w:val="22"/>
          <w:lang w:eastAsia="zh-TW"/>
        </w:rPr>
        <w:t xml:space="preserve">Warfarin and acenocoumarol were to be started not later than </w:t>
      </w:r>
      <w:r w:rsidR="00DF6C29">
        <w:rPr>
          <w:rFonts w:eastAsia="PMingLiU" w:cs="Arial"/>
          <w:color w:val="000000"/>
          <w:szCs w:val="22"/>
          <w:lang w:eastAsia="zh-TW"/>
        </w:rPr>
        <w:t xml:space="preserve">48 hours after randomisation.  </w:t>
      </w:r>
      <w:r w:rsidRPr="009454E4">
        <w:rPr>
          <w:rFonts w:eastAsia="PMingLiU" w:cs="Arial"/>
          <w:color w:val="000000"/>
          <w:szCs w:val="22"/>
          <w:lang w:eastAsia="zh-TW"/>
        </w:rPr>
        <w:t xml:space="preserve">VKA dosages were individually titrated and adjusted to achieve a  target INR of 2.5 and maintain the INR within the therapeutic range (range 2.0-3.0) for either 3, 6 or 12 months. </w:t>
      </w:r>
      <w:r w:rsidR="00DF6C29">
        <w:rPr>
          <w:rFonts w:eastAsia="PMingLiU" w:cs="Arial"/>
          <w:color w:val="000000"/>
          <w:szCs w:val="22"/>
          <w:lang w:eastAsia="zh-TW"/>
        </w:rPr>
        <w:t xml:space="preserve"> </w:t>
      </w:r>
      <w:r w:rsidRPr="009454E4">
        <w:rPr>
          <w:rFonts w:eastAsia="PMingLiU" w:cs="Arial"/>
          <w:color w:val="000000"/>
          <w:szCs w:val="22"/>
          <w:lang w:eastAsia="zh-TW"/>
        </w:rPr>
        <w:t>The INR had to be measured initially every 2 to 3 days, and at l</w:t>
      </w:r>
      <w:r w:rsidR="00DF6C29">
        <w:rPr>
          <w:rFonts w:eastAsia="PMingLiU" w:cs="Arial"/>
          <w:color w:val="000000"/>
          <w:szCs w:val="22"/>
          <w:lang w:eastAsia="zh-TW"/>
        </w:rPr>
        <w:t xml:space="preserve">east once monthly once stable.  </w:t>
      </w:r>
      <w:r w:rsidRPr="009454E4">
        <w:rPr>
          <w:rFonts w:eastAsia="PMingLiU" w:cs="Arial"/>
          <w:color w:val="000000"/>
          <w:szCs w:val="22"/>
          <w:lang w:eastAsia="zh-TW"/>
        </w:rPr>
        <w:t>Each centre had to specify before study start which VKA compound (warfarin or acenocoumarol) would be used during the study.</w:t>
      </w:r>
    </w:p>
    <w:p w14:paraId="732C8752" w14:textId="77777777" w:rsidR="009454E4" w:rsidRPr="009454E4" w:rsidRDefault="009454E4" w:rsidP="00AB3AD6">
      <w:pPr>
        <w:widowControl w:val="0"/>
        <w:autoSpaceDE w:val="0"/>
        <w:autoSpaceDN w:val="0"/>
        <w:adjustRightInd w:val="0"/>
        <w:spacing w:after="240"/>
        <w:ind w:left="630" w:right="46"/>
        <w:rPr>
          <w:rFonts w:ascii="TimesNewRoman" w:eastAsia="PMingLiU" w:hAnsi="TimesNewRoman" w:cs="TimesNewRoman"/>
          <w:color w:val="000000"/>
          <w:sz w:val="24"/>
          <w:szCs w:val="24"/>
          <w:lang w:eastAsia="zh-CN"/>
        </w:rPr>
      </w:pPr>
      <w:r w:rsidRPr="009454E4">
        <w:rPr>
          <w:rFonts w:eastAsia="PMingLiU" w:cs="Arial"/>
          <w:color w:val="000000"/>
          <w:szCs w:val="22"/>
          <w:lang w:eastAsia="zh-TW"/>
        </w:rPr>
        <w:t xml:space="preserve">In the ITT analysis of EINSTEIN DVT, subjects were comparable between treatment groups. </w:t>
      </w:r>
      <w:r w:rsidR="00AD243B">
        <w:rPr>
          <w:rFonts w:eastAsia="PMingLiU" w:cs="Arial"/>
          <w:color w:val="000000"/>
          <w:szCs w:val="22"/>
          <w:lang w:eastAsia="zh-TW"/>
        </w:rPr>
        <w:t xml:space="preserve"> </w:t>
      </w:r>
      <w:r w:rsidRPr="009454E4">
        <w:rPr>
          <w:rFonts w:eastAsia="PMingLiU" w:cs="Arial"/>
          <w:color w:val="000000"/>
          <w:szCs w:val="22"/>
          <w:lang w:eastAsia="zh-TW"/>
        </w:rPr>
        <w:t>About 57% of subjects were male.</w:t>
      </w:r>
      <w:r w:rsidR="00DF6C29">
        <w:rPr>
          <w:rFonts w:eastAsia="PMingLiU" w:cs="Arial"/>
          <w:color w:val="000000"/>
          <w:szCs w:val="22"/>
          <w:lang w:eastAsia="zh-TW"/>
        </w:rPr>
        <w:t xml:space="preserve"> </w:t>
      </w:r>
      <w:r w:rsidRPr="009454E4">
        <w:rPr>
          <w:rFonts w:eastAsia="PMingLiU" w:cs="Arial"/>
          <w:color w:val="000000"/>
          <w:szCs w:val="22"/>
          <w:lang w:eastAsia="zh-TW"/>
        </w:rPr>
        <w:t xml:space="preserve"> The race of about 77% of subjects was described as white, about 13% as Asian, and about 2% as black.</w:t>
      </w:r>
      <w:r w:rsidR="00DF6C29">
        <w:rPr>
          <w:rFonts w:eastAsia="PMingLiU" w:cs="Arial"/>
          <w:color w:val="000000"/>
          <w:szCs w:val="22"/>
          <w:lang w:eastAsia="zh-TW"/>
        </w:rPr>
        <w:t xml:space="preserve"> </w:t>
      </w:r>
      <w:r w:rsidRPr="009454E4">
        <w:rPr>
          <w:rFonts w:eastAsia="PMingLiU" w:cs="Arial"/>
          <w:color w:val="000000"/>
          <w:szCs w:val="22"/>
          <w:lang w:eastAsia="zh-TW"/>
        </w:rPr>
        <w:t xml:space="preserve"> Age ranged from 18-95 years in the rivaroxaban and from 18-97 years in the enoxaparin/VKA group, with a mean of approximately 56 years in both groups.</w:t>
      </w:r>
      <w:r w:rsidR="00DF6C29">
        <w:rPr>
          <w:rFonts w:eastAsia="PMingLiU" w:cs="Arial"/>
          <w:color w:val="000000"/>
          <w:szCs w:val="22"/>
          <w:lang w:eastAsia="zh-TW"/>
        </w:rPr>
        <w:t xml:space="preserve">  </w:t>
      </w:r>
      <w:r w:rsidRPr="009454E4">
        <w:rPr>
          <w:rFonts w:eastAsia="PMingLiU" w:cs="Arial"/>
          <w:color w:val="000000"/>
          <w:szCs w:val="22"/>
          <w:lang w:eastAsia="zh-TW"/>
        </w:rPr>
        <w:t>Mean body weight was about 82 kg, with ranges from 33 to 193 kg.</w:t>
      </w:r>
    </w:p>
    <w:p w14:paraId="0E503DFE" w14:textId="77777777" w:rsidR="00D9199E" w:rsidRDefault="009454E4" w:rsidP="00AB3AD6">
      <w:pPr>
        <w:widowControl w:val="0"/>
        <w:autoSpaceDE w:val="0"/>
        <w:autoSpaceDN w:val="0"/>
        <w:adjustRightInd w:val="0"/>
        <w:spacing w:after="240"/>
        <w:ind w:left="630" w:right="46"/>
        <w:rPr>
          <w:rFonts w:eastAsia="PMingLiU" w:cs="Arial"/>
          <w:color w:val="000000"/>
          <w:szCs w:val="24"/>
          <w:lang w:eastAsia="zh-CN"/>
        </w:rPr>
      </w:pPr>
      <w:r w:rsidRPr="009454E4">
        <w:rPr>
          <w:rFonts w:eastAsia="PMingLiU" w:cs="Arial"/>
          <w:color w:val="000000"/>
          <w:szCs w:val="24"/>
          <w:lang w:eastAsia="zh-CN"/>
        </w:rPr>
        <w:t xml:space="preserve">In the ITT analysis of EINSTEIN PE, subjects were comparable between treatment groups. 54.1% and 51.7% were men in the rivaroxaban and enoxaparin / VKA groups respectively. </w:t>
      </w:r>
      <w:r w:rsidR="00294A91">
        <w:rPr>
          <w:rFonts w:eastAsia="PMingLiU" w:cs="Arial"/>
          <w:color w:val="000000"/>
          <w:szCs w:val="24"/>
          <w:lang w:eastAsia="zh-CN"/>
        </w:rPr>
        <w:t xml:space="preserve"> </w:t>
      </w:r>
      <w:r w:rsidRPr="009454E4">
        <w:rPr>
          <w:rFonts w:eastAsia="PMingLiU" w:cs="Arial"/>
          <w:color w:val="000000"/>
          <w:szCs w:val="24"/>
          <w:lang w:eastAsia="zh-CN"/>
        </w:rPr>
        <w:t xml:space="preserve">The race of about 66% of subjects was described as white. </w:t>
      </w:r>
      <w:r w:rsidR="00DF6C29">
        <w:rPr>
          <w:rFonts w:eastAsia="PMingLiU" w:cs="Arial"/>
          <w:color w:val="000000"/>
          <w:szCs w:val="24"/>
          <w:lang w:eastAsia="zh-CN"/>
        </w:rPr>
        <w:t xml:space="preserve"> </w:t>
      </w:r>
      <w:r w:rsidRPr="009454E4">
        <w:rPr>
          <w:rFonts w:eastAsia="PMingLiU" w:cs="Arial"/>
          <w:color w:val="000000"/>
          <w:szCs w:val="24"/>
          <w:lang w:eastAsia="zh-CN"/>
        </w:rPr>
        <w:t xml:space="preserve">Age ranged from 18 to 97 years, with a mean of approximately 58 years in both treatment groups. </w:t>
      </w:r>
      <w:r w:rsidR="00DF6C29">
        <w:rPr>
          <w:rFonts w:eastAsia="PMingLiU" w:cs="Arial"/>
          <w:color w:val="000000"/>
          <w:szCs w:val="24"/>
          <w:lang w:eastAsia="zh-CN"/>
        </w:rPr>
        <w:t xml:space="preserve"> </w:t>
      </w:r>
      <w:r w:rsidRPr="009454E4">
        <w:rPr>
          <w:rFonts w:eastAsia="PMingLiU" w:cs="Arial"/>
          <w:color w:val="000000"/>
          <w:szCs w:val="24"/>
          <w:lang w:eastAsia="zh-CN"/>
        </w:rPr>
        <w:t>Mean body weight was about 83 kg, ranging from 35 to 220 kg.</w:t>
      </w:r>
      <w:r w:rsidR="00D9199E">
        <w:rPr>
          <w:rFonts w:eastAsia="PMingLiU" w:cs="Arial"/>
          <w:color w:val="000000"/>
          <w:szCs w:val="24"/>
          <w:lang w:eastAsia="zh-CN"/>
        </w:rPr>
        <w:br w:type="page"/>
      </w:r>
    </w:p>
    <w:p w14:paraId="3766EDA6" w14:textId="77777777" w:rsidR="009454E4" w:rsidRPr="009454E4" w:rsidRDefault="009454E4" w:rsidP="00AB3AD6">
      <w:pPr>
        <w:widowControl w:val="0"/>
        <w:autoSpaceDE w:val="0"/>
        <w:autoSpaceDN w:val="0"/>
        <w:adjustRightInd w:val="0"/>
        <w:spacing w:after="240"/>
        <w:ind w:left="630" w:right="46"/>
        <w:rPr>
          <w:rFonts w:eastAsia="PMingLiU" w:cs="Arial"/>
          <w:color w:val="000000"/>
          <w:sz w:val="21"/>
          <w:szCs w:val="22"/>
          <w:lang w:eastAsia="zh-TW"/>
        </w:rPr>
      </w:pPr>
    </w:p>
    <w:p w14:paraId="02B7D1E0" w14:textId="457BB7EF" w:rsidR="009454E4" w:rsidRPr="00476145" w:rsidRDefault="00476145" w:rsidP="00D9199E">
      <w:pPr>
        <w:pStyle w:val="Caption"/>
        <w:ind w:left="1080" w:hanging="450"/>
        <w:jc w:val="left"/>
        <w:rPr>
          <w:rFonts w:eastAsia="PMingLiU" w:cs="Arial"/>
          <w:color w:val="000000"/>
          <w:szCs w:val="24"/>
          <w:lang w:eastAsia="zh-CN"/>
        </w:rPr>
      </w:pPr>
      <w:r>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15</w:t>
      </w:r>
      <w:r w:rsidR="005D4DAE">
        <w:rPr>
          <w:noProof/>
        </w:rPr>
        <w:fldChar w:fldCharType="end"/>
      </w:r>
      <w:r>
        <w:t xml:space="preserve">: </w:t>
      </w:r>
      <w:r w:rsidRPr="00F8697B">
        <w:rPr>
          <w:rFonts w:eastAsia="PMingLiU" w:cs="Arial"/>
          <w:color w:val="000000"/>
          <w:lang w:eastAsia="zh-CN"/>
        </w:rPr>
        <w:t>Baseline patient numbers for creatinine clearance groups in EINSTEIN DVT and</w:t>
      </w:r>
      <w:r w:rsidRPr="00F8697B">
        <w:rPr>
          <w:rFonts w:eastAsia="PMingLiU" w:cs="Arial"/>
          <w:color w:val="000000"/>
          <w:sz w:val="24"/>
          <w:szCs w:val="24"/>
          <w:lang w:eastAsia="zh-CN"/>
        </w:rPr>
        <w:t xml:space="preserve"> </w:t>
      </w:r>
      <w:r w:rsidRPr="00F8697B">
        <w:rPr>
          <w:rFonts w:eastAsia="PMingLiU" w:cs="Arial"/>
          <w:color w:val="000000"/>
          <w:szCs w:val="24"/>
          <w:lang w:eastAsia="zh-CN"/>
        </w:rPr>
        <w:t>EINSTEIN PE</w:t>
      </w:r>
    </w:p>
    <w:tbl>
      <w:tblPr>
        <w:tblW w:w="858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701"/>
        <w:gridCol w:w="1843"/>
        <w:gridCol w:w="1701"/>
        <w:gridCol w:w="1701"/>
      </w:tblGrid>
      <w:tr w:rsidR="009454E4" w:rsidRPr="008B5BCF" w14:paraId="503FBDEE" w14:textId="77777777" w:rsidTr="00A21F84">
        <w:tc>
          <w:tcPr>
            <w:tcW w:w="1638" w:type="dxa"/>
            <w:shd w:val="clear" w:color="auto" w:fill="D9D9D9" w:themeFill="background1" w:themeFillShade="D9"/>
            <w:vAlign w:val="center"/>
          </w:tcPr>
          <w:p w14:paraId="60FB264F"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p>
        </w:tc>
        <w:tc>
          <w:tcPr>
            <w:tcW w:w="3544" w:type="dxa"/>
            <w:gridSpan w:val="2"/>
            <w:shd w:val="clear" w:color="auto" w:fill="D9D9D9" w:themeFill="background1" w:themeFillShade="D9"/>
            <w:vAlign w:val="center"/>
          </w:tcPr>
          <w:p w14:paraId="1DF99DCA" w14:textId="77777777" w:rsidR="009454E4" w:rsidRPr="008B5BCF" w:rsidRDefault="009454E4" w:rsidP="009454E4">
            <w:pPr>
              <w:widowControl w:val="0"/>
              <w:autoSpaceDE w:val="0"/>
              <w:autoSpaceDN w:val="0"/>
              <w:adjustRightInd w:val="0"/>
              <w:spacing w:line="276" w:lineRule="auto"/>
              <w:ind w:right="45"/>
              <w:jc w:val="center"/>
              <w:rPr>
                <w:rFonts w:eastAsia="PMingLiU" w:cs="Arial"/>
                <w:b/>
                <w:color w:val="000000"/>
                <w:sz w:val="18"/>
                <w:lang w:eastAsia="zh-TW"/>
              </w:rPr>
            </w:pPr>
            <w:r w:rsidRPr="008B5BCF">
              <w:rPr>
                <w:rFonts w:eastAsia="PMingLiU" w:cs="Arial"/>
                <w:b/>
                <w:color w:val="000000"/>
                <w:sz w:val="18"/>
                <w:lang w:eastAsia="zh-TW"/>
              </w:rPr>
              <w:t>EINSTEIN DVT</w:t>
            </w:r>
          </w:p>
        </w:tc>
        <w:tc>
          <w:tcPr>
            <w:tcW w:w="3402" w:type="dxa"/>
            <w:gridSpan w:val="2"/>
            <w:shd w:val="clear" w:color="auto" w:fill="D9D9D9" w:themeFill="background1" w:themeFillShade="D9"/>
            <w:vAlign w:val="center"/>
          </w:tcPr>
          <w:p w14:paraId="0C2706E2" w14:textId="77777777" w:rsidR="009454E4" w:rsidRPr="008B5BCF" w:rsidRDefault="009454E4" w:rsidP="009454E4">
            <w:pPr>
              <w:widowControl w:val="0"/>
              <w:autoSpaceDE w:val="0"/>
              <w:autoSpaceDN w:val="0"/>
              <w:adjustRightInd w:val="0"/>
              <w:spacing w:line="276" w:lineRule="auto"/>
              <w:ind w:right="45"/>
              <w:jc w:val="center"/>
              <w:rPr>
                <w:rFonts w:eastAsia="PMingLiU" w:cs="Arial"/>
                <w:b/>
                <w:color w:val="000000"/>
                <w:sz w:val="18"/>
                <w:lang w:eastAsia="zh-TW"/>
              </w:rPr>
            </w:pPr>
            <w:r w:rsidRPr="008B5BCF">
              <w:rPr>
                <w:rFonts w:eastAsia="PMingLiU" w:cs="Arial"/>
                <w:b/>
                <w:color w:val="000000"/>
                <w:sz w:val="18"/>
                <w:lang w:eastAsia="zh-TW"/>
              </w:rPr>
              <w:t>EINSTEIN PE</w:t>
            </w:r>
          </w:p>
        </w:tc>
      </w:tr>
      <w:tr w:rsidR="009454E4" w:rsidRPr="008B5BCF" w14:paraId="7718B467" w14:textId="77777777" w:rsidTr="00A21F84">
        <w:tc>
          <w:tcPr>
            <w:tcW w:w="1638" w:type="dxa"/>
            <w:shd w:val="clear" w:color="auto" w:fill="D9D9D9" w:themeFill="background1" w:themeFillShade="D9"/>
            <w:vAlign w:val="center"/>
          </w:tcPr>
          <w:p w14:paraId="38662549"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r w:rsidRPr="008B5BCF">
              <w:rPr>
                <w:rFonts w:eastAsia="PMingLiU" w:cs="Arial"/>
                <w:color w:val="000000"/>
                <w:sz w:val="18"/>
                <w:lang w:eastAsia="zh-TW"/>
              </w:rPr>
              <w:t>Creatinine clearance (mL/min)</w:t>
            </w:r>
          </w:p>
        </w:tc>
        <w:tc>
          <w:tcPr>
            <w:tcW w:w="1701" w:type="dxa"/>
            <w:shd w:val="clear" w:color="auto" w:fill="D9D9D9" w:themeFill="background1" w:themeFillShade="D9"/>
            <w:vAlign w:val="center"/>
          </w:tcPr>
          <w:p w14:paraId="41B1227C"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r w:rsidRPr="008B5BCF">
              <w:rPr>
                <w:rFonts w:eastAsia="PMingLiU" w:cs="Arial"/>
                <w:color w:val="000000"/>
                <w:sz w:val="18"/>
                <w:lang w:eastAsia="zh-TW"/>
              </w:rPr>
              <w:t>Rivaroxaban</w:t>
            </w:r>
          </w:p>
          <w:p w14:paraId="4384B508"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r w:rsidRPr="008B5BCF">
              <w:rPr>
                <w:rFonts w:eastAsia="PMingLiU" w:cs="Arial"/>
                <w:color w:val="000000"/>
                <w:sz w:val="18"/>
                <w:lang w:eastAsia="zh-TW"/>
              </w:rPr>
              <w:t>n = 1525</w:t>
            </w:r>
          </w:p>
        </w:tc>
        <w:tc>
          <w:tcPr>
            <w:tcW w:w="1843" w:type="dxa"/>
            <w:shd w:val="clear" w:color="auto" w:fill="D9D9D9" w:themeFill="background1" w:themeFillShade="D9"/>
            <w:vAlign w:val="center"/>
          </w:tcPr>
          <w:p w14:paraId="5521C068"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r w:rsidRPr="008B5BCF">
              <w:rPr>
                <w:rFonts w:eastAsia="PMingLiU" w:cs="Arial"/>
                <w:color w:val="000000"/>
                <w:sz w:val="18"/>
                <w:lang w:eastAsia="zh-TW"/>
              </w:rPr>
              <w:t>Enox/VKA</w:t>
            </w:r>
          </w:p>
          <w:p w14:paraId="0ADF4115"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r w:rsidRPr="008B5BCF">
              <w:rPr>
                <w:rFonts w:eastAsia="PMingLiU" w:cs="Arial"/>
                <w:color w:val="000000"/>
                <w:sz w:val="18"/>
                <w:lang w:eastAsia="zh-TW"/>
              </w:rPr>
              <w:t>n = 1571</w:t>
            </w:r>
          </w:p>
        </w:tc>
        <w:tc>
          <w:tcPr>
            <w:tcW w:w="1701" w:type="dxa"/>
            <w:shd w:val="clear" w:color="auto" w:fill="D9D9D9" w:themeFill="background1" w:themeFillShade="D9"/>
            <w:vAlign w:val="center"/>
          </w:tcPr>
          <w:p w14:paraId="31D07A4D"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r w:rsidRPr="008B5BCF">
              <w:rPr>
                <w:rFonts w:eastAsia="PMingLiU" w:cs="Arial"/>
                <w:color w:val="000000"/>
                <w:sz w:val="18"/>
                <w:lang w:eastAsia="zh-TW"/>
              </w:rPr>
              <w:t>Rivaroxaban</w:t>
            </w:r>
          </w:p>
          <w:p w14:paraId="25F0B43D"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r w:rsidRPr="008B5BCF">
              <w:rPr>
                <w:rFonts w:eastAsia="PMingLiU" w:cs="Arial"/>
                <w:color w:val="000000"/>
                <w:sz w:val="18"/>
                <w:lang w:eastAsia="zh-TW"/>
              </w:rPr>
              <w:t>n = 2419</w:t>
            </w:r>
          </w:p>
        </w:tc>
        <w:tc>
          <w:tcPr>
            <w:tcW w:w="1701" w:type="dxa"/>
            <w:shd w:val="clear" w:color="auto" w:fill="D9D9D9" w:themeFill="background1" w:themeFillShade="D9"/>
            <w:vAlign w:val="center"/>
          </w:tcPr>
          <w:p w14:paraId="1E3F60F4"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r w:rsidRPr="008B5BCF">
              <w:rPr>
                <w:rFonts w:eastAsia="PMingLiU" w:cs="Arial"/>
                <w:color w:val="000000"/>
                <w:sz w:val="18"/>
                <w:lang w:eastAsia="zh-TW"/>
              </w:rPr>
              <w:t>Enox/VKA</w:t>
            </w:r>
          </w:p>
          <w:p w14:paraId="00772D7D" w14:textId="77777777" w:rsidR="009454E4" w:rsidRPr="008B5BCF" w:rsidRDefault="009454E4" w:rsidP="009454E4">
            <w:pPr>
              <w:widowControl w:val="0"/>
              <w:autoSpaceDE w:val="0"/>
              <w:autoSpaceDN w:val="0"/>
              <w:adjustRightInd w:val="0"/>
              <w:spacing w:line="276" w:lineRule="auto"/>
              <w:ind w:right="45"/>
              <w:jc w:val="center"/>
              <w:rPr>
                <w:rFonts w:eastAsia="PMingLiU" w:cs="Arial"/>
                <w:color w:val="000000"/>
                <w:sz w:val="18"/>
                <w:lang w:eastAsia="zh-TW"/>
              </w:rPr>
            </w:pPr>
            <w:r w:rsidRPr="008B5BCF">
              <w:rPr>
                <w:rFonts w:eastAsia="PMingLiU" w:cs="Arial"/>
                <w:color w:val="000000"/>
                <w:sz w:val="18"/>
                <w:lang w:eastAsia="zh-TW"/>
              </w:rPr>
              <w:t>n = 2413</w:t>
            </w:r>
          </w:p>
        </w:tc>
      </w:tr>
      <w:tr w:rsidR="009454E4" w:rsidRPr="008B5BCF" w14:paraId="28446415" w14:textId="77777777" w:rsidTr="00D9199E">
        <w:tc>
          <w:tcPr>
            <w:tcW w:w="1638" w:type="dxa"/>
            <w:shd w:val="clear" w:color="auto" w:fill="auto"/>
            <w:vAlign w:val="center"/>
          </w:tcPr>
          <w:p w14:paraId="09CDC2C4"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TW"/>
              </w:rPr>
              <w:t>&lt; 30 mL/min (severe)</w:t>
            </w:r>
          </w:p>
        </w:tc>
        <w:tc>
          <w:tcPr>
            <w:tcW w:w="1701" w:type="dxa"/>
            <w:shd w:val="clear" w:color="auto" w:fill="auto"/>
            <w:vAlign w:val="center"/>
          </w:tcPr>
          <w:p w14:paraId="35B59512"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TW"/>
              </w:rPr>
              <w:t>6 (0.3%)</w:t>
            </w:r>
          </w:p>
        </w:tc>
        <w:tc>
          <w:tcPr>
            <w:tcW w:w="1843" w:type="dxa"/>
            <w:shd w:val="clear" w:color="auto" w:fill="auto"/>
            <w:vAlign w:val="center"/>
          </w:tcPr>
          <w:p w14:paraId="1224B267"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CN"/>
              </w:rPr>
              <w:t>9 (0.5%)</w:t>
            </w:r>
          </w:p>
        </w:tc>
        <w:tc>
          <w:tcPr>
            <w:tcW w:w="1701" w:type="dxa"/>
            <w:vAlign w:val="center"/>
          </w:tcPr>
          <w:p w14:paraId="24DCCB3F"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CN"/>
              </w:rPr>
            </w:pPr>
            <w:r w:rsidRPr="008B5BCF">
              <w:rPr>
                <w:rFonts w:eastAsia="PMingLiU" w:cs="Arial"/>
                <w:color w:val="000000"/>
                <w:sz w:val="18"/>
                <w:lang w:eastAsia="zh-CN"/>
              </w:rPr>
              <w:t>4 (0.2%)</w:t>
            </w:r>
          </w:p>
        </w:tc>
        <w:tc>
          <w:tcPr>
            <w:tcW w:w="1701" w:type="dxa"/>
            <w:vAlign w:val="center"/>
          </w:tcPr>
          <w:p w14:paraId="456E01B5"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CN"/>
              </w:rPr>
            </w:pPr>
            <w:r w:rsidRPr="008B5BCF">
              <w:rPr>
                <w:rFonts w:eastAsia="PMingLiU" w:cs="Arial"/>
                <w:color w:val="000000"/>
                <w:sz w:val="18"/>
                <w:lang w:eastAsia="zh-CN"/>
              </w:rPr>
              <w:t>2 (&lt; 0.1%)</w:t>
            </w:r>
          </w:p>
        </w:tc>
      </w:tr>
      <w:tr w:rsidR="009454E4" w:rsidRPr="008B5BCF" w14:paraId="486A18E4" w14:textId="77777777" w:rsidTr="00D9199E">
        <w:tc>
          <w:tcPr>
            <w:tcW w:w="1638" w:type="dxa"/>
            <w:shd w:val="clear" w:color="auto" w:fill="auto"/>
            <w:vAlign w:val="center"/>
          </w:tcPr>
          <w:p w14:paraId="62C03F9C" w14:textId="77777777" w:rsidR="009454E4" w:rsidRPr="008B5BCF" w:rsidRDefault="009454E4" w:rsidP="009454E4">
            <w:pPr>
              <w:widowControl w:val="0"/>
              <w:autoSpaceDE w:val="0"/>
              <w:autoSpaceDN w:val="0"/>
              <w:adjustRightInd w:val="0"/>
              <w:spacing w:before="60"/>
              <w:ind w:right="45"/>
              <w:jc w:val="center"/>
              <w:rPr>
                <w:rFonts w:eastAsia="PMingLiU" w:cs="Arial"/>
                <w:color w:val="000000"/>
                <w:sz w:val="18"/>
                <w:lang w:eastAsia="zh-TW"/>
              </w:rPr>
            </w:pPr>
            <w:r w:rsidRPr="008B5BCF">
              <w:rPr>
                <w:rFonts w:eastAsia="PMingLiU" w:cs="Arial"/>
                <w:color w:val="000000"/>
                <w:sz w:val="18"/>
                <w:lang w:eastAsia="zh-TW"/>
              </w:rPr>
              <w:t>30 - 49 mL/min (moderate)</w:t>
            </w:r>
          </w:p>
        </w:tc>
        <w:tc>
          <w:tcPr>
            <w:tcW w:w="1701" w:type="dxa"/>
            <w:shd w:val="clear" w:color="auto" w:fill="auto"/>
            <w:vAlign w:val="center"/>
          </w:tcPr>
          <w:p w14:paraId="0455368A"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CN"/>
              </w:rPr>
              <w:t>115 (6.6%)</w:t>
            </w:r>
          </w:p>
        </w:tc>
        <w:tc>
          <w:tcPr>
            <w:tcW w:w="1843" w:type="dxa"/>
            <w:shd w:val="clear" w:color="auto" w:fill="auto"/>
            <w:vAlign w:val="center"/>
          </w:tcPr>
          <w:p w14:paraId="541A1111"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TW"/>
              </w:rPr>
              <w:t>120 (7.0%)</w:t>
            </w:r>
          </w:p>
        </w:tc>
        <w:tc>
          <w:tcPr>
            <w:tcW w:w="1701" w:type="dxa"/>
            <w:vAlign w:val="center"/>
          </w:tcPr>
          <w:p w14:paraId="070D9737"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CN"/>
              </w:rPr>
            </w:pPr>
            <w:r w:rsidRPr="008B5BCF">
              <w:rPr>
                <w:rFonts w:eastAsia="PMingLiU" w:cs="Arial"/>
                <w:color w:val="000000"/>
                <w:sz w:val="18"/>
                <w:lang w:eastAsia="zh-CN"/>
              </w:rPr>
              <w:t>207 (8.6%)</w:t>
            </w:r>
          </w:p>
        </w:tc>
        <w:tc>
          <w:tcPr>
            <w:tcW w:w="1701" w:type="dxa"/>
            <w:vAlign w:val="center"/>
          </w:tcPr>
          <w:p w14:paraId="2F6ECAE2"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CN"/>
              </w:rPr>
              <w:t>191 (7.9%)</w:t>
            </w:r>
          </w:p>
        </w:tc>
      </w:tr>
      <w:tr w:rsidR="009454E4" w:rsidRPr="008B5BCF" w14:paraId="3E55DE9E" w14:textId="77777777" w:rsidTr="00D9199E">
        <w:tc>
          <w:tcPr>
            <w:tcW w:w="1638" w:type="dxa"/>
            <w:shd w:val="clear" w:color="auto" w:fill="auto"/>
            <w:vAlign w:val="center"/>
          </w:tcPr>
          <w:p w14:paraId="2949C609"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TW"/>
              </w:rPr>
              <w:t>50 - 80 mL/min (mild)</w:t>
            </w:r>
          </w:p>
        </w:tc>
        <w:tc>
          <w:tcPr>
            <w:tcW w:w="1701" w:type="dxa"/>
            <w:shd w:val="clear" w:color="auto" w:fill="auto"/>
            <w:vAlign w:val="center"/>
          </w:tcPr>
          <w:p w14:paraId="0E3F0DA1"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CN"/>
              </w:rPr>
              <w:t>393 (22.7%)</w:t>
            </w:r>
          </w:p>
        </w:tc>
        <w:tc>
          <w:tcPr>
            <w:tcW w:w="1843" w:type="dxa"/>
            <w:shd w:val="clear" w:color="auto" w:fill="auto"/>
            <w:vAlign w:val="center"/>
          </w:tcPr>
          <w:p w14:paraId="23FAA278"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CN"/>
              </w:rPr>
              <w:t>399 (23.2%)</w:t>
            </w:r>
          </w:p>
        </w:tc>
        <w:tc>
          <w:tcPr>
            <w:tcW w:w="1701" w:type="dxa"/>
            <w:vAlign w:val="center"/>
          </w:tcPr>
          <w:p w14:paraId="6137AC49"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CN"/>
              </w:rPr>
            </w:pPr>
            <w:r w:rsidRPr="008B5BCF">
              <w:rPr>
                <w:rFonts w:eastAsia="PMingLiU" w:cs="Arial"/>
                <w:color w:val="000000"/>
                <w:sz w:val="18"/>
                <w:lang w:eastAsia="zh-CN"/>
              </w:rPr>
              <w:t>637 (26.3%)</w:t>
            </w:r>
          </w:p>
        </w:tc>
        <w:tc>
          <w:tcPr>
            <w:tcW w:w="1701" w:type="dxa"/>
            <w:vAlign w:val="center"/>
          </w:tcPr>
          <w:p w14:paraId="2FD94C6E"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CN"/>
              </w:rPr>
            </w:pPr>
            <w:r w:rsidRPr="008B5BCF">
              <w:rPr>
                <w:rFonts w:eastAsia="PMingLiU" w:cs="Arial"/>
                <w:color w:val="000000"/>
                <w:sz w:val="18"/>
                <w:lang w:eastAsia="zh-CN"/>
              </w:rPr>
              <w:t>593 (24.6%)</w:t>
            </w:r>
          </w:p>
        </w:tc>
      </w:tr>
      <w:tr w:rsidR="009454E4" w:rsidRPr="008B5BCF" w14:paraId="00BB5DEE" w14:textId="77777777" w:rsidTr="00D9199E">
        <w:tc>
          <w:tcPr>
            <w:tcW w:w="1638" w:type="dxa"/>
            <w:shd w:val="clear" w:color="auto" w:fill="auto"/>
            <w:vAlign w:val="center"/>
          </w:tcPr>
          <w:p w14:paraId="7F4A3840"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TW"/>
              </w:rPr>
              <w:t>&gt; 80 mL/min (normal)</w:t>
            </w:r>
          </w:p>
        </w:tc>
        <w:tc>
          <w:tcPr>
            <w:tcW w:w="1701" w:type="dxa"/>
            <w:shd w:val="clear" w:color="auto" w:fill="auto"/>
            <w:vAlign w:val="center"/>
          </w:tcPr>
          <w:p w14:paraId="5D5CDBD2"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CN"/>
              </w:rPr>
              <w:t>1193 (68.9%)</w:t>
            </w:r>
          </w:p>
        </w:tc>
        <w:tc>
          <w:tcPr>
            <w:tcW w:w="1843" w:type="dxa"/>
            <w:shd w:val="clear" w:color="auto" w:fill="auto"/>
            <w:vAlign w:val="center"/>
          </w:tcPr>
          <w:p w14:paraId="4E69E8C5"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TW"/>
              </w:rPr>
            </w:pPr>
            <w:r w:rsidRPr="008B5BCF">
              <w:rPr>
                <w:rFonts w:eastAsia="PMingLiU" w:cs="Arial"/>
                <w:color w:val="000000"/>
                <w:sz w:val="18"/>
                <w:lang w:eastAsia="zh-CN"/>
              </w:rPr>
              <w:t>1170 (68.1%)</w:t>
            </w:r>
          </w:p>
        </w:tc>
        <w:tc>
          <w:tcPr>
            <w:tcW w:w="1701" w:type="dxa"/>
            <w:vAlign w:val="center"/>
          </w:tcPr>
          <w:p w14:paraId="5013B378"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CN"/>
              </w:rPr>
            </w:pPr>
            <w:r w:rsidRPr="008B5BCF">
              <w:rPr>
                <w:rFonts w:eastAsia="PMingLiU" w:cs="Arial"/>
                <w:color w:val="000000"/>
                <w:sz w:val="18"/>
                <w:lang w:eastAsia="zh-CN"/>
              </w:rPr>
              <w:t>1555 (64.3%)</w:t>
            </w:r>
          </w:p>
        </w:tc>
        <w:tc>
          <w:tcPr>
            <w:tcW w:w="1701" w:type="dxa"/>
            <w:vAlign w:val="center"/>
          </w:tcPr>
          <w:p w14:paraId="1ED8DDA2" w14:textId="77777777" w:rsidR="009454E4" w:rsidRPr="008B5BCF" w:rsidRDefault="009454E4" w:rsidP="009454E4">
            <w:pPr>
              <w:widowControl w:val="0"/>
              <w:autoSpaceDE w:val="0"/>
              <w:autoSpaceDN w:val="0"/>
              <w:adjustRightInd w:val="0"/>
              <w:spacing w:before="60" w:line="360" w:lineRule="auto"/>
              <w:ind w:right="45"/>
              <w:jc w:val="center"/>
              <w:rPr>
                <w:rFonts w:eastAsia="PMingLiU" w:cs="Arial"/>
                <w:color w:val="000000"/>
                <w:sz w:val="18"/>
                <w:lang w:eastAsia="zh-CN"/>
              </w:rPr>
            </w:pPr>
            <w:r w:rsidRPr="008B5BCF">
              <w:rPr>
                <w:rFonts w:eastAsia="PMingLiU" w:cs="Arial"/>
                <w:color w:val="000000"/>
                <w:sz w:val="18"/>
                <w:lang w:eastAsia="zh-CN"/>
              </w:rPr>
              <w:t>1617 (67.0%)</w:t>
            </w:r>
          </w:p>
        </w:tc>
      </w:tr>
    </w:tbl>
    <w:p w14:paraId="2F0F3147" w14:textId="77777777" w:rsidR="009454E4" w:rsidRPr="009454E4" w:rsidRDefault="009454E4" w:rsidP="009454E4">
      <w:pPr>
        <w:widowControl w:val="0"/>
        <w:autoSpaceDE w:val="0"/>
        <w:autoSpaceDN w:val="0"/>
        <w:adjustRightInd w:val="0"/>
        <w:spacing w:after="240"/>
        <w:ind w:right="46"/>
        <w:jc w:val="both"/>
        <w:rPr>
          <w:rFonts w:eastAsia="PMingLiU" w:cs="Arial"/>
          <w:color w:val="000000"/>
          <w:szCs w:val="22"/>
          <w:lang w:eastAsia="zh-TW"/>
        </w:rPr>
      </w:pPr>
    </w:p>
    <w:p w14:paraId="74E24503" w14:textId="25055D22" w:rsidR="009454E4" w:rsidRPr="008B5BCF" w:rsidRDefault="009454E4" w:rsidP="00AB3AD6">
      <w:pPr>
        <w:widowControl w:val="0"/>
        <w:autoSpaceDE w:val="0"/>
        <w:autoSpaceDN w:val="0"/>
        <w:adjustRightInd w:val="0"/>
        <w:spacing w:after="240"/>
        <w:ind w:left="630" w:right="46"/>
        <w:rPr>
          <w:rFonts w:eastAsia="PMingLiU" w:cs="Arial"/>
          <w:color w:val="000000"/>
          <w:szCs w:val="22"/>
          <w:lang w:eastAsia="zh-TW"/>
        </w:rPr>
      </w:pPr>
      <w:r w:rsidRPr="008B5BCF">
        <w:rPr>
          <w:rFonts w:eastAsia="PMingLiU" w:cs="Arial"/>
          <w:color w:val="000000"/>
          <w:szCs w:val="22"/>
          <w:lang w:eastAsia="zh-TW"/>
        </w:rPr>
        <w:t>EINSTEIN-DVT (</w:t>
      </w:r>
      <w:r w:rsidR="00F63D33">
        <w:rPr>
          <w:rFonts w:eastAsia="PMingLiU" w:cs="Arial"/>
          <w:color w:val="000000"/>
          <w:szCs w:val="22"/>
          <w:lang w:eastAsia="zh-TW"/>
        </w:rPr>
        <w:t xml:space="preserve">see </w:t>
      </w:r>
      <w:r w:rsidR="00100151" w:rsidRPr="005403C3">
        <w:rPr>
          <w:rFonts w:eastAsia="PMingLiU" w:cs="Arial"/>
          <w:color w:val="000000"/>
          <w:szCs w:val="22"/>
          <w:lang w:eastAsia="zh-TW"/>
        </w:rPr>
        <w:fldChar w:fldCharType="begin"/>
      </w:r>
      <w:r w:rsidR="00100151" w:rsidRPr="005403C3">
        <w:rPr>
          <w:rFonts w:eastAsia="PMingLiU" w:cs="Arial"/>
          <w:color w:val="000000"/>
          <w:szCs w:val="22"/>
          <w:lang w:eastAsia="zh-TW"/>
        </w:rPr>
        <w:instrText xml:space="preserve"> REF _Ref501564996 \h  \* MERGEFORMAT </w:instrText>
      </w:r>
      <w:r w:rsidR="00100151" w:rsidRPr="005403C3">
        <w:rPr>
          <w:rFonts w:eastAsia="PMingLiU" w:cs="Arial"/>
          <w:color w:val="000000"/>
          <w:szCs w:val="22"/>
          <w:lang w:eastAsia="zh-TW"/>
        </w:rPr>
      </w:r>
      <w:r w:rsidR="00100151" w:rsidRPr="005403C3">
        <w:rPr>
          <w:rFonts w:eastAsia="PMingLiU" w:cs="Arial"/>
          <w:color w:val="000000"/>
          <w:szCs w:val="22"/>
          <w:lang w:eastAsia="zh-TW"/>
        </w:rPr>
        <w:fldChar w:fldCharType="separate"/>
      </w:r>
      <w:r w:rsidR="00C51DA4" w:rsidRPr="00C51DA4">
        <w:rPr>
          <w:szCs w:val="22"/>
        </w:rPr>
        <w:t xml:space="preserve">Table </w:t>
      </w:r>
      <w:r w:rsidR="00C51DA4" w:rsidRPr="00C51DA4">
        <w:rPr>
          <w:noProof/>
          <w:szCs w:val="22"/>
        </w:rPr>
        <w:t>16</w:t>
      </w:r>
      <w:r w:rsidR="00100151" w:rsidRPr="005403C3">
        <w:rPr>
          <w:rFonts w:eastAsia="PMingLiU" w:cs="Arial"/>
          <w:color w:val="000000"/>
          <w:szCs w:val="22"/>
          <w:lang w:eastAsia="zh-TW"/>
        </w:rPr>
        <w:fldChar w:fldCharType="end"/>
      </w:r>
      <w:r w:rsidRPr="008B5BCF">
        <w:rPr>
          <w:rFonts w:eastAsia="PMingLiU" w:cs="Arial"/>
          <w:color w:val="000000"/>
          <w:szCs w:val="22"/>
          <w:lang w:eastAsia="zh-TW"/>
        </w:rPr>
        <w:t>) met its princip</w:t>
      </w:r>
      <w:r w:rsidR="005C1099" w:rsidRPr="008B5BCF">
        <w:rPr>
          <w:rFonts w:eastAsia="PMingLiU" w:cs="Arial"/>
          <w:color w:val="000000"/>
          <w:szCs w:val="22"/>
          <w:lang w:eastAsia="zh-TW"/>
        </w:rPr>
        <w:t>al</w:t>
      </w:r>
      <w:r w:rsidRPr="008B5BCF">
        <w:rPr>
          <w:rFonts w:eastAsia="PMingLiU" w:cs="Arial"/>
          <w:color w:val="000000"/>
          <w:szCs w:val="22"/>
          <w:lang w:eastAsia="zh-TW"/>
        </w:rPr>
        <w:t xml:space="preserve"> objective, demonstrating that </w:t>
      </w:r>
      <w:r w:rsidR="005F6704" w:rsidRPr="008B5BCF">
        <w:rPr>
          <w:rFonts w:eastAsia="PMingLiU" w:cs="Arial"/>
          <w:color w:val="000000"/>
          <w:szCs w:val="22"/>
          <w:lang w:eastAsia="zh-TW"/>
        </w:rPr>
        <w:t>XARELTO</w:t>
      </w:r>
      <w:r w:rsidRPr="008B5BCF">
        <w:rPr>
          <w:rFonts w:eastAsia="PMingLiU" w:cs="Arial"/>
          <w:color w:val="000000"/>
          <w:szCs w:val="22"/>
          <w:lang w:eastAsia="zh-TW"/>
        </w:rPr>
        <w:t xml:space="preserve"> was non-inferior to enoxaparin/VKA for the primary outcome of symptomatic recurrent VTE (HR of 0.68 [95% CI = 0.44 – 1.04], p &lt;0.001). </w:t>
      </w:r>
      <w:r w:rsidR="00DF6C29" w:rsidRPr="008B5BCF">
        <w:rPr>
          <w:rFonts w:eastAsia="PMingLiU" w:cs="Arial"/>
          <w:color w:val="000000"/>
          <w:szCs w:val="22"/>
          <w:lang w:eastAsia="zh-TW"/>
        </w:rPr>
        <w:t xml:space="preserve"> </w:t>
      </w:r>
      <w:r w:rsidRPr="008B5BCF">
        <w:rPr>
          <w:rFonts w:eastAsia="PMingLiU" w:cs="Arial"/>
          <w:color w:val="000000"/>
          <w:szCs w:val="22"/>
          <w:lang w:eastAsia="zh-TW"/>
        </w:rPr>
        <w:t xml:space="preserve">The pre-specified test for superiority was not statistically significant (p = 0.0764). </w:t>
      </w:r>
      <w:r w:rsidR="00DF6C29" w:rsidRPr="008B5BCF">
        <w:rPr>
          <w:rFonts w:eastAsia="PMingLiU" w:cs="Arial"/>
          <w:color w:val="000000"/>
          <w:szCs w:val="22"/>
          <w:lang w:eastAsia="zh-TW"/>
        </w:rPr>
        <w:t xml:space="preserve"> </w:t>
      </w:r>
      <w:r w:rsidRPr="008B5BCF">
        <w:rPr>
          <w:rFonts w:eastAsia="PMingLiU" w:cs="Arial"/>
          <w:color w:val="000000"/>
          <w:szCs w:val="22"/>
          <w:lang w:eastAsia="zh-TW"/>
        </w:rPr>
        <w:t xml:space="preserve">The </w:t>
      </w:r>
      <w:r w:rsidR="00DF6C29" w:rsidRPr="008B5BCF">
        <w:rPr>
          <w:rFonts w:eastAsia="PMingLiU" w:cs="Arial"/>
          <w:color w:val="000000"/>
          <w:szCs w:val="22"/>
          <w:lang w:eastAsia="zh-TW"/>
        </w:rPr>
        <w:t>incidence rates for the princip</w:t>
      </w:r>
      <w:r w:rsidR="005C1099" w:rsidRPr="008B5BCF">
        <w:rPr>
          <w:rFonts w:eastAsia="PMingLiU" w:cs="Arial"/>
          <w:color w:val="000000"/>
          <w:szCs w:val="22"/>
          <w:lang w:eastAsia="zh-TW"/>
        </w:rPr>
        <w:t>al</w:t>
      </w:r>
      <w:r w:rsidRPr="008B5BCF">
        <w:rPr>
          <w:rFonts w:eastAsia="PMingLiU" w:cs="Arial"/>
          <w:color w:val="000000"/>
          <w:szCs w:val="22"/>
          <w:lang w:eastAsia="zh-TW"/>
        </w:rPr>
        <w:t xml:space="preserve"> safety outcome (major or clinically relevant non-major bleeding events), as well as the secondary safety outcome (major bleeding events), were similar for both groups (HR of 0.97 [95% CI = 0.76 – 1.22], p = 0.77 and HR of 0.65 [95% CI = 0.33 – 1.30), p = 0.21, respectively). </w:t>
      </w:r>
      <w:r w:rsidR="00DF6C29" w:rsidRPr="008B5BCF">
        <w:rPr>
          <w:rFonts w:eastAsia="PMingLiU" w:cs="Arial"/>
          <w:color w:val="000000"/>
          <w:szCs w:val="22"/>
          <w:lang w:eastAsia="zh-TW"/>
        </w:rPr>
        <w:t xml:space="preserve"> </w:t>
      </w:r>
      <w:r w:rsidRPr="008B5BCF">
        <w:rPr>
          <w:rFonts w:eastAsia="PMingLiU" w:cs="Arial"/>
          <w:color w:val="000000"/>
          <w:szCs w:val="22"/>
          <w:lang w:eastAsia="zh-TW"/>
        </w:rPr>
        <w:t xml:space="preserve">The pre-defined secondary outcome of net clinical benefit, (the composite of the primary efficacy outcome and major bleeding events), was reported with a HR of 0.67 ([95% CI = 0.47 – 0.95], </w:t>
      </w:r>
      <w:r w:rsidR="00DF6C29" w:rsidRPr="008B5BCF">
        <w:rPr>
          <w:rFonts w:eastAsia="PMingLiU" w:cs="Arial"/>
          <w:color w:val="000000"/>
          <w:szCs w:val="22"/>
          <w:lang w:eastAsia="zh-TW"/>
        </w:rPr>
        <w:t xml:space="preserve">p = 0.03) in favour of </w:t>
      </w:r>
      <w:r w:rsidR="005F6704" w:rsidRPr="008B5BCF">
        <w:rPr>
          <w:rFonts w:eastAsia="PMingLiU" w:cs="Arial"/>
          <w:color w:val="000000"/>
          <w:szCs w:val="22"/>
          <w:lang w:eastAsia="zh-TW"/>
        </w:rPr>
        <w:t>XARELTO</w:t>
      </w:r>
      <w:r w:rsidR="00DF6C29" w:rsidRPr="008B5BCF">
        <w:rPr>
          <w:rFonts w:eastAsia="PMingLiU" w:cs="Arial"/>
          <w:color w:val="000000"/>
          <w:szCs w:val="22"/>
          <w:lang w:eastAsia="zh-TW"/>
        </w:rPr>
        <w:t>.</w:t>
      </w:r>
    </w:p>
    <w:p w14:paraId="277E6FBA" w14:textId="77777777" w:rsidR="009454E4" w:rsidRPr="008B5BCF" w:rsidRDefault="009454E4" w:rsidP="00AB3AD6">
      <w:pPr>
        <w:widowControl w:val="0"/>
        <w:autoSpaceDE w:val="0"/>
        <w:autoSpaceDN w:val="0"/>
        <w:adjustRightInd w:val="0"/>
        <w:spacing w:after="240"/>
        <w:ind w:left="630" w:right="46"/>
        <w:rPr>
          <w:rFonts w:eastAsia="PMingLiU" w:cs="Arial"/>
          <w:color w:val="000000"/>
          <w:szCs w:val="22"/>
          <w:lang w:eastAsia="zh-TW"/>
        </w:rPr>
      </w:pPr>
      <w:r w:rsidRPr="008B5BCF">
        <w:rPr>
          <w:rFonts w:eastAsia="PMingLiU" w:cs="Arial"/>
          <w:color w:val="000000"/>
          <w:szCs w:val="22"/>
          <w:lang w:eastAsia="zh-TW"/>
        </w:rPr>
        <w:t>The relative efficacy and safety findings were consistent regardless of pre-treatment (none, LMWH, unfractionated heparin or fondaparinux) as well as among the 3, 6 and 12-month durations.</w:t>
      </w:r>
      <w:r w:rsidR="00DF6C29" w:rsidRPr="008B5BCF">
        <w:rPr>
          <w:rFonts w:eastAsia="PMingLiU" w:cs="Arial"/>
          <w:color w:val="000000"/>
          <w:szCs w:val="22"/>
          <w:lang w:eastAsia="zh-TW"/>
        </w:rPr>
        <w:t xml:space="preserve"> </w:t>
      </w:r>
      <w:r w:rsidRPr="008B5BCF">
        <w:rPr>
          <w:rFonts w:eastAsia="PMingLiU" w:cs="Arial"/>
          <w:color w:val="000000"/>
          <w:szCs w:val="22"/>
          <w:lang w:eastAsia="zh-TW"/>
        </w:rPr>
        <w:t xml:space="preserve"> In terms of other secondary outcomes, vascular events occurred in 12 patients (0.7%) in the </w:t>
      </w:r>
      <w:r w:rsidR="005F6704" w:rsidRPr="008B5BCF">
        <w:rPr>
          <w:rFonts w:eastAsia="PMingLiU" w:cs="Arial"/>
          <w:color w:val="000000"/>
          <w:szCs w:val="22"/>
          <w:lang w:eastAsia="zh-TW"/>
        </w:rPr>
        <w:t>XARELTO</w:t>
      </w:r>
      <w:r w:rsidRPr="008B5BCF">
        <w:rPr>
          <w:rFonts w:eastAsia="PMingLiU" w:cs="Arial"/>
          <w:color w:val="000000"/>
          <w:szCs w:val="22"/>
          <w:lang w:eastAsia="zh-TW"/>
        </w:rPr>
        <w:t xml:space="preserve"> arm and 14 patients (0.8%) in the enoxaparin/VKA group (HR of 0.79 [95% CI = 0.36 – 1.71], p = 0.55), and total mortality accounted for 38 (2.2%) vs. 49 (2.9%) patients in the </w:t>
      </w:r>
      <w:r w:rsidR="005F6704" w:rsidRPr="008B5BCF">
        <w:rPr>
          <w:rFonts w:eastAsia="PMingLiU" w:cs="Arial"/>
          <w:color w:val="000000"/>
          <w:szCs w:val="22"/>
          <w:lang w:eastAsia="zh-TW"/>
        </w:rPr>
        <w:t>XARELTO</w:t>
      </w:r>
      <w:r w:rsidRPr="008B5BCF">
        <w:rPr>
          <w:rFonts w:eastAsia="PMingLiU" w:cs="Arial"/>
          <w:color w:val="000000"/>
          <w:szCs w:val="22"/>
          <w:lang w:eastAsia="zh-TW"/>
        </w:rPr>
        <w:t xml:space="preserve"> vs. enoxaparin/VKA arms, respectively (p = 0.06).</w:t>
      </w:r>
    </w:p>
    <w:p w14:paraId="3890F688" w14:textId="045898FE" w:rsidR="009454E4" w:rsidRPr="00F8697B" w:rsidRDefault="00E26782" w:rsidP="00D9199E">
      <w:pPr>
        <w:pStyle w:val="Caption"/>
        <w:ind w:left="630"/>
      </w:pPr>
      <w:bookmarkStart w:id="45" w:name="_Ref501564996"/>
      <w:bookmarkStart w:id="46" w:name="_Ref325642843"/>
      <w:r>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16</w:t>
      </w:r>
      <w:r w:rsidR="005D4DAE">
        <w:rPr>
          <w:noProof/>
        </w:rPr>
        <w:fldChar w:fldCharType="end"/>
      </w:r>
      <w:bookmarkEnd w:id="45"/>
      <w:r>
        <w:t xml:space="preserve">: </w:t>
      </w:r>
      <w:r w:rsidRPr="00F8697B">
        <w:rPr>
          <w:lang w:eastAsia="en-US"/>
        </w:rPr>
        <w:t>Efficacy and safety results from Phase III EINSTEIN DVT (DVT treatment)</w:t>
      </w:r>
      <w:bookmarkEnd w:id="46"/>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520"/>
        <w:gridCol w:w="2880"/>
      </w:tblGrid>
      <w:tr w:rsidR="009454E4" w:rsidRPr="009454E4" w14:paraId="26340672" w14:textId="77777777" w:rsidTr="00A21F84">
        <w:trPr>
          <w:cantSplit/>
          <w:trHeight w:val="487"/>
          <w:tblHeader/>
        </w:trPr>
        <w:tc>
          <w:tcPr>
            <w:tcW w:w="2700" w:type="dxa"/>
            <w:shd w:val="clear" w:color="auto" w:fill="D9D9D9" w:themeFill="background1" w:themeFillShade="D9"/>
            <w:vAlign w:val="center"/>
          </w:tcPr>
          <w:p w14:paraId="2C4E8F95"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Study Population</w:t>
            </w:r>
          </w:p>
        </w:tc>
        <w:tc>
          <w:tcPr>
            <w:tcW w:w="5400" w:type="dxa"/>
            <w:gridSpan w:val="2"/>
            <w:shd w:val="clear" w:color="auto" w:fill="D9D9D9" w:themeFill="background1" w:themeFillShade="D9"/>
            <w:vAlign w:val="center"/>
          </w:tcPr>
          <w:p w14:paraId="5CE7083D" w14:textId="77777777" w:rsidR="009454E4" w:rsidRPr="009454E4" w:rsidRDefault="009454E4" w:rsidP="00392EBA">
            <w:pPr>
              <w:keepNext/>
              <w:spacing w:before="60" w:after="60"/>
              <w:ind w:right="46"/>
              <w:jc w:val="center"/>
              <w:rPr>
                <w:rFonts w:cs="Arial"/>
                <w:b/>
                <w:sz w:val="18"/>
                <w:szCs w:val="18"/>
                <w:lang w:eastAsia="en-US"/>
              </w:rPr>
            </w:pPr>
            <w:r w:rsidRPr="009454E4">
              <w:rPr>
                <w:rFonts w:cs="Arial"/>
                <w:b/>
                <w:sz w:val="18"/>
                <w:szCs w:val="18"/>
                <w:lang w:eastAsia="en-US"/>
              </w:rPr>
              <w:t>3</w:t>
            </w:r>
            <w:r w:rsidR="00392EBA">
              <w:rPr>
                <w:rFonts w:cs="Arial"/>
                <w:b/>
                <w:sz w:val="18"/>
                <w:szCs w:val="18"/>
                <w:lang w:eastAsia="en-US"/>
              </w:rPr>
              <w:t>,</w:t>
            </w:r>
            <w:r w:rsidRPr="009454E4">
              <w:rPr>
                <w:rFonts w:cs="Arial"/>
                <w:b/>
                <w:sz w:val="18"/>
                <w:szCs w:val="18"/>
                <w:lang w:eastAsia="en-US"/>
              </w:rPr>
              <w:t>449 patients with symptomatic acute deep vein thrombosis</w:t>
            </w:r>
          </w:p>
        </w:tc>
      </w:tr>
      <w:tr w:rsidR="009454E4" w:rsidRPr="009454E4" w14:paraId="3DDD8120" w14:textId="77777777" w:rsidTr="00A21F84">
        <w:trPr>
          <w:cantSplit/>
          <w:tblHeader/>
        </w:trPr>
        <w:tc>
          <w:tcPr>
            <w:tcW w:w="2700" w:type="dxa"/>
            <w:shd w:val="clear" w:color="auto" w:fill="D9D9D9" w:themeFill="background1" w:themeFillShade="D9"/>
            <w:vAlign w:val="center"/>
          </w:tcPr>
          <w:p w14:paraId="34E807AD"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Treatment Dosage and Duration</w:t>
            </w:r>
          </w:p>
        </w:tc>
        <w:tc>
          <w:tcPr>
            <w:tcW w:w="2520" w:type="dxa"/>
            <w:shd w:val="clear" w:color="auto" w:fill="D9D9D9" w:themeFill="background1" w:themeFillShade="D9"/>
            <w:vAlign w:val="center"/>
          </w:tcPr>
          <w:p w14:paraId="447B3D88" w14:textId="77777777" w:rsidR="009454E4" w:rsidRPr="009454E4" w:rsidRDefault="005F6704" w:rsidP="009454E4">
            <w:pPr>
              <w:keepNext/>
              <w:spacing w:before="60" w:after="60"/>
              <w:ind w:right="46"/>
              <w:jc w:val="center"/>
              <w:rPr>
                <w:rFonts w:cs="Arial"/>
                <w:sz w:val="18"/>
                <w:szCs w:val="18"/>
                <w:lang w:eastAsia="en-US"/>
              </w:rPr>
            </w:pPr>
            <w:r>
              <w:rPr>
                <w:rFonts w:cs="Arial"/>
                <w:sz w:val="18"/>
                <w:szCs w:val="18"/>
                <w:lang w:eastAsia="en-US"/>
              </w:rPr>
              <w:t>XARELTO</w:t>
            </w:r>
            <w:r w:rsidR="009454E4" w:rsidRPr="009454E4">
              <w:rPr>
                <w:rFonts w:cs="Arial"/>
                <w:sz w:val="18"/>
                <w:szCs w:val="18"/>
                <w:lang w:eastAsia="en-US"/>
              </w:rPr>
              <w:br/>
              <w:t>15 mg BID for 3 weeks followed by 20 mg OD</w:t>
            </w:r>
            <w:r w:rsidR="009454E4" w:rsidRPr="009454E4">
              <w:rPr>
                <w:rFonts w:cs="Arial"/>
                <w:sz w:val="18"/>
                <w:szCs w:val="18"/>
                <w:lang w:eastAsia="en-US"/>
              </w:rPr>
              <w:br/>
              <w:t>3, 6 or 12 months</w:t>
            </w:r>
          </w:p>
          <w:p w14:paraId="46F46166"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N=1731</w:t>
            </w:r>
          </w:p>
        </w:tc>
        <w:tc>
          <w:tcPr>
            <w:tcW w:w="2880" w:type="dxa"/>
            <w:shd w:val="clear" w:color="auto" w:fill="D9D9D9" w:themeFill="background1" w:themeFillShade="D9"/>
            <w:vAlign w:val="center"/>
          </w:tcPr>
          <w:p w14:paraId="28495B7A"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Enoxaparin</w:t>
            </w:r>
            <w:r w:rsidRPr="009454E4">
              <w:rPr>
                <w:rFonts w:cs="Arial"/>
                <w:sz w:val="18"/>
                <w:szCs w:val="18"/>
                <w:lang w:eastAsia="en-US"/>
              </w:rPr>
              <w:br/>
              <w:t>for 5 days</w:t>
            </w:r>
            <w:r w:rsidRPr="009454E4">
              <w:rPr>
                <w:rFonts w:cs="Arial"/>
                <w:sz w:val="18"/>
                <w:szCs w:val="18"/>
                <w:lang w:eastAsia="en-US"/>
              </w:rPr>
              <w:br/>
              <w:t>followed by VKA</w:t>
            </w:r>
            <w:r w:rsidRPr="009454E4">
              <w:rPr>
                <w:rFonts w:cs="Arial"/>
                <w:sz w:val="18"/>
                <w:szCs w:val="18"/>
                <w:lang w:eastAsia="en-US"/>
              </w:rPr>
              <w:br/>
              <w:t>3, 6 or 12 months</w:t>
            </w:r>
          </w:p>
          <w:p w14:paraId="21470D7F"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N=1718</w:t>
            </w:r>
          </w:p>
        </w:tc>
      </w:tr>
      <w:tr w:rsidR="009454E4" w:rsidRPr="009454E4" w14:paraId="29182C7F" w14:textId="77777777" w:rsidTr="00D9199E">
        <w:trPr>
          <w:cantSplit/>
          <w:trHeight w:val="355"/>
        </w:trPr>
        <w:tc>
          <w:tcPr>
            <w:tcW w:w="2700" w:type="dxa"/>
            <w:shd w:val="clear" w:color="auto" w:fill="auto"/>
            <w:vAlign w:val="center"/>
          </w:tcPr>
          <w:p w14:paraId="75AF871B"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Symptomatic recurrent VTE*</w:t>
            </w:r>
          </w:p>
        </w:tc>
        <w:tc>
          <w:tcPr>
            <w:tcW w:w="2520" w:type="dxa"/>
            <w:shd w:val="clear" w:color="auto" w:fill="auto"/>
            <w:vAlign w:val="center"/>
          </w:tcPr>
          <w:p w14:paraId="69DF18E2"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36 (2.1%)</w:t>
            </w:r>
          </w:p>
        </w:tc>
        <w:tc>
          <w:tcPr>
            <w:tcW w:w="2880" w:type="dxa"/>
            <w:shd w:val="clear" w:color="auto" w:fill="auto"/>
            <w:vAlign w:val="center"/>
          </w:tcPr>
          <w:p w14:paraId="2ECA7C88"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51 (3.0%)</w:t>
            </w:r>
          </w:p>
        </w:tc>
      </w:tr>
      <w:tr w:rsidR="009454E4" w:rsidRPr="009454E4" w14:paraId="22E47B67" w14:textId="77777777" w:rsidTr="00D9199E">
        <w:trPr>
          <w:cantSplit/>
          <w:trHeight w:val="352"/>
        </w:trPr>
        <w:tc>
          <w:tcPr>
            <w:tcW w:w="2700" w:type="dxa"/>
            <w:shd w:val="clear" w:color="auto" w:fill="auto"/>
            <w:vAlign w:val="center"/>
          </w:tcPr>
          <w:p w14:paraId="1F6FDBBB"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lastRenderedPageBreak/>
              <w:t>Symptomatic recurrent PE</w:t>
            </w:r>
          </w:p>
        </w:tc>
        <w:tc>
          <w:tcPr>
            <w:tcW w:w="2520" w:type="dxa"/>
            <w:shd w:val="clear" w:color="auto" w:fill="auto"/>
            <w:vAlign w:val="center"/>
          </w:tcPr>
          <w:p w14:paraId="214D5560"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20 (1.2%)</w:t>
            </w:r>
          </w:p>
        </w:tc>
        <w:tc>
          <w:tcPr>
            <w:tcW w:w="2880" w:type="dxa"/>
            <w:shd w:val="clear" w:color="auto" w:fill="auto"/>
            <w:vAlign w:val="center"/>
          </w:tcPr>
          <w:p w14:paraId="2ED0FF72"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18 (1.0%)</w:t>
            </w:r>
          </w:p>
        </w:tc>
      </w:tr>
      <w:tr w:rsidR="009454E4" w:rsidRPr="009454E4" w14:paraId="2EC7454C" w14:textId="77777777" w:rsidTr="00D9199E">
        <w:trPr>
          <w:cantSplit/>
          <w:trHeight w:val="361"/>
        </w:trPr>
        <w:tc>
          <w:tcPr>
            <w:tcW w:w="2700" w:type="dxa"/>
            <w:shd w:val="clear" w:color="auto" w:fill="auto"/>
            <w:vAlign w:val="center"/>
          </w:tcPr>
          <w:p w14:paraId="325EE0BB"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Symptomatic recurrent DVT</w:t>
            </w:r>
          </w:p>
        </w:tc>
        <w:tc>
          <w:tcPr>
            <w:tcW w:w="2520" w:type="dxa"/>
            <w:shd w:val="clear" w:color="auto" w:fill="auto"/>
            <w:vAlign w:val="center"/>
          </w:tcPr>
          <w:p w14:paraId="7CE03641"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14 (0.8%)</w:t>
            </w:r>
          </w:p>
        </w:tc>
        <w:tc>
          <w:tcPr>
            <w:tcW w:w="2880" w:type="dxa"/>
            <w:shd w:val="clear" w:color="auto" w:fill="auto"/>
            <w:vAlign w:val="center"/>
          </w:tcPr>
          <w:p w14:paraId="408E5107"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28 (1.6%)</w:t>
            </w:r>
          </w:p>
        </w:tc>
      </w:tr>
      <w:tr w:rsidR="009454E4" w:rsidRPr="009454E4" w14:paraId="72BDA655" w14:textId="77777777" w:rsidTr="00D9199E">
        <w:trPr>
          <w:cantSplit/>
          <w:trHeight w:val="343"/>
        </w:trPr>
        <w:tc>
          <w:tcPr>
            <w:tcW w:w="2700" w:type="dxa"/>
            <w:shd w:val="clear" w:color="auto" w:fill="auto"/>
            <w:vAlign w:val="center"/>
          </w:tcPr>
          <w:p w14:paraId="2DBA4097"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Symptomatic PE and DVT</w:t>
            </w:r>
          </w:p>
        </w:tc>
        <w:tc>
          <w:tcPr>
            <w:tcW w:w="2520" w:type="dxa"/>
            <w:shd w:val="clear" w:color="auto" w:fill="auto"/>
            <w:vAlign w:val="center"/>
          </w:tcPr>
          <w:p w14:paraId="5D4C9B5F"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1 (0.1%)</w:t>
            </w:r>
          </w:p>
        </w:tc>
        <w:tc>
          <w:tcPr>
            <w:tcW w:w="2880" w:type="dxa"/>
            <w:shd w:val="clear" w:color="auto" w:fill="auto"/>
            <w:vAlign w:val="center"/>
          </w:tcPr>
          <w:p w14:paraId="5EF18664"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0</w:t>
            </w:r>
          </w:p>
        </w:tc>
      </w:tr>
      <w:tr w:rsidR="009454E4" w:rsidRPr="009454E4" w14:paraId="5B29D6B7" w14:textId="77777777" w:rsidTr="00D9199E">
        <w:trPr>
          <w:cantSplit/>
          <w:trHeight w:val="533"/>
        </w:trPr>
        <w:tc>
          <w:tcPr>
            <w:tcW w:w="2700" w:type="dxa"/>
            <w:shd w:val="clear" w:color="auto" w:fill="auto"/>
            <w:vAlign w:val="center"/>
          </w:tcPr>
          <w:p w14:paraId="70A2FC51"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Fatal PE/Death where PE cannot be ruled out</w:t>
            </w:r>
          </w:p>
        </w:tc>
        <w:tc>
          <w:tcPr>
            <w:tcW w:w="2520" w:type="dxa"/>
            <w:shd w:val="clear" w:color="auto" w:fill="auto"/>
            <w:vAlign w:val="center"/>
          </w:tcPr>
          <w:p w14:paraId="37B6AFEE"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4 (0.2%)</w:t>
            </w:r>
          </w:p>
        </w:tc>
        <w:tc>
          <w:tcPr>
            <w:tcW w:w="2880" w:type="dxa"/>
            <w:shd w:val="clear" w:color="auto" w:fill="auto"/>
            <w:vAlign w:val="center"/>
          </w:tcPr>
          <w:p w14:paraId="768804B7"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6 (0.3%)</w:t>
            </w:r>
          </w:p>
        </w:tc>
      </w:tr>
      <w:tr w:rsidR="009454E4" w:rsidRPr="009454E4" w14:paraId="5159A2A3" w14:textId="77777777" w:rsidTr="00D9199E">
        <w:trPr>
          <w:cantSplit/>
          <w:trHeight w:val="347"/>
        </w:trPr>
        <w:tc>
          <w:tcPr>
            <w:tcW w:w="2700" w:type="dxa"/>
            <w:shd w:val="clear" w:color="auto" w:fill="auto"/>
            <w:vAlign w:val="center"/>
          </w:tcPr>
          <w:p w14:paraId="6F1F1C98"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Major bleeding events</w:t>
            </w:r>
          </w:p>
        </w:tc>
        <w:tc>
          <w:tcPr>
            <w:tcW w:w="2520" w:type="dxa"/>
            <w:shd w:val="clear" w:color="auto" w:fill="auto"/>
            <w:vAlign w:val="center"/>
          </w:tcPr>
          <w:p w14:paraId="1798E590"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14 (0.8%)</w:t>
            </w:r>
          </w:p>
        </w:tc>
        <w:tc>
          <w:tcPr>
            <w:tcW w:w="2880" w:type="dxa"/>
            <w:shd w:val="clear" w:color="auto" w:fill="auto"/>
            <w:vAlign w:val="center"/>
          </w:tcPr>
          <w:p w14:paraId="5FAB7FFB"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20 (1.2%)</w:t>
            </w:r>
          </w:p>
        </w:tc>
      </w:tr>
      <w:tr w:rsidR="009454E4" w:rsidRPr="009454E4" w14:paraId="6574371B" w14:textId="77777777" w:rsidTr="00D9199E">
        <w:trPr>
          <w:cantSplit/>
          <w:trHeight w:val="347"/>
        </w:trPr>
        <w:tc>
          <w:tcPr>
            <w:tcW w:w="2700" w:type="dxa"/>
            <w:shd w:val="clear" w:color="auto" w:fill="auto"/>
            <w:vAlign w:val="center"/>
          </w:tcPr>
          <w:p w14:paraId="76C13AFA"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All-cause Mortality</w:t>
            </w:r>
          </w:p>
        </w:tc>
        <w:tc>
          <w:tcPr>
            <w:tcW w:w="2520" w:type="dxa"/>
            <w:shd w:val="clear" w:color="auto" w:fill="auto"/>
            <w:vAlign w:val="center"/>
          </w:tcPr>
          <w:p w14:paraId="6E007B02" w14:textId="77777777" w:rsidR="009454E4" w:rsidRPr="009454E4" w:rsidRDefault="009454E4" w:rsidP="009454E4">
            <w:pPr>
              <w:spacing w:before="60" w:after="60"/>
              <w:ind w:right="46"/>
              <w:jc w:val="center"/>
              <w:rPr>
                <w:rFonts w:cs="Arial"/>
                <w:sz w:val="18"/>
                <w:szCs w:val="18"/>
                <w:lang w:eastAsia="de-DE"/>
              </w:rPr>
            </w:pPr>
            <w:r w:rsidRPr="009454E4">
              <w:rPr>
                <w:rFonts w:cs="Arial"/>
                <w:sz w:val="18"/>
                <w:szCs w:val="18"/>
                <w:lang w:eastAsia="de-DE"/>
              </w:rPr>
              <w:t>38 (2.2%)</w:t>
            </w:r>
          </w:p>
        </w:tc>
        <w:tc>
          <w:tcPr>
            <w:tcW w:w="2880" w:type="dxa"/>
            <w:shd w:val="clear" w:color="auto" w:fill="auto"/>
            <w:vAlign w:val="center"/>
          </w:tcPr>
          <w:p w14:paraId="237BF50A" w14:textId="77777777" w:rsidR="009454E4" w:rsidRPr="009454E4" w:rsidRDefault="009454E4" w:rsidP="009454E4">
            <w:pPr>
              <w:spacing w:before="60" w:after="60"/>
              <w:ind w:right="46"/>
              <w:jc w:val="center"/>
              <w:rPr>
                <w:rFonts w:cs="Arial"/>
                <w:sz w:val="18"/>
                <w:szCs w:val="18"/>
                <w:lang w:eastAsia="de-DE"/>
              </w:rPr>
            </w:pPr>
            <w:r w:rsidRPr="009454E4">
              <w:rPr>
                <w:rFonts w:cs="Arial"/>
                <w:sz w:val="18"/>
                <w:szCs w:val="18"/>
                <w:lang w:eastAsia="de-DE"/>
              </w:rPr>
              <w:t>49 (2.9%)</w:t>
            </w:r>
          </w:p>
        </w:tc>
      </w:tr>
    </w:tbl>
    <w:p w14:paraId="3672E2AC" w14:textId="77777777" w:rsidR="009454E4" w:rsidRPr="009454E4" w:rsidRDefault="00DF6C29" w:rsidP="00D9199E">
      <w:pPr>
        <w:autoSpaceDE w:val="0"/>
        <w:autoSpaceDN w:val="0"/>
        <w:adjustRightInd w:val="0"/>
        <w:spacing w:after="120" w:line="300" w:lineRule="atLeast"/>
        <w:ind w:right="46" w:firstLine="630"/>
        <w:rPr>
          <w:rFonts w:eastAsia="PMingLiU" w:cs="Arial"/>
          <w:color w:val="000000"/>
          <w:lang w:eastAsia="zh-TW"/>
        </w:rPr>
      </w:pPr>
      <w:r>
        <w:rPr>
          <w:rFonts w:eastAsia="PMingLiU" w:cs="Arial"/>
          <w:color w:val="000000"/>
          <w:lang w:eastAsia="zh-TW"/>
        </w:rPr>
        <w:t xml:space="preserve">*p: &lt; </w:t>
      </w:r>
      <w:r w:rsidR="009454E4" w:rsidRPr="009454E4">
        <w:rPr>
          <w:rFonts w:eastAsia="PMingLiU" w:cs="Arial"/>
          <w:color w:val="000000"/>
          <w:lang w:eastAsia="zh-TW"/>
        </w:rPr>
        <w:t xml:space="preserve">0.0001 (non-inferiority), 0.076 (superiority), HR: 0.680 (0.443 </w:t>
      </w:r>
      <w:r w:rsidR="009454E4" w:rsidRPr="009454E4">
        <w:rPr>
          <w:rFonts w:eastAsia="PMingLiU" w:cs="Arial"/>
          <w:color w:val="000000"/>
          <w:lang w:eastAsia="zh-TW"/>
        </w:rPr>
        <w:noBreakHyphen/>
        <w:t xml:space="preserve"> 1.042)</w:t>
      </w:r>
    </w:p>
    <w:p w14:paraId="706EAE7B" w14:textId="77777777" w:rsidR="00E1748A" w:rsidRDefault="00E1748A" w:rsidP="003554CC">
      <w:pPr>
        <w:widowControl w:val="0"/>
        <w:autoSpaceDE w:val="0"/>
        <w:autoSpaceDN w:val="0"/>
        <w:adjustRightInd w:val="0"/>
        <w:spacing w:after="240"/>
        <w:ind w:left="630" w:right="46"/>
        <w:rPr>
          <w:rFonts w:eastAsia="PMingLiU" w:cs="Arial"/>
          <w:color w:val="000000"/>
          <w:szCs w:val="22"/>
          <w:lang w:eastAsia="zh-TW"/>
        </w:rPr>
      </w:pPr>
    </w:p>
    <w:p w14:paraId="6128A842" w14:textId="41BAEABF" w:rsidR="009454E4" w:rsidRPr="005403C3" w:rsidRDefault="009454E4" w:rsidP="005403C3">
      <w:pPr>
        <w:pStyle w:val="Caption"/>
        <w:ind w:left="630"/>
        <w:rPr>
          <w:rFonts w:eastAsia="PMingLiU" w:cs="Arial"/>
          <w:b w:val="0"/>
          <w:color w:val="000000"/>
          <w:lang w:eastAsia="zh-TW"/>
        </w:rPr>
      </w:pPr>
      <w:r w:rsidRPr="005403C3">
        <w:rPr>
          <w:rFonts w:eastAsia="PMingLiU" w:cs="Arial"/>
          <w:b w:val="0"/>
          <w:color w:val="000000"/>
          <w:lang w:eastAsia="zh-TW"/>
        </w:rPr>
        <w:t>In the EINSTEIN PE study (</w:t>
      </w:r>
      <w:r w:rsidR="00F63D33">
        <w:rPr>
          <w:rFonts w:eastAsia="PMingLiU" w:cs="Arial"/>
          <w:b w:val="0"/>
          <w:color w:val="000000"/>
          <w:lang w:eastAsia="zh-TW"/>
        </w:rPr>
        <w:t xml:space="preserve">see </w:t>
      </w:r>
      <w:r w:rsidR="005403C3" w:rsidRPr="005403C3">
        <w:rPr>
          <w:rFonts w:eastAsia="PMingLiU" w:cs="Arial"/>
          <w:b w:val="0"/>
          <w:color w:val="000000"/>
          <w:lang w:eastAsia="zh-TW"/>
        </w:rPr>
        <w:fldChar w:fldCharType="begin"/>
      </w:r>
      <w:r w:rsidR="005403C3" w:rsidRPr="005403C3">
        <w:rPr>
          <w:rFonts w:eastAsia="PMingLiU" w:cs="Arial"/>
          <w:b w:val="0"/>
          <w:color w:val="000000"/>
          <w:lang w:eastAsia="zh-TW"/>
        </w:rPr>
        <w:instrText xml:space="preserve"> REF _Ref501396795 \h  \* MERGEFORMAT </w:instrText>
      </w:r>
      <w:r w:rsidR="005403C3" w:rsidRPr="005403C3">
        <w:rPr>
          <w:rFonts w:eastAsia="PMingLiU" w:cs="Arial"/>
          <w:b w:val="0"/>
          <w:color w:val="000000"/>
          <w:lang w:eastAsia="zh-TW"/>
        </w:rPr>
      </w:r>
      <w:r w:rsidR="005403C3" w:rsidRPr="005403C3">
        <w:rPr>
          <w:rFonts w:eastAsia="PMingLiU" w:cs="Arial"/>
          <w:b w:val="0"/>
          <w:color w:val="000000"/>
          <w:lang w:eastAsia="zh-TW"/>
        </w:rPr>
        <w:fldChar w:fldCharType="separate"/>
      </w:r>
      <w:r w:rsidR="00C51DA4" w:rsidRPr="00C51DA4">
        <w:rPr>
          <w:b w:val="0"/>
        </w:rPr>
        <w:t xml:space="preserve">Table </w:t>
      </w:r>
      <w:r w:rsidR="00C51DA4" w:rsidRPr="00C51DA4">
        <w:rPr>
          <w:b w:val="0"/>
          <w:noProof/>
        </w:rPr>
        <w:t>17</w:t>
      </w:r>
      <w:r w:rsidR="005403C3" w:rsidRPr="005403C3">
        <w:rPr>
          <w:rFonts w:eastAsia="PMingLiU" w:cs="Arial"/>
          <w:b w:val="0"/>
          <w:color w:val="000000"/>
          <w:lang w:eastAsia="zh-TW"/>
        </w:rPr>
        <w:fldChar w:fldCharType="end"/>
      </w:r>
      <w:r w:rsidRPr="005403C3">
        <w:rPr>
          <w:rFonts w:eastAsia="PMingLiU" w:cs="Arial"/>
          <w:b w:val="0"/>
          <w:color w:val="000000"/>
          <w:lang w:eastAsia="zh-TW"/>
        </w:rPr>
        <w:t xml:space="preserve">) rivaroxaban was demonstrated to be non-inferior to enoxaparin/VKA for </w:t>
      </w:r>
      <w:r w:rsidR="00E1748A" w:rsidRPr="005403C3">
        <w:rPr>
          <w:rFonts w:eastAsia="PMingLiU" w:cs="Arial"/>
          <w:b w:val="0"/>
          <w:color w:val="000000"/>
          <w:lang w:eastAsia="zh-TW"/>
        </w:rPr>
        <w:t>the primary efficacy outcome (p=</w:t>
      </w:r>
      <w:r w:rsidRPr="005403C3">
        <w:rPr>
          <w:rFonts w:eastAsia="PMingLiU" w:cs="Arial"/>
          <w:b w:val="0"/>
          <w:color w:val="000000"/>
          <w:lang w:eastAsia="zh-TW"/>
        </w:rPr>
        <w:t>0.0026 (test for non-inferiori</w:t>
      </w:r>
      <w:r w:rsidR="00F56332" w:rsidRPr="005403C3">
        <w:rPr>
          <w:rFonts w:eastAsia="PMingLiU" w:cs="Arial"/>
          <w:b w:val="0"/>
          <w:color w:val="000000"/>
          <w:lang w:eastAsia="zh-TW"/>
        </w:rPr>
        <w:t xml:space="preserve">ty); hazard ratio: 1.12 (0.75 - </w:t>
      </w:r>
      <w:r w:rsidRPr="005403C3">
        <w:rPr>
          <w:rFonts w:eastAsia="PMingLiU" w:cs="Arial"/>
          <w:b w:val="0"/>
          <w:color w:val="000000"/>
          <w:lang w:eastAsia="zh-TW"/>
        </w:rPr>
        <w:t>1.68)).</w:t>
      </w:r>
      <w:r w:rsidR="00F56332" w:rsidRPr="005403C3">
        <w:rPr>
          <w:rFonts w:eastAsia="PMingLiU" w:cs="Arial"/>
          <w:b w:val="0"/>
          <w:color w:val="000000"/>
          <w:lang w:eastAsia="zh-TW"/>
        </w:rPr>
        <w:t xml:space="preserve"> </w:t>
      </w:r>
      <w:r w:rsidRPr="005403C3">
        <w:rPr>
          <w:rFonts w:eastAsia="PMingLiU" w:cs="Arial"/>
          <w:b w:val="0"/>
          <w:color w:val="000000"/>
          <w:lang w:eastAsia="zh-TW"/>
        </w:rPr>
        <w:t xml:space="preserve"> The pre-specified net clinical benefit (primary efficacy outcome plus major bleeding events) was reported with a haza</w:t>
      </w:r>
      <w:r w:rsidR="00F56332" w:rsidRPr="005403C3">
        <w:rPr>
          <w:rFonts w:eastAsia="PMingLiU" w:cs="Arial"/>
          <w:b w:val="0"/>
          <w:color w:val="000000"/>
          <w:lang w:eastAsia="zh-TW"/>
        </w:rPr>
        <w:t xml:space="preserve">rd ratio of 0.85 ((95% CI: 0.63 </w:t>
      </w:r>
      <w:r w:rsidRPr="005403C3">
        <w:rPr>
          <w:rFonts w:eastAsia="PMingLiU" w:cs="Arial"/>
          <w:b w:val="0"/>
          <w:color w:val="000000"/>
          <w:lang w:eastAsia="zh-TW"/>
        </w:rPr>
        <w:t>- 1.14), nominal p</w:t>
      </w:r>
      <w:r w:rsidR="00F56332" w:rsidRPr="005403C3">
        <w:rPr>
          <w:rFonts w:eastAsia="PMingLiU" w:cs="Arial"/>
          <w:b w:val="0"/>
          <w:color w:val="000000"/>
          <w:lang w:eastAsia="zh-TW"/>
        </w:rPr>
        <w:t xml:space="preserve"> </w:t>
      </w:r>
      <w:r w:rsidR="00E1748A" w:rsidRPr="005403C3">
        <w:rPr>
          <w:rFonts w:eastAsia="PMingLiU" w:cs="Arial"/>
          <w:b w:val="0"/>
          <w:color w:val="000000"/>
          <w:lang w:eastAsia="zh-TW"/>
        </w:rPr>
        <w:t>value p=</w:t>
      </w:r>
      <w:r w:rsidR="00392EBA" w:rsidRPr="005403C3">
        <w:rPr>
          <w:rFonts w:eastAsia="PMingLiU" w:cs="Arial"/>
          <w:b w:val="0"/>
          <w:color w:val="000000"/>
          <w:lang w:eastAsia="zh-TW"/>
        </w:rPr>
        <w:t>0.275).</w:t>
      </w:r>
    </w:p>
    <w:p w14:paraId="6FCBC450" w14:textId="77777777" w:rsidR="009454E4" w:rsidRPr="008B5BCF" w:rsidRDefault="009454E4" w:rsidP="00DC2E51">
      <w:pPr>
        <w:widowControl w:val="0"/>
        <w:autoSpaceDE w:val="0"/>
        <w:autoSpaceDN w:val="0"/>
        <w:adjustRightInd w:val="0"/>
        <w:spacing w:after="240"/>
        <w:ind w:left="630" w:right="46"/>
        <w:rPr>
          <w:rFonts w:eastAsia="PMingLiU" w:cs="Arial"/>
          <w:color w:val="000000"/>
          <w:szCs w:val="22"/>
          <w:lang w:eastAsia="zh-TW"/>
        </w:rPr>
      </w:pPr>
      <w:r w:rsidRPr="008B5BCF">
        <w:rPr>
          <w:rFonts w:eastAsia="PMingLiU" w:cs="Arial"/>
          <w:color w:val="000000"/>
          <w:szCs w:val="22"/>
          <w:lang w:eastAsia="zh-TW"/>
        </w:rPr>
        <w:t xml:space="preserve">The incidence rate for the primary safety outcome (major or clinically relevant non-major bleeding events) was slightly lower in the rivaroxaban treatment group (10.3% (249/2412)) than in the enoxaparin/VKA treatment group (11.4% (274/2405)). </w:t>
      </w:r>
      <w:r w:rsidR="00F56332" w:rsidRPr="008B5BCF">
        <w:rPr>
          <w:rFonts w:eastAsia="PMingLiU" w:cs="Arial"/>
          <w:color w:val="000000"/>
          <w:szCs w:val="22"/>
          <w:lang w:eastAsia="zh-TW"/>
        </w:rPr>
        <w:t xml:space="preserve"> </w:t>
      </w:r>
      <w:r w:rsidRPr="008B5BCF">
        <w:rPr>
          <w:rFonts w:eastAsia="PMingLiU" w:cs="Arial"/>
          <w:color w:val="000000"/>
          <w:szCs w:val="22"/>
          <w:lang w:eastAsia="zh-TW"/>
        </w:rPr>
        <w:t>The incidence of the secondary safety outcome (major bleeding events) was lower in the rivaroxaban group (1.1% (26/2412)) than in the enoxaparin/VKA group (2.2% (52/2405)) with a ha</w:t>
      </w:r>
      <w:r w:rsidR="00F56332" w:rsidRPr="008B5BCF">
        <w:rPr>
          <w:rFonts w:eastAsia="PMingLiU" w:cs="Arial"/>
          <w:color w:val="000000"/>
          <w:szCs w:val="22"/>
          <w:lang w:eastAsia="zh-TW"/>
        </w:rPr>
        <w:t xml:space="preserve">zard ratio 0.49 (95% CI: 0.31 - </w:t>
      </w:r>
      <w:r w:rsidRPr="008B5BCF">
        <w:rPr>
          <w:rFonts w:eastAsia="PMingLiU" w:cs="Arial"/>
          <w:color w:val="000000"/>
          <w:szCs w:val="22"/>
          <w:lang w:eastAsia="zh-TW"/>
        </w:rPr>
        <w:t>0.79; p-value for superiority 0.0032).</w:t>
      </w:r>
    </w:p>
    <w:p w14:paraId="7737372E" w14:textId="51A031BE" w:rsidR="008F6662" w:rsidRDefault="008F6662" w:rsidP="00D9199E">
      <w:pPr>
        <w:pStyle w:val="Caption"/>
        <w:ind w:firstLine="630"/>
      </w:pPr>
      <w:bookmarkStart w:id="47" w:name="_Ref501396795"/>
      <w:bookmarkStart w:id="48" w:name="_Ref325642889"/>
      <w:r>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17</w:t>
      </w:r>
      <w:r w:rsidR="005D4DAE">
        <w:rPr>
          <w:noProof/>
        </w:rPr>
        <w:fldChar w:fldCharType="end"/>
      </w:r>
      <w:bookmarkEnd w:id="47"/>
      <w:r>
        <w:t xml:space="preserve">: </w:t>
      </w:r>
      <w:r w:rsidRPr="00F8697B">
        <w:rPr>
          <w:lang w:eastAsia="en-US"/>
        </w:rPr>
        <w:t>Efficacy and safety results from Phase III EINSTEIN PE (PE treatment)</w:t>
      </w:r>
    </w:p>
    <w:tbl>
      <w:tblPr>
        <w:tblW w:w="8674" w:type="dxa"/>
        <w:tblInd w:w="648" w:type="dxa"/>
        <w:tblLook w:val="01E0" w:firstRow="1" w:lastRow="1" w:firstColumn="1" w:lastColumn="1" w:noHBand="0" w:noVBand="0"/>
      </w:tblPr>
      <w:tblGrid>
        <w:gridCol w:w="2820"/>
        <w:gridCol w:w="3120"/>
        <w:gridCol w:w="2734"/>
      </w:tblGrid>
      <w:tr w:rsidR="009454E4" w:rsidRPr="009454E4" w14:paraId="74E6C599" w14:textId="77777777" w:rsidTr="00A21F84">
        <w:trPr>
          <w:cantSplit/>
          <w:tblHeader/>
        </w:trPr>
        <w:tc>
          <w:tcPr>
            <w:tcW w:w="2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48"/>
          <w:p w14:paraId="1C4CE550" w14:textId="77777777" w:rsidR="009454E4" w:rsidRPr="009454E4" w:rsidRDefault="009454E4" w:rsidP="009454E4">
            <w:pPr>
              <w:widowControl w:val="0"/>
              <w:autoSpaceDE w:val="0"/>
              <w:autoSpaceDN w:val="0"/>
              <w:adjustRightInd w:val="0"/>
              <w:spacing w:before="120" w:after="120"/>
              <w:ind w:right="45"/>
              <w:jc w:val="center"/>
              <w:rPr>
                <w:rFonts w:eastAsia="PMingLiU" w:cs="Arial"/>
                <w:b/>
                <w:color w:val="000000"/>
                <w:sz w:val="18"/>
                <w:szCs w:val="18"/>
                <w:lang w:eastAsia="zh-TW"/>
              </w:rPr>
            </w:pPr>
            <w:r w:rsidRPr="009454E4">
              <w:rPr>
                <w:rFonts w:eastAsia="PMingLiU" w:cs="Arial"/>
                <w:b/>
                <w:color w:val="000000"/>
                <w:sz w:val="18"/>
                <w:szCs w:val="18"/>
                <w:lang w:eastAsia="zh-TW"/>
              </w:rPr>
              <w:t>Study Population</w:t>
            </w:r>
          </w:p>
        </w:tc>
        <w:tc>
          <w:tcPr>
            <w:tcW w:w="58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5DC71" w14:textId="77777777" w:rsidR="009454E4" w:rsidRPr="009454E4" w:rsidRDefault="00392EBA" w:rsidP="009454E4">
            <w:pPr>
              <w:widowControl w:val="0"/>
              <w:autoSpaceDE w:val="0"/>
              <w:autoSpaceDN w:val="0"/>
              <w:adjustRightInd w:val="0"/>
              <w:spacing w:before="120" w:after="120"/>
              <w:ind w:right="45"/>
              <w:jc w:val="center"/>
              <w:rPr>
                <w:rFonts w:eastAsia="PMingLiU" w:cs="Arial"/>
                <w:b/>
                <w:color w:val="000000"/>
                <w:sz w:val="18"/>
                <w:szCs w:val="18"/>
                <w:lang w:eastAsia="zh-TW"/>
              </w:rPr>
            </w:pPr>
            <w:r>
              <w:rPr>
                <w:rFonts w:eastAsia="PMingLiU" w:cs="Arial"/>
                <w:b/>
                <w:color w:val="000000"/>
                <w:sz w:val="18"/>
                <w:szCs w:val="18"/>
                <w:lang w:eastAsia="zh-TW"/>
              </w:rPr>
              <w:t xml:space="preserve">4,832 </w:t>
            </w:r>
            <w:r w:rsidR="009454E4" w:rsidRPr="009454E4">
              <w:rPr>
                <w:rFonts w:eastAsia="PMingLiU" w:cs="Arial"/>
                <w:b/>
                <w:color w:val="000000"/>
                <w:sz w:val="18"/>
                <w:szCs w:val="18"/>
                <w:lang w:eastAsia="zh-TW"/>
              </w:rPr>
              <w:t>patients with an acute symptomatic PE</w:t>
            </w:r>
          </w:p>
        </w:tc>
      </w:tr>
      <w:tr w:rsidR="009454E4" w:rsidRPr="009454E4" w14:paraId="68C81CB4" w14:textId="77777777" w:rsidTr="00A21F84">
        <w:trPr>
          <w:cantSplit/>
          <w:tblHeader/>
        </w:trPr>
        <w:tc>
          <w:tcPr>
            <w:tcW w:w="2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3763A9" w14:textId="77777777" w:rsidR="009454E4" w:rsidRPr="009454E4" w:rsidRDefault="009454E4" w:rsidP="009454E4">
            <w:pPr>
              <w:widowControl w:val="0"/>
              <w:autoSpaceDE w:val="0"/>
              <w:autoSpaceDN w:val="0"/>
              <w:adjustRightInd w:val="0"/>
              <w:spacing w:before="60" w:after="60"/>
              <w:ind w:right="45"/>
              <w:jc w:val="both"/>
              <w:rPr>
                <w:rFonts w:eastAsia="PMingLiU" w:cs="Arial"/>
                <w:b/>
                <w:color w:val="000000"/>
                <w:sz w:val="18"/>
                <w:szCs w:val="18"/>
                <w:lang w:eastAsia="zh-TW"/>
              </w:rPr>
            </w:pPr>
            <w:r w:rsidRPr="009454E4">
              <w:rPr>
                <w:rFonts w:eastAsia="PMingLiU" w:cs="Arial"/>
                <w:b/>
                <w:color w:val="000000"/>
                <w:sz w:val="18"/>
                <w:szCs w:val="18"/>
                <w:lang w:eastAsia="zh-TW"/>
              </w:rPr>
              <w:t>Treatment dosage and duration</w:t>
            </w:r>
          </w:p>
        </w:tc>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72594" w14:textId="77777777" w:rsidR="009454E4" w:rsidRPr="009454E4" w:rsidRDefault="005F6704" w:rsidP="009454E4">
            <w:pPr>
              <w:widowControl w:val="0"/>
              <w:autoSpaceDE w:val="0"/>
              <w:autoSpaceDN w:val="0"/>
              <w:adjustRightInd w:val="0"/>
              <w:spacing w:before="60" w:after="60"/>
              <w:ind w:right="45"/>
              <w:jc w:val="center"/>
              <w:rPr>
                <w:rFonts w:eastAsia="PMingLiU" w:cs="Arial"/>
                <w:color w:val="000000"/>
                <w:sz w:val="18"/>
                <w:szCs w:val="18"/>
                <w:lang w:eastAsia="zh-TW"/>
              </w:rPr>
            </w:pPr>
            <w:r>
              <w:rPr>
                <w:rFonts w:eastAsia="PMingLiU" w:cs="Arial"/>
                <w:color w:val="000000"/>
                <w:sz w:val="18"/>
                <w:szCs w:val="18"/>
                <w:lang w:eastAsia="zh-TW"/>
              </w:rPr>
              <w:t>XARELTO</w:t>
            </w:r>
          </w:p>
          <w:p w14:paraId="0369A125"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15 mg BID for 3 weeks followed by 20 mg OD</w:t>
            </w:r>
          </w:p>
          <w:p w14:paraId="0657BE05"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3, 6 or 12 months</w:t>
            </w:r>
          </w:p>
          <w:p w14:paraId="6F21746B"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N = 2419</w:t>
            </w:r>
          </w:p>
        </w:tc>
        <w:tc>
          <w:tcPr>
            <w:tcW w:w="2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C2C52"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Enoxaparin for 5 days followed by VKA</w:t>
            </w:r>
          </w:p>
          <w:p w14:paraId="43BD44F1"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3, 6 or 12 months</w:t>
            </w:r>
          </w:p>
          <w:p w14:paraId="4F0AB4D5"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N = 2413</w:t>
            </w:r>
          </w:p>
        </w:tc>
      </w:tr>
      <w:tr w:rsidR="009454E4" w:rsidRPr="009454E4" w14:paraId="6466FECB" w14:textId="77777777" w:rsidTr="00D9199E">
        <w:trPr>
          <w:cantSplit/>
        </w:trPr>
        <w:tc>
          <w:tcPr>
            <w:tcW w:w="2820" w:type="dxa"/>
            <w:tcBorders>
              <w:top w:val="single" w:sz="4" w:space="0" w:color="auto"/>
              <w:left w:val="single" w:sz="4" w:space="0" w:color="auto"/>
              <w:bottom w:val="single" w:sz="4" w:space="0" w:color="auto"/>
              <w:right w:val="single" w:sz="4" w:space="0" w:color="auto"/>
            </w:tcBorders>
            <w:vAlign w:val="center"/>
            <w:hideMark/>
          </w:tcPr>
          <w:p w14:paraId="6002109D" w14:textId="77777777" w:rsidR="009454E4" w:rsidRPr="009454E4" w:rsidRDefault="009454E4" w:rsidP="009454E4">
            <w:pPr>
              <w:widowControl w:val="0"/>
              <w:autoSpaceDE w:val="0"/>
              <w:autoSpaceDN w:val="0"/>
              <w:adjustRightInd w:val="0"/>
              <w:spacing w:before="60" w:after="60"/>
              <w:ind w:right="45"/>
              <w:jc w:val="both"/>
              <w:rPr>
                <w:rFonts w:eastAsia="PMingLiU" w:cs="Arial"/>
                <w:b/>
                <w:color w:val="000000"/>
                <w:sz w:val="18"/>
                <w:szCs w:val="18"/>
                <w:lang w:eastAsia="zh-TW"/>
              </w:rPr>
            </w:pPr>
            <w:r w:rsidRPr="009454E4">
              <w:rPr>
                <w:rFonts w:eastAsia="PMingLiU" w:cs="Arial"/>
                <w:b/>
                <w:color w:val="000000"/>
                <w:sz w:val="18"/>
                <w:szCs w:val="18"/>
                <w:lang w:eastAsia="zh-TW"/>
              </w:rPr>
              <w:t>Symptomatic recurrent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A442E1A"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50 (2.1%)</w:t>
            </w:r>
          </w:p>
        </w:tc>
        <w:tc>
          <w:tcPr>
            <w:tcW w:w="2734" w:type="dxa"/>
            <w:tcBorders>
              <w:top w:val="single" w:sz="4" w:space="0" w:color="auto"/>
              <w:left w:val="single" w:sz="4" w:space="0" w:color="auto"/>
              <w:bottom w:val="single" w:sz="4" w:space="0" w:color="auto"/>
              <w:right w:val="single" w:sz="4" w:space="0" w:color="auto"/>
            </w:tcBorders>
            <w:vAlign w:val="center"/>
            <w:hideMark/>
          </w:tcPr>
          <w:p w14:paraId="34A977D5"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44 (1.8%)</w:t>
            </w:r>
          </w:p>
        </w:tc>
      </w:tr>
      <w:tr w:rsidR="009454E4" w:rsidRPr="009454E4" w14:paraId="6E920867" w14:textId="77777777" w:rsidTr="00D9199E">
        <w:trPr>
          <w:cantSplit/>
        </w:trPr>
        <w:tc>
          <w:tcPr>
            <w:tcW w:w="2820" w:type="dxa"/>
            <w:tcBorders>
              <w:top w:val="single" w:sz="4" w:space="0" w:color="auto"/>
              <w:left w:val="single" w:sz="4" w:space="0" w:color="auto"/>
              <w:bottom w:val="single" w:sz="4" w:space="0" w:color="auto"/>
              <w:right w:val="single" w:sz="4" w:space="0" w:color="auto"/>
            </w:tcBorders>
            <w:vAlign w:val="center"/>
            <w:hideMark/>
          </w:tcPr>
          <w:p w14:paraId="5E499879" w14:textId="77777777" w:rsidR="009454E4" w:rsidRPr="009454E4" w:rsidRDefault="009454E4" w:rsidP="009454E4">
            <w:pPr>
              <w:widowControl w:val="0"/>
              <w:autoSpaceDE w:val="0"/>
              <w:autoSpaceDN w:val="0"/>
              <w:adjustRightInd w:val="0"/>
              <w:spacing w:before="60" w:after="60"/>
              <w:ind w:right="45"/>
              <w:jc w:val="both"/>
              <w:rPr>
                <w:rFonts w:eastAsia="PMingLiU" w:cs="Arial"/>
                <w:b/>
                <w:color w:val="000000"/>
                <w:sz w:val="18"/>
                <w:szCs w:val="18"/>
                <w:lang w:eastAsia="zh-TW"/>
              </w:rPr>
            </w:pPr>
            <w:r w:rsidRPr="009454E4">
              <w:rPr>
                <w:rFonts w:eastAsia="PMingLiU" w:cs="Arial"/>
                <w:b/>
                <w:color w:val="000000"/>
                <w:sz w:val="18"/>
                <w:szCs w:val="18"/>
                <w:lang w:eastAsia="zh-TW"/>
              </w:rPr>
              <w:t xml:space="preserve">     Symptomatic recurrent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86B34EB"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23 (1.0%)</w:t>
            </w:r>
          </w:p>
        </w:tc>
        <w:tc>
          <w:tcPr>
            <w:tcW w:w="2734" w:type="dxa"/>
            <w:tcBorders>
              <w:top w:val="single" w:sz="4" w:space="0" w:color="auto"/>
              <w:left w:val="single" w:sz="4" w:space="0" w:color="auto"/>
              <w:bottom w:val="single" w:sz="4" w:space="0" w:color="auto"/>
              <w:right w:val="single" w:sz="4" w:space="0" w:color="auto"/>
            </w:tcBorders>
            <w:vAlign w:val="center"/>
            <w:hideMark/>
          </w:tcPr>
          <w:p w14:paraId="53DA08D7"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20 (0.8%)</w:t>
            </w:r>
          </w:p>
        </w:tc>
      </w:tr>
      <w:tr w:rsidR="009454E4" w:rsidRPr="009454E4" w14:paraId="75DD633E" w14:textId="77777777" w:rsidTr="00D9199E">
        <w:trPr>
          <w:cantSplit/>
        </w:trPr>
        <w:tc>
          <w:tcPr>
            <w:tcW w:w="2820" w:type="dxa"/>
            <w:tcBorders>
              <w:top w:val="single" w:sz="4" w:space="0" w:color="auto"/>
              <w:left w:val="single" w:sz="4" w:space="0" w:color="auto"/>
              <w:bottom w:val="single" w:sz="4" w:space="0" w:color="auto"/>
              <w:right w:val="single" w:sz="4" w:space="0" w:color="auto"/>
            </w:tcBorders>
            <w:vAlign w:val="center"/>
            <w:hideMark/>
          </w:tcPr>
          <w:p w14:paraId="735951A0" w14:textId="77777777" w:rsidR="009454E4" w:rsidRPr="009454E4" w:rsidRDefault="009454E4" w:rsidP="009454E4">
            <w:pPr>
              <w:widowControl w:val="0"/>
              <w:autoSpaceDE w:val="0"/>
              <w:autoSpaceDN w:val="0"/>
              <w:adjustRightInd w:val="0"/>
              <w:spacing w:before="60" w:after="60"/>
              <w:ind w:right="45"/>
              <w:jc w:val="both"/>
              <w:rPr>
                <w:rFonts w:eastAsia="PMingLiU" w:cs="Arial"/>
                <w:b/>
                <w:color w:val="000000"/>
                <w:sz w:val="18"/>
                <w:szCs w:val="18"/>
                <w:lang w:eastAsia="zh-TW"/>
              </w:rPr>
            </w:pPr>
            <w:r w:rsidRPr="009454E4">
              <w:rPr>
                <w:rFonts w:eastAsia="PMingLiU" w:cs="Arial"/>
                <w:b/>
                <w:color w:val="000000"/>
                <w:sz w:val="18"/>
                <w:szCs w:val="18"/>
                <w:lang w:eastAsia="zh-TW"/>
              </w:rPr>
              <w:t xml:space="preserve">    Symptomatic recurrent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49D4ADB"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18 (0.7%)</w:t>
            </w:r>
          </w:p>
        </w:tc>
        <w:tc>
          <w:tcPr>
            <w:tcW w:w="2734" w:type="dxa"/>
            <w:tcBorders>
              <w:top w:val="single" w:sz="4" w:space="0" w:color="auto"/>
              <w:left w:val="single" w:sz="4" w:space="0" w:color="auto"/>
              <w:bottom w:val="single" w:sz="4" w:space="0" w:color="auto"/>
              <w:right w:val="single" w:sz="4" w:space="0" w:color="auto"/>
            </w:tcBorders>
            <w:vAlign w:val="center"/>
            <w:hideMark/>
          </w:tcPr>
          <w:p w14:paraId="614D8468"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17 (0.7%)</w:t>
            </w:r>
          </w:p>
        </w:tc>
      </w:tr>
      <w:tr w:rsidR="009454E4" w:rsidRPr="009454E4" w14:paraId="65A9D18D" w14:textId="77777777" w:rsidTr="00D9199E">
        <w:trPr>
          <w:cantSplit/>
        </w:trPr>
        <w:tc>
          <w:tcPr>
            <w:tcW w:w="2820" w:type="dxa"/>
            <w:tcBorders>
              <w:top w:val="single" w:sz="4" w:space="0" w:color="auto"/>
              <w:left w:val="single" w:sz="4" w:space="0" w:color="auto"/>
              <w:bottom w:val="single" w:sz="4" w:space="0" w:color="auto"/>
              <w:right w:val="single" w:sz="4" w:space="0" w:color="auto"/>
            </w:tcBorders>
            <w:vAlign w:val="center"/>
            <w:hideMark/>
          </w:tcPr>
          <w:p w14:paraId="49353D14" w14:textId="77777777" w:rsidR="009454E4" w:rsidRPr="009454E4" w:rsidRDefault="009454E4" w:rsidP="009454E4">
            <w:pPr>
              <w:widowControl w:val="0"/>
              <w:autoSpaceDE w:val="0"/>
              <w:autoSpaceDN w:val="0"/>
              <w:adjustRightInd w:val="0"/>
              <w:spacing w:before="60" w:after="60"/>
              <w:ind w:right="45"/>
              <w:jc w:val="both"/>
              <w:rPr>
                <w:rFonts w:eastAsia="PMingLiU" w:cs="Arial"/>
                <w:b/>
                <w:color w:val="000000"/>
                <w:sz w:val="18"/>
                <w:szCs w:val="18"/>
                <w:lang w:eastAsia="zh-TW"/>
              </w:rPr>
            </w:pPr>
            <w:r w:rsidRPr="009454E4">
              <w:rPr>
                <w:rFonts w:eastAsia="PMingLiU" w:cs="Arial"/>
                <w:b/>
                <w:color w:val="000000"/>
                <w:sz w:val="18"/>
                <w:szCs w:val="18"/>
                <w:lang w:eastAsia="zh-TW"/>
              </w:rPr>
              <w:t xml:space="preserve">    Symptomatic PE and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A751657"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0</w:t>
            </w:r>
          </w:p>
        </w:tc>
        <w:tc>
          <w:tcPr>
            <w:tcW w:w="2734" w:type="dxa"/>
            <w:tcBorders>
              <w:top w:val="single" w:sz="4" w:space="0" w:color="auto"/>
              <w:left w:val="single" w:sz="4" w:space="0" w:color="auto"/>
              <w:bottom w:val="single" w:sz="4" w:space="0" w:color="auto"/>
              <w:right w:val="single" w:sz="4" w:space="0" w:color="auto"/>
            </w:tcBorders>
            <w:vAlign w:val="center"/>
            <w:hideMark/>
          </w:tcPr>
          <w:p w14:paraId="18E6B491"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2 (&lt; 0.1%)</w:t>
            </w:r>
          </w:p>
        </w:tc>
      </w:tr>
      <w:tr w:rsidR="009454E4" w:rsidRPr="009454E4" w14:paraId="3EDFD696" w14:textId="77777777" w:rsidTr="00D9199E">
        <w:trPr>
          <w:cantSplit/>
        </w:trPr>
        <w:tc>
          <w:tcPr>
            <w:tcW w:w="2820" w:type="dxa"/>
            <w:tcBorders>
              <w:top w:val="single" w:sz="4" w:space="0" w:color="auto"/>
              <w:left w:val="single" w:sz="4" w:space="0" w:color="auto"/>
              <w:bottom w:val="single" w:sz="4" w:space="0" w:color="auto"/>
              <w:right w:val="single" w:sz="4" w:space="0" w:color="auto"/>
            </w:tcBorders>
            <w:vAlign w:val="center"/>
            <w:hideMark/>
          </w:tcPr>
          <w:p w14:paraId="3ED8F4E0" w14:textId="77777777" w:rsidR="009454E4" w:rsidRPr="009454E4" w:rsidRDefault="009454E4" w:rsidP="009454E4">
            <w:pPr>
              <w:widowControl w:val="0"/>
              <w:autoSpaceDE w:val="0"/>
              <w:autoSpaceDN w:val="0"/>
              <w:adjustRightInd w:val="0"/>
              <w:spacing w:before="60" w:after="60"/>
              <w:ind w:left="176" w:right="45"/>
              <w:jc w:val="both"/>
              <w:rPr>
                <w:rFonts w:eastAsia="PMingLiU" w:cs="Arial"/>
                <w:b/>
                <w:color w:val="000000"/>
                <w:sz w:val="18"/>
                <w:szCs w:val="18"/>
                <w:lang w:eastAsia="zh-TW"/>
              </w:rPr>
            </w:pPr>
            <w:r w:rsidRPr="009454E4">
              <w:rPr>
                <w:rFonts w:eastAsia="PMingLiU" w:cs="Arial"/>
                <w:b/>
                <w:color w:val="000000"/>
                <w:sz w:val="18"/>
                <w:szCs w:val="18"/>
                <w:lang w:eastAsia="zh-TW"/>
              </w:rPr>
              <w:t>Fatal PE/Death where PE cannot  be ruled out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437095F"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11 (0.5%)</w:t>
            </w:r>
          </w:p>
        </w:tc>
        <w:tc>
          <w:tcPr>
            <w:tcW w:w="2734" w:type="dxa"/>
            <w:tcBorders>
              <w:top w:val="single" w:sz="4" w:space="0" w:color="auto"/>
              <w:left w:val="single" w:sz="4" w:space="0" w:color="auto"/>
              <w:bottom w:val="single" w:sz="4" w:space="0" w:color="auto"/>
              <w:right w:val="single" w:sz="4" w:space="0" w:color="auto"/>
            </w:tcBorders>
            <w:vAlign w:val="center"/>
            <w:hideMark/>
          </w:tcPr>
          <w:p w14:paraId="6E6F4CBD"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7 (0.3%)</w:t>
            </w:r>
          </w:p>
        </w:tc>
      </w:tr>
      <w:tr w:rsidR="009454E4" w:rsidRPr="009454E4" w14:paraId="301CF8D9" w14:textId="77777777" w:rsidTr="00D9199E">
        <w:trPr>
          <w:cantSplit/>
        </w:trPr>
        <w:tc>
          <w:tcPr>
            <w:tcW w:w="2820" w:type="dxa"/>
            <w:tcBorders>
              <w:top w:val="single" w:sz="4" w:space="0" w:color="auto"/>
              <w:left w:val="single" w:sz="4" w:space="0" w:color="auto"/>
              <w:bottom w:val="single" w:sz="4" w:space="0" w:color="auto"/>
              <w:right w:val="single" w:sz="4" w:space="0" w:color="auto"/>
            </w:tcBorders>
            <w:vAlign w:val="center"/>
            <w:hideMark/>
          </w:tcPr>
          <w:p w14:paraId="2C380FEF" w14:textId="77777777" w:rsidR="009454E4" w:rsidRPr="009454E4" w:rsidRDefault="009454E4" w:rsidP="009454E4">
            <w:pPr>
              <w:widowControl w:val="0"/>
              <w:autoSpaceDE w:val="0"/>
              <w:autoSpaceDN w:val="0"/>
              <w:adjustRightInd w:val="0"/>
              <w:spacing w:before="60" w:after="60"/>
              <w:ind w:right="45"/>
              <w:jc w:val="both"/>
              <w:rPr>
                <w:rFonts w:eastAsia="PMingLiU" w:cs="Arial"/>
                <w:b/>
                <w:color w:val="000000"/>
                <w:sz w:val="18"/>
                <w:szCs w:val="18"/>
                <w:lang w:eastAsia="zh-TW"/>
              </w:rPr>
            </w:pPr>
            <w:r w:rsidRPr="009454E4">
              <w:rPr>
                <w:rFonts w:eastAsia="PMingLiU" w:cs="Arial"/>
                <w:b/>
                <w:color w:val="000000"/>
                <w:sz w:val="18"/>
                <w:szCs w:val="18"/>
                <w:lang w:eastAsia="zh-TW"/>
              </w:rPr>
              <w:lastRenderedPageBreak/>
              <w:t>Major bleeding events</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DC81CB0"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26 (1.1%)</w:t>
            </w:r>
          </w:p>
        </w:tc>
        <w:tc>
          <w:tcPr>
            <w:tcW w:w="2734" w:type="dxa"/>
            <w:tcBorders>
              <w:top w:val="single" w:sz="4" w:space="0" w:color="auto"/>
              <w:left w:val="single" w:sz="4" w:space="0" w:color="auto"/>
              <w:bottom w:val="single" w:sz="4" w:space="0" w:color="auto"/>
              <w:right w:val="single" w:sz="4" w:space="0" w:color="auto"/>
            </w:tcBorders>
            <w:vAlign w:val="center"/>
            <w:hideMark/>
          </w:tcPr>
          <w:p w14:paraId="0101761D" w14:textId="77777777" w:rsidR="009454E4" w:rsidRPr="009454E4" w:rsidRDefault="009454E4" w:rsidP="009454E4">
            <w:pPr>
              <w:widowControl w:val="0"/>
              <w:autoSpaceDE w:val="0"/>
              <w:autoSpaceDN w:val="0"/>
              <w:adjustRightInd w:val="0"/>
              <w:spacing w:before="60" w:after="60"/>
              <w:ind w:right="45"/>
              <w:jc w:val="center"/>
              <w:rPr>
                <w:rFonts w:eastAsia="PMingLiU" w:cs="Arial"/>
                <w:color w:val="000000"/>
                <w:sz w:val="18"/>
                <w:szCs w:val="18"/>
                <w:lang w:eastAsia="zh-TW"/>
              </w:rPr>
            </w:pPr>
            <w:r w:rsidRPr="009454E4">
              <w:rPr>
                <w:rFonts w:eastAsia="PMingLiU" w:cs="Arial"/>
                <w:color w:val="000000"/>
                <w:sz w:val="18"/>
                <w:szCs w:val="18"/>
                <w:lang w:eastAsia="zh-TW"/>
              </w:rPr>
              <w:t>52 (2.2%)</w:t>
            </w:r>
          </w:p>
        </w:tc>
      </w:tr>
    </w:tbl>
    <w:p w14:paraId="62836D28" w14:textId="77777777" w:rsidR="009454E4" w:rsidRPr="009454E4" w:rsidRDefault="009454E4" w:rsidP="00D9199E">
      <w:pPr>
        <w:widowControl w:val="0"/>
        <w:autoSpaceDE w:val="0"/>
        <w:autoSpaceDN w:val="0"/>
        <w:adjustRightInd w:val="0"/>
        <w:spacing w:before="60" w:after="240"/>
        <w:ind w:right="45" w:firstLine="630"/>
        <w:jc w:val="both"/>
        <w:rPr>
          <w:rFonts w:eastAsia="PMingLiU" w:cs="Arial"/>
          <w:color w:val="000000"/>
          <w:szCs w:val="22"/>
          <w:lang w:eastAsia="zh-TW"/>
        </w:rPr>
      </w:pPr>
      <w:r w:rsidRPr="009454E4">
        <w:rPr>
          <w:rFonts w:eastAsia="PMingLiU" w:cs="Arial"/>
          <w:color w:val="000000"/>
          <w:szCs w:val="22"/>
          <w:lang w:eastAsia="zh-TW"/>
        </w:rPr>
        <w:t>* p&lt;0.0026 (non-inferiori</w:t>
      </w:r>
      <w:r w:rsidR="00F56332">
        <w:rPr>
          <w:rFonts w:eastAsia="PMingLiU" w:cs="Arial"/>
          <w:color w:val="000000"/>
          <w:szCs w:val="22"/>
          <w:lang w:eastAsia="zh-TW"/>
        </w:rPr>
        <w:t xml:space="preserve">ty); hazard ratio: 1.12 (0.75 - </w:t>
      </w:r>
      <w:r w:rsidRPr="009454E4">
        <w:rPr>
          <w:rFonts w:eastAsia="PMingLiU" w:cs="Arial"/>
          <w:color w:val="000000"/>
          <w:szCs w:val="22"/>
          <w:lang w:eastAsia="zh-TW"/>
        </w:rPr>
        <w:t>1.68)</w:t>
      </w:r>
    </w:p>
    <w:p w14:paraId="66FF7214" w14:textId="77777777" w:rsidR="00D9199E" w:rsidRDefault="00D9199E" w:rsidP="003554CC">
      <w:pPr>
        <w:widowControl w:val="0"/>
        <w:autoSpaceDE w:val="0"/>
        <w:autoSpaceDN w:val="0"/>
        <w:adjustRightInd w:val="0"/>
        <w:spacing w:after="240"/>
        <w:ind w:left="630" w:right="45"/>
        <w:rPr>
          <w:rFonts w:eastAsia="PMingLiU" w:cs="Arial"/>
          <w:color w:val="000000"/>
          <w:szCs w:val="22"/>
          <w:lang w:eastAsia="zh-TW"/>
        </w:rPr>
      </w:pPr>
    </w:p>
    <w:p w14:paraId="70C869FD" w14:textId="77777777" w:rsidR="00D9199E" w:rsidRDefault="00D9199E" w:rsidP="003554CC">
      <w:pPr>
        <w:widowControl w:val="0"/>
        <w:autoSpaceDE w:val="0"/>
        <w:autoSpaceDN w:val="0"/>
        <w:adjustRightInd w:val="0"/>
        <w:spacing w:after="240"/>
        <w:ind w:left="630" w:right="45"/>
        <w:rPr>
          <w:rFonts w:eastAsia="PMingLiU" w:cs="Arial"/>
          <w:color w:val="000000"/>
          <w:szCs w:val="22"/>
          <w:lang w:eastAsia="zh-TW"/>
        </w:rPr>
      </w:pPr>
    </w:p>
    <w:p w14:paraId="5397115C" w14:textId="053EF3BD" w:rsidR="003554CC" w:rsidRPr="008B5BCF" w:rsidRDefault="009454E4" w:rsidP="003554CC">
      <w:pPr>
        <w:widowControl w:val="0"/>
        <w:autoSpaceDE w:val="0"/>
        <w:autoSpaceDN w:val="0"/>
        <w:adjustRightInd w:val="0"/>
        <w:spacing w:after="240"/>
        <w:ind w:left="630" w:right="45"/>
        <w:rPr>
          <w:rFonts w:eastAsia="PMingLiU" w:cs="Arial"/>
          <w:color w:val="000000"/>
          <w:szCs w:val="22"/>
          <w:lang w:eastAsia="zh-TW"/>
        </w:rPr>
      </w:pPr>
      <w:r w:rsidRPr="008B5BCF">
        <w:rPr>
          <w:rFonts w:eastAsia="PMingLiU" w:cs="Arial"/>
          <w:color w:val="000000"/>
          <w:szCs w:val="22"/>
          <w:lang w:eastAsia="zh-TW"/>
        </w:rPr>
        <w:t>A prespecified pooled analysis of the outcome of the EINSTEIN DVT and PE studies was conducted (</w:t>
      </w:r>
      <w:r w:rsidR="00E5739F">
        <w:rPr>
          <w:rFonts w:eastAsia="PMingLiU" w:cs="Arial"/>
          <w:color w:val="000000"/>
          <w:szCs w:val="22"/>
          <w:lang w:eastAsia="zh-TW"/>
        </w:rPr>
        <w:t xml:space="preserve">see </w:t>
      </w:r>
      <w:r w:rsidR="00340D1D">
        <w:rPr>
          <w:rFonts w:eastAsia="PMingLiU" w:cs="Arial"/>
          <w:color w:val="000000"/>
          <w:szCs w:val="22"/>
          <w:lang w:eastAsia="zh-TW"/>
        </w:rPr>
        <w:fldChar w:fldCharType="begin"/>
      </w:r>
      <w:r w:rsidR="00340D1D">
        <w:rPr>
          <w:rFonts w:eastAsia="PMingLiU" w:cs="Arial"/>
          <w:color w:val="000000"/>
          <w:szCs w:val="22"/>
          <w:lang w:eastAsia="zh-TW"/>
        </w:rPr>
        <w:instrText xml:space="preserve"> REF _Ref501396795 \h </w:instrText>
      </w:r>
      <w:r w:rsidR="00340D1D">
        <w:rPr>
          <w:rFonts w:eastAsia="PMingLiU" w:cs="Arial"/>
          <w:color w:val="000000"/>
          <w:szCs w:val="22"/>
          <w:lang w:eastAsia="zh-TW"/>
        </w:rPr>
      </w:r>
      <w:r w:rsidR="00340D1D">
        <w:rPr>
          <w:rFonts w:eastAsia="PMingLiU" w:cs="Arial"/>
          <w:color w:val="000000"/>
          <w:szCs w:val="22"/>
          <w:lang w:eastAsia="zh-TW"/>
        </w:rPr>
        <w:fldChar w:fldCharType="separate"/>
      </w:r>
      <w:r w:rsidR="00C51DA4">
        <w:t xml:space="preserve">Table </w:t>
      </w:r>
      <w:r w:rsidR="00C51DA4">
        <w:rPr>
          <w:noProof/>
        </w:rPr>
        <w:t>17</w:t>
      </w:r>
      <w:r w:rsidR="00340D1D">
        <w:rPr>
          <w:rFonts w:eastAsia="PMingLiU" w:cs="Arial"/>
          <w:color w:val="000000"/>
          <w:szCs w:val="22"/>
          <w:lang w:eastAsia="zh-TW"/>
        </w:rPr>
        <w:fldChar w:fldCharType="end"/>
      </w:r>
      <w:r w:rsidR="003554CC">
        <w:rPr>
          <w:rFonts w:eastAsia="PMingLiU" w:cs="Arial"/>
          <w:color w:val="000000"/>
          <w:szCs w:val="22"/>
          <w:lang w:eastAsia="zh-TW"/>
        </w:rPr>
        <w:t>)</w:t>
      </w:r>
    </w:p>
    <w:p w14:paraId="6581D966" w14:textId="4B0C30E9" w:rsidR="009454E4" w:rsidRPr="003554CC" w:rsidRDefault="00F8697B" w:rsidP="00D9199E">
      <w:pPr>
        <w:ind w:left="630" w:firstLine="720"/>
        <w:rPr>
          <w:rFonts w:eastAsia="PMingLiU" w:cs="Arial"/>
          <w:b/>
          <w:bCs/>
          <w:color w:val="000000"/>
          <w:szCs w:val="22"/>
          <w:lang w:eastAsia="zh-TW"/>
        </w:rPr>
      </w:pPr>
      <w:bookmarkStart w:id="49" w:name="_Ref501396727"/>
      <w:bookmarkStart w:id="50" w:name="_Ref505604985"/>
      <w:r w:rsidRPr="003554CC">
        <w:rPr>
          <w:b/>
          <w:szCs w:val="22"/>
        </w:rPr>
        <w:t xml:space="preserve">Table </w:t>
      </w:r>
      <w:r w:rsidR="00BA1597" w:rsidRPr="003554CC">
        <w:rPr>
          <w:b/>
          <w:szCs w:val="22"/>
        </w:rPr>
        <w:fldChar w:fldCharType="begin"/>
      </w:r>
      <w:r w:rsidR="00BA1597" w:rsidRPr="003554CC">
        <w:rPr>
          <w:b/>
          <w:szCs w:val="22"/>
        </w:rPr>
        <w:instrText xml:space="preserve"> SEQ Table \* ARABIC </w:instrText>
      </w:r>
      <w:r w:rsidR="00BA1597" w:rsidRPr="003554CC">
        <w:rPr>
          <w:b/>
          <w:szCs w:val="22"/>
        </w:rPr>
        <w:fldChar w:fldCharType="separate"/>
      </w:r>
      <w:r w:rsidR="00C51DA4">
        <w:rPr>
          <w:b/>
          <w:noProof/>
          <w:szCs w:val="22"/>
        </w:rPr>
        <w:t>18</w:t>
      </w:r>
      <w:r w:rsidR="00BA1597" w:rsidRPr="003554CC">
        <w:rPr>
          <w:b/>
          <w:noProof/>
          <w:szCs w:val="22"/>
        </w:rPr>
        <w:fldChar w:fldCharType="end"/>
      </w:r>
      <w:bookmarkEnd w:id="49"/>
      <w:bookmarkEnd w:id="50"/>
      <w:r w:rsidR="009454E4" w:rsidRPr="003554CC">
        <w:rPr>
          <w:rFonts w:cs="Arial"/>
          <w:b/>
          <w:bCs/>
          <w:szCs w:val="22"/>
          <w:lang w:eastAsia="en-US"/>
        </w:rPr>
        <w:t xml:space="preserve">: Efficacy and safety results from pooled analysis of Phase III EINSTEIN DVT and EINSTEIN PE </w:t>
      </w:r>
    </w:p>
    <w:tbl>
      <w:tblPr>
        <w:tblW w:w="8910" w:type="dxa"/>
        <w:tblInd w:w="558" w:type="dxa"/>
        <w:tblLook w:val="01E0" w:firstRow="1" w:lastRow="1" w:firstColumn="1" w:lastColumn="1" w:noHBand="0" w:noVBand="0"/>
      </w:tblPr>
      <w:tblGrid>
        <w:gridCol w:w="2910"/>
        <w:gridCol w:w="3120"/>
        <w:gridCol w:w="2880"/>
      </w:tblGrid>
      <w:tr w:rsidR="009454E4" w:rsidRPr="009454E4" w14:paraId="1A01DDA6" w14:textId="77777777" w:rsidTr="00A21F84">
        <w:trPr>
          <w:cantSplit/>
          <w:tblHeader/>
        </w:trPr>
        <w:tc>
          <w:tcPr>
            <w:tcW w:w="2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E1C3C" w14:textId="77777777" w:rsidR="009454E4" w:rsidRPr="009454E4" w:rsidRDefault="009454E4" w:rsidP="009454E4">
            <w:pPr>
              <w:widowControl w:val="0"/>
              <w:autoSpaceDE w:val="0"/>
              <w:autoSpaceDN w:val="0"/>
              <w:adjustRightInd w:val="0"/>
              <w:spacing w:before="60" w:after="60"/>
              <w:ind w:right="46"/>
              <w:jc w:val="center"/>
              <w:rPr>
                <w:rFonts w:eastAsia="PMingLiU" w:cs="Arial"/>
                <w:b/>
                <w:color w:val="000000"/>
                <w:sz w:val="18"/>
                <w:szCs w:val="18"/>
                <w:lang w:eastAsia="zh-TW"/>
              </w:rPr>
            </w:pPr>
            <w:r w:rsidRPr="009454E4">
              <w:rPr>
                <w:rFonts w:eastAsia="PMingLiU" w:cs="Arial"/>
                <w:b/>
                <w:color w:val="000000"/>
                <w:sz w:val="18"/>
                <w:szCs w:val="18"/>
                <w:lang w:eastAsia="zh-TW"/>
              </w:rPr>
              <w:t>Study Population</w:t>
            </w:r>
          </w:p>
        </w:tc>
        <w:tc>
          <w:tcPr>
            <w:tcW w:w="6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DFF25" w14:textId="77777777" w:rsidR="009454E4" w:rsidRPr="009454E4" w:rsidRDefault="00DF6C29" w:rsidP="009454E4">
            <w:pPr>
              <w:widowControl w:val="0"/>
              <w:autoSpaceDE w:val="0"/>
              <w:autoSpaceDN w:val="0"/>
              <w:adjustRightInd w:val="0"/>
              <w:spacing w:before="60" w:after="60"/>
              <w:ind w:right="46"/>
              <w:jc w:val="center"/>
              <w:rPr>
                <w:rFonts w:eastAsia="PMingLiU" w:cs="Arial"/>
                <w:b/>
                <w:color w:val="000000"/>
                <w:sz w:val="18"/>
                <w:szCs w:val="18"/>
                <w:lang w:eastAsia="zh-TW"/>
              </w:rPr>
            </w:pPr>
            <w:r>
              <w:rPr>
                <w:rFonts w:eastAsia="PMingLiU" w:cs="Arial"/>
                <w:b/>
                <w:color w:val="000000"/>
                <w:sz w:val="18"/>
                <w:szCs w:val="18"/>
                <w:lang w:eastAsia="zh-TW"/>
              </w:rPr>
              <w:t xml:space="preserve">8,281 </w:t>
            </w:r>
            <w:r w:rsidR="009454E4" w:rsidRPr="009454E4">
              <w:rPr>
                <w:rFonts w:eastAsia="PMingLiU" w:cs="Arial"/>
                <w:b/>
                <w:color w:val="000000"/>
                <w:sz w:val="18"/>
                <w:szCs w:val="18"/>
                <w:lang w:eastAsia="zh-TW"/>
              </w:rPr>
              <w:t>patients with an acute symptomatic DVT or PE</w:t>
            </w:r>
          </w:p>
        </w:tc>
      </w:tr>
      <w:tr w:rsidR="009454E4" w:rsidRPr="009454E4" w14:paraId="7B988544" w14:textId="77777777" w:rsidTr="00A21F84">
        <w:trPr>
          <w:cantSplit/>
          <w:tblHeader/>
        </w:trPr>
        <w:tc>
          <w:tcPr>
            <w:tcW w:w="2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0ED6A" w14:textId="77777777" w:rsidR="009454E4" w:rsidRPr="009454E4" w:rsidRDefault="009454E4" w:rsidP="009454E4">
            <w:pPr>
              <w:widowControl w:val="0"/>
              <w:autoSpaceDE w:val="0"/>
              <w:autoSpaceDN w:val="0"/>
              <w:adjustRightInd w:val="0"/>
              <w:spacing w:before="60" w:after="60"/>
              <w:ind w:right="46"/>
              <w:jc w:val="both"/>
              <w:rPr>
                <w:rFonts w:eastAsia="PMingLiU" w:cs="Arial"/>
                <w:b/>
                <w:color w:val="000000"/>
                <w:sz w:val="18"/>
                <w:szCs w:val="18"/>
                <w:lang w:eastAsia="zh-TW"/>
              </w:rPr>
            </w:pPr>
            <w:r w:rsidRPr="009454E4">
              <w:rPr>
                <w:rFonts w:eastAsia="PMingLiU" w:cs="Arial"/>
                <w:b/>
                <w:color w:val="000000"/>
                <w:sz w:val="18"/>
                <w:szCs w:val="18"/>
                <w:lang w:eastAsia="zh-TW"/>
              </w:rPr>
              <w:t>Treatment dosage and duration</w:t>
            </w:r>
          </w:p>
        </w:tc>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0D99E" w14:textId="77777777" w:rsidR="009454E4" w:rsidRPr="009454E4" w:rsidRDefault="005F6704" w:rsidP="009454E4">
            <w:pPr>
              <w:widowControl w:val="0"/>
              <w:autoSpaceDE w:val="0"/>
              <w:autoSpaceDN w:val="0"/>
              <w:adjustRightInd w:val="0"/>
              <w:spacing w:before="60" w:after="60"/>
              <w:ind w:right="46"/>
              <w:jc w:val="center"/>
              <w:rPr>
                <w:rFonts w:eastAsia="PMingLiU" w:cs="Arial"/>
                <w:color w:val="000000"/>
                <w:sz w:val="18"/>
                <w:szCs w:val="18"/>
                <w:vertAlign w:val="superscript"/>
                <w:lang w:eastAsia="zh-TW"/>
              </w:rPr>
            </w:pPr>
            <w:r>
              <w:rPr>
                <w:rFonts w:eastAsia="PMingLiU" w:cs="Arial"/>
                <w:color w:val="000000"/>
                <w:sz w:val="18"/>
                <w:szCs w:val="18"/>
                <w:lang w:eastAsia="zh-TW"/>
              </w:rPr>
              <w:t>XARELTO</w:t>
            </w:r>
          </w:p>
          <w:p w14:paraId="4D6961A2"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15 mg BID for 3 weeks followed by 20 mg OD</w:t>
            </w:r>
          </w:p>
          <w:p w14:paraId="5ED35885"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3, 6 or 12 months</w:t>
            </w:r>
          </w:p>
          <w:p w14:paraId="6CF7C9E5"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N = 4,150</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93F63"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Enoxaparin for 5 days followed by VKA</w:t>
            </w:r>
          </w:p>
          <w:p w14:paraId="72D1BA10"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3, 6 or 12 months</w:t>
            </w:r>
          </w:p>
          <w:p w14:paraId="72DBF6D0"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N = 4,131</w:t>
            </w:r>
          </w:p>
        </w:tc>
      </w:tr>
      <w:tr w:rsidR="009454E4" w:rsidRPr="009454E4" w14:paraId="45AAE3AB" w14:textId="77777777" w:rsidTr="00D9199E">
        <w:trPr>
          <w:cantSplit/>
        </w:trPr>
        <w:tc>
          <w:tcPr>
            <w:tcW w:w="2910" w:type="dxa"/>
            <w:tcBorders>
              <w:top w:val="single" w:sz="4" w:space="0" w:color="auto"/>
              <w:left w:val="single" w:sz="4" w:space="0" w:color="auto"/>
              <w:bottom w:val="single" w:sz="4" w:space="0" w:color="auto"/>
              <w:right w:val="single" w:sz="4" w:space="0" w:color="auto"/>
            </w:tcBorders>
            <w:vAlign w:val="center"/>
            <w:hideMark/>
          </w:tcPr>
          <w:p w14:paraId="253D7DB6" w14:textId="77777777" w:rsidR="009454E4" w:rsidRPr="009454E4" w:rsidRDefault="009454E4" w:rsidP="009454E4">
            <w:pPr>
              <w:widowControl w:val="0"/>
              <w:autoSpaceDE w:val="0"/>
              <w:autoSpaceDN w:val="0"/>
              <w:adjustRightInd w:val="0"/>
              <w:spacing w:before="60" w:after="60"/>
              <w:ind w:right="46"/>
              <w:jc w:val="both"/>
              <w:rPr>
                <w:rFonts w:eastAsia="PMingLiU" w:cs="Arial"/>
                <w:b/>
                <w:color w:val="000000"/>
                <w:sz w:val="18"/>
                <w:szCs w:val="18"/>
                <w:lang w:eastAsia="zh-TW"/>
              </w:rPr>
            </w:pPr>
            <w:r w:rsidRPr="009454E4">
              <w:rPr>
                <w:rFonts w:eastAsia="PMingLiU" w:cs="Arial"/>
                <w:b/>
                <w:color w:val="000000"/>
                <w:sz w:val="18"/>
                <w:szCs w:val="18"/>
                <w:lang w:eastAsia="zh-TW"/>
              </w:rPr>
              <w:t>Symptomatic recurrent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30C7A45"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86 (2.1%)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0BB8A06"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95 (2.3%)</w:t>
            </w:r>
          </w:p>
        </w:tc>
      </w:tr>
      <w:tr w:rsidR="009454E4" w:rsidRPr="009454E4" w14:paraId="0EB959E7" w14:textId="77777777" w:rsidTr="00D9199E">
        <w:trPr>
          <w:cantSplit/>
        </w:trPr>
        <w:tc>
          <w:tcPr>
            <w:tcW w:w="2910" w:type="dxa"/>
            <w:tcBorders>
              <w:top w:val="single" w:sz="4" w:space="0" w:color="auto"/>
              <w:left w:val="single" w:sz="4" w:space="0" w:color="auto"/>
              <w:bottom w:val="single" w:sz="4" w:space="0" w:color="auto"/>
              <w:right w:val="single" w:sz="4" w:space="0" w:color="auto"/>
            </w:tcBorders>
            <w:vAlign w:val="center"/>
            <w:hideMark/>
          </w:tcPr>
          <w:p w14:paraId="47ECE8A5" w14:textId="77777777" w:rsidR="009454E4" w:rsidRPr="009454E4" w:rsidRDefault="009454E4" w:rsidP="009454E4">
            <w:pPr>
              <w:widowControl w:val="0"/>
              <w:autoSpaceDE w:val="0"/>
              <w:autoSpaceDN w:val="0"/>
              <w:adjustRightInd w:val="0"/>
              <w:spacing w:before="60" w:after="60"/>
              <w:ind w:right="46"/>
              <w:jc w:val="both"/>
              <w:rPr>
                <w:rFonts w:eastAsia="PMingLiU" w:cs="Arial"/>
                <w:b/>
                <w:color w:val="000000"/>
                <w:sz w:val="18"/>
                <w:szCs w:val="18"/>
                <w:lang w:eastAsia="zh-TW"/>
              </w:rPr>
            </w:pPr>
            <w:r w:rsidRPr="009454E4">
              <w:rPr>
                <w:rFonts w:eastAsia="PMingLiU" w:cs="Arial"/>
                <w:b/>
                <w:color w:val="000000"/>
                <w:sz w:val="18"/>
                <w:szCs w:val="18"/>
                <w:lang w:eastAsia="zh-TW"/>
              </w:rPr>
              <w:t xml:space="preserve">     Symptomatic recurrent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6A5CD64"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43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1C5722A"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38 (0.9%)</w:t>
            </w:r>
          </w:p>
        </w:tc>
      </w:tr>
      <w:tr w:rsidR="009454E4" w:rsidRPr="009454E4" w14:paraId="72669D4B" w14:textId="77777777" w:rsidTr="00D9199E">
        <w:trPr>
          <w:cantSplit/>
        </w:trPr>
        <w:tc>
          <w:tcPr>
            <w:tcW w:w="2910" w:type="dxa"/>
            <w:tcBorders>
              <w:top w:val="single" w:sz="4" w:space="0" w:color="auto"/>
              <w:left w:val="single" w:sz="4" w:space="0" w:color="auto"/>
              <w:bottom w:val="single" w:sz="4" w:space="0" w:color="auto"/>
              <w:right w:val="single" w:sz="4" w:space="0" w:color="auto"/>
            </w:tcBorders>
            <w:vAlign w:val="center"/>
            <w:hideMark/>
          </w:tcPr>
          <w:p w14:paraId="77BA9F93" w14:textId="77777777" w:rsidR="009454E4" w:rsidRPr="009454E4" w:rsidRDefault="009454E4" w:rsidP="009454E4">
            <w:pPr>
              <w:widowControl w:val="0"/>
              <w:autoSpaceDE w:val="0"/>
              <w:autoSpaceDN w:val="0"/>
              <w:adjustRightInd w:val="0"/>
              <w:spacing w:before="60" w:after="60"/>
              <w:ind w:right="46"/>
              <w:jc w:val="both"/>
              <w:rPr>
                <w:rFonts w:eastAsia="PMingLiU" w:cs="Arial"/>
                <w:b/>
                <w:color w:val="000000"/>
                <w:sz w:val="18"/>
                <w:szCs w:val="18"/>
                <w:lang w:eastAsia="zh-TW"/>
              </w:rPr>
            </w:pPr>
            <w:r w:rsidRPr="009454E4">
              <w:rPr>
                <w:rFonts w:eastAsia="PMingLiU" w:cs="Arial"/>
                <w:b/>
                <w:color w:val="000000"/>
                <w:sz w:val="18"/>
                <w:szCs w:val="18"/>
                <w:lang w:eastAsia="zh-TW"/>
              </w:rPr>
              <w:t xml:space="preserve">    Symptomatic recurrent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D88C522"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32 (0.8%)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2FF9793"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45 (1.1%)</w:t>
            </w:r>
          </w:p>
        </w:tc>
      </w:tr>
      <w:tr w:rsidR="009454E4" w:rsidRPr="009454E4" w14:paraId="0F7BE5D0" w14:textId="77777777" w:rsidTr="00D9199E">
        <w:trPr>
          <w:cantSplit/>
        </w:trPr>
        <w:tc>
          <w:tcPr>
            <w:tcW w:w="2910" w:type="dxa"/>
            <w:tcBorders>
              <w:top w:val="single" w:sz="4" w:space="0" w:color="auto"/>
              <w:left w:val="single" w:sz="4" w:space="0" w:color="auto"/>
              <w:bottom w:val="single" w:sz="4" w:space="0" w:color="auto"/>
              <w:right w:val="single" w:sz="4" w:space="0" w:color="auto"/>
            </w:tcBorders>
            <w:vAlign w:val="center"/>
            <w:hideMark/>
          </w:tcPr>
          <w:p w14:paraId="65AD3D9B" w14:textId="77777777" w:rsidR="009454E4" w:rsidRPr="009454E4" w:rsidRDefault="009454E4" w:rsidP="009454E4">
            <w:pPr>
              <w:widowControl w:val="0"/>
              <w:autoSpaceDE w:val="0"/>
              <w:autoSpaceDN w:val="0"/>
              <w:adjustRightInd w:val="0"/>
              <w:spacing w:before="60" w:after="60"/>
              <w:ind w:right="46"/>
              <w:jc w:val="both"/>
              <w:rPr>
                <w:rFonts w:eastAsia="PMingLiU" w:cs="Arial"/>
                <w:b/>
                <w:color w:val="000000"/>
                <w:sz w:val="18"/>
                <w:szCs w:val="18"/>
                <w:lang w:eastAsia="zh-TW"/>
              </w:rPr>
            </w:pPr>
            <w:r w:rsidRPr="009454E4">
              <w:rPr>
                <w:rFonts w:eastAsia="PMingLiU" w:cs="Arial"/>
                <w:b/>
                <w:color w:val="000000"/>
                <w:sz w:val="18"/>
                <w:szCs w:val="18"/>
                <w:lang w:eastAsia="zh-TW"/>
              </w:rPr>
              <w:t xml:space="preserve">    Symptomatic PE and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2214AC9"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1 (&lt;0.1%)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23ED4F1"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2 (&lt;0.1%)</w:t>
            </w:r>
          </w:p>
        </w:tc>
      </w:tr>
      <w:tr w:rsidR="009454E4" w:rsidRPr="009454E4" w14:paraId="303F7D12" w14:textId="77777777" w:rsidTr="00D9199E">
        <w:trPr>
          <w:cantSplit/>
        </w:trPr>
        <w:tc>
          <w:tcPr>
            <w:tcW w:w="2910" w:type="dxa"/>
            <w:tcBorders>
              <w:top w:val="single" w:sz="4" w:space="0" w:color="auto"/>
              <w:left w:val="single" w:sz="4" w:space="0" w:color="auto"/>
              <w:bottom w:val="single" w:sz="4" w:space="0" w:color="auto"/>
              <w:right w:val="single" w:sz="4" w:space="0" w:color="auto"/>
            </w:tcBorders>
            <w:vAlign w:val="center"/>
            <w:hideMark/>
          </w:tcPr>
          <w:p w14:paraId="1F2C2240" w14:textId="77777777" w:rsidR="009454E4" w:rsidRPr="009454E4" w:rsidRDefault="009454E4" w:rsidP="009454E4">
            <w:pPr>
              <w:widowControl w:val="0"/>
              <w:autoSpaceDE w:val="0"/>
              <w:autoSpaceDN w:val="0"/>
              <w:adjustRightInd w:val="0"/>
              <w:spacing w:before="60" w:after="60"/>
              <w:ind w:right="46"/>
              <w:jc w:val="both"/>
              <w:rPr>
                <w:rFonts w:eastAsia="PMingLiU" w:cs="Arial"/>
                <w:b/>
                <w:color w:val="000000"/>
                <w:sz w:val="18"/>
                <w:szCs w:val="18"/>
                <w:lang w:eastAsia="zh-TW"/>
              </w:rPr>
            </w:pPr>
            <w:r w:rsidRPr="009454E4">
              <w:rPr>
                <w:rFonts w:eastAsia="PMingLiU" w:cs="Arial"/>
                <w:b/>
                <w:color w:val="000000"/>
                <w:sz w:val="18"/>
                <w:szCs w:val="18"/>
                <w:lang w:eastAsia="zh-TW"/>
              </w:rPr>
              <w:t xml:space="preserve">    Fatal PE/Death where PE cannot be ruled out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B2AA1E0"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15 (0.4%)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D910A28"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13 (0.3%)</w:t>
            </w:r>
          </w:p>
        </w:tc>
      </w:tr>
      <w:tr w:rsidR="009454E4" w:rsidRPr="009454E4" w14:paraId="6061B88A" w14:textId="77777777" w:rsidTr="00D9199E">
        <w:trPr>
          <w:cantSplit/>
        </w:trPr>
        <w:tc>
          <w:tcPr>
            <w:tcW w:w="2910" w:type="dxa"/>
            <w:tcBorders>
              <w:top w:val="single" w:sz="4" w:space="0" w:color="auto"/>
              <w:left w:val="single" w:sz="4" w:space="0" w:color="auto"/>
              <w:bottom w:val="single" w:sz="4" w:space="0" w:color="auto"/>
              <w:right w:val="single" w:sz="4" w:space="0" w:color="auto"/>
            </w:tcBorders>
            <w:vAlign w:val="center"/>
            <w:hideMark/>
          </w:tcPr>
          <w:p w14:paraId="0EADDB88" w14:textId="77777777" w:rsidR="009454E4" w:rsidRPr="009454E4" w:rsidRDefault="009454E4" w:rsidP="009454E4">
            <w:pPr>
              <w:widowControl w:val="0"/>
              <w:autoSpaceDE w:val="0"/>
              <w:autoSpaceDN w:val="0"/>
              <w:adjustRightInd w:val="0"/>
              <w:spacing w:before="60" w:after="60"/>
              <w:ind w:right="46"/>
              <w:jc w:val="both"/>
              <w:rPr>
                <w:rFonts w:eastAsia="PMingLiU" w:cs="Arial"/>
                <w:b/>
                <w:color w:val="000000"/>
                <w:sz w:val="18"/>
                <w:szCs w:val="18"/>
                <w:lang w:eastAsia="zh-TW"/>
              </w:rPr>
            </w:pPr>
            <w:r w:rsidRPr="009454E4">
              <w:rPr>
                <w:rFonts w:eastAsia="PMingLiU" w:cs="Arial"/>
                <w:b/>
                <w:color w:val="000000"/>
                <w:sz w:val="18"/>
                <w:szCs w:val="18"/>
                <w:lang w:eastAsia="zh-TW"/>
              </w:rPr>
              <w:t>Major bleeding events</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ECBA887"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40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60D1EC2" w14:textId="77777777" w:rsidR="009454E4" w:rsidRPr="009454E4" w:rsidRDefault="009454E4" w:rsidP="009454E4">
            <w:pPr>
              <w:widowControl w:val="0"/>
              <w:autoSpaceDE w:val="0"/>
              <w:autoSpaceDN w:val="0"/>
              <w:adjustRightInd w:val="0"/>
              <w:spacing w:before="60" w:after="60"/>
              <w:ind w:right="46"/>
              <w:jc w:val="center"/>
              <w:rPr>
                <w:rFonts w:eastAsia="PMingLiU" w:cs="Arial"/>
                <w:color w:val="000000"/>
                <w:sz w:val="18"/>
                <w:szCs w:val="18"/>
                <w:lang w:eastAsia="zh-TW"/>
              </w:rPr>
            </w:pPr>
            <w:r w:rsidRPr="009454E4">
              <w:rPr>
                <w:rFonts w:eastAsia="PMingLiU" w:cs="Arial"/>
                <w:color w:val="000000"/>
                <w:sz w:val="18"/>
                <w:szCs w:val="18"/>
                <w:lang w:eastAsia="zh-TW"/>
              </w:rPr>
              <w:t>72 (1.7%)</w:t>
            </w:r>
          </w:p>
        </w:tc>
      </w:tr>
    </w:tbl>
    <w:p w14:paraId="1FF16B97" w14:textId="77777777" w:rsidR="009454E4" w:rsidRPr="00E1748A" w:rsidRDefault="00E1748A" w:rsidP="00D9199E">
      <w:pPr>
        <w:widowControl w:val="0"/>
        <w:autoSpaceDE w:val="0"/>
        <w:autoSpaceDN w:val="0"/>
        <w:adjustRightInd w:val="0"/>
        <w:spacing w:after="240"/>
        <w:ind w:right="46" w:firstLine="630"/>
        <w:jc w:val="both"/>
        <w:rPr>
          <w:rFonts w:eastAsia="PMingLiU" w:cs="Arial"/>
          <w:color w:val="000000"/>
          <w:szCs w:val="22"/>
          <w:lang w:eastAsia="zh-TW"/>
        </w:rPr>
      </w:pPr>
      <w:r w:rsidRPr="00E1748A">
        <w:rPr>
          <w:rFonts w:eastAsia="PMingLiU" w:cs="Arial"/>
          <w:color w:val="000000"/>
          <w:szCs w:val="22"/>
          <w:lang w:eastAsia="zh-TW"/>
        </w:rPr>
        <w:t>* p</w:t>
      </w:r>
      <w:r w:rsidR="009454E4" w:rsidRPr="00E1748A">
        <w:rPr>
          <w:rFonts w:eastAsia="PMingLiU" w:cs="Arial"/>
          <w:color w:val="000000"/>
          <w:szCs w:val="22"/>
          <w:lang w:eastAsia="zh-TW"/>
        </w:rPr>
        <w:t>&lt;0.001 (non-inferior</w:t>
      </w:r>
      <w:r w:rsidR="00DF6C29" w:rsidRPr="00E1748A">
        <w:rPr>
          <w:rFonts w:eastAsia="PMingLiU" w:cs="Arial"/>
          <w:color w:val="000000"/>
          <w:szCs w:val="22"/>
          <w:lang w:eastAsia="zh-TW"/>
        </w:rPr>
        <w:t xml:space="preserve">ity); hazard ratio: 0.89 (0.66 - </w:t>
      </w:r>
      <w:r w:rsidR="003554CC">
        <w:rPr>
          <w:rFonts w:eastAsia="PMingLiU" w:cs="Arial"/>
          <w:color w:val="000000"/>
          <w:szCs w:val="22"/>
          <w:lang w:eastAsia="zh-TW"/>
        </w:rPr>
        <w:t>1.19)</w:t>
      </w:r>
    </w:p>
    <w:p w14:paraId="0BB93116" w14:textId="77777777" w:rsidR="009454E4" w:rsidRPr="006B3CDC" w:rsidRDefault="009454E4" w:rsidP="00DC2E51">
      <w:pPr>
        <w:widowControl w:val="0"/>
        <w:autoSpaceDE w:val="0"/>
        <w:autoSpaceDN w:val="0"/>
        <w:adjustRightInd w:val="0"/>
        <w:spacing w:after="240"/>
        <w:ind w:left="630" w:right="46"/>
        <w:rPr>
          <w:rFonts w:eastAsia="PMingLiU" w:cs="Arial"/>
          <w:b/>
          <w:color w:val="000000"/>
          <w:szCs w:val="22"/>
          <w:u w:val="single"/>
          <w:lang w:eastAsia="zh-TW"/>
        </w:rPr>
      </w:pPr>
      <w:r w:rsidRPr="006B3CDC">
        <w:rPr>
          <w:rFonts w:eastAsia="PMingLiU" w:cs="Arial"/>
          <w:b/>
          <w:color w:val="000000"/>
          <w:szCs w:val="22"/>
          <w:u w:val="single"/>
          <w:lang w:eastAsia="zh-TW"/>
        </w:rPr>
        <w:t>EINSTEIN Extension study</w:t>
      </w:r>
    </w:p>
    <w:p w14:paraId="5A9CD96E" w14:textId="77777777" w:rsidR="009454E4" w:rsidRPr="008B5BCF" w:rsidRDefault="009454E4" w:rsidP="00DC2E51">
      <w:pPr>
        <w:widowControl w:val="0"/>
        <w:autoSpaceDE w:val="0"/>
        <w:autoSpaceDN w:val="0"/>
        <w:adjustRightInd w:val="0"/>
        <w:spacing w:after="240"/>
        <w:ind w:left="630" w:right="46"/>
        <w:rPr>
          <w:rFonts w:eastAsia="PMingLiU" w:cs="Arial"/>
          <w:color w:val="000000"/>
          <w:szCs w:val="22"/>
          <w:lang w:eastAsia="zh-TW"/>
        </w:rPr>
      </w:pPr>
      <w:r w:rsidRPr="008B5BCF">
        <w:rPr>
          <w:rFonts w:eastAsia="PMingLiU" w:cs="Arial"/>
          <w:color w:val="000000"/>
          <w:szCs w:val="22"/>
          <w:lang w:eastAsia="zh-TW"/>
        </w:rPr>
        <w:t xml:space="preserve">EINSTEIN Extension, a double blind, randomised, event driven superiority study included 1,197 patients with confirmed symptomatic DVT or PE. </w:t>
      </w:r>
      <w:r w:rsidR="00DF6C29" w:rsidRPr="008B5BCF">
        <w:rPr>
          <w:rFonts w:eastAsia="PMingLiU" w:cs="Arial"/>
          <w:color w:val="000000"/>
          <w:szCs w:val="22"/>
          <w:lang w:eastAsia="zh-TW"/>
        </w:rPr>
        <w:t xml:space="preserve"> </w:t>
      </w:r>
      <w:r w:rsidR="005F6704" w:rsidRPr="008B5BCF">
        <w:rPr>
          <w:rFonts w:eastAsia="PMingLiU" w:cs="Arial"/>
          <w:color w:val="000000"/>
          <w:szCs w:val="22"/>
          <w:lang w:eastAsia="zh-TW"/>
        </w:rPr>
        <w:t>XARELTO</w:t>
      </w:r>
      <w:r w:rsidR="00DF6C29" w:rsidRPr="008B5BCF">
        <w:rPr>
          <w:rFonts w:eastAsia="PMingLiU" w:cs="Arial"/>
          <w:color w:val="000000"/>
          <w:szCs w:val="22"/>
          <w:lang w:eastAsia="zh-TW"/>
        </w:rPr>
        <w:t xml:space="preserve"> 20 </w:t>
      </w:r>
      <w:r w:rsidRPr="008B5BCF">
        <w:rPr>
          <w:rFonts w:eastAsia="PMingLiU" w:cs="Arial"/>
          <w:color w:val="000000"/>
          <w:szCs w:val="22"/>
          <w:lang w:eastAsia="zh-TW"/>
        </w:rPr>
        <w:t xml:space="preserve">mg once daily was compared with placebo for an additional 6 to 12 months in patients who had completed initial treatment for DVT or PE for 6 to 14 months; where clinical uncertainty with respect to the need for continued anticoagulation existed. </w:t>
      </w:r>
      <w:r w:rsidR="00294A91" w:rsidRPr="008B5BCF">
        <w:rPr>
          <w:rFonts w:eastAsia="PMingLiU" w:cs="Arial"/>
          <w:color w:val="000000"/>
          <w:szCs w:val="22"/>
          <w:lang w:eastAsia="zh-TW"/>
        </w:rPr>
        <w:t xml:space="preserve"> </w:t>
      </w:r>
      <w:r w:rsidRPr="008B5BCF">
        <w:rPr>
          <w:rFonts w:eastAsia="PMingLiU" w:cs="Arial"/>
          <w:color w:val="000000"/>
          <w:szCs w:val="22"/>
          <w:lang w:eastAsia="zh-TW"/>
        </w:rPr>
        <w:t>Patients with moderate renal impair</w:t>
      </w:r>
      <w:r w:rsidR="005C1099" w:rsidRPr="008B5BCF">
        <w:rPr>
          <w:rFonts w:eastAsia="PMingLiU" w:cs="Arial"/>
          <w:color w:val="000000"/>
          <w:szCs w:val="22"/>
          <w:lang w:eastAsia="zh-TW"/>
        </w:rPr>
        <w:t>ment (creatinine clearance 30 -</w:t>
      </w:r>
      <w:r w:rsidR="00DF6C29" w:rsidRPr="008B5BCF">
        <w:rPr>
          <w:rFonts w:eastAsia="PMingLiU" w:cs="Arial"/>
          <w:color w:val="000000"/>
          <w:szCs w:val="22"/>
          <w:lang w:eastAsia="zh-TW"/>
        </w:rPr>
        <w:t xml:space="preserve"> 49 </w:t>
      </w:r>
      <w:r w:rsidRPr="008B5BCF">
        <w:rPr>
          <w:rFonts w:eastAsia="PMingLiU" w:cs="Arial"/>
          <w:color w:val="000000"/>
          <w:szCs w:val="22"/>
          <w:lang w:eastAsia="zh-TW"/>
        </w:rPr>
        <w:t>mL/min) were treated with the same dose as patients wit</w:t>
      </w:r>
      <w:r w:rsidR="00DF6C29" w:rsidRPr="008B5BCF">
        <w:rPr>
          <w:rFonts w:eastAsia="PMingLiU" w:cs="Arial"/>
          <w:color w:val="000000"/>
          <w:szCs w:val="22"/>
          <w:lang w:eastAsia="zh-TW"/>
        </w:rPr>
        <w:t xml:space="preserve">h creatinine clearance above 50 mL/min (i.e. 20 </w:t>
      </w:r>
      <w:r w:rsidRPr="008B5BCF">
        <w:rPr>
          <w:rFonts w:eastAsia="PMingLiU" w:cs="Arial"/>
          <w:color w:val="000000"/>
          <w:szCs w:val="22"/>
          <w:lang w:eastAsia="zh-TW"/>
        </w:rPr>
        <w:t xml:space="preserve">mg once daily). </w:t>
      </w:r>
      <w:r w:rsidR="00DF6C29" w:rsidRPr="008B5BCF">
        <w:rPr>
          <w:rFonts w:eastAsia="PMingLiU" w:cs="Arial"/>
          <w:color w:val="000000"/>
          <w:szCs w:val="22"/>
          <w:lang w:eastAsia="zh-TW"/>
        </w:rPr>
        <w:t xml:space="preserve"> </w:t>
      </w:r>
      <w:r w:rsidRPr="008B5BCF">
        <w:rPr>
          <w:rFonts w:eastAsia="PMingLiU" w:cs="Arial"/>
          <w:color w:val="000000"/>
          <w:szCs w:val="22"/>
          <w:lang w:eastAsia="zh-TW"/>
        </w:rPr>
        <w:t>The treatment duration, assigned prior to randomisation, was based on the clinical</w:t>
      </w:r>
      <w:r w:rsidR="00DF6C29" w:rsidRPr="008B5BCF">
        <w:rPr>
          <w:rFonts w:eastAsia="PMingLiU" w:cs="Arial"/>
          <w:color w:val="000000"/>
          <w:szCs w:val="22"/>
          <w:lang w:eastAsia="zh-TW"/>
        </w:rPr>
        <w:t xml:space="preserve"> judgement of the investigator.</w:t>
      </w:r>
    </w:p>
    <w:p w14:paraId="4E4E32E4" w14:textId="4DCA13C5" w:rsidR="009454E4" w:rsidRPr="008B5BCF" w:rsidRDefault="009454E4" w:rsidP="00DC2E51">
      <w:pPr>
        <w:widowControl w:val="0"/>
        <w:autoSpaceDE w:val="0"/>
        <w:autoSpaceDN w:val="0"/>
        <w:adjustRightInd w:val="0"/>
        <w:spacing w:after="240"/>
        <w:ind w:left="630" w:right="46"/>
        <w:rPr>
          <w:rFonts w:eastAsia="PMingLiU" w:cs="Arial"/>
          <w:color w:val="000000"/>
          <w:szCs w:val="22"/>
          <w:lang w:eastAsia="zh-TW"/>
        </w:rPr>
      </w:pPr>
      <w:r w:rsidRPr="008B5BCF">
        <w:rPr>
          <w:rFonts w:eastAsia="PMingLiU" w:cs="Arial"/>
          <w:color w:val="000000"/>
          <w:szCs w:val="22"/>
          <w:lang w:eastAsia="zh-TW"/>
        </w:rPr>
        <w:t>In the EINSTEIN-Extension study (</w:t>
      </w:r>
      <w:r w:rsidR="00F63D33">
        <w:rPr>
          <w:rFonts w:eastAsia="PMingLiU" w:cs="Arial"/>
          <w:color w:val="000000"/>
          <w:szCs w:val="22"/>
          <w:lang w:eastAsia="zh-TW"/>
        </w:rPr>
        <w:t xml:space="preserve">see </w:t>
      </w:r>
      <w:r w:rsidR="004A4FD1" w:rsidRPr="009378EE">
        <w:rPr>
          <w:rFonts w:eastAsia="PMingLiU" w:cs="Arial"/>
          <w:color w:val="000000"/>
          <w:szCs w:val="22"/>
          <w:lang w:eastAsia="zh-TW"/>
        </w:rPr>
        <w:fldChar w:fldCharType="begin"/>
      </w:r>
      <w:r w:rsidR="004A4FD1" w:rsidRPr="009378EE">
        <w:rPr>
          <w:rFonts w:eastAsia="PMingLiU" w:cs="Arial"/>
          <w:color w:val="000000"/>
          <w:szCs w:val="22"/>
          <w:lang w:eastAsia="zh-TW"/>
        </w:rPr>
        <w:instrText xml:space="preserve"> REF _Ref505605052 \h  \* MERGEFORMAT </w:instrText>
      </w:r>
      <w:r w:rsidR="004A4FD1" w:rsidRPr="009378EE">
        <w:rPr>
          <w:rFonts w:eastAsia="PMingLiU" w:cs="Arial"/>
          <w:color w:val="000000"/>
          <w:szCs w:val="22"/>
          <w:lang w:eastAsia="zh-TW"/>
        </w:rPr>
      </w:r>
      <w:r w:rsidR="004A4FD1" w:rsidRPr="009378EE">
        <w:rPr>
          <w:rFonts w:eastAsia="PMingLiU" w:cs="Arial"/>
          <w:color w:val="000000"/>
          <w:szCs w:val="22"/>
          <w:lang w:eastAsia="zh-TW"/>
        </w:rPr>
        <w:fldChar w:fldCharType="separate"/>
      </w:r>
      <w:r w:rsidR="00C51DA4" w:rsidRPr="00C51DA4">
        <w:rPr>
          <w:szCs w:val="22"/>
        </w:rPr>
        <w:t xml:space="preserve">Table </w:t>
      </w:r>
      <w:r w:rsidR="00C51DA4" w:rsidRPr="00C51DA4">
        <w:rPr>
          <w:noProof/>
          <w:szCs w:val="22"/>
        </w:rPr>
        <w:t>19</w:t>
      </w:r>
      <w:r w:rsidR="004A4FD1" w:rsidRPr="009378EE">
        <w:rPr>
          <w:rFonts w:eastAsia="PMingLiU" w:cs="Arial"/>
          <w:color w:val="000000"/>
          <w:szCs w:val="22"/>
          <w:lang w:eastAsia="zh-TW"/>
        </w:rPr>
        <w:fldChar w:fldCharType="end"/>
      </w:r>
      <w:r w:rsidR="003554CC">
        <w:rPr>
          <w:rFonts w:eastAsia="PMingLiU" w:cs="Arial"/>
          <w:color w:val="000000"/>
          <w:szCs w:val="22"/>
          <w:lang w:eastAsia="zh-TW"/>
        </w:rPr>
        <w:t>)</w:t>
      </w:r>
      <w:r w:rsidRPr="008B5BCF">
        <w:rPr>
          <w:rFonts w:eastAsia="PMingLiU" w:cs="Arial"/>
          <w:color w:val="000000"/>
          <w:szCs w:val="22"/>
          <w:lang w:eastAsia="zh-TW"/>
        </w:rPr>
        <w:t xml:space="preserve">, </w:t>
      </w:r>
      <w:r w:rsidR="005F6704" w:rsidRPr="008B5BCF">
        <w:rPr>
          <w:rFonts w:eastAsia="PMingLiU" w:cs="Arial"/>
          <w:color w:val="000000"/>
          <w:szCs w:val="22"/>
          <w:lang w:eastAsia="zh-TW"/>
        </w:rPr>
        <w:t>XARELTO</w:t>
      </w:r>
      <w:r w:rsidRPr="008B5BCF">
        <w:rPr>
          <w:rFonts w:eastAsia="PMingLiU" w:cs="Arial"/>
          <w:color w:val="000000"/>
          <w:szCs w:val="22"/>
          <w:lang w:eastAsia="zh-TW"/>
        </w:rPr>
        <w:t xml:space="preserve"> was superior to placebo for the primary efficacy outcome with a HR of 0.18 [95% CI = 0.0</w:t>
      </w:r>
      <w:r w:rsidR="00E1748A" w:rsidRPr="008B5BCF">
        <w:rPr>
          <w:rFonts w:eastAsia="PMingLiU" w:cs="Arial"/>
          <w:color w:val="000000"/>
          <w:szCs w:val="22"/>
          <w:lang w:eastAsia="zh-TW"/>
        </w:rPr>
        <w:t>9 – 0.39], p</w:t>
      </w:r>
      <w:r w:rsidRPr="008B5BCF">
        <w:rPr>
          <w:rFonts w:eastAsia="PMingLiU" w:cs="Arial"/>
          <w:color w:val="000000"/>
          <w:szCs w:val="22"/>
          <w:lang w:eastAsia="zh-TW"/>
        </w:rPr>
        <w:t>&lt;0.001 (i.e. a relative risk reduction of 82%).</w:t>
      </w:r>
      <w:r w:rsidR="00DF6C29" w:rsidRPr="008B5BCF">
        <w:rPr>
          <w:rFonts w:eastAsia="PMingLiU" w:cs="Arial"/>
          <w:color w:val="000000"/>
          <w:szCs w:val="22"/>
          <w:lang w:eastAsia="zh-TW"/>
        </w:rPr>
        <w:t xml:space="preserve"> </w:t>
      </w:r>
      <w:r w:rsidRPr="008B5BCF">
        <w:rPr>
          <w:rFonts w:eastAsia="PMingLiU" w:cs="Arial"/>
          <w:color w:val="000000"/>
          <w:szCs w:val="22"/>
          <w:lang w:eastAsia="zh-TW"/>
        </w:rPr>
        <w:t xml:space="preserve"> For the principal safety outcome (major bleeding events) there was no significant difference between patients treated with </w:t>
      </w:r>
      <w:r w:rsidR="005F6704" w:rsidRPr="008B5BCF">
        <w:rPr>
          <w:rFonts w:eastAsia="PMingLiU" w:cs="Arial"/>
          <w:color w:val="000000"/>
          <w:szCs w:val="22"/>
          <w:lang w:eastAsia="zh-TW"/>
        </w:rPr>
        <w:lastRenderedPageBreak/>
        <w:t>XARELTO</w:t>
      </w:r>
      <w:r w:rsidR="00E1748A" w:rsidRPr="008B5BCF">
        <w:rPr>
          <w:rFonts w:eastAsia="PMingLiU" w:cs="Arial"/>
          <w:color w:val="000000"/>
          <w:szCs w:val="22"/>
          <w:lang w:eastAsia="zh-TW"/>
        </w:rPr>
        <w:t xml:space="preserve"> compared to placebo (p=</w:t>
      </w:r>
      <w:r w:rsidRPr="008B5BCF">
        <w:rPr>
          <w:rFonts w:eastAsia="PMingLiU" w:cs="Arial"/>
          <w:color w:val="000000"/>
          <w:szCs w:val="22"/>
          <w:lang w:eastAsia="zh-TW"/>
        </w:rPr>
        <w:t xml:space="preserve">0.11). </w:t>
      </w:r>
      <w:r w:rsidR="00DF6C29" w:rsidRPr="008B5BCF">
        <w:rPr>
          <w:rFonts w:eastAsia="PMingLiU" w:cs="Arial"/>
          <w:color w:val="000000"/>
          <w:szCs w:val="22"/>
          <w:lang w:eastAsia="zh-TW"/>
        </w:rPr>
        <w:t xml:space="preserve"> </w:t>
      </w:r>
      <w:r w:rsidRPr="008B5BCF">
        <w:rPr>
          <w:rFonts w:eastAsia="PMingLiU" w:cs="Arial"/>
          <w:color w:val="000000"/>
          <w:szCs w:val="22"/>
          <w:lang w:eastAsia="zh-TW"/>
        </w:rPr>
        <w:t>Therefore, the pre-defined secondary outcome of net clinical benefit, defined as the composite of the primary efficacy outcome and major bleeding events, was reported with a HR of 0.28 ([95% CI = 0.15 – 0.53], p</w:t>
      </w:r>
      <w:r w:rsidR="005C1099" w:rsidRPr="008B5BCF">
        <w:rPr>
          <w:rFonts w:eastAsia="PMingLiU" w:cs="Arial"/>
          <w:color w:val="000000"/>
          <w:szCs w:val="22"/>
          <w:lang w:eastAsia="zh-TW"/>
        </w:rPr>
        <w:t xml:space="preserve">&lt;0.001) in favour of </w:t>
      </w:r>
      <w:r w:rsidR="005F6704" w:rsidRPr="008B5BCF">
        <w:rPr>
          <w:rFonts w:eastAsia="PMingLiU" w:cs="Arial"/>
          <w:color w:val="000000"/>
          <w:szCs w:val="22"/>
          <w:lang w:eastAsia="zh-TW"/>
        </w:rPr>
        <w:t>XARELTO</w:t>
      </w:r>
      <w:r w:rsidR="005C1099" w:rsidRPr="008B5BCF">
        <w:rPr>
          <w:rFonts w:eastAsia="PMingLiU" w:cs="Arial"/>
          <w:color w:val="000000"/>
          <w:szCs w:val="22"/>
          <w:lang w:eastAsia="zh-TW"/>
        </w:rPr>
        <w:t>.</w:t>
      </w:r>
    </w:p>
    <w:p w14:paraId="29033E2E" w14:textId="77777777" w:rsidR="00D9199E" w:rsidRDefault="00D9199E">
      <w:bookmarkStart w:id="51" w:name="_Ref501396838"/>
      <w:r>
        <w:br w:type="page"/>
      </w:r>
    </w:p>
    <w:p w14:paraId="7C752D05" w14:textId="5C6559E3" w:rsidR="00100151" w:rsidRDefault="00100151">
      <w:pPr>
        <w:rPr>
          <w:b/>
          <w:szCs w:val="22"/>
        </w:rPr>
      </w:pPr>
    </w:p>
    <w:p w14:paraId="364D0F81" w14:textId="356F281A" w:rsidR="009454E4" w:rsidRPr="00F8697B" w:rsidRDefault="008F6662" w:rsidP="00D9199E">
      <w:pPr>
        <w:pStyle w:val="Caption"/>
        <w:jc w:val="left"/>
        <w:rPr>
          <w:rFonts w:cs="Arial"/>
          <w:bCs/>
          <w:lang w:eastAsia="en-US"/>
        </w:rPr>
      </w:pPr>
      <w:bookmarkStart w:id="52" w:name="_Ref505605052"/>
      <w:r>
        <w:t xml:space="preserve">Table </w:t>
      </w:r>
      <w:r w:rsidR="005D4DAE">
        <w:rPr>
          <w:noProof/>
        </w:rPr>
        <w:fldChar w:fldCharType="begin"/>
      </w:r>
      <w:r w:rsidR="005D4DAE">
        <w:rPr>
          <w:noProof/>
        </w:rPr>
        <w:instrText xml:space="preserve"> SEQ Table \* ARABIC </w:instrText>
      </w:r>
      <w:r w:rsidR="005D4DAE">
        <w:rPr>
          <w:noProof/>
        </w:rPr>
        <w:fldChar w:fldCharType="separate"/>
      </w:r>
      <w:r w:rsidR="00C51DA4">
        <w:rPr>
          <w:noProof/>
        </w:rPr>
        <w:t>19</w:t>
      </w:r>
      <w:r w:rsidR="005D4DAE">
        <w:rPr>
          <w:noProof/>
        </w:rPr>
        <w:fldChar w:fldCharType="end"/>
      </w:r>
      <w:bookmarkEnd w:id="51"/>
      <w:bookmarkEnd w:id="52"/>
      <w:r>
        <w:t xml:space="preserve">: </w:t>
      </w:r>
      <w:r w:rsidRPr="00F8697B">
        <w:rPr>
          <w:rFonts w:cs="Arial"/>
          <w:bCs/>
          <w:lang w:eastAsia="en-US"/>
        </w:rPr>
        <w:t>Efficacy and safety results from Phase III EINSTEIN EXTENSION (Prevention of recurrent DVT and PE)</w:t>
      </w:r>
    </w:p>
    <w:tbl>
      <w:tblPr>
        <w:tblW w:w="8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7"/>
        <w:gridCol w:w="2080"/>
        <w:gridCol w:w="2577"/>
      </w:tblGrid>
      <w:tr w:rsidR="009454E4" w:rsidRPr="009454E4" w14:paraId="597DD6F2" w14:textId="77777777" w:rsidTr="00A21F84">
        <w:trPr>
          <w:cantSplit/>
          <w:trHeight w:val="523"/>
          <w:tblHeader/>
        </w:trPr>
        <w:tc>
          <w:tcPr>
            <w:tcW w:w="4157" w:type="dxa"/>
            <w:shd w:val="clear" w:color="auto" w:fill="D9D9D9" w:themeFill="background1" w:themeFillShade="D9"/>
            <w:vAlign w:val="center"/>
          </w:tcPr>
          <w:p w14:paraId="455896EA"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Study Population</w:t>
            </w:r>
          </w:p>
        </w:tc>
        <w:tc>
          <w:tcPr>
            <w:tcW w:w="4657" w:type="dxa"/>
            <w:gridSpan w:val="2"/>
            <w:shd w:val="clear" w:color="auto" w:fill="D9D9D9" w:themeFill="background1" w:themeFillShade="D9"/>
            <w:vAlign w:val="center"/>
          </w:tcPr>
          <w:p w14:paraId="72A25AAF" w14:textId="77777777" w:rsidR="009454E4" w:rsidRPr="009454E4" w:rsidRDefault="009454E4" w:rsidP="005C1099">
            <w:pPr>
              <w:keepNext/>
              <w:spacing w:before="60" w:after="60"/>
              <w:ind w:right="46"/>
              <w:jc w:val="center"/>
              <w:rPr>
                <w:rFonts w:cs="Arial"/>
                <w:b/>
                <w:sz w:val="18"/>
                <w:szCs w:val="18"/>
                <w:lang w:eastAsia="en-US"/>
              </w:rPr>
            </w:pPr>
            <w:r w:rsidRPr="009454E4">
              <w:rPr>
                <w:rFonts w:cs="Arial"/>
                <w:b/>
                <w:sz w:val="18"/>
                <w:szCs w:val="18"/>
                <w:lang w:eastAsia="en-US"/>
              </w:rPr>
              <w:t>1</w:t>
            </w:r>
            <w:r w:rsidR="00DF6C29">
              <w:rPr>
                <w:rFonts w:cs="Arial"/>
                <w:b/>
                <w:sz w:val="18"/>
                <w:szCs w:val="18"/>
                <w:lang w:eastAsia="en-US"/>
              </w:rPr>
              <w:t>,</w:t>
            </w:r>
            <w:r w:rsidRPr="009454E4">
              <w:rPr>
                <w:rFonts w:cs="Arial"/>
                <w:b/>
                <w:sz w:val="18"/>
                <w:szCs w:val="18"/>
                <w:lang w:eastAsia="en-US"/>
              </w:rPr>
              <w:t xml:space="preserve">197 patients </w:t>
            </w:r>
            <w:r w:rsidRPr="009454E4">
              <w:rPr>
                <w:rFonts w:cs="Arial"/>
                <w:b/>
                <w:iCs/>
                <w:sz w:val="18"/>
                <w:szCs w:val="18"/>
                <w:lang w:eastAsia="en-US"/>
              </w:rPr>
              <w:t>continued treatment and prevention</w:t>
            </w:r>
            <w:r w:rsidRPr="009454E4">
              <w:rPr>
                <w:rFonts w:cs="Arial"/>
                <w:b/>
                <w:iCs/>
                <w:sz w:val="18"/>
                <w:szCs w:val="18"/>
                <w:lang w:eastAsia="en-US"/>
              </w:rPr>
              <w:br/>
              <w:t xml:space="preserve">of recurrent </w:t>
            </w:r>
            <w:r w:rsidRPr="009454E4">
              <w:rPr>
                <w:rFonts w:cs="Arial"/>
                <w:b/>
                <w:sz w:val="18"/>
                <w:szCs w:val="18"/>
                <w:lang w:eastAsia="en-US"/>
              </w:rPr>
              <w:t>venous thromboembolism</w:t>
            </w:r>
          </w:p>
        </w:tc>
      </w:tr>
      <w:tr w:rsidR="009454E4" w:rsidRPr="009454E4" w14:paraId="6AF71663" w14:textId="77777777" w:rsidTr="00A21F84">
        <w:trPr>
          <w:cantSplit/>
          <w:tblHeader/>
        </w:trPr>
        <w:tc>
          <w:tcPr>
            <w:tcW w:w="4157" w:type="dxa"/>
            <w:shd w:val="clear" w:color="auto" w:fill="D9D9D9" w:themeFill="background1" w:themeFillShade="D9"/>
            <w:vAlign w:val="center"/>
          </w:tcPr>
          <w:p w14:paraId="4BABE6FE"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Treatment Dosage and Duration</w:t>
            </w:r>
          </w:p>
        </w:tc>
        <w:tc>
          <w:tcPr>
            <w:tcW w:w="2080" w:type="dxa"/>
            <w:shd w:val="clear" w:color="auto" w:fill="D9D9D9" w:themeFill="background1" w:themeFillShade="D9"/>
            <w:vAlign w:val="center"/>
          </w:tcPr>
          <w:p w14:paraId="1CC97964" w14:textId="77777777" w:rsidR="009454E4" w:rsidRPr="009454E4" w:rsidRDefault="005F6704" w:rsidP="009454E4">
            <w:pPr>
              <w:keepNext/>
              <w:spacing w:before="60" w:after="60"/>
              <w:ind w:right="46"/>
              <w:jc w:val="center"/>
              <w:rPr>
                <w:rFonts w:cs="Arial"/>
                <w:sz w:val="18"/>
                <w:szCs w:val="18"/>
                <w:lang w:eastAsia="en-US"/>
              </w:rPr>
            </w:pPr>
            <w:r>
              <w:rPr>
                <w:rFonts w:cs="Arial"/>
                <w:sz w:val="18"/>
                <w:szCs w:val="18"/>
                <w:lang w:eastAsia="en-US"/>
              </w:rPr>
              <w:t>XARELTO</w:t>
            </w:r>
            <w:r w:rsidR="009454E4" w:rsidRPr="009454E4">
              <w:rPr>
                <w:rFonts w:cs="Arial"/>
                <w:sz w:val="18"/>
                <w:szCs w:val="18"/>
                <w:lang w:eastAsia="en-US"/>
              </w:rPr>
              <w:t xml:space="preserve"> 20 mg OD</w:t>
            </w:r>
            <w:r w:rsidR="009454E4" w:rsidRPr="009454E4">
              <w:rPr>
                <w:rFonts w:cs="Arial"/>
                <w:sz w:val="18"/>
                <w:szCs w:val="18"/>
                <w:lang w:eastAsia="en-US"/>
              </w:rPr>
              <w:br/>
              <w:t>6 or 12 months</w:t>
            </w:r>
          </w:p>
          <w:p w14:paraId="7842A001"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N = 602</w:t>
            </w:r>
          </w:p>
        </w:tc>
        <w:tc>
          <w:tcPr>
            <w:tcW w:w="2577" w:type="dxa"/>
            <w:shd w:val="clear" w:color="auto" w:fill="D9D9D9" w:themeFill="background1" w:themeFillShade="D9"/>
            <w:vAlign w:val="center"/>
          </w:tcPr>
          <w:p w14:paraId="2F014CC9"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Placebo</w:t>
            </w:r>
            <w:r w:rsidRPr="009454E4">
              <w:rPr>
                <w:rFonts w:cs="Arial"/>
                <w:sz w:val="18"/>
                <w:szCs w:val="18"/>
                <w:lang w:eastAsia="en-US"/>
              </w:rPr>
              <w:br/>
              <w:t>6 or 12 months</w:t>
            </w:r>
          </w:p>
          <w:p w14:paraId="5FEB8FC3"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N = 594</w:t>
            </w:r>
          </w:p>
        </w:tc>
      </w:tr>
      <w:tr w:rsidR="009454E4" w:rsidRPr="009454E4" w14:paraId="686AF8ED" w14:textId="77777777" w:rsidTr="00D9199E">
        <w:trPr>
          <w:cantSplit/>
        </w:trPr>
        <w:tc>
          <w:tcPr>
            <w:tcW w:w="4157" w:type="dxa"/>
            <w:shd w:val="clear" w:color="auto" w:fill="auto"/>
            <w:vAlign w:val="center"/>
          </w:tcPr>
          <w:p w14:paraId="2422B90C"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Symptomatic recurrent VTE*</w:t>
            </w:r>
          </w:p>
        </w:tc>
        <w:tc>
          <w:tcPr>
            <w:tcW w:w="2080" w:type="dxa"/>
            <w:shd w:val="clear" w:color="auto" w:fill="auto"/>
            <w:vAlign w:val="center"/>
          </w:tcPr>
          <w:p w14:paraId="6321B62F"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8 (1.3%)</w:t>
            </w:r>
          </w:p>
        </w:tc>
        <w:tc>
          <w:tcPr>
            <w:tcW w:w="2577" w:type="dxa"/>
            <w:shd w:val="clear" w:color="auto" w:fill="auto"/>
            <w:vAlign w:val="center"/>
          </w:tcPr>
          <w:p w14:paraId="1F570517"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42 (7.1%)</w:t>
            </w:r>
          </w:p>
        </w:tc>
      </w:tr>
      <w:tr w:rsidR="009454E4" w:rsidRPr="009454E4" w14:paraId="5FB1F3CB" w14:textId="77777777" w:rsidTr="00D9199E">
        <w:trPr>
          <w:cantSplit/>
        </w:trPr>
        <w:tc>
          <w:tcPr>
            <w:tcW w:w="4157" w:type="dxa"/>
            <w:shd w:val="clear" w:color="auto" w:fill="auto"/>
            <w:vAlign w:val="center"/>
          </w:tcPr>
          <w:p w14:paraId="6ADC976D"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Symptomatic recurrent PE</w:t>
            </w:r>
          </w:p>
        </w:tc>
        <w:tc>
          <w:tcPr>
            <w:tcW w:w="2080" w:type="dxa"/>
            <w:shd w:val="clear" w:color="auto" w:fill="auto"/>
            <w:vAlign w:val="center"/>
          </w:tcPr>
          <w:p w14:paraId="2BAA300D"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2 (0.3%)</w:t>
            </w:r>
          </w:p>
        </w:tc>
        <w:tc>
          <w:tcPr>
            <w:tcW w:w="2577" w:type="dxa"/>
            <w:shd w:val="clear" w:color="auto" w:fill="auto"/>
            <w:vAlign w:val="center"/>
          </w:tcPr>
          <w:p w14:paraId="3B023B83"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13 (2.2%)</w:t>
            </w:r>
          </w:p>
        </w:tc>
      </w:tr>
      <w:tr w:rsidR="009454E4" w:rsidRPr="009454E4" w14:paraId="67301DA0" w14:textId="77777777" w:rsidTr="00D9199E">
        <w:trPr>
          <w:cantSplit/>
        </w:trPr>
        <w:tc>
          <w:tcPr>
            <w:tcW w:w="4157" w:type="dxa"/>
            <w:shd w:val="clear" w:color="auto" w:fill="auto"/>
            <w:vAlign w:val="center"/>
          </w:tcPr>
          <w:p w14:paraId="48E29F78"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Symptomatic recurrent DVT</w:t>
            </w:r>
          </w:p>
        </w:tc>
        <w:tc>
          <w:tcPr>
            <w:tcW w:w="2080" w:type="dxa"/>
            <w:shd w:val="clear" w:color="auto" w:fill="auto"/>
            <w:vAlign w:val="center"/>
          </w:tcPr>
          <w:p w14:paraId="390C8793"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5 (0.8%)</w:t>
            </w:r>
          </w:p>
        </w:tc>
        <w:tc>
          <w:tcPr>
            <w:tcW w:w="2577" w:type="dxa"/>
            <w:shd w:val="clear" w:color="auto" w:fill="auto"/>
            <w:vAlign w:val="center"/>
          </w:tcPr>
          <w:p w14:paraId="30B9E918"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31 (5.2%)</w:t>
            </w:r>
          </w:p>
        </w:tc>
      </w:tr>
      <w:tr w:rsidR="009454E4" w:rsidRPr="009454E4" w14:paraId="72563854" w14:textId="77777777" w:rsidTr="00D9199E">
        <w:trPr>
          <w:cantSplit/>
        </w:trPr>
        <w:tc>
          <w:tcPr>
            <w:tcW w:w="4157" w:type="dxa"/>
            <w:shd w:val="clear" w:color="auto" w:fill="auto"/>
            <w:vAlign w:val="center"/>
          </w:tcPr>
          <w:p w14:paraId="3BED7025"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Fatal PE/Death where PE cannot be ruled out</w:t>
            </w:r>
          </w:p>
        </w:tc>
        <w:tc>
          <w:tcPr>
            <w:tcW w:w="2080" w:type="dxa"/>
            <w:shd w:val="clear" w:color="auto" w:fill="auto"/>
            <w:vAlign w:val="center"/>
          </w:tcPr>
          <w:p w14:paraId="1EF4204C"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1 (0.2%)</w:t>
            </w:r>
          </w:p>
        </w:tc>
        <w:tc>
          <w:tcPr>
            <w:tcW w:w="2577" w:type="dxa"/>
            <w:shd w:val="clear" w:color="auto" w:fill="auto"/>
            <w:vAlign w:val="center"/>
          </w:tcPr>
          <w:p w14:paraId="1687C9D2" w14:textId="77777777" w:rsidR="009454E4" w:rsidRPr="009454E4" w:rsidRDefault="009454E4" w:rsidP="009454E4">
            <w:pPr>
              <w:spacing w:before="60" w:after="60"/>
              <w:ind w:right="46"/>
              <w:jc w:val="center"/>
              <w:rPr>
                <w:rFonts w:cs="Arial"/>
                <w:sz w:val="18"/>
                <w:szCs w:val="18"/>
                <w:lang w:eastAsia="en-US"/>
              </w:rPr>
            </w:pPr>
            <w:r w:rsidRPr="009454E4">
              <w:rPr>
                <w:rFonts w:cs="Arial"/>
                <w:sz w:val="18"/>
                <w:szCs w:val="18"/>
                <w:lang w:eastAsia="en-US"/>
              </w:rPr>
              <w:t>1 (0.2%)</w:t>
            </w:r>
          </w:p>
        </w:tc>
      </w:tr>
      <w:tr w:rsidR="009454E4" w:rsidRPr="009454E4" w14:paraId="0C8F3CD2" w14:textId="77777777" w:rsidTr="00D9199E">
        <w:trPr>
          <w:cantSplit/>
        </w:trPr>
        <w:tc>
          <w:tcPr>
            <w:tcW w:w="4157" w:type="dxa"/>
            <w:shd w:val="clear" w:color="auto" w:fill="auto"/>
            <w:vAlign w:val="center"/>
          </w:tcPr>
          <w:p w14:paraId="70BBF3CF"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Major bleeding events</w:t>
            </w:r>
          </w:p>
        </w:tc>
        <w:tc>
          <w:tcPr>
            <w:tcW w:w="2080" w:type="dxa"/>
            <w:shd w:val="clear" w:color="auto" w:fill="auto"/>
            <w:vAlign w:val="center"/>
          </w:tcPr>
          <w:p w14:paraId="758551CB"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4 (0.7%)</w:t>
            </w:r>
          </w:p>
        </w:tc>
        <w:tc>
          <w:tcPr>
            <w:tcW w:w="2577" w:type="dxa"/>
            <w:shd w:val="clear" w:color="auto" w:fill="auto"/>
            <w:vAlign w:val="center"/>
          </w:tcPr>
          <w:p w14:paraId="169FD3DB"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0 (0.0%)</w:t>
            </w:r>
          </w:p>
        </w:tc>
      </w:tr>
      <w:tr w:rsidR="009454E4" w:rsidRPr="009454E4" w14:paraId="264E33A6" w14:textId="77777777" w:rsidTr="00D9199E">
        <w:trPr>
          <w:cantSplit/>
          <w:trHeight w:val="347"/>
        </w:trPr>
        <w:tc>
          <w:tcPr>
            <w:tcW w:w="4157" w:type="dxa"/>
            <w:shd w:val="clear" w:color="auto" w:fill="auto"/>
            <w:vAlign w:val="center"/>
          </w:tcPr>
          <w:p w14:paraId="6E1D09F8" w14:textId="77777777" w:rsidR="009454E4" w:rsidRPr="00E1748A" w:rsidRDefault="009454E4" w:rsidP="009454E4">
            <w:pPr>
              <w:widowControl w:val="0"/>
              <w:autoSpaceDE w:val="0"/>
              <w:autoSpaceDN w:val="0"/>
              <w:adjustRightInd w:val="0"/>
              <w:spacing w:after="240"/>
              <w:ind w:right="46"/>
              <w:rPr>
                <w:rFonts w:eastAsia="PMingLiU" w:cs="Arial"/>
                <w:b/>
                <w:color w:val="000000"/>
                <w:sz w:val="18"/>
                <w:szCs w:val="22"/>
                <w:lang w:eastAsia="zh-TW"/>
              </w:rPr>
            </w:pPr>
            <w:r w:rsidRPr="00E1748A">
              <w:rPr>
                <w:rFonts w:eastAsia="PMingLiU" w:cs="Arial"/>
                <w:b/>
                <w:color w:val="000000"/>
                <w:sz w:val="18"/>
                <w:szCs w:val="22"/>
                <w:lang w:eastAsia="zh-TW"/>
              </w:rPr>
              <w:t>All-cause mortality</w:t>
            </w:r>
          </w:p>
        </w:tc>
        <w:tc>
          <w:tcPr>
            <w:tcW w:w="2080" w:type="dxa"/>
            <w:shd w:val="clear" w:color="auto" w:fill="auto"/>
            <w:vAlign w:val="center"/>
          </w:tcPr>
          <w:p w14:paraId="6B146C72"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38 (2.2%)</w:t>
            </w:r>
          </w:p>
        </w:tc>
        <w:tc>
          <w:tcPr>
            <w:tcW w:w="2577" w:type="dxa"/>
            <w:shd w:val="clear" w:color="auto" w:fill="auto"/>
            <w:vAlign w:val="center"/>
          </w:tcPr>
          <w:p w14:paraId="09914D46" w14:textId="77777777" w:rsidR="009454E4" w:rsidRPr="009454E4" w:rsidRDefault="009454E4" w:rsidP="009454E4">
            <w:pPr>
              <w:keepNext/>
              <w:spacing w:before="60" w:after="60"/>
              <w:ind w:right="46"/>
              <w:jc w:val="center"/>
              <w:rPr>
                <w:rFonts w:cs="Arial"/>
                <w:sz w:val="18"/>
                <w:szCs w:val="18"/>
                <w:lang w:eastAsia="en-US"/>
              </w:rPr>
            </w:pPr>
            <w:r w:rsidRPr="009454E4">
              <w:rPr>
                <w:rFonts w:cs="Arial"/>
                <w:sz w:val="18"/>
                <w:szCs w:val="18"/>
                <w:lang w:eastAsia="en-US"/>
              </w:rPr>
              <w:t>49 (2.9%)</w:t>
            </w:r>
          </w:p>
        </w:tc>
      </w:tr>
    </w:tbl>
    <w:p w14:paraId="21202A25" w14:textId="77777777" w:rsidR="009454E4" w:rsidRPr="009454E4" w:rsidRDefault="00E1748A" w:rsidP="009454E4">
      <w:pPr>
        <w:autoSpaceDE w:val="0"/>
        <w:autoSpaceDN w:val="0"/>
        <w:adjustRightInd w:val="0"/>
        <w:spacing w:after="120" w:line="300" w:lineRule="atLeast"/>
        <w:ind w:right="46"/>
        <w:rPr>
          <w:rFonts w:eastAsia="PMingLiU" w:cs="Arial"/>
          <w:color w:val="000000"/>
          <w:lang w:eastAsia="zh-TW"/>
        </w:rPr>
      </w:pPr>
      <w:r>
        <w:rPr>
          <w:rFonts w:eastAsia="PMingLiU" w:cs="Arial"/>
          <w:color w:val="000000"/>
          <w:lang w:eastAsia="zh-TW"/>
        </w:rPr>
        <w:t>* p&lt;</w:t>
      </w:r>
      <w:r w:rsidR="009454E4" w:rsidRPr="009454E4">
        <w:rPr>
          <w:rFonts w:eastAsia="PMingLiU" w:cs="Arial"/>
          <w:color w:val="000000"/>
          <w:lang w:eastAsia="zh-TW"/>
        </w:rPr>
        <w:t xml:space="preserve">0.0001 (superiority),  HR: 0.185 (0.087 </w:t>
      </w:r>
      <w:r w:rsidR="009454E4" w:rsidRPr="009454E4">
        <w:rPr>
          <w:rFonts w:eastAsia="PMingLiU" w:cs="Arial"/>
          <w:color w:val="000000"/>
          <w:lang w:eastAsia="zh-TW"/>
        </w:rPr>
        <w:noBreakHyphen/>
        <w:t xml:space="preserve"> 0.393)</w:t>
      </w:r>
    </w:p>
    <w:p w14:paraId="69FD81D0" w14:textId="77777777" w:rsidR="009454E4" w:rsidRDefault="009454E4" w:rsidP="00636570">
      <w:pPr>
        <w:widowControl w:val="0"/>
        <w:autoSpaceDE w:val="0"/>
        <w:autoSpaceDN w:val="0"/>
        <w:adjustRightInd w:val="0"/>
        <w:spacing w:after="240"/>
        <w:ind w:right="46"/>
        <w:rPr>
          <w:rFonts w:eastAsia="PMingLiU" w:cs="Arial"/>
          <w:color w:val="000000"/>
          <w:szCs w:val="22"/>
          <w:lang w:eastAsia="zh-TW"/>
        </w:rPr>
      </w:pPr>
      <w:r w:rsidRPr="009454E4">
        <w:rPr>
          <w:rFonts w:eastAsia="PMingLiU" w:cs="Arial"/>
          <w:color w:val="000000"/>
          <w:szCs w:val="22"/>
          <w:lang w:eastAsia="zh-TW"/>
        </w:rPr>
        <w:t xml:space="preserve">In terms of other secondary outcomes, vascular events occurred in 3 patients in the </w:t>
      </w:r>
      <w:r w:rsidR="005F6704">
        <w:rPr>
          <w:rFonts w:eastAsia="PMingLiU" w:cs="Arial"/>
          <w:color w:val="000000"/>
          <w:szCs w:val="22"/>
          <w:lang w:eastAsia="zh-TW"/>
        </w:rPr>
        <w:t>XARELTO</w:t>
      </w:r>
      <w:r w:rsidRPr="009454E4">
        <w:rPr>
          <w:rFonts w:eastAsia="PMingLiU" w:cs="Arial"/>
          <w:color w:val="000000"/>
          <w:szCs w:val="22"/>
          <w:lang w:eastAsia="zh-TW"/>
        </w:rPr>
        <w:t xml:space="preserve"> arm and 4 patients in the placebo group (HR o</w:t>
      </w:r>
      <w:r w:rsidR="00E1748A">
        <w:rPr>
          <w:rFonts w:eastAsia="PMingLiU" w:cs="Arial"/>
          <w:color w:val="000000"/>
          <w:szCs w:val="22"/>
          <w:lang w:eastAsia="zh-TW"/>
        </w:rPr>
        <w:t>f 0.74 [95% CI = 0.17 – 3.3], p</w:t>
      </w:r>
      <w:r w:rsidRPr="009454E4">
        <w:rPr>
          <w:rFonts w:eastAsia="PMingLiU" w:cs="Arial"/>
          <w:color w:val="000000"/>
          <w:szCs w:val="22"/>
          <w:lang w:eastAsia="zh-TW"/>
        </w:rPr>
        <w:t xml:space="preserve">=0.69) and total mortality accounted for 1 (0.2%) vs. 2 (0.3%) of patients in the </w:t>
      </w:r>
      <w:r w:rsidR="005F6704">
        <w:rPr>
          <w:rFonts w:eastAsia="PMingLiU" w:cs="Arial"/>
          <w:color w:val="000000"/>
          <w:szCs w:val="22"/>
          <w:lang w:eastAsia="zh-TW"/>
        </w:rPr>
        <w:t>XARELTO</w:t>
      </w:r>
      <w:r w:rsidRPr="009454E4">
        <w:rPr>
          <w:rFonts w:eastAsia="PMingLiU" w:cs="Arial"/>
          <w:color w:val="000000"/>
          <w:szCs w:val="22"/>
          <w:lang w:eastAsia="zh-TW"/>
        </w:rPr>
        <w:t xml:space="preserve"> vs placebo arms, respectively.</w:t>
      </w:r>
    </w:p>
    <w:p w14:paraId="3D6A077E" w14:textId="77777777" w:rsidR="00636570" w:rsidRPr="006B3CDC" w:rsidRDefault="00636570" w:rsidP="007D79EA">
      <w:pPr>
        <w:widowControl w:val="0"/>
        <w:autoSpaceDE w:val="0"/>
        <w:autoSpaceDN w:val="0"/>
        <w:adjustRightInd w:val="0"/>
        <w:spacing w:after="240"/>
        <w:ind w:right="46"/>
        <w:rPr>
          <w:rFonts w:eastAsia="PMingLiU" w:cs="Arial"/>
          <w:b/>
          <w:color w:val="000000"/>
          <w:szCs w:val="22"/>
          <w:u w:val="single"/>
          <w:lang w:eastAsia="zh-TW"/>
        </w:rPr>
      </w:pPr>
      <w:r w:rsidRPr="006B3CDC">
        <w:rPr>
          <w:rFonts w:eastAsia="PMingLiU" w:cs="Arial"/>
          <w:b/>
          <w:color w:val="000000"/>
          <w:szCs w:val="22"/>
          <w:u w:val="single"/>
          <w:lang w:eastAsia="zh-TW"/>
        </w:rPr>
        <w:t>EINSTEIN CHOICE study</w:t>
      </w:r>
    </w:p>
    <w:p w14:paraId="27AE3B13" w14:textId="77777777" w:rsidR="00636570" w:rsidRPr="00636570" w:rsidRDefault="00636570" w:rsidP="00636570">
      <w:pPr>
        <w:widowControl w:val="0"/>
        <w:autoSpaceDE w:val="0"/>
        <w:autoSpaceDN w:val="0"/>
        <w:adjustRightInd w:val="0"/>
        <w:spacing w:after="240"/>
        <w:ind w:right="46"/>
        <w:jc w:val="both"/>
        <w:rPr>
          <w:rFonts w:eastAsia="PMingLiU" w:cs="Arial"/>
          <w:color w:val="000000" w:themeColor="text1"/>
          <w:szCs w:val="22"/>
          <w:lang w:eastAsia="zh-TW"/>
        </w:rPr>
      </w:pPr>
      <w:r w:rsidRPr="00636570">
        <w:rPr>
          <w:rFonts w:eastAsia="PMingLiU" w:cs="Arial"/>
          <w:color w:val="000000" w:themeColor="text1"/>
          <w:szCs w:val="22"/>
          <w:lang w:eastAsia="zh-TW"/>
        </w:rPr>
        <w:t>In EINSTEIN CHOICE, 3,396 patients with confirmed symptomatic DVT and/or PE who completed 6-12 months of anticoagulant treatment were studied for the prevention of fatal PE or non-fatal symptomatic recurrent DVT or PE. Patients with an indication for continued therapeutic-dosed anticoagulation were excluded from the study. The treatment duration was up to 12 months</w:t>
      </w:r>
      <w:r w:rsidRPr="00636570">
        <w:rPr>
          <w:rFonts w:ascii="Times New Roman" w:eastAsia="PMingLiU" w:hAnsi="Times New Roman"/>
          <w:color w:val="000000" w:themeColor="text1"/>
          <w:sz w:val="24"/>
          <w:szCs w:val="24"/>
          <w:lang w:val="en-US" w:eastAsia="zh-TW"/>
        </w:rPr>
        <w:t xml:space="preserve"> </w:t>
      </w:r>
      <w:r w:rsidRPr="00636570">
        <w:rPr>
          <w:rFonts w:eastAsia="PMingLiU" w:cs="Arial"/>
          <w:color w:val="000000" w:themeColor="text1"/>
          <w:szCs w:val="22"/>
          <w:lang w:eastAsia="zh-TW"/>
        </w:rPr>
        <w:t>depending on the individual randomization date (median: 351 days). Xarelto 20 mg once daily and Xarelto 10 mg once daily were compared with 100 mg acetylsalicylic acid once daily.</w:t>
      </w:r>
    </w:p>
    <w:p w14:paraId="621D1A9F" w14:textId="77777777" w:rsidR="00D9199E" w:rsidRDefault="00636570" w:rsidP="00636570">
      <w:pPr>
        <w:widowControl w:val="0"/>
        <w:autoSpaceDE w:val="0"/>
        <w:autoSpaceDN w:val="0"/>
        <w:adjustRightInd w:val="0"/>
        <w:spacing w:after="240"/>
        <w:ind w:right="46"/>
        <w:jc w:val="both"/>
        <w:rPr>
          <w:rFonts w:eastAsia="PMingLiU" w:cs="Arial"/>
          <w:color w:val="000000" w:themeColor="text1"/>
          <w:szCs w:val="22"/>
          <w:lang w:eastAsia="zh-TW"/>
        </w:rPr>
      </w:pPr>
      <w:r w:rsidRPr="00636570">
        <w:rPr>
          <w:rFonts w:eastAsia="PMingLiU" w:cs="Arial"/>
          <w:color w:val="000000" w:themeColor="text1"/>
          <w:szCs w:val="22"/>
          <w:lang w:eastAsia="zh-TW"/>
        </w:rPr>
        <w:t xml:space="preserve">In the EINSTEIN CHOICE study Xarelto 20 mg and 10 mg were both superior to 100 mg acetylsalicylic acid for the primary efficacy outcome. The secondary efficacy outcome </w:t>
      </w:r>
      <w:r w:rsidR="009308EB" w:rsidRPr="00636570">
        <w:rPr>
          <w:rFonts w:eastAsia="PMingLiU" w:cs="Arial"/>
          <w:color w:val="000000" w:themeColor="text1"/>
          <w:szCs w:val="22"/>
          <w:lang w:eastAsia="zh-TW"/>
        </w:rPr>
        <w:t>was reduced</w:t>
      </w:r>
      <w:r w:rsidRPr="00636570">
        <w:rPr>
          <w:rFonts w:eastAsia="PMingLiU" w:cs="Arial"/>
          <w:color w:val="000000" w:themeColor="text1"/>
          <w:szCs w:val="22"/>
          <w:lang w:eastAsia="zh-TW"/>
        </w:rPr>
        <w:t xml:space="preserve"> when comparing Xarelto 20 mg or 10 mg vs. 100 mg acetylsalicylic acid. The principal safety outcome (major bleeding events) was similar for patients treated with Xarelto 20 mg and 10 mg once daily compared to 100 mg acetylsalicylic acid. The secondary safety outcome (non-major bleeding associated with treatment cessation of more than 14 days) was similar when comparing Xarelto 20 mg or 10 mg vs. 100 mg acetylsalicylic acid. Outcomes were consistent across the patients with provoked and unprovoked VTE (see </w:t>
      </w:r>
      <w:r w:rsidRPr="00636570">
        <w:rPr>
          <w:rFonts w:eastAsia="PMingLiU" w:cs="Arial"/>
          <w:color w:val="000000" w:themeColor="text1"/>
          <w:szCs w:val="22"/>
          <w:lang w:eastAsia="zh-TW"/>
        </w:rPr>
        <w:fldChar w:fldCharType="begin"/>
      </w:r>
      <w:r w:rsidRPr="00636570">
        <w:rPr>
          <w:rFonts w:eastAsia="PMingLiU" w:cs="Arial"/>
          <w:color w:val="000000" w:themeColor="text1"/>
          <w:szCs w:val="22"/>
          <w:lang w:eastAsia="zh-TW"/>
        </w:rPr>
        <w:instrText xml:space="preserve"> REF _Ref481077592 \h  \* MERGEFORMAT </w:instrText>
      </w:r>
      <w:r w:rsidRPr="00636570">
        <w:rPr>
          <w:rFonts w:eastAsia="PMingLiU" w:cs="Arial"/>
          <w:color w:val="000000" w:themeColor="text1"/>
          <w:szCs w:val="22"/>
          <w:lang w:eastAsia="zh-TW"/>
        </w:rPr>
      </w:r>
      <w:r w:rsidRPr="00636570">
        <w:rPr>
          <w:rFonts w:eastAsia="PMingLiU" w:cs="Arial"/>
          <w:color w:val="000000" w:themeColor="text1"/>
          <w:szCs w:val="22"/>
          <w:lang w:eastAsia="zh-TW"/>
        </w:rPr>
        <w:fldChar w:fldCharType="separate"/>
      </w:r>
      <w:r w:rsidR="00C51DA4" w:rsidRPr="00C51DA4">
        <w:rPr>
          <w:rFonts w:eastAsia="PMingLiU" w:cs="Arial"/>
          <w:color w:val="000000" w:themeColor="text1"/>
          <w:szCs w:val="22"/>
          <w:lang w:val="en-US" w:eastAsia="zh-TW"/>
        </w:rPr>
        <w:t xml:space="preserve">Table </w:t>
      </w:r>
      <w:r w:rsidR="00C51DA4" w:rsidRPr="00C51DA4">
        <w:rPr>
          <w:rFonts w:eastAsia="PMingLiU" w:cs="Arial"/>
          <w:noProof/>
          <w:color w:val="000000" w:themeColor="text1"/>
          <w:szCs w:val="22"/>
          <w:lang w:val="en-US" w:eastAsia="zh-TW"/>
        </w:rPr>
        <w:t>20</w:t>
      </w:r>
      <w:r w:rsidRPr="00636570">
        <w:rPr>
          <w:rFonts w:eastAsia="PMingLiU" w:cs="Arial"/>
          <w:color w:val="000000" w:themeColor="text1"/>
          <w:szCs w:val="22"/>
          <w:lang w:eastAsia="zh-TW"/>
        </w:rPr>
        <w:fldChar w:fldCharType="end"/>
      </w:r>
      <w:r w:rsidRPr="00636570">
        <w:rPr>
          <w:rFonts w:eastAsia="PMingLiU" w:cs="Arial"/>
          <w:color w:val="000000" w:themeColor="text1"/>
          <w:szCs w:val="22"/>
          <w:lang w:eastAsia="zh-TW"/>
        </w:rPr>
        <w:t>).</w:t>
      </w:r>
      <w:r w:rsidR="00D9199E">
        <w:rPr>
          <w:rFonts w:eastAsia="PMingLiU" w:cs="Arial"/>
          <w:color w:val="000000" w:themeColor="text1"/>
          <w:szCs w:val="22"/>
          <w:lang w:eastAsia="zh-TW"/>
        </w:rPr>
        <w:br w:type="page"/>
      </w:r>
    </w:p>
    <w:p w14:paraId="119333FC" w14:textId="77777777" w:rsidR="00636570" w:rsidRDefault="00636570" w:rsidP="00636570">
      <w:pPr>
        <w:widowControl w:val="0"/>
        <w:autoSpaceDE w:val="0"/>
        <w:autoSpaceDN w:val="0"/>
        <w:adjustRightInd w:val="0"/>
        <w:spacing w:after="240"/>
        <w:ind w:right="46"/>
        <w:jc w:val="both"/>
        <w:rPr>
          <w:rFonts w:eastAsia="PMingLiU" w:cs="Arial"/>
          <w:color w:val="000000" w:themeColor="text1"/>
          <w:szCs w:val="22"/>
          <w:lang w:eastAsia="zh-TW"/>
        </w:rPr>
      </w:pPr>
    </w:p>
    <w:p w14:paraId="573E0570" w14:textId="2D81CEDF" w:rsidR="00B31095" w:rsidRPr="00B31095" w:rsidRDefault="00B31095" w:rsidP="00B31095">
      <w:pPr>
        <w:rPr>
          <w:rFonts w:cs="Arial"/>
          <w:b/>
          <w:bCs/>
          <w:color w:val="000000" w:themeColor="text1"/>
          <w:sz w:val="20"/>
          <w:lang w:val="en-GB" w:eastAsia="en-US"/>
        </w:rPr>
      </w:pPr>
      <w:bookmarkStart w:id="53" w:name="_Ref481077592"/>
      <w:bookmarkStart w:id="54" w:name="_Ref481077581"/>
      <w:r w:rsidRPr="00B31095">
        <w:rPr>
          <w:rFonts w:cs="Arial"/>
          <w:b/>
          <w:bCs/>
          <w:color w:val="000000" w:themeColor="text1"/>
          <w:sz w:val="20"/>
          <w:lang w:val="en-GB" w:eastAsia="en-US"/>
        </w:rPr>
        <w:t xml:space="preserve">Table </w:t>
      </w:r>
      <w:r w:rsidRPr="006B34C9">
        <w:rPr>
          <w:rFonts w:cs="Arial"/>
          <w:b/>
          <w:bCs/>
          <w:color w:val="000000" w:themeColor="text1"/>
          <w:sz w:val="20"/>
          <w:lang w:val="en-GB" w:eastAsia="en-US"/>
        </w:rPr>
        <w:fldChar w:fldCharType="begin"/>
      </w:r>
      <w:r w:rsidRPr="006B34C9">
        <w:rPr>
          <w:rFonts w:cs="Arial"/>
          <w:b/>
          <w:bCs/>
          <w:color w:val="000000" w:themeColor="text1"/>
          <w:sz w:val="20"/>
          <w:lang w:val="en-GB" w:eastAsia="en-US"/>
        </w:rPr>
        <w:instrText xml:space="preserve"> SEQ Table \* ARABIC </w:instrText>
      </w:r>
      <w:r w:rsidRPr="006B34C9">
        <w:rPr>
          <w:rFonts w:cs="Arial"/>
          <w:b/>
          <w:bCs/>
          <w:color w:val="000000" w:themeColor="text1"/>
          <w:sz w:val="20"/>
          <w:lang w:val="en-GB" w:eastAsia="en-US"/>
        </w:rPr>
        <w:fldChar w:fldCharType="separate"/>
      </w:r>
      <w:r w:rsidR="00C51DA4">
        <w:rPr>
          <w:rFonts w:cs="Arial"/>
          <w:b/>
          <w:bCs/>
          <w:noProof/>
          <w:color w:val="000000" w:themeColor="text1"/>
          <w:sz w:val="20"/>
          <w:lang w:val="en-GB" w:eastAsia="en-US"/>
        </w:rPr>
        <w:t>20</w:t>
      </w:r>
      <w:r w:rsidRPr="006B34C9">
        <w:rPr>
          <w:rFonts w:cs="Arial"/>
          <w:b/>
          <w:bCs/>
          <w:color w:val="000000" w:themeColor="text1"/>
          <w:sz w:val="20"/>
          <w:lang w:val="en-GB" w:eastAsia="en-US"/>
        </w:rPr>
        <w:fldChar w:fldCharType="end"/>
      </w:r>
      <w:bookmarkEnd w:id="53"/>
      <w:r w:rsidRPr="006B34C9">
        <w:rPr>
          <w:rFonts w:cs="Arial"/>
          <w:b/>
          <w:bCs/>
          <w:color w:val="000000" w:themeColor="text1"/>
          <w:sz w:val="20"/>
          <w:lang w:val="en-GB" w:eastAsia="en-US"/>
        </w:rPr>
        <w:t>:</w:t>
      </w:r>
      <w:r w:rsidRPr="00B31095">
        <w:rPr>
          <w:rFonts w:cs="Arial"/>
          <w:b/>
          <w:bCs/>
          <w:color w:val="000000" w:themeColor="text1"/>
          <w:sz w:val="20"/>
          <w:lang w:val="en-GB" w:eastAsia="en-US"/>
        </w:rPr>
        <w:t xml:space="preserve"> Efficacy and safety results from phase III EINSTEIN CHOICE</w:t>
      </w:r>
      <w:bookmarkEnd w:id="54"/>
    </w:p>
    <w:tbl>
      <w:tblPr>
        <w:tblW w:w="0" w:type="auto"/>
        <w:tblBorders>
          <w:top w:val="nil"/>
          <w:left w:val="nil"/>
          <w:bottom w:val="nil"/>
          <w:right w:val="nil"/>
        </w:tblBorders>
        <w:tblLayout w:type="fixed"/>
        <w:tblCellMar>
          <w:top w:w="57" w:type="dxa"/>
          <w:bottom w:w="57" w:type="dxa"/>
        </w:tblCellMar>
        <w:tblLook w:val="0000" w:firstRow="0" w:lastRow="0" w:firstColumn="0" w:lastColumn="0" w:noHBand="0" w:noVBand="0"/>
      </w:tblPr>
      <w:tblGrid>
        <w:gridCol w:w="2802"/>
        <w:gridCol w:w="2081"/>
        <w:gridCol w:w="2082"/>
        <w:gridCol w:w="2082"/>
      </w:tblGrid>
      <w:tr w:rsidR="0025642F" w:rsidRPr="0025642F" w14:paraId="2F187098" w14:textId="77777777" w:rsidTr="00A21F84">
        <w:trPr>
          <w:trHeight w:val="22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63910D" w14:textId="77777777" w:rsidR="0025642F" w:rsidRPr="0025642F" w:rsidRDefault="0025642F" w:rsidP="0025642F">
            <w:pPr>
              <w:autoSpaceDE w:val="0"/>
              <w:autoSpaceDN w:val="0"/>
              <w:adjustRightInd w:val="0"/>
              <w:rPr>
                <w:rFonts w:cs="Arial"/>
                <w:color w:val="000000" w:themeColor="text1"/>
                <w:sz w:val="20"/>
              </w:rPr>
            </w:pPr>
            <w:r w:rsidRPr="0025642F">
              <w:rPr>
                <w:rFonts w:cs="Arial"/>
                <w:b/>
                <w:bCs/>
                <w:color w:val="000000" w:themeColor="text1"/>
                <w:sz w:val="20"/>
              </w:rPr>
              <w:t xml:space="preserve">Study population </w:t>
            </w:r>
          </w:p>
        </w:tc>
        <w:tc>
          <w:tcPr>
            <w:tcW w:w="6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060C2" w14:textId="77777777" w:rsidR="0025642F" w:rsidRPr="0025642F" w:rsidRDefault="0025642F" w:rsidP="0025642F">
            <w:pPr>
              <w:autoSpaceDE w:val="0"/>
              <w:autoSpaceDN w:val="0"/>
              <w:adjustRightInd w:val="0"/>
              <w:jc w:val="center"/>
              <w:rPr>
                <w:rFonts w:cs="Arial"/>
                <w:b/>
                <w:bCs/>
                <w:color w:val="000000" w:themeColor="text1"/>
                <w:sz w:val="20"/>
              </w:rPr>
            </w:pPr>
            <w:r w:rsidRPr="0025642F">
              <w:rPr>
                <w:rFonts w:cs="Arial"/>
                <w:b/>
                <w:bCs/>
                <w:color w:val="000000" w:themeColor="text1"/>
                <w:sz w:val="20"/>
              </w:rPr>
              <w:t>3,396 patients continued prevention of</w:t>
            </w:r>
          </w:p>
          <w:p w14:paraId="664CE5CA"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b/>
                <w:bCs/>
                <w:color w:val="000000" w:themeColor="text1"/>
                <w:sz w:val="20"/>
              </w:rPr>
              <w:t>recurrent venous thromboembolism</w:t>
            </w:r>
          </w:p>
        </w:tc>
      </w:tr>
      <w:tr w:rsidR="0025642F" w:rsidRPr="0025642F" w14:paraId="779CF8CD" w14:textId="77777777" w:rsidTr="00A21F84">
        <w:trPr>
          <w:trHeight w:val="281"/>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43482" w14:textId="77777777" w:rsidR="0025642F" w:rsidRPr="0025642F" w:rsidRDefault="0025642F" w:rsidP="0025642F">
            <w:pPr>
              <w:autoSpaceDE w:val="0"/>
              <w:autoSpaceDN w:val="0"/>
              <w:adjustRightInd w:val="0"/>
              <w:rPr>
                <w:rFonts w:cs="Arial"/>
                <w:color w:val="000000" w:themeColor="text1"/>
                <w:sz w:val="20"/>
              </w:rPr>
            </w:pPr>
            <w:r w:rsidRPr="0025642F">
              <w:rPr>
                <w:rFonts w:cs="Arial"/>
                <w:b/>
                <w:bCs/>
                <w:color w:val="000000" w:themeColor="text1"/>
                <w:sz w:val="20"/>
              </w:rPr>
              <w:t xml:space="preserve">Treatment dosage </w:t>
            </w:r>
          </w:p>
        </w:tc>
        <w:tc>
          <w:tcPr>
            <w:tcW w:w="2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F4F65"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Xarelto 20 mg od</w:t>
            </w:r>
          </w:p>
          <w:p w14:paraId="1C15AC50"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N=1,107</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802BA5"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Xarelto 10 mg od</w:t>
            </w:r>
          </w:p>
          <w:p w14:paraId="7E16FD5A"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N=1,127</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27089"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ASA 100 mg od</w:t>
            </w:r>
          </w:p>
          <w:p w14:paraId="1FA427F1"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N=1,131</w:t>
            </w:r>
          </w:p>
        </w:tc>
      </w:tr>
      <w:tr w:rsidR="0025642F" w:rsidRPr="0025642F" w14:paraId="44B4E5A8" w14:textId="77777777" w:rsidTr="00A21F84">
        <w:trPr>
          <w:trHeight w:val="36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1CFC6" w14:textId="77777777" w:rsidR="0025642F" w:rsidRPr="0025642F" w:rsidRDefault="0025642F" w:rsidP="0025642F">
            <w:pPr>
              <w:autoSpaceDE w:val="0"/>
              <w:autoSpaceDN w:val="0"/>
              <w:adjustRightInd w:val="0"/>
              <w:rPr>
                <w:rFonts w:cs="Arial"/>
                <w:b/>
                <w:bCs/>
                <w:color w:val="000000" w:themeColor="text1"/>
                <w:sz w:val="20"/>
              </w:rPr>
            </w:pPr>
            <w:r w:rsidRPr="0025642F">
              <w:rPr>
                <w:rFonts w:cs="Arial"/>
                <w:b/>
                <w:bCs/>
                <w:color w:val="000000" w:themeColor="text1"/>
                <w:sz w:val="20"/>
              </w:rPr>
              <w:t xml:space="preserve">Treatment duration, </w:t>
            </w:r>
          </w:p>
          <w:p w14:paraId="4C8CD025" w14:textId="77777777" w:rsidR="0025642F" w:rsidRPr="0025642F" w:rsidRDefault="0025642F" w:rsidP="0025642F">
            <w:pPr>
              <w:autoSpaceDE w:val="0"/>
              <w:autoSpaceDN w:val="0"/>
              <w:adjustRightInd w:val="0"/>
              <w:rPr>
                <w:rFonts w:cs="Arial"/>
                <w:color w:val="000000" w:themeColor="text1"/>
                <w:sz w:val="20"/>
              </w:rPr>
            </w:pPr>
            <w:r w:rsidRPr="0025642F">
              <w:rPr>
                <w:rFonts w:cs="Arial"/>
                <w:b/>
                <w:bCs/>
                <w:color w:val="000000" w:themeColor="text1"/>
                <w:sz w:val="20"/>
              </w:rPr>
              <w:t xml:space="preserve">median [interquartile range] </w:t>
            </w:r>
          </w:p>
        </w:tc>
        <w:tc>
          <w:tcPr>
            <w:tcW w:w="2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A06E3"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349 [189-362] days</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871E6F"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353 [190-362] days</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77EB6"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350 [186-362] days</w:t>
            </w:r>
          </w:p>
        </w:tc>
      </w:tr>
      <w:tr w:rsidR="0025642F" w:rsidRPr="0025642F" w14:paraId="53E2EECB" w14:textId="77777777" w:rsidTr="00A73571">
        <w:trPr>
          <w:trHeight w:val="258"/>
        </w:trPr>
        <w:tc>
          <w:tcPr>
            <w:tcW w:w="2802" w:type="dxa"/>
            <w:tcBorders>
              <w:top w:val="single" w:sz="4" w:space="0" w:color="auto"/>
              <w:left w:val="single" w:sz="4" w:space="0" w:color="auto"/>
              <w:bottom w:val="single" w:sz="4" w:space="0" w:color="auto"/>
              <w:right w:val="single" w:sz="4" w:space="0" w:color="auto"/>
            </w:tcBorders>
            <w:vAlign w:val="center"/>
          </w:tcPr>
          <w:p w14:paraId="6ADB3A31" w14:textId="77777777" w:rsidR="0025642F" w:rsidRPr="0025642F" w:rsidRDefault="0025642F" w:rsidP="0025642F">
            <w:pPr>
              <w:autoSpaceDE w:val="0"/>
              <w:autoSpaceDN w:val="0"/>
              <w:adjustRightInd w:val="0"/>
              <w:rPr>
                <w:rFonts w:cs="Arial"/>
                <w:color w:val="000000" w:themeColor="text1"/>
                <w:sz w:val="20"/>
              </w:rPr>
            </w:pPr>
            <w:r w:rsidRPr="0025642F">
              <w:rPr>
                <w:rFonts w:cs="Arial"/>
                <w:b/>
                <w:bCs/>
                <w:color w:val="000000" w:themeColor="text1"/>
                <w:sz w:val="20"/>
              </w:rPr>
              <w:t xml:space="preserve">Symptomatic recurrent VTE*** </w:t>
            </w:r>
          </w:p>
        </w:tc>
        <w:tc>
          <w:tcPr>
            <w:tcW w:w="2081" w:type="dxa"/>
            <w:tcBorders>
              <w:top w:val="single" w:sz="4" w:space="0" w:color="auto"/>
              <w:left w:val="single" w:sz="4" w:space="0" w:color="auto"/>
              <w:bottom w:val="single" w:sz="4" w:space="0" w:color="auto"/>
              <w:right w:val="single" w:sz="4" w:space="0" w:color="auto"/>
            </w:tcBorders>
            <w:vAlign w:val="center"/>
          </w:tcPr>
          <w:p w14:paraId="775453AC"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17 </w:t>
            </w:r>
          </w:p>
          <w:p w14:paraId="791AE0A5"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(1.5%)*</w:t>
            </w:r>
          </w:p>
        </w:tc>
        <w:tc>
          <w:tcPr>
            <w:tcW w:w="2082" w:type="dxa"/>
            <w:tcBorders>
              <w:top w:val="single" w:sz="4" w:space="0" w:color="auto"/>
              <w:left w:val="single" w:sz="4" w:space="0" w:color="auto"/>
              <w:bottom w:val="single" w:sz="4" w:space="0" w:color="auto"/>
              <w:right w:val="single" w:sz="4" w:space="0" w:color="auto"/>
            </w:tcBorders>
            <w:vAlign w:val="center"/>
          </w:tcPr>
          <w:p w14:paraId="17292131"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13 </w:t>
            </w:r>
          </w:p>
          <w:p w14:paraId="1FEB0309"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(1.2%)**</w:t>
            </w:r>
          </w:p>
        </w:tc>
        <w:tc>
          <w:tcPr>
            <w:tcW w:w="2082" w:type="dxa"/>
            <w:tcBorders>
              <w:top w:val="single" w:sz="4" w:space="0" w:color="auto"/>
              <w:left w:val="single" w:sz="4" w:space="0" w:color="auto"/>
              <w:bottom w:val="single" w:sz="4" w:space="0" w:color="auto"/>
              <w:right w:val="single" w:sz="4" w:space="0" w:color="auto"/>
            </w:tcBorders>
            <w:vAlign w:val="center"/>
          </w:tcPr>
          <w:p w14:paraId="15E02685"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50 </w:t>
            </w:r>
          </w:p>
          <w:p w14:paraId="53328346"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(4.4%)</w:t>
            </w:r>
          </w:p>
        </w:tc>
      </w:tr>
      <w:tr w:rsidR="0025642F" w:rsidRPr="0025642F" w14:paraId="793328B2" w14:textId="77777777" w:rsidTr="00A73571">
        <w:trPr>
          <w:trHeight w:val="258"/>
        </w:trPr>
        <w:tc>
          <w:tcPr>
            <w:tcW w:w="2802" w:type="dxa"/>
            <w:tcBorders>
              <w:top w:val="single" w:sz="4" w:space="0" w:color="auto"/>
              <w:left w:val="single" w:sz="4" w:space="0" w:color="auto"/>
              <w:bottom w:val="single" w:sz="4" w:space="0" w:color="auto"/>
              <w:right w:val="single" w:sz="4" w:space="0" w:color="auto"/>
            </w:tcBorders>
            <w:vAlign w:val="center"/>
          </w:tcPr>
          <w:p w14:paraId="43EFBDD5" w14:textId="77777777" w:rsidR="0025642F" w:rsidRPr="0025642F" w:rsidRDefault="0025642F" w:rsidP="0025642F">
            <w:pPr>
              <w:autoSpaceDE w:val="0"/>
              <w:autoSpaceDN w:val="0"/>
              <w:adjustRightInd w:val="0"/>
              <w:ind w:left="284"/>
              <w:rPr>
                <w:rFonts w:cs="Arial"/>
                <w:color w:val="000000" w:themeColor="text1"/>
                <w:sz w:val="20"/>
              </w:rPr>
            </w:pPr>
            <w:r w:rsidRPr="0025642F">
              <w:rPr>
                <w:rFonts w:cs="Arial"/>
                <w:b/>
                <w:bCs/>
                <w:color w:val="000000" w:themeColor="text1"/>
                <w:sz w:val="20"/>
              </w:rPr>
              <w:t xml:space="preserve">Symptomatic recurrent PE </w:t>
            </w:r>
          </w:p>
        </w:tc>
        <w:tc>
          <w:tcPr>
            <w:tcW w:w="2081" w:type="dxa"/>
            <w:tcBorders>
              <w:top w:val="single" w:sz="4" w:space="0" w:color="auto"/>
              <w:left w:val="single" w:sz="4" w:space="0" w:color="auto"/>
              <w:bottom w:val="single" w:sz="4" w:space="0" w:color="auto"/>
              <w:right w:val="single" w:sz="4" w:space="0" w:color="auto"/>
            </w:tcBorders>
            <w:vAlign w:val="center"/>
          </w:tcPr>
          <w:p w14:paraId="5F527748"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6 </w:t>
            </w:r>
          </w:p>
          <w:p w14:paraId="79B6FC5D"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(0.5%)</w:t>
            </w:r>
          </w:p>
        </w:tc>
        <w:tc>
          <w:tcPr>
            <w:tcW w:w="2082" w:type="dxa"/>
            <w:tcBorders>
              <w:top w:val="single" w:sz="4" w:space="0" w:color="auto"/>
              <w:left w:val="single" w:sz="4" w:space="0" w:color="auto"/>
              <w:bottom w:val="single" w:sz="4" w:space="0" w:color="auto"/>
              <w:right w:val="single" w:sz="4" w:space="0" w:color="auto"/>
            </w:tcBorders>
            <w:vAlign w:val="center"/>
          </w:tcPr>
          <w:p w14:paraId="7BFC7B9C"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6 </w:t>
            </w:r>
          </w:p>
          <w:p w14:paraId="201F0B61"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(0.5%)</w:t>
            </w:r>
          </w:p>
        </w:tc>
        <w:tc>
          <w:tcPr>
            <w:tcW w:w="2082" w:type="dxa"/>
            <w:tcBorders>
              <w:top w:val="single" w:sz="4" w:space="0" w:color="auto"/>
              <w:left w:val="single" w:sz="4" w:space="0" w:color="auto"/>
              <w:bottom w:val="single" w:sz="4" w:space="0" w:color="auto"/>
              <w:right w:val="single" w:sz="4" w:space="0" w:color="auto"/>
            </w:tcBorders>
            <w:vAlign w:val="center"/>
          </w:tcPr>
          <w:p w14:paraId="62045DE1"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19 </w:t>
            </w:r>
          </w:p>
          <w:p w14:paraId="5C92722E"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(1.7%)</w:t>
            </w:r>
          </w:p>
        </w:tc>
      </w:tr>
      <w:tr w:rsidR="0025642F" w:rsidRPr="0025642F" w14:paraId="2E2D08D9" w14:textId="77777777" w:rsidTr="00A73571">
        <w:trPr>
          <w:trHeight w:val="258"/>
        </w:trPr>
        <w:tc>
          <w:tcPr>
            <w:tcW w:w="2802" w:type="dxa"/>
            <w:tcBorders>
              <w:top w:val="single" w:sz="4" w:space="0" w:color="auto"/>
              <w:left w:val="single" w:sz="4" w:space="0" w:color="auto"/>
              <w:bottom w:val="single" w:sz="4" w:space="0" w:color="auto"/>
              <w:right w:val="single" w:sz="4" w:space="0" w:color="auto"/>
            </w:tcBorders>
            <w:vAlign w:val="center"/>
          </w:tcPr>
          <w:p w14:paraId="3AAD3AA3" w14:textId="77777777" w:rsidR="0025642F" w:rsidRPr="0025642F" w:rsidRDefault="0025642F" w:rsidP="0025642F">
            <w:pPr>
              <w:autoSpaceDE w:val="0"/>
              <w:autoSpaceDN w:val="0"/>
              <w:adjustRightInd w:val="0"/>
              <w:ind w:left="284"/>
              <w:rPr>
                <w:rFonts w:cs="Arial"/>
                <w:color w:val="000000" w:themeColor="text1"/>
                <w:sz w:val="20"/>
              </w:rPr>
            </w:pPr>
            <w:r w:rsidRPr="0025642F">
              <w:rPr>
                <w:rFonts w:cs="Arial"/>
                <w:b/>
                <w:bCs/>
                <w:color w:val="000000" w:themeColor="text1"/>
                <w:sz w:val="20"/>
              </w:rPr>
              <w:t xml:space="preserve">Symptomatic recurrent DVT </w:t>
            </w:r>
          </w:p>
        </w:tc>
        <w:tc>
          <w:tcPr>
            <w:tcW w:w="2081" w:type="dxa"/>
            <w:tcBorders>
              <w:top w:val="single" w:sz="4" w:space="0" w:color="auto"/>
              <w:left w:val="single" w:sz="4" w:space="0" w:color="auto"/>
              <w:bottom w:val="single" w:sz="4" w:space="0" w:color="auto"/>
              <w:right w:val="single" w:sz="4" w:space="0" w:color="auto"/>
            </w:tcBorders>
            <w:vAlign w:val="center"/>
          </w:tcPr>
          <w:p w14:paraId="22AF505D"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9 </w:t>
            </w:r>
          </w:p>
          <w:p w14:paraId="3AAACEC3"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(0.8%)</w:t>
            </w:r>
          </w:p>
        </w:tc>
        <w:tc>
          <w:tcPr>
            <w:tcW w:w="2082" w:type="dxa"/>
            <w:tcBorders>
              <w:top w:val="single" w:sz="4" w:space="0" w:color="auto"/>
              <w:left w:val="single" w:sz="4" w:space="0" w:color="auto"/>
              <w:bottom w:val="single" w:sz="4" w:space="0" w:color="auto"/>
              <w:right w:val="single" w:sz="4" w:space="0" w:color="auto"/>
            </w:tcBorders>
            <w:vAlign w:val="center"/>
          </w:tcPr>
          <w:p w14:paraId="45CAD38D"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8 </w:t>
            </w:r>
          </w:p>
          <w:p w14:paraId="1122915B"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(0.7%)</w:t>
            </w:r>
          </w:p>
        </w:tc>
        <w:tc>
          <w:tcPr>
            <w:tcW w:w="2082" w:type="dxa"/>
            <w:tcBorders>
              <w:top w:val="single" w:sz="4" w:space="0" w:color="auto"/>
              <w:left w:val="single" w:sz="4" w:space="0" w:color="auto"/>
              <w:bottom w:val="single" w:sz="4" w:space="0" w:color="auto"/>
              <w:right w:val="single" w:sz="4" w:space="0" w:color="auto"/>
            </w:tcBorders>
            <w:vAlign w:val="center"/>
          </w:tcPr>
          <w:p w14:paraId="762F0E52"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30 </w:t>
            </w:r>
          </w:p>
          <w:p w14:paraId="06455DD3"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(2.7%)</w:t>
            </w:r>
          </w:p>
        </w:tc>
      </w:tr>
      <w:tr w:rsidR="0025642F" w:rsidRPr="0025642F" w14:paraId="3C3AA582" w14:textId="77777777" w:rsidTr="00A73571">
        <w:trPr>
          <w:trHeight w:val="258"/>
        </w:trPr>
        <w:tc>
          <w:tcPr>
            <w:tcW w:w="2802" w:type="dxa"/>
            <w:tcBorders>
              <w:top w:val="single" w:sz="4" w:space="0" w:color="auto"/>
              <w:left w:val="single" w:sz="4" w:space="0" w:color="auto"/>
              <w:bottom w:val="single" w:sz="4" w:space="0" w:color="auto"/>
              <w:right w:val="single" w:sz="4" w:space="0" w:color="auto"/>
            </w:tcBorders>
            <w:vAlign w:val="center"/>
          </w:tcPr>
          <w:p w14:paraId="10B93238" w14:textId="77777777" w:rsidR="0025642F" w:rsidRPr="0025642F" w:rsidRDefault="0025642F" w:rsidP="0025642F">
            <w:pPr>
              <w:autoSpaceDE w:val="0"/>
              <w:autoSpaceDN w:val="0"/>
              <w:adjustRightInd w:val="0"/>
              <w:ind w:left="284"/>
              <w:rPr>
                <w:rFonts w:cs="Arial"/>
                <w:color w:val="000000" w:themeColor="text1"/>
                <w:sz w:val="20"/>
              </w:rPr>
            </w:pPr>
            <w:r w:rsidRPr="0025642F">
              <w:rPr>
                <w:rFonts w:cs="Arial"/>
                <w:b/>
                <w:bCs/>
                <w:color w:val="000000" w:themeColor="text1"/>
                <w:sz w:val="20"/>
              </w:rPr>
              <w:t xml:space="preserve">Fatal PE/death where PE cannot be ruled out </w:t>
            </w:r>
          </w:p>
        </w:tc>
        <w:tc>
          <w:tcPr>
            <w:tcW w:w="2081" w:type="dxa"/>
            <w:tcBorders>
              <w:top w:val="single" w:sz="4" w:space="0" w:color="auto"/>
              <w:left w:val="single" w:sz="4" w:space="0" w:color="auto"/>
              <w:bottom w:val="single" w:sz="4" w:space="0" w:color="auto"/>
              <w:right w:val="single" w:sz="4" w:space="0" w:color="auto"/>
            </w:tcBorders>
            <w:vAlign w:val="center"/>
          </w:tcPr>
          <w:p w14:paraId="2BC84977"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2 </w:t>
            </w:r>
          </w:p>
          <w:p w14:paraId="3DB719C5"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(0.2%)</w:t>
            </w:r>
          </w:p>
        </w:tc>
        <w:tc>
          <w:tcPr>
            <w:tcW w:w="2082" w:type="dxa"/>
            <w:tcBorders>
              <w:top w:val="single" w:sz="4" w:space="0" w:color="auto"/>
              <w:left w:val="single" w:sz="4" w:space="0" w:color="auto"/>
              <w:bottom w:val="single" w:sz="4" w:space="0" w:color="auto"/>
              <w:right w:val="single" w:sz="4" w:space="0" w:color="auto"/>
            </w:tcBorders>
            <w:vAlign w:val="center"/>
          </w:tcPr>
          <w:p w14:paraId="3464759B"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w:t>
            </w:r>
          </w:p>
          <w:p w14:paraId="0D008963"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(0.0%)</w:t>
            </w:r>
          </w:p>
        </w:tc>
        <w:tc>
          <w:tcPr>
            <w:tcW w:w="2082" w:type="dxa"/>
            <w:tcBorders>
              <w:top w:val="single" w:sz="4" w:space="0" w:color="auto"/>
              <w:left w:val="single" w:sz="4" w:space="0" w:color="auto"/>
              <w:bottom w:val="single" w:sz="4" w:space="0" w:color="auto"/>
              <w:right w:val="single" w:sz="4" w:space="0" w:color="auto"/>
            </w:tcBorders>
            <w:vAlign w:val="center"/>
          </w:tcPr>
          <w:p w14:paraId="68A358C7"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2 </w:t>
            </w:r>
          </w:p>
          <w:p w14:paraId="5D91C4E0"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(0.2%)</w:t>
            </w:r>
          </w:p>
        </w:tc>
      </w:tr>
      <w:tr w:rsidR="0025642F" w:rsidRPr="0025642F" w14:paraId="46D9B508" w14:textId="77777777" w:rsidTr="00A73571">
        <w:trPr>
          <w:trHeight w:val="258"/>
        </w:trPr>
        <w:tc>
          <w:tcPr>
            <w:tcW w:w="2802" w:type="dxa"/>
            <w:tcBorders>
              <w:top w:val="single" w:sz="4" w:space="0" w:color="auto"/>
              <w:left w:val="single" w:sz="4" w:space="0" w:color="auto"/>
              <w:bottom w:val="single" w:sz="4" w:space="0" w:color="auto"/>
              <w:right w:val="single" w:sz="4" w:space="0" w:color="auto"/>
            </w:tcBorders>
            <w:vAlign w:val="center"/>
          </w:tcPr>
          <w:p w14:paraId="30EC47CA" w14:textId="77777777" w:rsidR="0025642F" w:rsidRPr="0025642F" w:rsidRDefault="0025642F" w:rsidP="0025642F">
            <w:pPr>
              <w:autoSpaceDE w:val="0"/>
              <w:autoSpaceDN w:val="0"/>
              <w:adjustRightInd w:val="0"/>
              <w:rPr>
                <w:rFonts w:cs="Arial"/>
                <w:color w:val="000000" w:themeColor="text1"/>
                <w:sz w:val="20"/>
              </w:rPr>
            </w:pPr>
            <w:r w:rsidRPr="0025642F">
              <w:rPr>
                <w:rFonts w:cs="Arial"/>
                <w:b/>
                <w:bCs/>
                <w:color w:val="000000" w:themeColor="text1"/>
                <w:sz w:val="20"/>
              </w:rPr>
              <w:t xml:space="preserve">Major bleeding events </w:t>
            </w:r>
          </w:p>
        </w:tc>
        <w:tc>
          <w:tcPr>
            <w:tcW w:w="2081" w:type="dxa"/>
            <w:tcBorders>
              <w:top w:val="single" w:sz="4" w:space="0" w:color="auto"/>
              <w:left w:val="single" w:sz="4" w:space="0" w:color="auto"/>
              <w:bottom w:val="single" w:sz="4" w:space="0" w:color="auto"/>
              <w:right w:val="single" w:sz="4" w:space="0" w:color="auto"/>
            </w:tcBorders>
            <w:vAlign w:val="center"/>
          </w:tcPr>
          <w:p w14:paraId="738AE8DF"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6 </w:t>
            </w:r>
          </w:p>
          <w:p w14:paraId="3314A0B5"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(0.5%)</w:t>
            </w:r>
          </w:p>
        </w:tc>
        <w:tc>
          <w:tcPr>
            <w:tcW w:w="2082" w:type="dxa"/>
            <w:tcBorders>
              <w:top w:val="single" w:sz="4" w:space="0" w:color="auto"/>
              <w:left w:val="single" w:sz="4" w:space="0" w:color="auto"/>
              <w:bottom w:val="single" w:sz="4" w:space="0" w:color="auto"/>
              <w:right w:val="single" w:sz="4" w:space="0" w:color="auto"/>
            </w:tcBorders>
            <w:vAlign w:val="center"/>
          </w:tcPr>
          <w:p w14:paraId="39661699"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5 </w:t>
            </w:r>
          </w:p>
          <w:p w14:paraId="1C7DB311"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(0.4%)</w:t>
            </w:r>
          </w:p>
        </w:tc>
        <w:tc>
          <w:tcPr>
            <w:tcW w:w="2082" w:type="dxa"/>
            <w:tcBorders>
              <w:top w:val="single" w:sz="4" w:space="0" w:color="auto"/>
              <w:left w:val="single" w:sz="4" w:space="0" w:color="auto"/>
              <w:bottom w:val="single" w:sz="4" w:space="0" w:color="auto"/>
              <w:right w:val="single" w:sz="4" w:space="0" w:color="auto"/>
            </w:tcBorders>
            <w:vAlign w:val="center"/>
          </w:tcPr>
          <w:p w14:paraId="1D4B5198"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 xml:space="preserve">3 </w:t>
            </w:r>
          </w:p>
          <w:p w14:paraId="6D85F375"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(0.3%)</w:t>
            </w:r>
          </w:p>
        </w:tc>
      </w:tr>
      <w:tr w:rsidR="0025642F" w:rsidRPr="0025642F" w14:paraId="55B51185" w14:textId="77777777" w:rsidTr="00A73571">
        <w:trPr>
          <w:trHeight w:val="258"/>
        </w:trPr>
        <w:tc>
          <w:tcPr>
            <w:tcW w:w="2802" w:type="dxa"/>
            <w:tcBorders>
              <w:top w:val="single" w:sz="4" w:space="0" w:color="auto"/>
              <w:left w:val="single" w:sz="4" w:space="0" w:color="auto"/>
              <w:bottom w:val="single" w:sz="4" w:space="0" w:color="auto"/>
              <w:right w:val="single" w:sz="4" w:space="0" w:color="auto"/>
            </w:tcBorders>
            <w:vAlign w:val="center"/>
          </w:tcPr>
          <w:p w14:paraId="2902D28B" w14:textId="77777777" w:rsidR="0025642F" w:rsidRPr="0025642F" w:rsidRDefault="0025642F" w:rsidP="0025642F">
            <w:pPr>
              <w:autoSpaceDE w:val="0"/>
              <w:autoSpaceDN w:val="0"/>
              <w:adjustRightInd w:val="0"/>
              <w:rPr>
                <w:rFonts w:cs="Arial"/>
                <w:b/>
                <w:bCs/>
                <w:color w:val="000000" w:themeColor="text1"/>
                <w:sz w:val="20"/>
              </w:rPr>
            </w:pPr>
            <w:r w:rsidRPr="0025642F">
              <w:rPr>
                <w:rFonts w:cs="Arial"/>
                <w:b/>
                <w:bCs/>
                <w:color w:val="000000" w:themeColor="text1"/>
                <w:sz w:val="20"/>
              </w:rPr>
              <w:t>Symptomatic recurrent VTE or major clinical bleeding (net clinical benefit)</w:t>
            </w:r>
          </w:p>
        </w:tc>
        <w:tc>
          <w:tcPr>
            <w:tcW w:w="2081" w:type="dxa"/>
            <w:tcBorders>
              <w:top w:val="single" w:sz="4" w:space="0" w:color="auto"/>
              <w:left w:val="single" w:sz="4" w:space="0" w:color="auto"/>
              <w:bottom w:val="single" w:sz="4" w:space="0" w:color="auto"/>
              <w:right w:val="single" w:sz="4" w:space="0" w:color="auto"/>
            </w:tcBorders>
            <w:vAlign w:val="center"/>
          </w:tcPr>
          <w:p w14:paraId="6C53E1C8"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23</w:t>
            </w:r>
          </w:p>
          <w:p w14:paraId="690993D7"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(2.1%)</w:t>
            </w:r>
            <w:r w:rsidRPr="0025642F">
              <w:rPr>
                <w:rFonts w:cs="Arial"/>
                <w:color w:val="000000" w:themeColor="text1"/>
                <w:sz w:val="20"/>
                <w:vertAlign w:val="superscript"/>
              </w:rPr>
              <w:t>+#</w:t>
            </w:r>
          </w:p>
        </w:tc>
        <w:tc>
          <w:tcPr>
            <w:tcW w:w="2082" w:type="dxa"/>
            <w:tcBorders>
              <w:top w:val="single" w:sz="4" w:space="0" w:color="auto"/>
              <w:left w:val="single" w:sz="4" w:space="0" w:color="auto"/>
              <w:bottom w:val="single" w:sz="4" w:space="0" w:color="auto"/>
              <w:right w:val="single" w:sz="4" w:space="0" w:color="auto"/>
            </w:tcBorders>
            <w:vAlign w:val="center"/>
          </w:tcPr>
          <w:p w14:paraId="2F798562"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17</w:t>
            </w:r>
          </w:p>
          <w:p w14:paraId="63FED81E"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(1.5%)</w:t>
            </w:r>
            <w:r w:rsidRPr="0025642F">
              <w:rPr>
                <w:rFonts w:cs="Arial"/>
                <w:color w:val="000000" w:themeColor="text1"/>
                <w:sz w:val="20"/>
                <w:vertAlign w:val="superscript"/>
              </w:rPr>
              <w:t>++#</w:t>
            </w:r>
          </w:p>
        </w:tc>
        <w:tc>
          <w:tcPr>
            <w:tcW w:w="2082" w:type="dxa"/>
            <w:tcBorders>
              <w:top w:val="single" w:sz="4" w:space="0" w:color="auto"/>
              <w:left w:val="single" w:sz="4" w:space="0" w:color="auto"/>
              <w:bottom w:val="single" w:sz="4" w:space="0" w:color="auto"/>
              <w:right w:val="single" w:sz="4" w:space="0" w:color="auto"/>
            </w:tcBorders>
            <w:vAlign w:val="center"/>
          </w:tcPr>
          <w:p w14:paraId="42B5D6BB"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53</w:t>
            </w:r>
          </w:p>
          <w:p w14:paraId="54FBA9FC" w14:textId="77777777" w:rsidR="0025642F" w:rsidRPr="0025642F" w:rsidRDefault="0025642F" w:rsidP="0025642F">
            <w:pPr>
              <w:autoSpaceDE w:val="0"/>
              <w:autoSpaceDN w:val="0"/>
              <w:adjustRightInd w:val="0"/>
              <w:jc w:val="center"/>
              <w:rPr>
                <w:rFonts w:cs="Arial"/>
                <w:color w:val="000000" w:themeColor="text1"/>
                <w:sz w:val="20"/>
              </w:rPr>
            </w:pPr>
            <w:r w:rsidRPr="0025642F">
              <w:rPr>
                <w:rFonts w:cs="Arial"/>
                <w:color w:val="000000" w:themeColor="text1"/>
                <w:sz w:val="20"/>
              </w:rPr>
              <w:t>(4.7%)</w:t>
            </w:r>
          </w:p>
        </w:tc>
      </w:tr>
      <w:tr w:rsidR="0025642F" w:rsidRPr="0025642F" w14:paraId="0B02BF25" w14:textId="77777777" w:rsidTr="00A73571">
        <w:trPr>
          <w:trHeight w:val="373"/>
        </w:trPr>
        <w:tc>
          <w:tcPr>
            <w:tcW w:w="9047" w:type="dxa"/>
            <w:gridSpan w:val="4"/>
            <w:tcBorders>
              <w:top w:val="single" w:sz="4" w:space="0" w:color="auto"/>
            </w:tcBorders>
          </w:tcPr>
          <w:p w14:paraId="1E6E0784" w14:textId="77777777" w:rsidR="0025642F" w:rsidRPr="006B34C9" w:rsidRDefault="0025642F" w:rsidP="0025642F">
            <w:pPr>
              <w:autoSpaceDE w:val="0"/>
              <w:autoSpaceDN w:val="0"/>
              <w:adjustRightInd w:val="0"/>
              <w:rPr>
                <w:rFonts w:eastAsia="PMingLiU" w:cs="Arial"/>
                <w:color w:val="000000"/>
                <w:szCs w:val="22"/>
                <w:lang w:eastAsia="zh-TW"/>
              </w:rPr>
            </w:pPr>
            <w:r w:rsidRPr="0025642F">
              <w:rPr>
                <w:rFonts w:cs="Arial"/>
                <w:b/>
                <w:bCs/>
                <w:color w:val="000000" w:themeColor="text1"/>
                <w:sz w:val="20"/>
              </w:rPr>
              <w:t>*</w:t>
            </w:r>
            <w:r w:rsidRPr="006B34C9">
              <w:rPr>
                <w:rFonts w:eastAsia="PMingLiU" w:cs="Arial"/>
                <w:color w:val="000000"/>
                <w:szCs w:val="22"/>
                <w:lang w:eastAsia="zh-TW"/>
              </w:rPr>
              <w:t xml:space="preserve">p&lt;0.001(superiority) Xarelto 20 mg od vs ASA 100 mg od; HR=0.34 (0.20–0.59) </w:t>
            </w:r>
          </w:p>
          <w:p w14:paraId="7E231184" w14:textId="77777777" w:rsidR="0025642F" w:rsidRPr="006B34C9" w:rsidRDefault="0025642F" w:rsidP="0025642F">
            <w:pPr>
              <w:autoSpaceDE w:val="0"/>
              <w:autoSpaceDN w:val="0"/>
              <w:adjustRightInd w:val="0"/>
              <w:rPr>
                <w:rFonts w:eastAsia="PMingLiU" w:cs="Arial"/>
                <w:color w:val="000000"/>
                <w:szCs w:val="22"/>
                <w:lang w:eastAsia="zh-TW"/>
              </w:rPr>
            </w:pPr>
            <w:r w:rsidRPr="006B34C9">
              <w:rPr>
                <w:rFonts w:eastAsia="PMingLiU" w:cs="Arial"/>
                <w:color w:val="000000"/>
                <w:szCs w:val="22"/>
                <w:lang w:eastAsia="zh-TW"/>
              </w:rPr>
              <w:t xml:space="preserve">** p&lt;0.001 (superiority) Xarelto 10 mg od vs ASA 100 mg od; HR=0.26 (0.14–0.47) </w:t>
            </w:r>
          </w:p>
          <w:p w14:paraId="2263E87F" w14:textId="77777777" w:rsidR="0025642F" w:rsidRPr="006B34C9" w:rsidRDefault="0025642F" w:rsidP="0025642F">
            <w:pPr>
              <w:autoSpaceDE w:val="0"/>
              <w:autoSpaceDN w:val="0"/>
              <w:adjustRightInd w:val="0"/>
              <w:rPr>
                <w:rFonts w:eastAsia="PMingLiU" w:cs="Arial"/>
                <w:color w:val="000000"/>
                <w:szCs w:val="22"/>
                <w:lang w:eastAsia="zh-TW"/>
              </w:rPr>
            </w:pPr>
            <w:r w:rsidRPr="006B34C9">
              <w:rPr>
                <w:rFonts w:eastAsia="PMingLiU" w:cs="Arial"/>
                <w:color w:val="000000"/>
                <w:szCs w:val="22"/>
                <w:lang w:eastAsia="zh-TW"/>
              </w:rPr>
              <w:t>*** The primary endpoint (Symptomatic recurrent VTE) was the first occurrence of the event.  The individual component of the primary efficacy was the incidence rates up to the end of the intended treatment duration.</w:t>
            </w:r>
          </w:p>
          <w:p w14:paraId="6DDB0735" w14:textId="77777777" w:rsidR="0025642F" w:rsidRPr="006B34C9" w:rsidRDefault="0025642F" w:rsidP="0025642F">
            <w:pPr>
              <w:autoSpaceDE w:val="0"/>
              <w:autoSpaceDN w:val="0"/>
              <w:adjustRightInd w:val="0"/>
              <w:rPr>
                <w:rFonts w:eastAsia="PMingLiU" w:cs="Arial"/>
                <w:color w:val="000000"/>
                <w:szCs w:val="22"/>
                <w:lang w:eastAsia="zh-TW"/>
              </w:rPr>
            </w:pPr>
            <w:r w:rsidRPr="006B34C9">
              <w:rPr>
                <w:rFonts w:eastAsia="PMingLiU" w:cs="Arial"/>
                <w:color w:val="000000"/>
                <w:szCs w:val="22"/>
                <w:lang w:eastAsia="zh-TW"/>
              </w:rPr>
              <w:t># The symptomatic recurrent VTE or major clinical bleeding (net clinical benefit) was the</w:t>
            </w:r>
          </w:p>
          <w:p w14:paraId="06B06981" w14:textId="77777777" w:rsidR="0025642F" w:rsidRPr="006B34C9" w:rsidRDefault="0025642F" w:rsidP="0025642F">
            <w:pPr>
              <w:autoSpaceDE w:val="0"/>
              <w:autoSpaceDN w:val="0"/>
              <w:adjustRightInd w:val="0"/>
              <w:rPr>
                <w:rFonts w:eastAsia="PMingLiU" w:cs="Arial"/>
                <w:color w:val="000000"/>
                <w:szCs w:val="22"/>
                <w:lang w:eastAsia="zh-TW"/>
              </w:rPr>
            </w:pPr>
            <w:r w:rsidRPr="006B34C9">
              <w:rPr>
                <w:rFonts w:eastAsia="PMingLiU" w:cs="Arial"/>
                <w:color w:val="000000"/>
                <w:szCs w:val="22"/>
                <w:lang w:eastAsia="zh-TW"/>
              </w:rPr>
              <w:t>first occurrence of the event.</w:t>
            </w:r>
          </w:p>
          <w:p w14:paraId="38CC270C" w14:textId="77777777" w:rsidR="0025642F" w:rsidRPr="0025642F" w:rsidRDefault="0025642F" w:rsidP="0025642F">
            <w:pPr>
              <w:autoSpaceDE w:val="0"/>
              <w:autoSpaceDN w:val="0"/>
              <w:adjustRightInd w:val="0"/>
              <w:rPr>
                <w:rFonts w:cs="Arial"/>
                <w:color w:val="000000" w:themeColor="text1"/>
                <w:sz w:val="20"/>
              </w:rPr>
            </w:pPr>
          </w:p>
        </w:tc>
      </w:tr>
    </w:tbl>
    <w:p w14:paraId="5340C544" w14:textId="77777777" w:rsidR="009454E4" w:rsidRPr="009454E4" w:rsidRDefault="009454E4" w:rsidP="00D9199E">
      <w:pPr>
        <w:widowControl w:val="0"/>
        <w:autoSpaceDE w:val="0"/>
        <w:autoSpaceDN w:val="0"/>
        <w:adjustRightInd w:val="0"/>
        <w:spacing w:after="240"/>
        <w:ind w:right="46"/>
        <w:jc w:val="both"/>
        <w:rPr>
          <w:rFonts w:eastAsia="PMingLiU" w:cs="Arial"/>
          <w:color w:val="000000"/>
          <w:szCs w:val="22"/>
          <w:lang w:eastAsia="zh-TW"/>
        </w:rPr>
      </w:pPr>
      <w:r w:rsidRPr="009454E4">
        <w:rPr>
          <w:rFonts w:eastAsia="PMingLiU" w:cs="Arial"/>
          <w:color w:val="000000"/>
          <w:szCs w:val="22"/>
          <w:lang w:eastAsia="zh-TW"/>
        </w:rPr>
        <w:t>In addition to the phase III EINSTEIN program, a prospective, non-interventional, open-label cohort study (XALIA) with central outcome adjudication including recurrent VTE, major bleeding and death has been conducted. 5,142 patients with acute DVT were enrolled to investigate the long-term safety of rivaroxaban compared with standard-of-care anticoagulation therapy under real-world conditions.</w:t>
      </w:r>
      <w:r w:rsidR="00DF6C29">
        <w:rPr>
          <w:rFonts w:eastAsia="PMingLiU" w:cs="Arial"/>
          <w:color w:val="000000"/>
          <w:szCs w:val="22"/>
          <w:lang w:eastAsia="zh-TW"/>
        </w:rPr>
        <w:t xml:space="preserve"> </w:t>
      </w:r>
      <w:r w:rsidRPr="009454E4">
        <w:rPr>
          <w:rFonts w:eastAsia="PMingLiU" w:cs="Arial"/>
          <w:color w:val="000000"/>
          <w:szCs w:val="22"/>
          <w:lang w:eastAsia="zh-TW"/>
        </w:rPr>
        <w:t xml:space="preserve"> In the safety analysis set (n=4,768), rates of major bleeding, recurrent VTE and all-cause mortality for rivaroxaban were 0.7%, 1.4% and 0.5%, respectively.</w:t>
      </w:r>
      <w:r w:rsidR="00DF6C29">
        <w:rPr>
          <w:rFonts w:eastAsia="PMingLiU" w:cs="Arial"/>
          <w:color w:val="000000"/>
          <w:szCs w:val="22"/>
          <w:lang w:eastAsia="zh-TW"/>
        </w:rPr>
        <w:t xml:space="preserve"> </w:t>
      </w:r>
      <w:r w:rsidRPr="009454E4">
        <w:rPr>
          <w:rFonts w:eastAsia="PMingLiU" w:cs="Arial"/>
          <w:color w:val="000000"/>
          <w:szCs w:val="22"/>
          <w:lang w:eastAsia="zh-TW"/>
        </w:rPr>
        <w:t xml:space="preserve"> There were differences in patient baseline characteristics including age, cancer and renal impairment. </w:t>
      </w:r>
      <w:r w:rsidR="00DF6C29">
        <w:rPr>
          <w:rFonts w:eastAsia="PMingLiU" w:cs="Arial"/>
          <w:color w:val="000000"/>
          <w:szCs w:val="22"/>
          <w:lang w:eastAsia="zh-TW"/>
        </w:rPr>
        <w:t xml:space="preserve"> </w:t>
      </w:r>
      <w:r w:rsidRPr="009454E4">
        <w:rPr>
          <w:rFonts w:eastAsia="PMingLiU" w:cs="Arial"/>
          <w:color w:val="000000"/>
          <w:szCs w:val="22"/>
          <w:lang w:eastAsia="zh-TW"/>
        </w:rPr>
        <w:t xml:space="preserve">A pre-specified propensity score stratified analysis was used to adjust for measured baseline differences but residual confounding may, in spite of this, influence the results. </w:t>
      </w:r>
      <w:r w:rsidR="00DF6C29">
        <w:rPr>
          <w:rFonts w:eastAsia="PMingLiU" w:cs="Arial"/>
          <w:color w:val="000000"/>
          <w:szCs w:val="22"/>
          <w:lang w:eastAsia="zh-TW"/>
        </w:rPr>
        <w:t xml:space="preserve"> </w:t>
      </w:r>
      <w:r w:rsidRPr="009454E4">
        <w:rPr>
          <w:rFonts w:eastAsia="PMingLiU" w:cs="Arial"/>
          <w:color w:val="000000"/>
          <w:szCs w:val="22"/>
          <w:lang w:eastAsia="zh-TW"/>
        </w:rPr>
        <w:t>Adjusted hazard ratios comparing rivaroxaban and standard-of-care for major bleeding, recurrent VTE and all-cause mortality were 0.77 (95% CI 0.40-1.50, p=0.44), 0.91 (95% CI 0.54-1.54, p=0.72) and 0.51 (95% CI 0.2</w:t>
      </w:r>
      <w:r w:rsidR="00DF6C29">
        <w:rPr>
          <w:rFonts w:eastAsia="PMingLiU" w:cs="Arial"/>
          <w:color w:val="000000"/>
          <w:szCs w:val="22"/>
          <w:lang w:eastAsia="zh-TW"/>
        </w:rPr>
        <w:t>4-1.07, p=0.074), respectively.</w:t>
      </w:r>
    </w:p>
    <w:p w14:paraId="76DCA8BA" w14:textId="77777777" w:rsidR="009454E4" w:rsidRPr="009454E4" w:rsidRDefault="009454E4" w:rsidP="00A73571">
      <w:pPr>
        <w:widowControl w:val="0"/>
        <w:autoSpaceDE w:val="0"/>
        <w:autoSpaceDN w:val="0"/>
        <w:adjustRightInd w:val="0"/>
        <w:spacing w:after="240"/>
        <w:ind w:right="46"/>
        <w:rPr>
          <w:rFonts w:eastAsia="PMingLiU" w:cs="Arial"/>
          <w:color w:val="000000"/>
          <w:szCs w:val="22"/>
          <w:lang w:eastAsia="zh-TW"/>
        </w:rPr>
      </w:pPr>
      <w:r w:rsidRPr="009454E4">
        <w:rPr>
          <w:rFonts w:eastAsia="PMingLiU" w:cs="Arial"/>
          <w:color w:val="000000"/>
          <w:szCs w:val="22"/>
          <w:lang w:eastAsia="zh-TW"/>
        </w:rPr>
        <w:t>Rivaroxaban showed similar safety and efficacy compared to standard anticoagulation.</w:t>
      </w:r>
    </w:p>
    <w:p w14:paraId="0A41DE69" w14:textId="77777777" w:rsidR="009454E4" w:rsidRDefault="009454E4" w:rsidP="00A73571">
      <w:pPr>
        <w:widowControl w:val="0"/>
        <w:autoSpaceDE w:val="0"/>
        <w:autoSpaceDN w:val="0"/>
        <w:adjustRightInd w:val="0"/>
        <w:spacing w:after="240"/>
        <w:ind w:right="46"/>
        <w:rPr>
          <w:rFonts w:eastAsia="PMingLiU" w:cs="Arial"/>
          <w:color w:val="000000"/>
          <w:szCs w:val="22"/>
          <w:lang w:eastAsia="zh-TW"/>
        </w:rPr>
      </w:pPr>
      <w:r w:rsidRPr="009454E4">
        <w:rPr>
          <w:rFonts w:eastAsia="PMingLiU" w:cs="Arial"/>
          <w:color w:val="000000"/>
          <w:szCs w:val="22"/>
          <w:lang w:eastAsia="zh-TW"/>
        </w:rPr>
        <w:t>These results in patients who were observed in routine clinical practice are consistent with those observed in the EINSTEIN DVT study.</w:t>
      </w:r>
    </w:p>
    <w:p w14:paraId="1BFE18EB" w14:textId="77777777" w:rsidR="00052F2C" w:rsidRDefault="00052F2C" w:rsidP="00020812">
      <w:pPr>
        <w:autoSpaceDE w:val="0"/>
        <w:autoSpaceDN w:val="0"/>
        <w:rPr>
          <w:rFonts w:cs="Arial"/>
          <w:b/>
          <w:i/>
          <w:color w:val="000000"/>
          <w:szCs w:val="22"/>
          <w:lang w:val="en-GB" w:eastAsia="en-US"/>
        </w:rPr>
      </w:pPr>
      <w:r>
        <w:rPr>
          <w:rFonts w:cs="Arial"/>
          <w:b/>
          <w:i/>
          <w:color w:val="000000"/>
          <w:szCs w:val="22"/>
          <w:lang w:val="en-GB" w:eastAsia="en-US"/>
        </w:rPr>
        <w:lastRenderedPageBreak/>
        <w:br w:type="page"/>
      </w:r>
    </w:p>
    <w:p w14:paraId="7E0EC0BD" w14:textId="77777777" w:rsidR="00680889" w:rsidRPr="000B75A2" w:rsidRDefault="00680889" w:rsidP="00020812">
      <w:pPr>
        <w:autoSpaceDE w:val="0"/>
        <w:autoSpaceDN w:val="0"/>
        <w:rPr>
          <w:rFonts w:cs="Arial"/>
          <w:b/>
          <w:i/>
          <w:color w:val="000000"/>
          <w:szCs w:val="22"/>
          <w:lang w:val="en-GB" w:eastAsia="en-US"/>
        </w:rPr>
      </w:pPr>
      <w:r w:rsidRPr="000B75A2">
        <w:rPr>
          <w:rFonts w:cs="Arial"/>
          <w:b/>
          <w:i/>
          <w:color w:val="000000"/>
          <w:szCs w:val="22"/>
          <w:lang w:val="en-GB" w:eastAsia="en-US"/>
        </w:rPr>
        <w:lastRenderedPageBreak/>
        <w:t>Coronary artery disease (CAD) and/or peripheral artery disease (PAD): Clinical efficacy and safety</w:t>
      </w:r>
    </w:p>
    <w:p w14:paraId="17051CE8" w14:textId="77777777" w:rsidR="00680889" w:rsidRDefault="00680889" w:rsidP="00020812">
      <w:pPr>
        <w:tabs>
          <w:tab w:val="left" w:pos="567"/>
        </w:tabs>
        <w:autoSpaceDE w:val="0"/>
        <w:autoSpaceDN w:val="0"/>
        <w:rPr>
          <w:rFonts w:cs="Arial"/>
          <w:color w:val="000000"/>
          <w:szCs w:val="22"/>
          <w:lang w:val="en-GB" w:eastAsia="en-US"/>
        </w:rPr>
      </w:pPr>
    </w:p>
    <w:p w14:paraId="3A32A8B4" w14:textId="77777777" w:rsidR="00C76EBE" w:rsidRDefault="00C76EBE" w:rsidP="00020812">
      <w:pPr>
        <w:tabs>
          <w:tab w:val="left" w:pos="567"/>
        </w:tabs>
        <w:autoSpaceDE w:val="0"/>
        <w:autoSpaceDN w:val="0"/>
        <w:rPr>
          <w:rFonts w:cs="Arial"/>
          <w:color w:val="000000"/>
          <w:szCs w:val="22"/>
          <w:lang w:val="en-GB" w:eastAsia="en-US"/>
        </w:rPr>
      </w:pPr>
      <w:r w:rsidRPr="004426A7">
        <w:rPr>
          <w:rFonts w:cs="Arial"/>
          <w:color w:val="000000"/>
          <w:szCs w:val="22"/>
          <w:lang w:val="en-GB" w:eastAsia="en-US"/>
        </w:rPr>
        <w:t xml:space="preserve">The phase III </w:t>
      </w:r>
      <w:r w:rsidR="00366E11" w:rsidRPr="004426A7">
        <w:rPr>
          <w:rFonts w:cs="Arial"/>
          <w:color w:val="000000"/>
          <w:szCs w:val="22"/>
          <w:lang w:val="en-GB" w:eastAsia="en-US"/>
        </w:rPr>
        <w:t xml:space="preserve">double-blind, randomised </w:t>
      </w:r>
      <w:r w:rsidRPr="004426A7">
        <w:rPr>
          <w:rFonts w:cs="Arial"/>
          <w:color w:val="000000"/>
          <w:szCs w:val="22"/>
          <w:lang w:val="en-GB" w:eastAsia="en-US"/>
        </w:rPr>
        <w:t>COMPASS study (27,395 patients, 78.0% male, 22.0% female) demonstrated the efficacy and safety of XARELTO for the prevention of a composite of CV death, MI, stroke in patients with CAD and/or PAD. Patients were followed for a median of 23 months and maximum of 3.9 years.</w:t>
      </w:r>
    </w:p>
    <w:p w14:paraId="447ED29D" w14:textId="77777777" w:rsidR="00C76EBE" w:rsidRPr="00EE119B" w:rsidRDefault="00C76EBE" w:rsidP="00020812">
      <w:pPr>
        <w:tabs>
          <w:tab w:val="left" w:pos="567"/>
        </w:tabs>
        <w:autoSpaceDE w:val="0"/>
        <w:autoSpaceDN w:val="0"/>
        <w:rPr>
          <w:rFonts w:cs="Arial"/>
          <w:color w:val="000000"/>
          <w:szCs w:val="22"/>
          <w:lang w:val="en-GB" w:eastAsia="en-US"/>
        </w:rPr>
      </w:pPr>
    </w:p>
    <w:p w14:paraId="5062A6FA" w14:textId="673520D8" w:rsidR="00680889" w:rsidRDefault="00680889" w:rsidP="00020812">
      <w:pPr>
        <w:tabs>
          <w:tab w:val="left" w:pos="567"/>
        </w:tabs>
        <w:autoSpaceDE w:val="0"/>
        <w:autoSpaceDN w:val="0"/>
        <w:rPr>
          <w:rFonts w:cs="Arial"/>
          <w:color w:val="000000"/>
          <w:szCs w:val="22"/>
          <w:lang w:val="en-GB" w:eastAsia="en-US"/>
        </w:rPr>
      </w:pPr>
      <w:r w:rsidRPr="00EE119B">
        <w:rPr>
          <w:rFonts w:cs="Arial"/>
          <w:color w:val="000000"/>
          <w:szCs w:val="22"/>
          <w:lang w:val="en-GB" w:eastAsia="en-US"/>
        </w:rPr>
        <w:t>In the COMPASS trial, 27,395</w:t>
      </w:r>
      <w:r>
        <w:rPr>
          <w:rFonts w:cs="Arial"/>
          <w:color w:val="000000"/>
          <w:szCs w:val="22"/>
          <w:lang w:val="en-GB" w:eastAsia="en-US"/>
        </w:rPr>
        <w:t xml:space="preserve"> </w:t>
      </w:r>
      <w:r w:rsidRPr="00EE119B">
        <w:rPr>
          <w:rFonts w:cs="Arial"/>
          <w:color w:val="000000"/>
          <w:szCs w:val="22"/>
          <w:lang w:val="en-GB" w:eastAsia="en-US"/>
        </w:rPr>
        <w:t xml:space="preserve">patients were randomly assigned to one of three antithrombotic treatment groups: </w:t>
      </w:r>
      <w:r>
        <w:rPr>
          <w:rFonts w:cs="Arial"/>
          <w:color w:val="000000"/>
          <w:szCs w:val="22"/>
          <w:lang w:val="en-GB" w:eastAsia="en-US"/>
        </w:rPr>
        <w:t>XARELTO</w:t>
      </w:r>
      <w:r w:rsidRPr="00EE119B">
        <w:rPr>
          <w:rFonts w:cs="Arial"/>
          <w:color w:val="000000"/>
          <w:szCs w:val="22"/>
          <w:lang w:val="en-GB" w:eastAsia="en-US"/>
        </w:rPr>
        <w:t xml:space="preserve"> 2.5</w:t>
      </w:r>
      <w:r>
        <w:rPr>
          <w:rFonts w:cs="Arial"/>
          <w:color w:val="000000"/>
          <w:szCs w:val="22"/>
          <w:lang w:val="en-GB" w:eastAsia="en-US"/>
        </w:rPr>
        <w:t xml:space="preserve"> </w:t>
      </w:r>
      <w:r w:rsidRPr="00EE119B">
        <w:rPr>
          <w:rFonts w:cs="Arial"/>
          <w:color w:val="000000"/>
          <w:szCs w:val="22"/>
          <w:lang w:val="en-GB" w:eastAsia="en-US"/>
        </w:rPr>
        <w:t xml:space="preserve">mg twice daily in combination with </w:t>
      </w:r>
      <w:r>
        <w:rPr>
          <w:rFonts w:cs="Arial"/>
          <w:color w:val="000000"/>
          <w:szCs w:val="22"/>
          <w:lang w:val="en-GB" w:eastAsia="en-US"/>
        </w:rPr>
        <w:t>aspirin</w:t>
      </w:r>
      <w:r w:rsidRPr="00EE119B">
        <w:rPr>
          <w:rFonts w:cs="Arial"/>
          <w:color w:val="000000"/>
          <w:szCs w:val="22"/>
          <w:lang w:val="en-GB" w:eastAsia="en-US"/>
        </w:rPr>
        <w:t xml:space="preserve"> 100</w:t>
      </w:r>
      <w:r>
        <w:rPr>
          <w:rFonts w:cs="Arial"/>
          <w:color w:val="000000"/>
          <w:szCs w:val="22"/>
          <w:lang w:val="en-GB" w:eastAsia="en-US"/>
        </w:rPr>
        <w:t xml:space="preserve"> </w:t>
      </w:r>
      <w:r w:rsidRPr="00EE119B">
        <w:rPr>
          <w:rFonts w:cs="Arial"/>
          <w:color w:val="000000"/>
          <w:szCs w:val="22"/>
          <w:lang w:val="en-GB" w:eastAsia="en-US"/>
        </w:rPr>
        <w:t xml:space="preserve">mg once daily, </w:t>
      </w:r>
      <w:r>
        <w:rPr>
          <w:rFonts w:cs="Arial"/>
          <w:color w:val="000000"/>
          <w:szCs w:val="22"/>
          <w:lang w:val="en-GB" w:eastAsia="en-US"/>
        </w:rPr>
        <w:t>XARELTO</w:t>
      </w:r>
      <w:r w:rsidRPr="00EE119B">
        <w:rPr>
          <w:rFonts w:cs="Arial"/>
          <w:color w:val="000000"/>
          <w:szCs w:val="22"/>
          <w:lang w:val="en-GB" w:eastAsia="en-US"/>
        </w:rPr>
        <w:t xml:space="preserve"> 5</w:t>
      </w:r>
      <w:r>
        <w:rPr>
          <w:rFonts w:cs="Arial"/>
          <w:color w:val="000000"/>
          <w:szCs w:val="22"/>
          <w:lang w:val="en-GB" w:eastAsia="en-US"/>
        </w:rPr>
        <w:t xml:space="preserve"> </w:t>
      </w:r>
      <w:r w:rsidRPr="00EE119B">
        <w:rPr>
          <w:rFonts w:cs="Arial"/>
          <w:color w:val="000000"/>
          <w:szCs w:val="22"/>
          <w:lang w:val="en-GB" w:eastAsia="en-US"/>
        </w:rPr>
        <w:t xml:space="preserve">mg twice daily or to </w:t>
      </w:r>
      <w:r>
        <w:rPr>
          <w:rFonts w:cs="Arial"/>
          <w:color w:val="000000"/>
          <w:szCs w:val="22"/>
          <w:lang w:val="en-GB" w:eastAsia="en-US"/>
        </w:rPr>
        <w:t>aspirin</w:t>
      </w:r>
      <w:r w:rsidRPr="00EE119B">
        <w:rPr>
          <w:rFonts w:cs="Arial"/>
          <w:color w:val="000000"/>
          <w:szCs w:val="22"/>
          <w:lang w:val="en-GB" w:eastAsia="en-US"/>
        </w:rPr>
        <w:t xml:space="preserve"> 100</w:t>
      </w:r>
      <w:r>
        <w:rPr>
          <w:rFonts w:cs="Arial"/>
          <w:color w:val="000000"/>
          <w:szCs w:val="22"/>
          <w:lang w:val="en-GB" w:eastAsia="en-US"/>
        </w:rPr>
        <w:t xml:space="preserve"> </w:t>
      </w:r>
      <w:r w:rsidRPr="00EE119B">
        <w:rPr>
          <w:rFonts w:cs="Arial"/>
          <w:color w:val="000000"/>
          <w:szCs w:val="22"/>
          <w:lang w:val="en-GB" w:eastAsia="en-US"/>
        </w:rPr>
        <w:t>mg once daily in a 1:1:1 fashion.</w:t>
      </w:r>
      <w:r>
        <w:rPr>
          <w:rFonts w:cs="Arial"/>
          <w:color w:val="000000"/>
          <w:szCs w:val="22"/>
          <w:lang w:val="en-GB" w:eastAsia="en-US"/>
        </w:rPr>
        <w:t xml:space="preserve"> </w:t>
      </w:r>
      <w:r w:rsidRPr="00EE119B">
        <w:rPr>
          <w:rFonts w:cs="Arial"/>
          <w:color w:val="000000"/>
          <w:szCs w:val="22"/>
          <w:lang w:val="en-GB" w:eastAsia="en-US"/>
        </w:rPr>
        <w:t xml:space="preserve"> Patients with established CAD </w:t>
      </w:r>
      <w:r>
        <w:rPr>
          <w:rFonts w:cs="Arial"/>
          <w:color w:val="000000"/>
          <w:szCs w:val="22"/>
          <w:lang w:val="en-GB" w:eastAsia="en-US"/>
        </w:rPr>
        <w:t>and/</w:t>
      </w:r>
      <w:r w:rsidRPr="00EE119B">
        <w:rPr>
          <w:rFonts w:cs="Arial"/>
          <w:color w:val="000000"/>
          <w:szCs w:val="22"/>
          <w:lang w:val="en-GB" w:eastAsia="en-US"/>
        </w:rPr>
        <w:t xml:space="preserve">or PAD were eligible. </w:t>
      </w:r>
      <w:r>
        <w:rPr>
          <w:rFonts w:cs="Arial"/>
          <w:color w:val="000000"/>
          <w:szCs w:val="22"/>
          <w:lang w:val="en-GB" w:eastAsia="en-US"/>
        </w:rPr>
        <w:t xml:space="preserve"> </w:t>
      </w:r>
      <w:r w:rsidRPr="00EE119B">
        <w:rPr>
          <w:rFonts w:cs="Arial"/>
          <w:color w:val="000000"/>
          <w:szCs w:val="22"/>
          <w:lang w:val="en-GB" w:eastAsia="en-US"/>
        </w:rPr>
        <w:t>Patients with CAD who were younger than 65</w:t>
      </w:r>
      <w:r>
        <w:rPr>
          <w:rFonts w:cs="Arial"/>
          <w:color w:val="000000"/>
          <w:szCs w:val="22"/>
          <w:lang w:val="en-GB" w:eastAsia="en-US"/>
        </w:rPr>
        <w:t xml:space="preserve"> </w:t>
      </w:r>
      <w:r w:rsidRPr="00EE119B">
        <w:rPr>
          <w:rFonts w:cs="Arial"/>
          <w:color w:val="000000"/>
          <w:szCs w:val="22"/>
          <w:lang w:val="en-GB" w:eastAsia="en-US"/>
        </w:rPr>
        <w:t>years of age were also required to have documentation of atherosclerosis involving at least two vascular beds or to have at least two additional cardiovascular risk factors</w:t>
      </w:r>
      <w:r>
        <w:rPr>
          <w:rFonts w:cs="Arial"/>
          <w:color w:val="000000"/>
          <w:szCs w:val="22"/>
          <w:lang w:val="en-GB" w:eastAsia="en-US"/>
        </w:rPr>
        <w:t xml:space="preserve"> (current smoking, diabetes mellitus, an estimated glomerular filtration rate [eGFR] &lt;60 mL per minute, heart failure or non-lacunar ischemic stroke ≥ 1 month earlier)</w:t>
      </w:r>
      <w:r w:rsidRPr="00EE119B">
        <w:rPr>
          <w:rFonts w:cs="Arial"/>
          <w:color w:val="000000"/>
          <w:szCs w:val="22"/>
          <w:lang w:val="en-GB" w:eastAsia="en-US"/>
        </w:rPr>
        <w:t xml:space="preserve">. </w:t>
      </w:r>
      <w:r>
        <w:rPr>
          <w:rFonts w:cs="Arial"/>
          <w:color w:val="000000"/>
          <w:szCs w:val="22"/>
          <w:lang w:val="en-GB" w:eastAsia="en-US"/>
        </w:rPr>
        <w:t xml:space="preserve"> </w:t>
      </w:r>
      <w:r w:rsidR="00CC168D">
        <w:rPr>
          <w:rFonts w:cs="Arial"/>
          <w:color w:val="000000"/>
          <w:szCs w:val="22"/>
          <w:lang w:val="en-GB" w:eastAsia="en-US"/>
        </w:rPr>
        <w:t xml:space="preserve">Exclusion criteria included patients </w:t>
      </w:r>
      <w:r w:rsidRPr="00EE119B">
        <w:rPr>
          <w:rFonts w:cs="Arial"/>
          <w:color w:val="000000"/>
          <w:szCs w:val="22"/>
          <w:lang w:val="en-GB" w:eastAsia="en-US"/>
        </w:rPr>
        <w:t>in need of dual antiplatelet, other non-</w:t>
      </w:r>
      <w:r>
        <w:rPr>
          <w:rFonts w:cs="Arial"/>
          <w:color w:val="000000"/>
          <w:szCs w:val="22"/>
          <w:lang w:val="en-GB" w:eastAsia="en-US"/>
        </w:rPr>
        <w:t>aspirin</w:t>
      </w:r>
      <w:r w:rsidRPr="00EE119B">
        <w:rPr>
          <w:rFonts w:cs="Arial"/>
          <w:color w:val="000000"/>
          <w:szCs w:val="22"/>
          <w:lang w:val="en-GB" w:eastAsia="en-US"/>
        </w:rPr>
        <w:t xml:space="preserve"> antiplatelet, or oral anticoagulant therapies, as well as patients with a history of ischaemic, non-lacunar stroke within 1</w:t>
      </w:r>
      <w:r>
        <w:rPr>
          <w:rFonts w:cs="Arial"/>
          <w:color w:val="000000"/>
          <w:szCs w:val="22"/>
          <w:lang w:val="en-GB" w:eastAsia="en-US"/>
        </w:rPr>
        <w:t xml:space="preserve"> month,</w:t>
      </w:r>
      <w:r w:rsidRPr="00EE119B">
        <w:rPr>
          <w:rFonts w:cs="Arial"/>
          <w:color w:val="000000"/>
          <w:szCs w:val="22"/>
          <w:lang w:val="en-GB" w:eastAsia="en-US"/>
        </w:rPr>
        <w:t xml:space="preserve"> any history of haemorrhagic or lacunar stroke</w:t>
      </w:r>
      <w:r>
        <w:rPr>
          <w:rFonts w:cs="Arial"/>
          <w:color w:val="000000"/>
          <w:szCs w:val="22"/>
          <w:lang w:val="en-GB" w:eastAsia="en-US"/>
        </w:rPr>
        <w:t xml:space="preserve"> or patients with eGFR &lt; 15 mL/min.</w:t>
      </w:r>
    </w:p>
    <w:p w14:paraId="73ACABC5" w14:textId="77777777" w:rsidR="00680889" w:rsidRDefault="00680889" w:rsidP="00680889">
      <w:pPr>
        <w:tabs>
          <w:tab w:val="left" w:pos="567"/>
        </w:tabs>
        <w:autoSpaceDE w:val="0"/>
        <w:autoSpaceDN w:val="0"/>
        <w:rPr>
          <w:rFonts w:cs="Arial"/>
          <w:color w:val="000000"/>
          <w:szCs w:val="22"/>
          <w:lang w:val="en-GB" w:eastAsia="en-US"/>
        </w:rPr>
      </w:pPr>
    </w:p>
    <w:p w14:paraId="4246946F" w14:textId="77777777" w:rsidR="004426A7" w:rsidRDefault="004426A7" w:rsidP="0010528D">
      <w:pPr>
        <w:tabs>
          <w:tab w:val="left" w:pos="567"/>
        </w:tabs>
        <w:autoSpaceDE w:val="0"/>
        <w:autoSpaceDN w:val="0"/>
        <w:rPr>
          <w:rFonts w:cs="Arial"/>
          <w:color w:val="000000"/>
          <w:szCs w:val="22"/>
          <w:lang w:val="en-GB" w:eastAsia="en-US"/>
        </w:rPr>
      </w:pPr>
      <w:r w:rsidRPr="004426A7">
        <w:rPr>
          <w:rFonts w:cs="Arial"/>
          <w:color w:val="000000"/>
          <w:szCs w:val="22"/>
          <w:lang w:val="en-GB" w:eastAsia="en-US"/>
        </w:rPr>
        <w:t>The COMPASS Study was terminated early per recommendation of the Data Safety Monitoring Board (DSMB) after the first interim analysis. DSMB recommended that the antithrombotic study treatment arms were to be stopped early because the log-rank test statistic for one of the primary efficacy comparisons had crossed the pre-specified boundary consistently over 3 months. The intended average study duration was approximately 3-4 years. The actual (mean) treatment duration was 1.69 years for the Rivaroxaban regimens (2.5mg bid/ASA 100mg od or 5mg bid) and 1.71 years for the ASA 100mg od regimen, respectively.</w:t>
      </w:r>
    </w:p>
    <w:p w14:paraId="66F91041" w14:textId="77777777" w:rsidR="007D7E75" w:rsidRDefault="007D7E75" w:rsidP="0010528D">
      <w:pPr>
        <w:tabs>
          <w:tab w:val="left" w:pos="567"/>
        </w:tabs>
        <w:autoSpaceDE w:val="0"/>
        <w:autoSpaceDN w:val="0"/>
        <w:rPr>
          <w:rFonts w:cs="Arial"/>
          <w:color w:val="000000"/>
          <w:szCs w:val="22"/>
          <w:lang w:val="en-GB" w:eastAsia="en-US"/>
        </w:rPr>
      </w:pPr>
    </w:p>
    <w:p w14:paraId="7BF17922" w14:textId="071B8882" w:rsidR="00680889" w:rsidRDefault="00680889" w:rsidP="0010528D">
      <w:pPr>
        <w:tabs>
          <w:tab w:val="left" w:pos="567"/>
        </w:tabs>
        <w:autoSpaceDE w:val="0"/>
        <w:autoSpaceDN w:val="0"/>
        <w:rPr>
          <w:rFonts w:cs="Arial"/>
          <w:color w:val="000000"/>
          <w:szCs w:val="22"/>
          <w:lang w:val="en-GB" w:eastAsia="en-US"/>
        </w:rPr>
      </w:pPr>
      <w:r>
        <w:rPr>
          <w:rFonts w:cs="Arial"/>
          <w:color w:val="000000"/>
          <w:szCs w:val="22"/>
          <w:lang w:val="en-GB" w:eastAsia="en-US"/>
        </w:rPr>
        <w:t>The mean age was 68 years and 21% of the subject population were ≥ 75 years.</w:t>
      </w:r>
      <w:r w:rsidRPr="00EE119B">
        <w:rPr>
          <w:rFonts w:cs="Arial"/>
          <w:color w:val="000000"/>
          <w:szCs w:val="22"/>
          <w:lang w:val="en-GB" w:eastAsia="en-US"/>
        </w:rPr>
        <w:t xml:space="preserve"> </w:t>
      </w:r>
      <w:r>
        <w:rPr>
          <w:rFonts w:cs="Arial"/>
          <w:color w:val="000000"/>
          <w:szCs w:val="22"/>
          <w:lang w:val="en-GB" w:eastAsia="en-US"/>
        </w:rPr>
        <w:t xml:space="preserve"> </w:t>
      </w:r>
      <w:r w:rsidRPr="00EE119B">
        <w:rPr>
          <w:rFonts w:cs="Arial"/>
          <w:color w:val="000000"/>
          <w:szCs w:val="22"/>
          <w:lang w:val="en-GB" w:eastAsia="en-US"/>
        </w:rPr>
        <w:t>Of the patients included, 91% had CAD, 27% had PAD, and 18% had both CAD and PAD.</w:t>
      </w:r>
      <w:r>
        <w:rPr>
          <w:rFonts w:cs="Arial"/>
          <w:color w:val="000000"/>
          <w:szCs w:val="22"/>
          <w:lang w:val="en-GB" w:eastAsia="en-US"/>
        </w:rPr>
        <w:t xml:space="preserve"> </w:t>
      </w:r>
      <w:r w:rsidRPr="00EE119B">
        <w:rPr>
          <w:rFonts w:cs="Arial"/>
          <w:color w:val="000000"/>
          <w:szCs w:val="22"/>
          <w:lang w:val="en-GB" w:eastAsia="en-US"/>
        </w:rPr>
        <w:t xml:space="preserve"> </w:t>
      </w:r>
      <w:r>
        <w:rPr>
          <w:rFonts w:cs="Arial"/>
          <w:color w:val="000000"/>
          <w:szCs w:val="22"/>
          <w:lang w:val="en-GB" w:eastAsia="en-US"/>
        </w:rPr>
        <w:t xml:space="preserve">Of the patients with CAD, 69% had prior myocardial infarction, 60% had prior percutaneous transluminal coronary angioplasty (PTCA)/atherectomy/percutaneous coronary intervention (PCI) and 26% had a history of coronary artery bypass grafting (CABG) prior to the study.  </w:t>
      </w:r>
      <w:r w:rsidRPr="00EE119B">
        <w:rPr>
          <w:rFonts w:cs="Arial"/>
          <w:color w:val="000000"/>
          <w:szCs w:val="22"/>
          <w:lang w:val="en-GB" w:eastAsia="en-US"/>
        </w:rPr>
        <w:t>Of the patients with PAD, 49% had intermittent claudication, 27% had peripheral artery bypass surgery or peripheral percutaneous transluminal angioplasty</w:t>
      </w:r>
      <w:r>
        <w:rPr>
          <w:rFonts w:cs="Arial"/>
          <w:color w:val="000000"/>
          <w:szCs w:val="22"/>
          <w:lang w:val="en-GB" w:eastAsia="en-US"/>
        </w:rPr>
        <w:t xml:space="preserve"> (PTA)</w:t>
      </w:r>
      <w:r w:rsidRPr="00EE119B">
        <w:rPr>
          <w:rFonts w:cs="Arial"/>
          <w:color w:val="000000"/>
          <w:szCs w:val="22"/>
          <w:lang w:val="en-GB" w:eastAsia="en-US"/>
        </w:rPr>
        <w:t>, 26% had asymptomat</w:t>
      </w:r>
      <w:r>
        <w:rPr>
          <w:rFonts w:cs="Arial"/>
          <w:color w:val="000000"/>
          <w:szCs w:val="22"/>
          <w:lang w:val="en-GB" w:eastAsia="en-US"/>
        </w:rPr>
        <w:t>ic carotid artery stenosis &gt;50% and</w:t>
      </w:r>
      <w:r w:rsidRPr="00EE119B">
        <w:rPr>
          <w:rFonts w:cs="Arial"/>
          <w:color w:val="000000"/>
          <w:szCs w:val="22"/>
          <w:lang w:val="en-GB" w:eastAsia="en-US"/>
        </w:rPr>
        <w:t xml:space="preserve"> 5% had limb or foot amputation for arterial vascular disease.</w:t>
      </w:r>
    </w:p>
    <w:p w14:paraId="79C1004A" w14:textId="77777777" w:rsidR="00680889" w:rsidRPr="00EE119B" w:rsidRDefault="00680889" w:rsidP="0010528D">
      <w:pPr>
        <w:tabs>
          <w:tab w:val="left" w:pos="567"/>
        </w:tabs>
        <w:autoSpaceDE w:val="0"/>
        <w:autoSpaceDN w:val="0"/>
        <w:rPr>
          <w:rFonts w:cs="Arial"/>
          <w:color w:val="000000"/>
          <w:szCs w:val="22"/>
          <w:lang w:val="en-GB" w:eastAsia="en-US"/>
        </w:rPr>
      </w:pPr>
    </w:p>
    <w:p w14:paraId="7C35094C" w14:textId="7B9427D6" w:rsidR="00183257" w:rsidRDefault="00680889" w:rsidP="0010528D">
      <w:pPr>
        <w:tabs>
          <w:tab w:val="left" w:pos="567"/>
        </w:tabs>
        <w:autoSpaceDE w:val="0"/>
        <w:autoSpaceDN w:val="0"/>
        <w:rPr>
          <w:rFonts w:cs="Arial"/>
          <w:color w:val="000000"/>
          <w:szCs w:val="22"/>
          <w:lang w:val="en-GB" w:eastAsia="en-US"/>
        </w:rPr>
      </w:pPr>
      <w:r w:rsidRPr="00EE119B">
        <w:rPr>
          <w:rFonts w:cs="Arial"/>
          <w:color w:val="000000"/>
          <w:szCs w:val="22"/>
          <w:lang w:val="en-GB" w:eastAsia="en-US"/>
        </w:rPr>
        <w:t xml:space="preserve">Relative to </w:t>
      </w:r>
      <w:r>
        <w:rPr>
          <w:rFonts w:cs="Arial"/>
          <w:color w:val="000000"/>
          <w:szCs w:val="22"/>
          <w:lang w:val="en-GB" w:eastAsia="en-US"/>
        </w:rPr>
        <w:t>aspirin</w:t>
      </w:r>
      <w:r w:rsidRPr="00EE119B">
        <w:rPr>
          <w:rFonts w:cs="Arial"/>
          <w:color w:val="000000"/>
          <w:szCs w:val="22"/>
          <w:lang w:val="en-GB" w:eastAsia="en-US"/>
        </w:rPr>
        <w:t xml:space="preserve"> 100</w:t>
      </w:r>
      <w:r>
        <w:rPr>
          <w:rFonts w:cs="Arial"/>
          <w:color w:val="000000"/>
          <w:szCs w:val="22"/>
          <w:lang w:val="en-GB" w:eastAsia="en-US"/>
        </w:rPr>
        <w:t xml:space="preserve"> </w:t>
      </w:r>
      <w:r w:rsidRPr="00EE119B">
        <w:rPr>
          <w:rFonts w:cs="Arial"/>
          <w:color w:val="000000"/>
          <w:szCs w:val="22"/>
          <w:lang w:val="en-GB" w:eastAsia="en-US"/>
        </w:rPr>
        <w:t xml:space="preserve">mg, </w:t>
      </w:r>
      <w:r>
        <w:rPr>
          <w:rFonts w:cs="Arial"/>
          <w:color w:val="000000"/>
          <w:szCs w:val="22"/>
          <w:lang w:val="en-GB" w:eastAsia="en-US"/>
        </w:rPr>
        <w:t>XARELTO</w:t>
      </w:r>
      <w:r w:rsidRPr="00EE119B">
        <w:rPr>
          <w:rFonts w:cs="Arial"/>
          <w:color w:val="000000"/>
          <w:szCs w:val="22"/>
          <w:lang w:val="en-GB" w:eastAsia="en-US"/>
        </w:rPr>
        <w:t xml:space="preserve"> 2.5</w:t>
      </w:r>
      <w:r>
        <w:rPr>
          <w:rFonts w:cs="Arial"/>
          <w:color w:val="000000"/>
          <w:szCs w:val="22"/>
          <w:lang w:val="en-GB" w:eastAsia="en-US"/>
        </w:rPr>
        <w:t xml:space="preserve"> </w:t>
      </w:r>
      <w:r w:rsidRPr="00EE119B">
        <w:rPr>
          <w:rFonts w:cs="Arial"/>
          <w:color w:val="000000"/>
          <w:szCs w:val="22"/>
          <w:lang w:val="en-GB" w:eastAsia="en-US"/>
        </w:rPr>
        <w:t xml:space="preserve">mg twice daily in combination with </w:t>
      </w:r>
      <w:r>
        <w:rPr>
          <w:rFonts w:cs="Arial"/>
          <w:color w:val="000000"/>
          <w:szCs w:val="22"/>
          <w:lang w:val="en-GB" w:eastAsia="en-US"/>
        </w:rPr>
        <w:t>aspirin</w:t>
      </w:r>
      <w:r w:rsidRPr="00EE119B">
        <w:rPr>
          <w:rFonts w:cs="Arial"/>
          <w:color w:val="000000"/>
          <w:szCs w:val="22"/>
          <w:lang w:val="en-GB" w:eastAsia="en-US"/>
        </w:rPr>
        <w:t xml:space="preserve"> 100</w:t>
      </w:r>
      <w:r>
        <w:rPr>
          <w:rFonts w:cs="Arial"/>
          <w:color w:val="000000"/>
          <w:szCs w:val="22"/>
          <w:lang w:val="en-GB" w:eastAsia="en-US"/>
        </w:rPr>
        <w:t xml:space="preserve"> </w:t>
      </w:r>
      <w:r w:rsidRPr="00EE119B">
        <w:rPr>
          <w:rFonts w:cs="Arial"/>
          <w:color w:val="000000"/>
          <w:szCs w:val="22"/>
          <w:lang w:val="en-GB" w:eastAsia="en-US"/>
        </w:rPr>
        <w:t xml:space="preserve">mg once daily was superior in the reduction of the primary composite outcome of stroke, myocardial infarction or cardiovascular death. </w:t>
      </w:r>
      <w:r>
        <w:rPr>
          <w:rFonts w:cs="Arial"/>
          <w:color w:val="000000"/>
          <w:szCs w:val="22"/>
          <w:lang w:val="en-GB" w:eastAsia="en-US"/>
        </w:rPr>
        <w:t xml:space="preserve"> </w:t>
      </w:r>
      <w:r w:rsidRPr="00EE119B">
        <w:rPr>
          <w:rFonts w:cs="Arial"/>
          <w:color w:val="000000"/>
          <w:szCs w:val="22"/>
          <w:lang w:val="en-GB" w:eastAsia="en-US"/>
        </w:rPr>
        <w:t xml:space="preserve">The benefit was observed early with a constant treatment effect over the entire treatment period (see </w:t>
      </w:r>
      <w:hyperlink w:anchor="Table21" w:history="1">
        <w:r w:rsidR="008C306B" w:rsidRPr="008C306B">
          <w:rPr>
            <w:color w:val="000000"/>
            <w:lang w:val="en-GB" w:eastAsia="en-US"/>
          </w:rPr>
          <w:t>Table 21</w:t>
        </w:r>
      </w:hyperlink>
      <w:r w:rsidR="008C306B">
        <w:rPr>
          <w:rFonts w:cs="Arial"/>
          <w:color w:val="000000"/>
          <w:szCs w:val="22"/>
          <w:lang w:val="en-GB" w:eastAsia="en-US"/>
        </w:rPr>
        <w:t xml:space="preserve"> </w:t>
      </w:r>
      <w:r w:rsidRPr="00EE119B">
        <w:rPr>
          <w:rFonts w:cs="Arial"/>
          <w:color w:val="000000"/>
          <w:szCs w:val="22"/>
          <w:lang w:val="en-GB" w:eastAsia="en-US"/>
        </w:rPr>
        <w:t xml:space="preserve">and </w:t>
      </w:r>
      <w:r w:rsidR="003F4F17">
        <w:rPr>
          <w:rFonts w:cs="Arial"/>
          <w:b/>
          <w:color w:val="000000"/>
          <w:szCs w:val="22"/>
          <w:lang w:val="en-GB" w:eastAsia="en-US"/>
        </w:rPr>
        <w:fldChar w:fldCharType="begin"/>
      </w:r>
      <w:r w:rsidR="003F4F17">
        <w:rPr>
          <w:rFonts w:cs="Arial"/>
          <w:color w:val="000000"/>
          <w:szCs w:val="22"/>
          <w:lang w:val="en-GB" w:eastAsia="en-US"/>
        </w:rPr>
        <w:instrText xml:space="preserve"> REF _Ref522884781 \h </w:instrText>
      </w:r>
      <w:r w:rsidR="003F4F17">
        <w:rPr>
          <w:rFonts w:cs="Arial"/>
          <w:b/>
          <w:color w:val="000000"/>
          <w:szCs w:val="22"/>
          <w:lang w:val="en-GB" w:eastAsia="en-US"/>
        </w:rPr>
      </w:r>
      <w:r w:rsidR="003F4F17">
        <w:rPr>
          <w:rFonts w:cs="Arial"/>
          <w:b/>
          <w:color w:val="000000"/>
          <w:szCs w:val="22"/>
          <w:lang w:val="en-GB" w:eastAsia="en-US"/>
        </w:rPr>
        <w:fldChar w:fldCharType="separate"/>
      </w:r>
      <w:r w:rsidR="00C51DA4" w:rsidRPr="00FD39D3">
        <w:rPr>
          <w:rFonts w:cs="Arial"/>
        </w:rPr>
        <w:t xml:space="preserve">Figure </w:t>
      </w:r>
      <w:r w:rsidR="00C51DA4">
        <w:rPr>
          <w:rFonts w:cs="Arial"/>
          <w:noProof/>
        </w:rPr>
        <w:t>1</w:t>
      </w:r>
      <w:r w:rsidR="003F4F17">
        <w:rPr>
          <w:rFonts w:cs="Arial"/>
          <w:b/>
          <w:color w:val="000000"/>
          <w:szCs w:val="22"/>
          <w:lang w:val="en-GB" w:eastAsia="en-US"/>
        </w:rPr>
        <w:fldChar w:fldCharType="end"/>
      </w:r>
      <w:r w:rsidRPr="00EE119B">
        <w:rPr>
          <w:rFonts w:cs="Arial"/>
          <w:color w:val="000000"/>
          <w:szCs w:val="22"/>
          <w:lang w:val="en-GB" w:eastAsia="en-US"/>
        </w:rPr>
        <w:t xml:space="preserve">). </w:t>
      </w:r>
      <w:r>
        <w:rPr>
          <w:rFonts w:cs="Arial"/>
          <w:color w:val="000000"/>
          <w:szCs w:val="22"/>
          <w:lang w:val="en-GB" w:eastAsia="en-US"/>
        </w:rPr>
        <w:t xml:space="preserve"> </w:t>
      </w:r>
      <w:r w:rsidRPr="00EE119B">
        <w:rPr>
          <w:rFonts w:cs="Arial"/>
          <w:color w:val="000000"/>
          <w:szCs w:val="22"/>
          <w:lang w:val="en-GB" w:eastAsia="en-US"/>
        </w:rPr>
        <w:t xml:space="preserve">The composite secondary outcomes (composites of coronary heart disease death, or cardiovascular death, with myocardial infarction, ischaemic stroke, and acute limb ischaemia) as well as all-cause mortality were reduced (see </w:t>
      </w:r>
      <w:hyperlink w:anchor="Table21" w:history="1">
        <w:r w:rsidR="00232963">
          <w:rPr>
            <w:color w:val="000000"/>
            <w:lang w:val="en-GB" w:eastAsia="en-US"/>
          </w:rPr>
          <w:fldChar w:fldCharType="begin"/>
        </w:r>
        <w:r w:rsidR="00232963">
          <w:rPr>
            <w:color w:val="000000"/>
            <w:lang w:val="en-GB" w:eastAsia="en-US"/>
          </w:rPr>
          <w:instrText xml:space="preserve"> REF _Ref533164588 \h </w:instrText>
        </w:r>
        <w:r w:rsidR="00232963">
          <w:rPr>
            <w:color w:val="000000"/>
            <w:lang w:val="en-GB" w:eastAsia="en-US"/>
          </w:rPr>
        </w:r>
        <w:r w:rsidR="00232963">
          <w:rPr>
            <w:color w:val="000000"/>
            <w:lang w:val="en-GB" w:eastAsia="en-US"/>
          </w:rPr>
          <w:fldChar w:fldCharType="separate"/>
        </w:r>
        <w:r w:rsidR="00C51DA4">
          <w:t xml:space="preserve">Table </w:t>
        </w:r>
        <w:r w:rsidR="00C51DA4">
          <w:rPr>
            <w:noProof/>
          </w:rPr>
          <w:t>21</w:t>
        </w:r>
        <w:r w:rsidR="00C51DA4">
          <w:t xml:space="preserve">: </w:t>
        </w:r>
        <w:r w:rsidR="00C51DA4" w:rsidRPr="002747D6">
          <w:t>Efficacy results from phase III COMPASS</w:t>
        </w:r>
        <w:r w:rsidR="00232963">
          <w:rPr>
            <w:color w:val="000000"/>
            <w:lang w:val="en-GB" w:eastAsia="en-US"/>
          </w:rPr>
          <w:fldChar w:fldCharType="end"/>
        </w:r>
      </w:hyperlink>
      <w:r w:rsidR="000E5898">
        <w:rPr>
          <w:rFonts w:cs="Arial"/>
          <w:color w:val="000000"/>
          <w:szCs w:val="22"/>
          <w:lang w:val="en-GB" w:eastAsia="en-US"/>
        </w:rPr>
        <w:t>)</w:t>
      </w:r>
      <w:r>
        <w:rPr>
          <w:rFonts w:cs="Arial"/>
          <w:color w:val="000000"/>
          <w:szCs w:val="22"/>
          <w:lang w:val="en-GB" w:eastAsia="en-US"/>
        </w:rPr>
        <w:t xml:space="preserve"> </w:t>
      </w:r>
      <w:r w:rsidRPr="00EE119B">
        <w:rPr>
          <w:rFonts w:cs="Arial"/>
          <w:color w:val="000000"/>
          <w:szCs w:val="22"/>
          <w:lang w:val="en-GB" w:eastAsia="en-US"/>
        </w:rPr>
        <w:t xml:space="preserve"> </w:t>
      </w:r>
    </w:p>
    <w:p w14:paraId="19B2908A" w14:textId="77777777" w:rsidR="00183257" w:rsidRDefault="00183257" w:rsidP="003554CC">
      <w:pPr>
        <w:tabs>
          <w:tab w:val="left" w:pos="567"/>
        </w:tabs>
        <w:autoSpaceDE w:val="0"/>
        <w:autoSpaceDN w:val="0"/>
        <w:ind w:left="567"/>
        <w:rPr>
          <w:rFonts w:cs="Arial"/>
          <w:color w:val="000000"/>
          <w:szCs w:val="22"/>
          <w:lang w:val="en-GB" w:eastAsia="en-US"/>
        </w:rPr>
      </w:pPr>
    </w:p>
    <w:p w14:paraId="725FAF35" w14:textId="77777777" w:rsidR="00183257" w:rsidRDefault="00487510" w:rsidP="0010528D">
      <w:pPr>
        <w:tabs>
          <w:tab w:val="left" w:pos="567"/>
        </w:tabs>
        <w:autoSpaceDE w:val="0"/>
        <w:autoSpaceDN w:val="0"/>
        <w:rPr>
          <w:rFonts w:cs="Arial"/>
          <w:color w:val="000000"/>
          <w:szCs w:val="22"/>
          <w:lang w:val="en-GB" w:eastAsia="en-US"/>
        </w:rPr>
      </w:pPr>
      <w:r w:rsidRPr="00487510">
        <w:rPr>
          <w:rFonts w:cs="Arial"/>
          <w:color w:val="000000"/>
          <w:szCs w:val="22"/>
          <w:lang w:val="en-GB" w:eastAsia="en-US"/>
        </w:rPr>
        <w:t xml:space="preserve">A post-hoc analysis of the individual component acute limb ischemia (ALI) showed a reduction for the combination of rivaroxaban 2.5 mg bid and ASA 100 mg od with regard to maintaining limb circulation and function in subjects with atherosclerosis. For ALI, superiority of Rivaroxaban 2.5 mg bid/ASA 100 mg od (n=22) when compared with ASA 100 mg od </w:t>
      </w:r>
      <w:r w:rsidRPr="00487510">
        <w:rPr>
          <w:rFonts w:cs="Arial"/>
          <w:color w:val="000000"/>
          <w:szCs w:val="22"/>
          <w:lang w:val="en-GB" w:eastAsia="en-US"/>
        </w:rPr>
        <w:lastRenderedPageBreak/>
        <w:t xml:space="preserve">(n=40) was shown by a HR of 0.55 (95% CI 0.32-0.92, p-value = 0.02093), corresponding to a RRR of 45%. </w:t>
      </w:r>
    </w:p>
    <w:p w14:paraId="5BD1837B" w14:textId="77777777" w:rsidR="00183257" w:rsidRDefault="00183257" w:rsidP="0010528D">
      <w:pPr>
        <w:tabs>
          <w:tab w:val="left" w:pos="567"/>
        </w:tabs>
        <w:autoSpaceDE w:val="0"/>
        <w:autoSpaceDN w:val="0"/>
        <w:rPr>
          <w:rFonts w:cs="Arial"/>
          <w:color w:val="000000"/>
          <w:szCs w:val="22"/>
          <w:lang w:val="en-GB" w:eastAsia="en-US"/>
        </w:rPr>
      </w:pPr>
    </w:p>
    <w:p w14:paraId="0FADF003" w14:textId="77777777" w:rsidR="00183257" w:rsidRDefault="00487510" w:rsidP="0010528D">
      <w:pPr>
        <w:tabs>
          <w:tab w:val="left" w:pos="567"/>
        </w:tabs>
        <w:autoSpaceDE w:val="0"/>
        <w:autoSpaceDN w:val="0"/>
        <w:rPr>
          <w:rFonts w:cs="Arial"/>
          <w:color w:val="000000"/>
          <w:szCs w:val="22"/>
          <w:lang w:val="en-GB" w:eastAsia="en-US"/>
        </w:rPr>
      </w:pPr>
      <w:r w:rsidRPr="00487510">
        <w:rPr>
          <w:rFonts w:cs="Arial"/>
          <w:color w:val="000000"/>
          <w:szCs w:val="22"/>
          <w:lang w:val="en-GB" w:eastAsia="en-US"/>
        </w:rPr>
        <w:t>Amputations for cardiovascular reasons (15 vs 31 events) were also reduced (HR 0.48; 95% CI 0.26-0.89, p=0.01755).</w:t>
      </w:r>
      <w:r>
        <w:rPr>
          <w:rFonts w:cs="Arial"/>
          <w:color w:val="000000"/>
          <w:szCs w:val="22"/>
          <w:lang w:val="en-GB" w:eastAsia="en-US"/>
        </w:rPr>
        <w:t xml:space="preserve"> </w:t>
      </w:r>
    </w:p>
    <w:p w14:paraId="1EDD4CE7" w14:textId="77777777" w:rsidR="00183257" w:rsidRDefault="00183257" w:rsidP="0010528D">
      <w:pPr>
        <w:tabs>
          <w:tab w:val="left" w:pos="567"/>
        </w:tabs>
        <w:autoSpaceDE w:val="0"/>
        <w:autoSpaceDN w:val="0"/>
        <w:rPr>
          <w:rFonts w:cs="Arial"/>
          <w:color w:val="000000"/>
          <w:szCs w:val="22"/>
          <w:lang w:val="en-GB" w:eastAsia="en-US"/>
        </w:rPr>
      </w:pPr>
    </w:p>
    <w:p w14:paraId="2ADBFB08" w14:textId="7D6654FA" w:rsidR="00842BB3" w:rsidRDefault="00680889" w:rsidP="0010528D">
      <w:pPr>
        <w:tabs>
          <w:tab w:val="left" w:pos="567"/>
        </w:tabs>
        <w:autoSpaceDE w:val="0"/>
        <w:autoSpaceDN w:val="0"/>
        <w:rPr>
          <w:rFonts w:cs="Arial"/>
          <w:color w:val="000000"/>
          <w:szCs w:val="22"/>
          <w:lang w:val="en-GB" w:eastAsia="en-US"/>
        </w:rPr>
      </w:pPr>
      <w:r w:rsidRPr="00EE119B">
        <w:rPr>
          <w:rFonts w:cs="Arial"/>
          <w:color w:val="000000"/>
          <w:szCs w:val="22"/>
          <w:lang w:val="en-GB" w:eastAsia="en-US"/>
        </w:rPr>
        <w:t xml:space="preserve">The composite outcome of stroke, myocardial infarction and all-cause mortality was also reduced (HR 0.79; 95% CI 0.70-0.88; p=0.00005, post-hoc analysis). </w:t>
      </w:r>
      <w:r>
        <w:rPr>
          <w:rFonts w:cs="Arial"/>
          <w:color w:val="000000"/>
          <w:szCs w:val="22"/>
          <w:lang w:val="en-GB" w:eastAsia="en-US"/>
        </w:rPr>
        <w:t xml:space="preserve"> </w:t>
      </w:r>
    </w:p>
    <w:p w14:paraId="543A35D3" w14:textId="77777777" w:rsidR="00183257" w:rsidRDefault="00183257" w:rsidP="0010528D">
      <w:pPr>
        <w:tabs>
          <w:tab w:val="left" w:pos="567"/>
        </w:tabs>
        <w:autoSpaceDE w:val="0"/>
        <w:autoSpaceDN w:val="0"/>
        <w:rPr>
          <w:rFonts w:cs="Arial"/>
          <w:color w:val="000000"/>
          <w:szCs w:val="22"/>
          <w:lang w:val="en-GB" w:eastAsia="en-US"/>
        </w:rPr>
      </w:pPr>
    </w:p>
    <w:p w14:paraId="582FCA46" w14:textId="2920B311" w:rsidR="00B710B6" w:rsidRDefault="00680889" w:rsidP="0010528D">
      <w:pPr>
        <w:tabs>
          <w:tab w:val="left" w:pos="567"/>
        </w:tabs>
        <w:autoSpaceDE w:val="0"/>
        <w:autoSpaceDN w:val="0"/>
        <w:rPr>
          <w:rFonts w:cs="Arial"/>
          <w:color w:val="000000"/>
          <w:szCs w:val="22"/>
          <w:lang w:val="en-GB" w:eastAsia="en-US"/>
        </w:rPr>
      </w:pPr>
      <w:r w:rsidRPr="00EE119B">
        <w:rPr>
          <w:rFonts w:cs="Arial"/>
          <w:color w:val="000000"/>
          <w:szCs w:val="22"/>
          <w:lang w:val="en-GB" w:eastAsia="en-US"/>
        </w:rPr>
        <w:t xml:space="preserve">There </w:t>
      </w:r>
      <w:r w:rsidRPr="00BC2DC9">
        <w:rPr>
          <w:rFonts w:cs="Arial"/>
          <w:color w:val="000000"/>
          <w:szCs w:val="22"/>
          <w:lang w:val="en-GB" w:eastAsia="en-US"/>
        </w:rPr>
        <w:t>was a significant 1.7-fold increase of the primary safety outcome (modified ISTH major bleeding events</w:t>
      </w:r>
      <w:hyperlink w:anchor="Bleeding" w:history="1">
        <w:r w:rsidR="00870A72" w:rsidRPr="000B75A2">
          <w:rPr>
            <w:color w:val="000000"/>
            <w:vertAlign w:val="superscript"/>
          </w:rPr>
          <w:t>2</w:t>
        </w:r>
      </w:hyperlink>
      <w:r w:rsidRPr="00BC2DC9">
        <w:rPr>
          <w:rFonts w:cs="Arial"/>
          <w:color w:val="000000"/>
          <w:szCs w:val="22"/>
          <w:lang w:val="en-GB" w:eastAsia="en-US"/>
        </w:rPr>
        <w:t>)</w:t>
      </w:r>
      <w:r w:rsidRPr="00EE119B">
        <w:rPr>
          <w:rFonts w:cs="Arial"/>
          <w:color w:val="000000"/>
          <w:szCs w:val="22"/>
          <w:lang w:val="en-GB" w:eastAsia="en-US"/>
        </w:rPr>
        <w:t xml:space="preserve"> in patients treated with </w:t>
      </w:r>
      <w:r>
        <w:rPr>
          <w:rFonts w:cs="Arial"/>
          <w:color w:val="000000"/>
          <w:szCs w:val="22"/>
          <w:lang w:val="en-GB" w:eastAsia="en-US"/>
        </w:rPr>
        <w:t>XARELTO</w:t>
      </w:r>
      <w:r w:rsidRPr="00EE119B">
        <w:rPr>
          <w:rFonts w:cs="Arial"/>
          <w:color w:val="000000"/>
          <w:szCs w:val="22"/>
          <w:lang w:val="en-GB" w:eastAsia="en-US"/>
        </w:rPr>
        <w:t xml:space="preserve"> 2.5</w:t>
      </w:r>
      <w:r>
        <w:rPr>
          <w:rFonts w:cs="Arial"/>
          <w:color w:val="000000"/>
          <w:szCs w:val="22"/>
          <w:lang w:val="en-GB" w:eastAsia="en-US"/>
        </w:rPr>
        <w:t xml:space="preserve"> </w:t>
      </w:r>
      <w:r w:rsidRPr="00EE119B">
        <w:rPr>
          <w:rFonts w:cs="Arial"/>
          <w:color w:val="000000"/>
          <w:szCs w:val="22"/>
          <w:lang w:val="en-GB" w:eastAsia="en-US"/>
        </w:rPr>
        <w:t xml:space="preserve">mg twice daily in combination with </w:t>
      </w:r>
      <w:r>
        <w:rPr>
          <w:rFonts w:cs="Arial"/>
          <w:color w:val="000000"/>
          <w:szCs w:val="22"/>
          <w:lang w:val="en-GB" w:eastAsia="en-US"/>
        </w:rPr>
        <w:t>aspirin</w:t>
      </w:r>
      <w:r w:rsidRPr="00EE119B">
        <w:rPr>
          <w:rFonts w:cs="Arial"/>
          <w:color w:val="000000"/>
          <w:szCs w:val="22"/>
          <w:lang w:val="en-GB" w:eastAsia="en-US"/>
        </w:rPr>
        <w:t xml:space="preserve"> 100</w:t>
      </w:r>
      <w:r>
        <w:rPr>
          <w:rFonts w:cs="Arial"/>
          <w:color w:val="000000"/>
          <w:szCs w:val="22"/>
          <w:lang w:val="en-GB" w:eastAsia="en-US"/>
        </w:rPr>
        <w:t xml:space="preserve"> </w:t>
      </w:r>
      <w:r w:rsidRPr="00EE119B">
        <w:rPr>
          <w:rFonts w:cs="Arial"/>
          <w:color w:val="000000"/>
          <w:szCs w:val="22"/>
          <w:lang w:val="en-GB" w:eastAsia="en-US"/>
        </w:rPr>
        <w:t xml:space="preserve">mg once daily compared to patients who received </w:t>
      </w:r>
      <w:r>
        <w:rPr>
          <w:rFonts w:cs="Arial"/>
          <w:color w:val="000000"/>
          <w:szCs w:val="22"/>
          <w:lang w:val="en-GB" w:eastAsia="en-US"/>
        </w:rPr>
        <w:t>aspirin</w:t>
      </w:r>
      <w:r w:rsidRPr="00EE119B">
        <w:rPr>
          <w:rFonts w:cs="Arial"/>
          <w:color w:val="000000"/>
          <w:szCs w:val="22"/>
          <w:lang w:val="en-GB" w:eastAsia="en-US"/>
        </w:rPr>
        <w:t xml:space="preserve"> 100</w:t>
      </w:r>
      <w:r>
        <w:rPr>
          <w:rFonts w:cs="Arial"/>
          <w:color w:val="000000"/>
          <w:szCs w:val="22"/>
          <w:lang w:val="en-GB" w:eastAsia="en-US"/>
        </w:rPr>
        <w:t xml:space="preserve"> </w:t>
      </w:r>
      <w:r w:rsidRPr="00EE119B">
        <w:rPr>
          <w:rFonts w:cs="Arial"/>
          <w:color w:val="000000"/>
          <w:szCs w:val="22"/>
          <w:lang w:val="en-GB" w:eastAsia="en-US"/>
        </w:rPr>
        <w:t>mg (see</w:t>
      </w:r>
      <w:r w:rsidR="00CD2E38">
        <w:rPr>
          <w:rFonts w:cs="Arial"/>
          <w:color w:val="000000"/>
          <w:szCs w:val="22"/>
          <w:lang w:val="en-GB" w:eastAsia="en-US"/>
        </w:rPr>
        <w:t xml:space="preserve"> </w:t>
      </w:r>
      <w:hyperlink w:anchor="Table22" w:history="1">
        <w:r w:rsidR="00CD2E38" w:rsidRPr="00245176">
          <w:rPr>
            <w:color w:val="000000"/>
            <w:lang w:val="en-GB" w:eastAsia="en-US"/>
          </w:rPr>
          <w:t>Table 2</w:t>
        </w:r>
        <w:r w:rsidR="00EC4D1B" w:rsidRPr="00245176">
          <w:rPr>
            <w:color w:val="000000"/>
            <w:lang w:val="en-GB" w:eastAsia="en-US"/>
          </w:rPr>
          <w:t>2</w:t>
        </w:r>
      </w:hyperlink>
      <w:r w:rsidRPr="00EE119B">
        <w:rPr>
          <w:rFonts w:cs="Arial"/>
          <w:color w:val="000000"/>
          <w:szCs w:val="22"/>
          <w:lang w:val="en-GB" w:eastAsia="en-US"/>
        </w:rPr>
        <w:t>).</w:t>
      </w:r>
    </w:p>
    <w:p w14:paraId="3C6FCB7A" w14:textId="320AC1BE" w:rsidR="00183257" w:rsidRDefault="00680889" w:rsidP="0010528D">
      <w:pPr>
        <w:tabs>
          <w:tab w:val="left" w:pos="567"/>
        </w:tabs>
        <w:autoSpaceDE w:val="0"/>
        <w:autoSpaceDN w:val="0"/>
        <w:rPr>
          <w:szCs w:val="22"/>
        </w:rPr>
      </w:pPr>
      <w:r w:rsidRPr="00EE119B">
        <w:rPr>
          <w:rFonts w:cs="Arial"/>
          <w:color w:val="000000"/>
          <w:szCs w:val="22"/>
          <w:lang w:val="en-GB" w:eastAsia="en-US"/>
        </w:rPr>
        <w:t xml:space="preserve"> </w:t>
      </w:r>
      <w:r>
        <w:rPr>
          <w:rFonts w:cs="Arial"/>
          <w:color w:val="000000"/>
          <w:szCs w:val="22"/>
          <w:lang w:val="en-GB" w:eastAsia="en-US"/>
        </w:rPr>
        <w:t xml:space="preserve"> </w:t>
      </w:r>
      <w:r w:rsidRPr="00EE119B">
        <w:rPr>
          <w:rFonts w:cs="Arial"/>
          <w:color w:val="000000"/>
          <w:szCs w:val="22"/>
          <w:lang w:val="en-GB" w:eastAsia="en-US"/>
        </w:rPr>
        <w:t xml:space="preserve"> </w:t>
      </w:r>
      <w:r>
        <w:rPr>
          <w:rFonts w:cs="Arial"/>
          <w:color w:val="000000"/>
          <w:szCs w:val="22"/>
          <w:lang w:val="en-GB" w:eastAsia="en-US"/>
        </w:rPr>
        <w:t xml:space="preserve"> </w:t>
      </w:r>
      <w:r w:rsidR="005A232C" w:rsidRPr="005A232C">
        <w:rPr>
          <w:szCs w:val="22"/>
        </w:rPr>
        <w:t xml:space="preserve"> </w:t>
      </w:r>
    </w:p>
    <w:p w14:paraId="27DDDE50" w14:textId="77777777" w:rsidR="00BC2DC9" w:rsidRPr="00870A72" w:rsidRDefault="00BC2DC9" w:rsidP="00BC2DC9">
      <w:pPr>
        <w:tabs>
          <w:tab w:val="left" w:pos="567"/>
        </w:tabs>
        <w:autoSpaceDE w:val="0"/>
        <w:autoSpaceDN w:val="0"/>
        <w:rPr>
          <w:rFonts w:cs="Arial"/>
          <w:color w:val="000000"/>
          <w:sz w:val="16"/>
          <w:szCs w:val="16"/>
          <w:lang w:val="en-GB" w:eastAsia="en-US"/>
        </w:rPr>
      </w:pPr>
      <w:bookmarkStart w:id="55" w:name="ISTH"/>
      <w:bookmarkStart w:id="56" w:name="Bleeding"/>
      <w:r w:rsidRPr="00870A72">
        <w:rPr>
          <w:rFonts w:cs="Arial"/>
          <w:color w:val="000000"/>
          <w:sz w:val="16"/>
          <w:szCs w:val="16"/>
          <w:vertAlign w:val="superscript"/>
          <w:lang w:val="en-GB" w:eastAsia="en-US"/>
        </w:rPr>
        <w:t>2</w:t>
      </w:r>
      <w:r w:rsidRPr="00870A72">
        <w:rPr>
          <w:rFonts w:cs="Arial"/>
          <w:color w:val="000000"/>
          <w:sz w:val="16"/>
          <w:szCs w:val="16"/>
          <w:lang w:val="en-GB" w:eastAsia="en-US"/>
        </w:rPr>
        <w:t xml:space="preserve"> Modified ISTH major bleeding defined as:</w:t>
      </w:r>
    </w:p>
    <w:bookmarkEnd w:id="55"/>
    <w:bookmarkEnd w:id="56"/>
    <w:p w14:paraId="05A6787C" w14:textId="77777777" w:rsidR="00BC2DC9" w:rsidRPr="00870A72" w:rsidRDefault="00BC2DC9" w:rsidP="00BC2DC9">
      <w:pPr>
        <w:tabs>
          <w:tab w:val="left" w:pos="567"/>
        </w:tabs>
        <w:autoSpaceDE w:val="0"/>
        <w:autoSpaceDN w:val="0"/>
        <w:rPr>
          <w:rFonts w:cs="Arial"/>
          <w:color w:val="000000"/>
          <w:sz w:val="16"/>
          <w:szCs w:val="16"/>
          <w:lang w:val="en-GB" w:eastAsia="en-US"/>
        </w:rPr>
      </w:pPr>
      <w:r w:rsidRPr="00870A72">
        <w:rPr>
          <w:rFonts w:cs="Arial"/>
          <w:color w:val="000000"/>
          <w:sz w:val="16"/>
          <w:szCs w:val="16"/>
          <w:lang w:val="en-GB" w:eastAsia="en-US"/>
        </w:rPr>
        <w:t>(1)  Fatal bleeding or</w:t>
      </w:r>
    </w:p>
    <w:p w14:paraId="5E68E338" w14:textId="77777777" w:rsidR="00BC2DC9" w:rsidRPr="00870A72" w:rsidRDefault="00BC2DC9" w:rsidP="00BC2DC9">
      <w:pPr>
        <w:tabs>
          <w:tab w:val="left" w:pos="567"/>
        </w:tabs>
        <w:autoSpaceDE w:val="0"/>
        <w:autoSpaceDN w:val="0"/>
        <w:rPr>
          <w:rFonts w:cs="Arial"/>
          <w:color w:val="000000"/>
          <w:sz w:val="16"/>
          <w:szCs w:val="16"/>
          <w:lang w:val="en-GB" w:eastAsia="en-US"/>
        </w:rPr>
      </w:pPr>
      <w:r w:rsidRPr="00870A72">
        <w:rPr>
          <w:rFonts w:cs="Arial"/>
          <w:color w:val="000000"/>
          <w:sz w:val="16"/>
          <w:szCs w:val="16"/>
          <w:lang w:val="en-GB" w:eastAsia="en-US"/>
        </w:rPr>
        <w:t>(2)  Symptomatic bleeding in a critical area or organ, such as intraarticular, intramuscular with compartment syndrome, intraspinal, intracranial, intraocular, respiratory, pericardial, liver, pancreas, retroperitoneal, adrenal gland or kidney; or bleeding into the surgical site requiring reoperation or</w:t>
      </w:r>
    </w:p>
    <w:p w14:paraId="78E1C1B1" w14:textId="77777777" w:rsidR="00BC2DC9" w:rsidRPr="00B32D2F" w:rsidRDefault="00BC2DC9" w:rsidP="00BC2DC9">
      <w:pPr>
        <w:tabs>
          <w:tab w:val="left" w:pos="567"/>
        </w:tabs>
        <w:autoSpaceDE w:val="0"/>
        <w:autoSpaceDN w:val="0"/>
        <w:rPr>
          <w:rFonts w:cs="Arial"/>
          <w:color w:val="000000"/>
          <w:sz w:val="16"/>
          <w:szCs w:val="16"/>
          <w:lang w:val="en-GB" w:eastAsia="en-US"/>
        </w:rPr>
      </w:pPr>
      <w:r w:rsidRPr="00870A72">
        <w:rPr>
          <w:rFonts w:cs="Arial"/>
          <w:color w:val="000000"/>
          <w:sz w:val="16"/>
          <w:szCs w:val="16"/>
          <w:lang w:val="en-GB" w:eastAsia="en-US"/>
        </w:rPr>
        <w:t>(3)  Bleeding leading to hospitalisation (Includes with and without overnight stay.  Based on attending A&amp;E but not necessarily being admitted.)</w:t>
      </w:r>
    </w:p>
    <w:p w14:paraId="07D0A827" w14:textId="77777777" w:rsidR="00B8762E" w:rsidRDefault="00B8762E" w:rsidP="0010528D">
      <w:pPr>
        <w:tabs>
          <w:tab w:val="left" w:pos="567"/>
        </w:tabs>
        <w:autoSpaceDE w:val="0"/>
        <w:autoSpaceDN w:val="0"/>
        <w:rPr>
          <w:szCs w:val="22"/>
        </w:rPr>
      </w:pPr>
    </w:p>
    <w:p w14:paraId="6ACF9597" w14:textId="77777777" w:rsidR="005A232C" w:rsidRDefault="005A232C" w:rsidP="0010528D">
      <w:pPr>
        <w:tabs>
          <w:tab w:val="left" w:pos="567"/>
        </w:tabs>
        <w:autoSpaceDE w:val="0"/>
        <w:autoSpaceDN w:val="0"/>
        <w:rPr>
          <w:szCs w:val="22"/>
        </w:rPr>
      </w:pPr>
      <w:r>
        <w:rPr>
          <w:szCs w:val="22"/>
        </w:rPr>
        <w:t xml:space="preserve">For the primary efficacy outcome, the observed benefit of Xarelto 2.5 mg twice daily plus ASA 100 mg once daily compared with ASA 100 mg once daily was HR=0.89 (95% CI 0.7-1.1) in patients </w:t>
      </w:r>
      <w:r>
        <w:rPr>
          <w:rFonts w:ascii="Cambria Math" w:hAnsi="Cambria Math" w:cs="Cambria Math"/>
          <w:szCs w:val="22"/>
        </w:rPr>
        <w:t>≥</w:t>
      </w:r>
      <w:r>
        <w:rPr>
          <w:szCs w:val="22"/>
        </w:rPr>
        <w:t xml:space="preserve">75 years (incidence: 6.3% vs 7.0%) and HR=0.70 (95% CI 0.6-0.8) in patients &lt;75 years (3.6% vs 5.0%). For modified ISTH major bleeding, the observed risk increase was HR=2.12 (95% CI 1.5-3.0) in patients </w:t>
      </w:r>
      <w:r>
        <w:rPr>
          <w:rFonts w:ascii="Cambria Math" w:hAnsi="Cambria Math" w:cs="Cambria Math"/>
          <w:szCs w:val="22"/>
        </w:rPr>
        <w:t>≥</w:t>
      </w:r>
      <w:r>
        <w:rPr>
          <w:szCs w:val="22"/>
        </w:rPr>
        <w:t xml:space="preserve">75 years (5.2% vs 2.5%) and HR=1.53 (95% CI 1.2-1.9) in patients &lt;75 years (2.6% vs 1.7%). </w:t>
      </w:r>
    </w:p>
    <w:p w14:paraId="38AAAF40" w14:textId="77777777" w:rsidR="00183257" w:rsidRDefault="00183257" w:rsidP="003554CC">
      <w:pPr>
        <w:tabs>
          <w:tab w:val="left" w:pos="567"/>
        </w:tabs>
        <w:autoSpaceDE w:val="0"/>
        <w:autoSpaceDN w:val="0"/>
        <w:ind w:left="567"/>
        <w:rPr>
          <w:rFonts w:cs="Arial"/>
          <w:color w:val="000000"/>
          <w:szCs w:val="22"/>
          <w:lang w:val="en-GB" w:eastAsia="en-US"/>
        </w:rPr>
      </w:pPr>
    </w:p>
    <w:p w14:paraId="5A532B18" w14:textId="6F1606C2" w:rsidR="00870A72" w:rsidRDefault="00680889" w:rsidP="0010528D">
      <w:pPr>
        <w:tabs>
          <w:tab w:val="left" w:pos="567"/>
        </w:tabs>
        <w:autoSpaceDE w:val="0"/>
        <w:autoSpaceDN w:val="0"/>
        <w:rPr>
          <w:rFonts w:cs="Arial"/>
          <w:color w:val="000000"/>
          <w:szCs w:val="22"/>
          <w:lang w:val="en-GB" w:eastAsia="en-US"/>
        </w:rPr>
      </w:pPr>
      <w:r w:rsidRPr="00EE119B">
        <w:rPr>
          <w:rFonts w:cs="Arial"/>
          <w:color w:val="000000"/>
          <w:szCs w:val="22"/>
          <w:lang w:val="en-GB" w:eastAsia="en-US"/>
        </w:rPr>
        <w:t xml:space="preserve">The prespecified composite outcome for net clinical benefit (cardiovascular </w:t>
      </w:r>
      <w:r w:rsidRPr="009378EE">
        <w:rPr>
          <w:rFonts w:cs="Arial"/>
          <w:color w:val="000000"/>
          <w:szCs w:val="22"/>
          <w:lang w:val="en-GB" w:eastAsia="en-US"/>
        </w:rPr>
        <w:t xml:space="preserve">death, myocardial infarction, stroke, fatal or symptomatic critical-organ bleeding events) was reduced (see </w:t>
      </w:r>
      <w:r w:rsidR="00124B07">
        <w:rPr>
          <w:rFonts w:cs="Arial"/>
          <w:color w:val="000000"/>
          <w:szCs w:val="22"/>
          <w:lang w:val="en-GB" w:eastAsia="en-US"/>
        </w:rPr>
        <w:fldChar w:fldCharType="begin"/>
      </w:r>
      <w:r w:rsidR="00124B07">
        <w:rPr>
          <w:rFonts w:cs="Arial"/>
          <w:color w:val="000000"/>
          <w:szCs w:val="22"/>
          <w:lang w:val="en-GB" w:eastAsia="en-US"/>
        </w:rPr>
        <w:instrText xml:space="preserve"> REF _Ref481077592 \h  \* MERGEFORMAT </w:instrText>
      </w:r>
      <w:r w:rsidR="00124B07">
        <w:rPr>
          <w:rFonts w:cs="Arial"/>
          <w:color w:val="000000"/>
          <w:szCs w:val="22"/>
          <w:lang w:val="en-GB" w:eastAsia="en-US"/>
        </w:rPr>
      </w:r>
      <w:r w:rsidR="00124B07">
        <w:rPr>
          <w:rFonts w:cs="Arial"/>
          <w:color w:val="000000"/>
          <w:szCs w:val="22"/>
          <w:lang w:val="en-GB" w:eastAsia="en-US"/>
        </w:rPr>
        <w:fldChar w:fldCharType="separate"/>
      </w:r>
      <w:r w:rsidR="00C51DA4" w:rsidRPr="00C51DA4">
        <w:rPr>
          <w:rFonts w:cs="Arial"/>
          <w:color w:val="000000"/>
          <w:szCs w:val="22"/>
          <w:lang w:val="en-GB" w:eastAsia="en-US"/>
        </w:rPr>
        <w:t>Table 20</w:t>
      </w:r>
      <w:r w:rsidR="00124B07">
        <w:rPr>
          <w:rFonts w:cs="Arial"/>
          <w:color w:val="000000"/>
          <w:szCs w:val="22"/>
          <w:lang w:val="en-GB" w:eastAsia="en-US"/>
        </w:rPr>
        <w:fldChar w:fldCharType="end"/>
      </w:r>
      <w:r w:rsidRPr="009378EE">
        <w:rPr>
          <w:rFonts w:cs="Arial"/>
          <w:color w:val="000000"/>
          <w:szCs w:val="22"/>
          <w:lang w:val="en-GB" w:eastAsia="en-US"/>
        </w:rPr>
        <w:t>).  The results in patients with PAD, CAD, and both CAD and PAD were consistent with the overall efficacy and safety results (</w:t>
      </w:r>
      <w:r w:rsidR="00F63D33">
        <w:rPr>
          <w:rFonts w:cs="Arial"/>
          <w:color w:val="000000"/>
          <w:szCs w:val="22"/>
          <w:lang w:val="en-GB" w:eastAsia="en-US"/>
        </w:rPr>
        <w:t xml:space="preserve">see </w:t>
      </w:r>
      <w:r w:rsidR="00F0713C">
        <w:rPr>
          <w:rFonts w:cs="Arial"/>
          <w:color w:val="000000"/>
          <w:szCs w:val="22"/>
          <w:lang w:val="en-GB" w:eastAsia="en-US"/>
        </w:rPr>
        <w:fldChar w:fldCharType="begin"/>
      </w:r>
      <w:r w:rsidR="00F0713C">
        <w:rPr>
          <w:rFonts w:cs="Arial"/>
          <w:color w:val="000000"/>
          <w:szCs w:val="22"/>
          <w:lang w:val="en-GB" w:eastAsia="en-US"/>
        </w:rPr>
        <w:instrText xml:space="preserve"> REF _Ref533164636 \h </w:instrText>
      </w:r>
      <w:r w:rsidR="00F0713C">
        <w:rPr>
          <w:rFonts w:cs="Arial"/>
          <w:color w:val="000000"/>
          <w:szCs w:val="22"/>
          <w:lang w:val="en-GB" w:eastAsia="en-US"/>
        </w:rPr>
      </w:r>
      <w:r w:rsidR="00F0713C">
        <w:rPr>
          <w:rFonts w:cs="Arial"/>
          <w:color w:val="000000"/>
          <w:szCs w:val="22"/>
          <w:lang w:val="en-GB" w:eastAsia="en-US"/>
        </w:rPr>
        <w:fldChar w:fldCharType="separate"/>
      </w:r>
      <w:r w:rsidR="00C51DA4">
        <w:t xml:space="preserve">Table </w:t>
      </w:r>
      <w:r w:rsidR="00C51DA4">
        <w:rPr>
          <w:noProof/>
        </w:rPr>
        <w:t>23</w:t>
      </w:r>
      <w:r w:rsidR="00C51DA4">
        <w:t xml:space="preserve"> :  </w:t>
      </w:r>
      <w:r w:rsidR="00C51DA4" w:rsidRPr="00EE119B">
        <w:rPr>
          <w:rFonts w:cs="Arial"/>
          <w:color w:val="000000"/>
          <w:lang w:val="en-GB" w:eastAsia="en-US"/>
        </w:rPr>
        <w:t>Efficac</w:t>
      </w:r>
      <w:r w:rsidR="00C51DA4">
        <w:rPr>
          <w:rFonts w:cs="Arial"/>
          <w:color w:val="000000"/>
          <w:lang w:val="en-GB" w:eastAsia="en-US"/>
        </w:rPr>
        <w:t xml:space="preserve">y and safety results from phase </w:t>
      </w:r>
      <w:r w:rsidR="00C51DA4" w:rsidRPr="00EE119B">
        <w:rPr>
          <w:rFonts w:cs="Arial"/>
          <w:color w:val="000000"/>
          <w:lang w:val="en-GB" w:eastAsia="en-US"/>
        </w:rPr>
        <w:t xml:space="preserve">III COMPASS in subpopulation </w:t>
      </w:r>
      <w:r w:rsidR="00C51DA4">
        <w:rPr>
          <w:rFonts w:cs="Arial"/>
          <w:color w:val="000000"/>
          <w:lang w:val="en-GB" w:eastAsia="en-US"/>
        </w:rPr>
        <w:t xml:space="preserve">with CAD, </w:t>
      </w:r>
      <w:r w:rsidR="00C51DA4" w:rsidRPr="00EE119B">
        <w:rPr>
          <w:rFonts w:cs="Arial"/>
          <w:color w:val="000000"/>
          <w:lang w:val="en-GB" w:eastAsia="en-US"/>
        </w:rPr>
        <w:t>PAD, or both CAD and PAD</w:t>
      </w:r>
      <w:r w:rsidR="00F0713C">
        <w:rPr>
          <w:rFonts w:cs="Arial"/>
          <w:color w:val="000000"/>
          <w:szCs w:val="22"/>
          <w:lang w:val="en-GB" w:eastAsia="en-US"/>
        </w:rPr>
        <w:fldChar w:fldCharType="end"/>
      </w:r>
      <w:r w:rsidRPr="009378EE">
        <w:rPr>
          <w:rFonts w:cs="Arial"/>
          <w:color w:val="000000"/>
          <w:szCs w:val="22"/>
          <w:lang w:val="en-GB" w:eastAsia="en-US"/>
        </w:rPr>
        <w:t>.</w:t>
      </w:r>
    </w:p>
    <w:p w14:paraId="43A91B00" w14:textId="77777777" w:rsidR="00870A72" w:rsidRDefault="00870A72" w:rsidP="0010528D">
      <w:pPr>
        <w:tabs>
          <w:tab w:val="left" w:pos="567"/>
        </w:tabs>
        <w:autoSpaceDE w:val="0"/>
        <w:autoSpaceDN w:val="0"/>
        <w:rPr>
          <w:rFonts w:cs="Arial"/>
          <w:color w:val="000000"/>
          <w:szCs w:val="22"/>
          <w:lang w:val="en-GB" w:eastAsia="en-US"/>
        </w:rPr>
      </w:pPr>
    </w:p>
    <w:p w14:paraId="29A85674" w14:textId="77777777" w:rsidR="00680889" w:rsidRDefault="00680889" w:rsidP="0010528D">
      <w:pPr>
        <w:tabs>
          <w:tab w:val="left" w:pos="567"/>
        </w:tabs>
        <w:autoSpaceDE w:val="0"/>
        <w:autoSpaceDN w:val="0"/>
        <w:rPr>
          <w:rFonts w:cs="Arial"/>
          <w:color w:val="000000"/>
          <w:szCs w:val="22"/>
          <w:lang w:val="en-GB" w:eastAsia="en-US"/>
        </w:rPr>
      </w:pPr>
      <w:r>
        <w:rPr>
          <w:rFonts w:cs="Arial"/>
          <w:color w:val="000000"/>
          <w:szCs w:val="22"/>
          <w:lang w:val="en-GB" w:eastAsia="en-US"/>
        </w:rPr>
        <w:t>The estimated cumulative incidence risk of major bleeding events is higher with XARELTO 2.5 mg twice daily in combination with aspirin 100 mg daily compared to aspirin 100 mg soon after starting treatment, indicating that more major bleeding events occur early.  After one year the difference in cumulative incidence risk is nearly constant.</w:t>
      </w:r>
    </w:p>
    <w:p w14:paraId="3A097BDB" w14:textId="77777777" w:rsidR="00680889" w:rsidRPr="00EE119B" w:rsidRDefault="00680889" w:rsidP="0010528D">
      <w:pPr>
        <w:tabs>
          <w:tab w:val="left" w:pos="567"/>
        </w:tabs>
        <w:autoSpaceDE w:val="0"/>
        <w:autoSpaceDN w:val="0"/>
        <w:rPr>
          <w:rFonts w:cs="Arial"/>
          <w:color w:val="000000"/>
          <w:szCs w:val="22"/>
          <w:lang w:val="en-GB" w:eastAsia="en-US"/>
        </w:rPr>
      </w:pPr>
    </w:p>
    <w:p w14:paraId="18E140A0" w14:textId="77777777" w:rsidR="00AA7872" w:rsidRDefault="00AA7872" w:rsidP="0010528D">
      <w:pPr>
        <w:tabs>
          <w:tab w:val="left" w:pos="567"/>
        </w:tabs>
        <w:autoSpaceDE w:val="0"/>
        <w:autoSpaceDN w:val="0"/>
        <w:rPr>
          <w:rFonts w:cs="Arial"/>
          <w:color w:val="000000"/>
          <w:szCs w:val="22"/>
          <w:lang w:val="en-GB" w:eastAsia="en-US"/>
        </w:rPr>
      </w:pPr>
      <w:r w:rsidRPr="00AA7872">
        <w:rPr>
          <w:rFonts w:cs="Arial"/>
          <w:color w:val="000000"/>
          <w:szCs w:val="22"/>
          <w:lang w:val="en-GB" w:eastAsia="en-US"/>
        </w:rPr>
        <w:t xml:space="preserve">In the ITT population, 3.8% of patients with a prior history (not within one month of enrolment) of ischaemic, non lacunar stroke were included. The median time since stroke was 5 years. For these patients the reduction of </w:t>
      </w:r>
      <w:r w:rsidR="006330F6" w:rsidRPr="006330F6">
        <w:rPr>
          <w:rFonts w:cs="Arial"/>
          <w:color w:val="000000"/>
          <w:szCs w:val="22"/>
          <w:lang w:val="en-GB" w:eastAsia="en-US"/>
        </w:rPr>
        <w:t>maj</w:t>
      </w:r>
      <w:r w:rsidR="006330F6">
        <w:rPr>
          <w:rFonts w:cs="Arial"/>
          <w:color w:val="000000"/>
          <w:szCs w:val="22"/>
          <w:lang w:val="en-GB" w:eastAsia="en-US"/>
        </w:rPr>
        <w:t>or cardiovascular events (</w:t>
      </w:r>
      <w:r w:rsidR="0034616E">
        <w:rPr>
          <w:rFonts w:cs="Arial"/>
          <w:color w:val="000000"/>
          <w:szCs w:val="22"/>
          <w:lang w:val="en-GB" w:eastAsia="en-US"/>
        </w:rPr>
        <w:t xml:space="preserve">stroke, myocardial infarction and </w:t>
      </w:r>
      <w:r w:rsidRPr="00AA7872">
        <w:rPr>
          <w:rFonts w:cs="Arial"/>
          <w:color w:val="000000"/>
          <w:szCs w:val="22"/>
          <w:lang w:val="en-GB" w:eastAsia="en-US"/>
        </w:rPr>
        <w:t>cardiovascular death</w:t>
      </w:r>
      <w:r w:rsidR="006330F6">
        <w:rPr>
          <w:rFonts w:cs="Arial"/>
          <w:color w:val="000000"/>
          <w:szCs w:val="22"/>
          <w:lang w:val="en-GB" w:eastAsia="en-US"/>
        </w:rPr>
        <w:t>)</w:t>
      </w:r>
      <w:r w:rsidRPr="00AA7872">
        <w:rPr>
          <w:rFonts w:cs="Arial"/>
          <w:color w:val="000000"/>
          <w:szCs w:val="22"/>
          <w:lang w:val="en-GB" w:eastAsia="en-US"/>
        </w:rPr>
        <w:t xml:space="preserve">, and the increase of major bleeding (net clinical benefit HR 0.64; 95% CI 0.4-1.0) were consistent with the overall population (see Section 4 </w:t>
      </w:r>
      <w:r w:rsidR="00A019A2">
        <w:rPr>
          <w:rFonts w:cs="Arial"/>
          <w:color w:val="000000"/>
          <w:szCs w:val="22"/>
          <w:lang w:val="en-GB" w:eastAsia="en-US"/>
        </w:rPr>
        <w:fldChar w:fldCharType="begin"/>
      </w:r>
      <w:r w:rsidR="00A019A2">
        <w:rPr>
          <w:rFonts w:cs="Arial"/>
          <w:color w:val="000000"/>
          <w:szCs w:val="22"/>
          <w:lang w:val="en-GB" w:eastAsia="en-US"/>
        </w:rPr>
        <w:instrText xml:space="preserve"> REF _Ref501605150 \h </w:instrText>
      </w:r>
      <w:r w:rsidR="00A019A2">
        <w:rPr>
          <w:rFonts w:cs="Arial"/>
          <w:color w:val="000000"/>
          <w:szCs w:val="22"/>
          <w:lang w:val="en-GB" w:eastAsia="en-US"/>
        </w:rPr>
      </w:r>
      <w:r w:rsidR="00A019A2">
        <w:rPr>
          <w:rFonts w:cs="Arial"/>
          <w:color w:val="000000"/>
          <w:szCs w:val="22"/>
          <w:lang w:val="en-GB" w:eastAsia="en-US"/>
        </w:rPr>
        <w:fldChar w:fldCharType="separate"/>
      </w:r>
      <w:r w:rsidR="00C51DA4" w:rsidRPr="00BE31A8">
        <w:t>CLINICAL PARTICULARS</w:t>
      </w:r>
      <w:r w:rsidR="00A019A2">
        <w:rPr>
          <w:rFonts w:cs="Arial"/>
          <w:color w:val="000000"/>
          <w:szCs w:val="22"/>
          <w:lang w:val="en-GB" w:eastAsia="en-US"/>
        </w:rPr>
        <w:fldChar w:fldCharType="end"/>
      </w:r>
      <w:r w:rsidRPr="00AA7872">
        <w:rPr>
          <w:rFonts w:cs="Arial"/>
          <w:color w:val="000000"/>
          <w:szCs w:val="22"/>
          <w:lang w:val="en-GB" w:eastAsia="en-US"/>
        </w:rPr>
        <w:t>).</w:t>
      </w:r>
    </w:p>
    <w:p w14:paraId="7FFD8A91" w14:textId="77777777" w:rsidR="00680889" w:rsidRDefault="00680889" w:rsidP="0010528D">
      <w:pPr>
        <w:tabs>
          <w:tab w:val="left" w:pos="567"/>
        </w:tabs>
        <w:autoSpaceDE w:val="0"/>
        <w:autoSpaceDN w:val="0"/>
        <w:rPr>
          <w:rFonts w:cs="Arial"/>
          <w:color w:val="000000"/>
          <w:szCs w:val="22"/>
          <w:lang w:val="en-GB" w:eastAsia="en-US"/>
        </w:rPr>
      </w:pPr>
    </w:p>
    <w:p w14:paraId="3CB9E9D7" w14:textId="77777777" w:rsidR="00680889" w:rsidRDefault="00680889" w:rsidP="0010528D">
      <w:pPr>
        <w:tabs>
          <w:tab w:val="left" w:pos="567"/>
        </w:tabs>
        <w:autoSpaceDE w:val="0"/>
        <w:autoSpaceDN w:val="0"/>
        <w:rPr>
          <w:rFonts w:cs="Arial"/>
          <w:color w:val="000000"/>
          <w:szCs w:val="22"/>
          <w:lang w:val="en-GB" w:eastAsia="en-US"/>
        </w:rPr>
      </w:pPr>
      <w:r>
        <w:rPr>
          <w:rFonts w:cs="Arial"/>
          <w:color w:val="000000"/>
          <w:szCs w:val="22"/>
          <w:lang w:val="en-GB" w:eastAsia="en-US"/>
        </w:rPr>
        <w:t>Relative to aspirin 100 mg, XARELTO 5 mg twice daily alone did not significantly reduce the primary composite efficacy outcome of stroke, myocardial infarction or cardiovascular death (HR 0.90; 95% CI 0.79-1.03; p=0.11490).  The incidence rates for the primary safety outcome (modified ISTH major bleeding events) were significantly increased in patients treated with XARELTO 5 mg twice daily compared with patients who received aspirin 100 mg daily (HR 1.51; 95% CI 1.25-1.84; p=0.00003)</w:t>
      </w:r>
    </w:p>
    <w:p w14:paraId="434CBF09" w14:textId="77777777" w:rsidR="00680889" w:rsidRDefault="00680889" w:rsidP="00680889">
      <w:pPr>
        <w:tabs>
          <w:tab w:val="left" w:pos="567"/>
        </w:tabs>
        <w:autoSpaceDE w:val="0"/>
        <w:autoSpaceDN w:val="0"/>
        <w:rPr>
          <w:rFonts w:cs="Arial"/>
          <w:color w:val="000000"/>
          <w:szCs w:val="22"/>
          <w:lang w:val="en-GB" w:eastAsia="en-US"/>
        </w:rPr>
      </w:pPr>
    </w:p>
    <w:p w14:paraId="7249A59E" w14:textId="3C2A794B" w:rsidR="00680889" w:rsidRPr="00870A72" w:rsidRDefault="00001D5F" w:rsidP="008C306B">
      <w:pPr>
        <w:pStyle w:val="Caption"/>
      </w:pPr>
      <w:bookmarkStart w:id="57" w:name="Table21"/>
      <w:bookmarkStart w:id="58" w:name="_Ref533164588"/>
      <w:bookmarkEnd w:id="57"/>
      <w:r>
        <w:lastRenderedPageBreak/>
        <w:t xml:space="preserve">Table </w:t>
      </w:r>
      <w:r w:rsidR="005833E0">
        <w:fldChar w:fldCharType="begin"/>
      </w:r>
      <w:r w:rsidR="005833E0">
        <w:instrText xml:space="preserve"> SEQ Table \* ARABIC </w:instrText>
      </w:r>
      <w:r w:rsidR="005833E0">
        <w:fldChar w:fldCharType="separate"/>
      </w:r>
      <w:r w:rsidR="00C51DA4">
        <w:rPr>
          <w:noProof/>
        </w:rPr>
        <w:t>21</w:t>
      </w:r>
      <w:r w:rsidR="005833E0">
        <w:rPr>
          <w:noProof/>
        </w:rPr>
        <w:fldChar w:fldCharType="end"/>
      </w:r>
      <w:r w:rsidR="00264300">
        <w:t xml:space="preserve">: </w:t>
      </w:r>
      <w:r w:rsidR="00264300" w:rsidRPr="002747D6">
        <w:t>Efficacy results from phase III COMPASS</w:t>
      </w:r>
      <w:bookmarkEnd w:id="58"/>
    </w:p>
    <w:tbl>
      <w:tblPr>
        <w:tblW w:w="8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2131"/>
        <w:gridCol w:w="2054"/>
        <w:gridCol w:w="1581"/>
      </w:tblGrid>
      <w:tr w:rsidR="00D41761" w:rsidRPr="00D41761" w14:paraId="42AEC3FE" w14:textId="77777777" w:rsidTr="00D41761">
        <w:trPr>
          <w:trHeight w:val="360"/>
          <w:tblHeader/>
        </w:trPr>
        <w:tc>
          <w:tcPr>
            <w:tcW w:w="3133" w:type="dxa"/>
            <w:shd w:val="clear" w:color="auto" w:fill="D9D9D9" w:themeFill="background1" w:themeFillShade="D9"/>
          </w:tcPr>
          <w:p w14:paraId="0E638714" w14:textId="77777777" w:rsidR="00680889" w:rsidRPr="00D41761" w:rsidRDefault="00680889" w:rsidP="00C24974">
            <w:pPr>
              <w:keepNext/>
              <w:widowControl w:val="0"/>
              <w:spacing w:after="120"/>
              <w:rPr>
                <w:rFonts w:cs="Arial"/>
                <w:b/>
                <w:sz w:val="24"/>
                <w:szCs w:val="24"/>
                <w:lang w:val="en-GB" w:eastAsia="en-US"/>
              </w:rPr>
            </w:pPr>
            <w:r w:rsidRPr="00D41761">
              <w:rPr>
                <w:rFonts w:cs="Arial"/>
                <w:b/>
                <w:sz w:val="24"/>
                <w:szCs w:val="24"/>
                <w:lang w:val="en-GB" w:eastAsia="en-US"/>
              </w:rPr>
              <w:t>Study Population</w:t>
            </w:r>
          </w:p>
        </w:tc>
        <w:tc>
          <w:tcPr>
            <w:tcW w:w="5766" w:type="dxa"/>
            <w:gridSpan w:val="3"/>
            <w:shd w:val="clear" w:color="auto" w:fill="D9D9D9" w:themeFill="background1" w:themeFillShade="D9"/>
          </w:tcPr>
          <w:p w14:paraId="1B41B44E" w14:textId="77777777" w:rsidR="00680889" w:rsidRPr="00D41761" w:rsidRDefault="00680889" w:rsidP="00C24974">
            <w:pPr>
              <w:autoSpaceDE w:val="0"/>
              <w:rPr>
                <w:rFonts w:cs="Arial"/>
                <w:b/>
                <w:sz w:val="24"/>
                <w:szCs w:val="24"/>
                <w:lang w:val="en-GB" w:eastAsia="en-US"/>
              </w:rPr>
            </w:pPr>
            <w:r w:rsidRPr="00D41761">
              <w:rPr>
                <w:rFonts w:cs="Arial"/>
                <w:b/>
                <w:sz w:val="24"/>
                <w:szCs w:val="24"/>
                <w:lang w:val="en-GB" w:eastAsia="en-US"/>
              </w:rPr>
              <w:t>Patients with CAD and/or PAD</w:t>
            </w:r>
            <w:r w:rsidR="00870A72" w:rsidRPr="00D41761">
              <w:rPr>
                <w:rFonts w:cs="Arial"/>
                <w:b/>
                <w:sz w:val="24"/>
                <w:szCs w:val="24"/>
                <w:lang w:val="en-GB" w:eastAsia="en-US"/>
              </w:rPr>
              <w:t xml:space="preserve"> </w:t>
            </w:r>
            <w:r w:rsidRPr="00D41761">
              <w:rPr>
                <w:rFonts w:cs="Arial"/>
                <w:b/>
                <w:sz w:val="24"/>
                <w:szCs w:val="24"/>
                <w:vertAlign w:val="superscript"/>
                <w:lang w:val="en-GB" w:eastAsia="en-US"/>
              </w:rPr>
              <w:t>a)</w:t>
            </w:r>
          </w:p>
        </w:tc>
      </w:tr>
      <w:tr w:rsidR="00D41761" w:rsidRPr="00D41761" w14:paraId="3B2B43C2" w14:textId="77777777" w:rsidTr="00D41761">
        <w:trPr>
          <w:trHeight w:val="1019"/>
          <w:tblHeader/>
        </w:trPr>
        <w:tc>
          <w:tcPr>
            <w:tcW w:w="3133" w:type="dxa"/>
            <w:shd w:val="clear" w:color="auto" w:fill="D9D9D9" w:themeFill="background1" w:themeFillShade="D9"/>
          </w:tcPr>
          <w:p w14:paraId="45A1AED4" w14:textId="77777777" w:rsidR="00680889" w:rsidRPr="00D41761" w:rsidRDefault="00680889" w:rsidP="00C24974">
            <w:pPr>
              <w:keepNext/>
              <w:widowControl w:val="0"/>
              <w:spacing w:after="120"/>
              <w:rPr>
                <w:rFonts w:cs="Arial"/>
                <w:b/>
                <w:sz w:val="24"/>
                <w:szCs w:val="24"/>
                <w:lang w:val="en-GB" w:eastAsia="en-US"/>
              </w:rPr>
            </w:pPr>
            <w:r w:rsidRPr="00D41761">
              <w:rPr>
                <w:rFonts w:cs="Arial"/>
                <w:b/>
                <w:sz w:val="24"/>
                <w:szCs w:val="24"/>
                <w:lang w:val="en-GB" w:eastAsia="en-US"/>
              </w:rPr>
              <w:t>Treatment Dosage</w:t>
            </w:r>
          </w:p>
          <w:p w14:paraId="66BCE6C3" w14:textId="77777777" w:rsidR="00680889" w:rsidRPr="00D41761" w:rsidRDefault="00680889" w:rsidP="00C24974">
            <w:pPr>
              <w:keepNext/>
              <w:widowControl w:val="0"/>
              <w:spacing w:after="120"/>
              <w:rPr>
                <w:rFonts w:cs="Arial"/>
                <w:b/>
                <w:sz w:val="24"/>
                <w:szCs w:val="24"/>
                <w:lang w:val="en-GB" w:eastAsia="en-US"/>
              </w:rPr>
            </w:pPr>
          </w:p>
        </w:tc>
        <w:tc>
          <w:tcPr>
            <w:tcW w:w="2131" w:type="dxa"/>
            <w:shd w:val="clear" w:color="auto" w:fill="D9D9D9" w:themeFill="background1" w:themeFillShade="D9"/>
          </w:tcPr>
          <w:p w14:paraId="77EDA852" w14:textId="77777777" w:rsidR="00680889" w:rsidRPr="00D41761" w:rsidRDefault="00680889" w:rsidP="00C24974">
            <w:pPr>
              <w:autoSpaceDE w:val="0"/>
              <w:rPr>
                <w:rFonts w:cs="Arial"/>
                <w:b/>
                <w:sz w:val="24"/>
                <w:szCs w:val="24"/>
                <w:lang w:val="en-GB" w:eastAsia="en-US"/>
              </w:rPr>
            </w:pPr>
            <w:r w:rsidRPr="00D41761">
              <w:rPr>
                <w:rFonts w:cs="Arial"/>
                <w:b/>
                <w:sz w:val="24"/>
                <w:szCs w:val="24"/>
                <w:lang w:val="en-GB" w:eastAsia="en-US"/>
              </w:rPr>
              <w:t>XARELTO 2.5 mg bid in combination with aspirin 100 mg od, N=9152</w:t>
            </w:r>
            <w:r w:rsidRPr="00D41761">
              <w:rPr>
                <w:rFonts w:cs="Arial"/>
                <w:b/>
                <w:sz w:val="24"/>
                <w:szCs w:val="24"/>
                <w:lang w:val="en-GB" w:eastAsia="en-US"/>
              </w:rPr>
              <w:br/>
              <w:t>n (</w:t>
            </w:r>
            <w:r w:rsidRPr="00D41761">
              <w:rPr>
                <w:rFonts w:cs="Arial"/>
                <w:b/>
                <w:sz w:val="24"/>
                <w:szCs w:val="24"/>
                <w:lang w:val="en-US" w:eastAsia="en-US"/>
              </w:rPr>
              <w:t>Cum. risk %</w:t>
            </w:r>
            <w:r w:rsidRPr="00D41761">
              <w:rPr>
                <w:rFonts w:cs="Arial"/>
                <w:b/>
                <w:sz w:val="24"/>
                <w:szCs w:val="24"/>
                <w:lang w:val="en-GB" w:eastAsia="en-US"/>
              </w:rPr>
              <w:t>)</w:t>
            </w:r>
            <w:r w:rsidRPr="00D41761">
              <w:rPr>
                <w:rFonts w:cs="Arial"/>
                <w:b/>
                <w:sz w:val="24"/>
                <w:szCs w:val="24"/>
                <w:vertAlign w:val="superscript"/>
                <w:lang w:val="en-GB" w:eastAsia="en-US"/>
              </w:rPr>
              <w:t>b)</w:t>
            </w:r>
            <w:r w:rsidRPr="00D41761">
              <w:rPr>
                <w:rFonts w:cs="Arial"/>
                <w:b/>
                <w:sz w:val="24"/>
                <w:szCs w:val="24"/>
                <w:lang w:val="en-GB" w:eastAsia="en-US"/>
              </w:rPr>
              <w:t xml:space="preserve"> </w:t>
            </w:r>
          </w:p>
        </w:tc>
        <w:tc>
          <w:tcPr>
            <w:tcW w:w="2054" w:type="dxa"/>
            <w:shd w:val="clear" w:color="auto" w:fill="D9D9D9" w:themeFill="background1" w:themeFillShade="D9"/>
          </w:tcPr>
          <w:p w14:paraId="735F37B0" w14:textId="77777777" w:rsidR="00680889" w:rsidRPr="00D41761" w:rsidRDefault="00680889" w:rsidP="00C24974">
            <w:pPr>
              <w:rPr>
                <w:rFonts w:cs="Arial"/>
                <w:b/>
                <w:sz w:val="24"/>
                <w:szCs w:val="24"/>
                <w:lang w:val="en-GB" w:eastAsia="en-US"/>
              </w:rPr>
            </w:pPr>
            <w:r w:rsidRPr="00D41761">
              <w:rPr>
                <w:rFonts w:cs="Arial"/>
                <w:b/>
                <w:sz w:val="24"/>
                <w:szCs w:val="24"/>
                <w:lang w:val="en-GB" w:eastAsia="en-US"/>
              </w:rPr>
              <w:t>aspirin 100 mg od</w:t>
            </w:r>
            <w:r w:rsidRPr="00D41761">
              <w:rPr>
                <w:rFonts w:cs="Arial"/>
                <w:b/>
                <w:sz w:val="24"/>
                <w:szCs w:val="24"/>
                <w:lang w:val="en-GB" w:eastAsia="en-US"/>
              </w:rPr>
              <w:br/>
              <w:t>N=9126</w:t>
            </w:r>
            <w:r w:rsidRPr="00D41761">
              <w:rPr>
                <w:rFonts w:cs="Arial"/>
                <w:b/>
                <w:sz w:val="24"/>
                <w:szCs w:val="24"/>
                <w:lang w:val="en-GB" w:eastAsia="en-US"/>
              </w:rPr>
              <w:br/>
            </w:r>
            <w:r w:rsidRPr="00D41761">
              <w:rPr>
                <w:rFonts w:cs="Arial"/>
                <w:b/>
                <w:sz w:val="24"/>
                <w:szCs w:val="24"/>
                <w:lang w:val="en-GB" w:eastAsia="en-US"/>
              </w:rPr>
              <w:br/>
              <w:t>n (</w:t>
            </w:r>
            <w:r w:rsidRPr="00D41761">
              <w:rPr>
                <w:rFonts w:cs="Arial"/>
                <w:b/>
                <w:sz w:val="24"/>
                <w:szCs w:val="24"/>
                <w:lang w:val="en-US" w:eastAsia="en-US"/>
              </w:rPr>
              <w:t>Cum. risk %</w:t>
            </w:r>
            <w:r w:rsidRPr="00D41761">
              <w:rPr>
                <w:rFonts w:cs="Arial"/>
                <w:b/>
                <w:sz w:val="24"/>
                <w:szCs w:val="24"/>
                <w:lang w:val="en-GB" w:eastAsia="en-US"/>
              </w:rPr>
              <w:t>)</w:t>
            </w:r>
            <w:r w:rsidRPr="00D41761">
              <w:rPr>
                <w:rFonts w:cs="Arial"/>
                <w:b/>
                <w:sz w:val="24"/>
                <w:szCs w:val="24"/>
                <w:vertAlign w:val="superscript"/>
                <w:lang w:val="en-GB" w:eastAsia="en-US"/>
              </w:rPr>
              <w:t>b)</w:t>
            </w:r>
          </w:p>
        </w:tc>
        <w:tc>
          <w:tcPr>
            <w:tcW w:w="1581" w:type="dxa"/>
            <w:shd w:val="clear" w:color="auto" w:fill="D9D9D9" w:themeFill="background1" w:themeFillShade="D9"/>
          </w:tcPr>
          <w:p w14:paraId="26E85C57" w14:textId="77777777" w:rsidR="00680889" w:rsidRPr="00D41761" w:rsidRDefault="00680889" w:rsidP="00C24974">
            <w:pPr>
              <w:rPr>
                <w:rFonts w:cs="Arial"/>
                <w:b/>
                <w:sz w:val="24"/>
                <w:szCs w:val="24"/>
                <w:lang w:val="en-GB" w:eastAsia="en-US"/>
              </w:rPr>
            </w:pPr>
            <w:r w:rsidRPr="00D41761">
              <w:rPr>
                <w:rFonts w:cs="Arial"/>
                <w:b/>
                <w:sz w:val="24"/>
                <w:szCs w:val="24"/>
                <w:lang w:val="en-GB" w:eastAsia="en-US"/>
              </w:rPr>
              <w:t xml:space="preserve">Hazard Ratio </w:t>
            </w:r>
            <w:r w:rsidRPr="00D41761">
              <w:rPr>
                <w:rFonts w:cs="Arial"/>
                <w:b/>
                <w:sz w:val="24"/>
                <w:szCs w:val="24"/>
                <w:lang w:val="en-GB" w:eastAsia="en-US"/>
              </w:rPr>
              <w:br/>
              <w:t xml:space="preserve">(95% CI) </w:t>
            </w:r>
            <w:r w:rsidRPr="00D41761">
              <w:rPr>
                <w:rFonts w:cs="Arial"/>
                <w:b/>
                <w:sz w:val="24"/>
                <w:szCs w:val="24"/>
                <w:lang w:val="en-GB" w:eastAsia="en-US"/>
              </w:rPr>
              <w:br/>
            </w:r>
            <w:r w:rsidRPr="00D41761">
              <w:rPr>
                <w:rFonts w:cs="Arial"/>
                <w:b/>
                <w:sz w:val="24"/>
                <w:szCs w:val="24"/>
                <w:lang w:val="en-GB" w:eastAsia="en-US"/>
              </w:rPr>
              <w:br/>
              <w:t>p-value </w:t>
            </w:r>
            <w:r w:rsidRPr="00D41761">
              <w:rPr>
                <w:rFonts w:cs="Arial"/>
                <w:b/>
                <w:sz w:val="24"/>
                <w:szCs w:val="24"/>
                <w:vertAlign w:val="superscript"/>
                <w:lang w:val="en-GB" w:eastAsia="en-US"/>
              </w:rPr>
              <w:t>c)</w:t>
            </w:r>
          </w:p>
        </w:tc>
      </w:tr>
      <w:tr w:rsidR="00D41761" w:rsidRPr="00D41761" w14:paraId="412F5249" w14:textId="77777777" w:rsidTr="00C36A19">
        <w:trPr>
          <w:trHeight w:val="513"/>
        </w:trPr>
        <w:tc>
          <w:tcPr>
            <w:tcW w:w="3133" w:type="dxa"/>
            <w:shd w:val="clear" w:color="auto" w:fill="auto"/>
            <w:vAlign w:val="center"/>
          </w:tcPr>
          <w:p w14:paraId="05D32E44" w14:textId="77777777" w:rsidR="00680889" w:rsidRPr="00D41761" w:rsidRDefault="00680889" w:rsidP="00C24974">
            <w:pPr>
              <w:keepNext/>
              <w:widowControl w:val="0"/>
              <w:spacing w:after="120"/>
              <w:rPr>
                <w:rFonts w:cs="Arial"/>
                <w:sz w:val="24"/>
                <w:szCs w:val="24"/>
                <w:lang w:val="en-GB" w:eastAsia="en-US"/>
              </w:rPr>
            </w:pPr>
            <w:r w:rsidRPr="00D41761">
              <w:rPr>
                <w:rFonts w:cs="Arial"/>
                <w:sz w:val="24"/>
                <w:szCs w:val="24"/>
                <w:lang w:val="en-GB" w:eastAsia="en-US"/>
              </w:rPr>
              <w:t>Stroke, MI or CV death</w:t>
            </w:r>
          </w:p>
        </w:tc>
        <w:tc>
          <w:tcPr>
            <w:tcW w:w="2131" w:type="dxa"/>
            <w:shd w:val="clear" w:color="auto" w:fill="auto"/>
            <w:vAlign w:val="center"/>
          </w:tcPr>
          <w:p w14:paraId="11A29071"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 xml:space="preserve">379 (5.2%)  </w:t>
            </w:r>
          </w:p>
        </w:tc>
        <w:tc>
          <w:tcPr>
            <w:tcW w:w="2054" w:type="dxa"/>
            <w:shd w:val="clear" w:color="auto" w:fill="auto"/>
            <w:vAlign w:val="center"/>
          </w:tcPr>
          <w:p w14:paraId="248BF932" w14:textId="77777777" w:rsidR="00680889" w:rsidRPr="00D41761" w:rsidRDefault="00680889" w:rsidP="00C24974">
            <w:pPr>
              <w:spacing w:before="120" w:after="120"/>
              <w:jc w:val="center"/>
              <w:rPr>
                <w:rFonts w:eastAsia="SimSun" w:cs="Arial"/>
                <w:sz w:val="24"/>
                <w:szCs w:val="24"/>
                <w:lang w:val="en-GB" w:eastAsia="zh-CN"/>
              </w:rPr>
            </w:pPr>
            <w:r w:rsidRPr="00D41761">
              <w:rPr>
                <w:rFonts w:eastAsia="SimSun" w:cs="Arial"/>
                <w:sz w:val="24"/>
                <w:szCs w:val="24"/>
                <w:lang w:val="en-US" w:eastAsia="zh-CN"/>
              </w:rPr>
              <w:t>496 (7.2%)</w:t>
            </w:r>
          </w:p>
        </w:tc>
        <w:tc>
          <w:tcPr>
            <w:tcW w:w="1581" w:type="dxa"/>
            <w:vAlign w:val="center"/>
          </w:tcPr>
          <w:p w14:paraId="28E3CB35"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0.76 (0.66;0.86)</w:t>
            </w:r>
            <w:r w:rsidRPr="00D41761">
              <w:rPr>
                <w:rFonts w:cs="Arial"/>
                <w:sz w:val="24"/>
                <w:szCs w:val="24"/>
                <w:lang w:val="en-GB" w:eastAsia="en-US"/>
              </w:rPr>
              <w:br/>
              <w:t>p = 0.00004*</w:t>
            </w:r>
          </w:p>
          <w:p w14:paraId="45F77424" w14:textId="77777777" w:rsidR="00D41761" w:rsidRPr="00D41761" w:rsidRDefault="00D41761" w:rsidP="00C24974">
            <w:pPr>
              <w:tabs>
                <w:tab w:val="left" w:pos="567"/>
              </w:tabs>
              <w:jc w:val="center"/>
              <w:rPr>
                <w:rFonts w:cs="Arial"/>
                <w:sz w:val="24"/>
                <w:szCs w:val="24"/>
                <w:lang w:val="en-GB" w:eastAsia="en-US"/>
              </w:rPr>
            </w:pPr>
          </w:p>
        </w:tc>
      </w:tr>
      <w:tr w:rsidR="00D41761" w:rsidRPr="00D41761" w14:paraId="75EAFEE7" w14:textId="77777777" w:rsidTr="00C36A19">
        <w:trPr>
          <w:trHeight w:val="488"/>
        </w:trPr>
        <w:tc>
          <w:tcPr>
            <w:tcW w:w="3133" w:type="dxa"/>
            <w:shd w:val="clear" w:color="auto" w:fill="auto"/>
            <w:vAlign w:val="center"/>
          </w:tcPr>
          <w:p w14:paraId="4F747FC1" w14:textId="77777777" w:rsidR="00680889" w:rsidRPr="00D41761" w:rsidRDefault="00680889" w:rsidP="0043158B">
            <w:pPr>
              <w:numPr>
                <w:ilvl w:val="0"/>
                <w:numId w:val="14"/>
              </w:numPr>
              <w:tabs>
                <w:tab w:val="left" w:pos="567"/>
              </w:tabs>
              <w:spacing w:before="120" w:after="120"/>
              <w:rPr>
                <w:rFonts w:cs="Arial"/>
                <w:sz w:val="24"/>
                <w:szCs w:val="24"/>
                <w:lang w:val="en-GB" w:eastAsia="en-US"/>
              </w:rPr>
            </w:pPr>
            <w:r w:rsidRPr="00D41761">
              <w:rPr>
                <w:rFonts w:cs="Arial"/>
                <w:sz w:val="24"/>
                <w:szCs w:val="24"/>
                <w:lang w:val="en-GB" w:eastAsia="en-US"/>
              </w:rPr>
              <w:t>Stroke</w:t>
            </w:r>
          </w:p>
        </w:tc>
        <w:tc>
          <w:tcPr>
            <w:tcW w:w="2131" w:type="dxa"/>
            <w:shd w:val="clear" w:color="auto" w:fill="auto"/>
            <w:vAlign w:val="center"/>
          </w:tcPr>
          <w:p w14:paraId="4355E2A9"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 xml:space="preserve">83 (1.2%)  </w:t>
            </w:r>
          </w:p>
        </w:tc>
        <w:tc>
          <w:tcPr>
            <w:tcW w:w="2054" w:type="dxa"/>
            <w:shd w:val="clear" w:color="auto" w:fill="auto"/>
            <w:vAlign w:val="center"/>
          </w:tcPr>
          <w:p w14:paraId="50E5352D" w14:textId="77777777" w:rsidR="00680889" w:rsidRPr="00D41761" w:rsidRDefault="00680889" w:rsidP="00C24974">
            <w:pPr>
              <w:spacing w:before="120" w:after="120"/>
              <w:jc w:val="center"/>
              <w:rPr>
                <w:rFonts w:eastAsia="SimSun" w:cs="Arial"/>
                <w:sz w:val="24"/>
                <w:szCs w:val="24"/>
                <w:lang w:val="en-US" w:eastAsia="zh-CN"/>
              </w:rPr>
            </w:pPr>
            <w:r w:rsidRPr="00D41761">
              <w:rPr>
                <w:rFonts w:eastAsia="SimSun" w:cs="Arial"/>
                <w:sz w:val="24"/>
                <w:szCs w:val="24"/>
                <w:lang w:val="en-US" w:eastAsia="zh-CN"/>
              </w:rPr>
              <w:t xml:space="preserve">142 (2.2%)  </w:t>
            </w:r>
          </w:p>
        </w:tc>
        <w:tc>
          <w:tcPr>
            <w:tcW w:w="1581" w:type="dxa"/>
            <w:vAlign w:val="center"/>
          </w:tcPr>
          <w:p w14:paraId="0435D9A4" w14:textId="77777777" w:rsidR="00680889" w:rsidRPr="00D41761" w:rsidRDefault="00680889" w:rsidP="00C24974">
            <w:pPr>
              <w:tabs>
                <w:tab w:val="left" w:pos="567"/>
              </w:tabs>
              <w:jc w:val="center"/>
              <w:rPr>
                <w:rFonts w:cs="Arial"/>
                <w:sz w:val="24"/>
                <w:szCs w:val="24"/>
                <w:lang w:val="de-DE" w:eastAsia="en-US"/>
              </w:rPr>
            </w:pPr>
            <w:r w:rsidRPr="00D41761">
              <w:rPr>
                <w:rFonts w:cs="Arial"/>
                <w:sz w:val="24"/>
                <w:szCs w:val="24"/>
                <w:lang w:val="en-GB" w:eastAsia="en-US"/>
              </w:rPr>
              <w:t>0.58 (0.44;0.7</w:t>
            </w:r>
            <w:r w:rsidRPr="00D41761">
              <w:rPr>
                <w:rFonts w:cs="Arial"/>
                <w:sz w:val="24"/>
                <w:szCs w:val="24"/>
                <w:lang w:val="de-DE" w:eastAsia="en-US"/>
              </w:rPr>
              <w:t>6)</w:t>
            </w:r>
            <w:r w:rsidRPr="00D41761">
              <w:rPr>
                <w:rFonts w:cs="Arial"/>
                <w:sz w:val="24"/>
                <w:szCs w:val="24"/>
                <w:lang w:val="de-DE" w:eastAsia="en-US"/>
              </w:rPr>
              <w:br/>
            </w:r>
            <w:r w:rsidRPr="00D41761">
              <w:rPr>
                <w:rFonts w:cs="Arial"/>
                <w:sz w:val="24"/>
                <w:szCs w:val="24"/>
                <w:lang w:val="en-GB" w:eastAsia="en-US"/>
              </w:rPr>
              <w:t xml:space="preserve">p = </w:t>
            </w:r>
            <w:r w:rsidRPr="00D41761">
              <w:rPr>
                <w:rFonts w:cs="Arial"/>
                <w:sz w:val="24"/>
                <w:szCs w:val="24"/>
                <w:lang w:val="de-DE" w:eastAsia="en-US"/>
              </w:rPr>
              <w:t>0.00006</w:t>
            </w:r>
          </w:p>
          <w:p w14:paraId="20EB1756" w14:textId="77777777" w:rsidR="00D41761" w:rsidRPr="00D41761" w:rsidRDefault="00D41761" w:rsidP="00C24974">
            <w:pPr>
              <w:tabs>
                <w:tab w:val="left" w:pos="567"/>
              </w:tabs>
              <w:jc w:val="center"/>
              <w:rPr>
                <w:rFonts w:cs="Arial"/>
                <w:sz w:val="24"/>
                <w:szCs w:val="24"/>
                <w:lang w:val="en-GB" w:eastAsia="en-US"/>
              </w:rPr>
            </w:pPr>
          </w:p>
        </w:tc>
      </w:tr>
      <w:tr w:rsidR="00D41761" w:rsidRPr="00D41761" w14:paraId="7447ED22" w14:textId="77777777" w:rsidTr="00C36A19">
        <w:trPr>
          <w:trHeight w:val="513"/>
        </w:trPr>
        <w:tc>
          <w:tcPr>
            <w:tcW w:w="3133" w:type="dxa"/>
            <w:shd w:val="clear" w:color="auto" w:fill="auto"/>
            <w:vAlign w:val="center"/>
          </w:tcPr>
          <w:p w14:paraId="5341DAC1" w14:textId="77777777" w:rsidR="00680889" w:rsidRPr="00D41761" w:rsidRDefault="00680889" w:rsidP="0043158B">
            <w:pPr>
              <w:numPr>
                <w:ilvl w:val="0"/>
                <w:numId w:val="14"/>
              </w:numPr>
              <w:tabs>
                <w:tab w:val="left" w:pos="567"/>
              </w:tabs>
              <w:spacing w:before="120" w:after="120"/>
              <w:rPr>
                <w:rFonts w:cs="Arial"/>
                <w:sz w:val="24"/>
                <w:szCs w:val="24"/>
                <w:lang w:val="en-GB" w:eastAsia="en-US"/>
              </w:rPr>
            </w:pPr>
            <w:r w:rsidRPr="00D41761">
              <w:rPr>
                <w:rFonts w:cs="Arial"/>
                <w:sz w:val="24"/>
                <w:szCs w:val="24"/>
                <w:lang w:val="en-GB" w:eastAsia="en-US"/>
              </w:rPr>
              <w:t>MI</w:t>
            </w:r>
          </w:p>
        </w:tc>
        <w:tc>
          <w:tcPr>
            <w:tcW w:w="2131" w:type="dxa"/>
            <w:shd w:val="clear" w:color="auto" w:fill="auto"/>
            <w:vAlign w:val="center"/>
          </w:tcPr>
          <w:p w14:paraId="2071FB40"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 xml:space="preserve">178 (2.5%) </w:t>
            </w:r>
          </w:p>
        </w:tc>
        <w:tc>
          <w:tcPr>
            <w:tcW w:w="2054" w:type="dxa"/>
            <w:shd w:val="clear" w:color="auto" w:fill="auto"/>
            <w:vAlign w:val="center"/>
          </w:tcPr>
          <w:p w14:paraId="4FC0979F" w14:textId="77777777" w:rsidR="00680889" w:rsidRPr="00D41761" w:rsidRDefault="00680889" w:rsidP="00C24974">
            <w:pPr>
              <w:spacing w:before="120" w:after="120"/>
              <w:jc w:val="center"/>
              <w:rPr>
                <w:rFonts w:eastAsia="SimSun" w:cs="Arial"/>
                <w:sz w:val="24"/>
                <w:szCs w:val="24"/>
                <w:lang w:val="en-US" w:eastAsia="zh-CN"/>
              </w:rPr>
            </w:pPr>
            <w:r w:rsidRPr="00D41761">
              <w:rPr>
                <w:rFonts w:eastAsia="SimSun" w:cs="Arial"/>
                <w:sz w:val="24"/>
                <w:szCs w:val="24"/>
                <w:lang w:val="en-US" w:eastAsia="zh-CN"/>
              </w:rPr>
              <w:t>205 (2.9%)</w:t>
            </w:r>
          </w:p>
        </w:tc>
        <w:tc>
          <w:tcPr>
            <w:tcW w:w="1581" w:type="dxa"/>
            <w:vAlign w:val="center"/>
          </w:tcPr>
          <w:p w14:paraId="2A8592A5"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0.86 (0.70;1.05)</w:t>
            </w:r>
            <w:r w:rsidRPr="00D41761">
              <w:rPr>
                <w:rFonts w:cs="Arial"/>
                <w:sz w:val="24"/>
                <w:szCs w:val="24"/>
                <w:lang w:val="en-GB" w:eastAsia="en-US"/>
              </w:rPr>
              <w:br/>
              <w:t>p = 0.14458</w:t>
            </w:r>
          </w:p>
          <w:p w14:paraId="61577C49" w14:textId="77777777" w:rsidR="00D41761" w:rsidRPr="00D41761" w:rsidRDefault="00D41761" w:rsidP="00C24974">
            <w:pPr>
              <w:tabs>
                <w:tab w:val="left" w:pos="567"/>
              </w:tabs>
              <w:jc w:val="center"/>
              <w:rPr>
                <w:rFonts w:cs="Arial"/>
                <w:sz w:val="24"/>
                <w:szCs w:val="24"/>
                <w:lang w:val="en-GB" w:eastAsia="en-US"/>
              </w:rPr>
            </w:pPr>
          </w:p>
        </w:tc>
      </w:tr>
      <w:tr w:rsidR="00D41761" w:rsidRPr="00D41761" w14:paraId="48B394EC" w14:textId="77777777" w:rsidTr="00C36A19">
        <w:trPr>
          <w:trHeight w:val="488"/>
        </w:trPr>
        <w:tc>
          <w:tcPr>
            <w:tcW w:w="3133" w:type="dxa"/>
            <w:shd w:val="clear" w:color="auto" w:fill="auto"/>
            <w:vAlign w:val="center"/>
          </w:tcPr>
          <w:p w14:paraId="066131C8" w14:textId="77777777" w:rsidR="00680889" w:rsidRPr="00D41761" w:rsidRDefault="00680889" w:rsidP="0043158B">
            <w:pPr>
              <w:numPr>
                <w:ilvl w:val="0"/>
                <w:numId w:val="14"/>
              </w:numPr>
              <w:tabs>
                <w:tab w:val="left" w:pos="567"/>
              </w:tabs>
              <w:spacing w:before="120" w:after="120"/>
              <w:rPr>
                <w:rFonts w:cs="Arial"/>
                <w:sz w:val="24"/>
                <w:szCs w:val="24"/>
                <w:lang w:val="en-GB" w:eastAsia="en-US"/>
              </w:rPr>
            </w:pPr>
            <w:r w:rsidRPr="00D41761">
              <w:rPr>
                <w:rFonts w:cs="Arial"/>
                <w:sz w:val="24"/>
                <w:szCs w:val="24"/>
                <w:lang w:val="en-GB" w:eastAsia="en-US"/>
              </w:rPr>
              <w:t>CV death</w:t>
            </w:r>
          </w:p>
        </w:tc>
        <w:tc>
          <w:tcPr>
            <w:tcW w:w="2131" w:type="dxa"/>
            <w:shd w:val="clear" w:color="auto" w:fill="auto"/>
            <w:vAlign w:val="center"/>
          </w:tcPr>
          <w:p w14:paraId="59BF8605"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 xml:space="preserve">160 (2.2%) </w:t>
            </w:r>
          </w:p>
        </w:tc>
        <w:tc>
          <w:tcPr>
            <w:tcW w:w="2054" w:type="dxa"/>
            <w:shd w:val="clear" w:color="auto" w:fill="auto"/>
            <w:vAlign w:val="center"/>
          </w:tcPr>
          <w:p w14:paraId="238548C8" w14:textId="77777777" w:rsidR="00680889" w:rsidRPr="00D41761" w:rsidRDefault="00680889" w:rsidP="00C24974">
            <w:pPr>
              <w:spacing w:before="120" w:after="120"/>
              <w:jc w:val="center"/>
              <w:rPr>
                <w:rFonts w:eastAsia="SimSun" w:cs="Arial"/>
                <w:sz w:val="24"/>
                <w:szCs w:val="24"/>
                <w:lang w:val="en-US" w:eastAsia="zh-CN"/>
              </w:rPr>
            </w:pPr>
            <w:r w:rsidRPr="00D41761">
              <w:rPr>
                <w:rFonts w:eastAsia="SimSun" w:cs="Arial"/>
                <w:sz w:val="24"/>
                <w:szCs w:val="24"/>
                <w:lang w:val="en-US" w:eastAsia="zh-CN"/>
              </w:rPr>
              <w:t xml:space="preserve">203 (2.9%) </w:t>
            </w:r>
          </w:p>
        </w:tc>
        <w:tc>
          <w:tcPr>
            <w:tcW w:w="1581" w:type="dxa"/>
            <w:vAlign w:val="center"/>
          </w:tcPr>
          <w:p w14:paraId="4B45E7C3"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0.78 (0.64;0.96)</w:t>
            </w:r>
            <w:r w:rsidRPr="00D41761">
              <w:rPr>
                <w:rFonts w:cs="Arial"/>
                <w:sz w:val="24"/>
                <w:szCs w:val="24"/>
                <w:lang w:val="en-GB" w:eastAsia="en-US"/>
              </w:rPr>
              <w:br/>
              <w:t>p = 0.02053</w:t>
            </w:r>
          </w:p>
          <w:p w14:paraId="53D90C24" w14:textId="77777777" w:rsidR="00D41761" w:rsidRPr="00D41761" w:rsidRDefault="00D41761" w:rsidP="00C24974">
            <w:pPr>
              <w:tabs>
                <w:tab w:val="left" w:pos="567"/>
              </w:tabs>
              <w:jc w:val="center"/>
              <w:rPr>
                <w:rFonts w:cs="Arial"/>
                <w:sz w:val="24"/>
                <w:szCs w:val="24"/>
                <w:lang w:val="en-GB" w:eastAsia="en-US"/>
              </w:rPr>
            </w:pPr>
          </w:p>
        </w:tc>
      </w:tr>
      <w:tr w:rsidR="00D41761" w:rsidRPr="00D41761" w14:paraId="7CD70CD6" w14:textId="77777777" w:rsidTr="00C36A19">
        <w:trPr>
          <w:trHeight w:val="873"/>
        </w:trPr>
        <w:tc>
          <w:tcPr>
            <w:tcW w:w="3133" w:type="dxa"/>
            <w:shd w:val="clear" w:color="auto" w:fill="auto"/>
            <w:vAlign w:val="center"/>
          </w:tcPr>
          <w:p w14:paraId="2C650564" w14:textId="77777777" w:rsidR="00680889" w:rsidRPr="00D41761" w:rsidRDefault="00680889" w:rsidP="00C24974">
            <w:pPr>
              <w:keepNext/>
              <w:widowControl w:val="0"/>
              <w:spacing w:after="120"/>
              <w:rPr>
                <w:rFonts w:cs="Arial"/>
                <w:sz w:val="24"/>
                <w:szCs w:val="24"/>
                <w:lang w:val="en-GB" w:eastAsia="en-US"/>
              </w:rPr>
            </w:pPr>
            <w:r w:rsidRPr="00D41761">
              <w:rPr>
                <w:rFonts w:cs="Arial"/>
                <w:sz w:val="24"/>
                <w:szCs w:val="24"/>
                <w:lang w:val="en-GB" w:eastAsia="en-US"/>
              </w:rPr>
              <w:t>Coronary heart disease death, MI, ischaemic stroke, acute limb ischaemia</w:t>
            </w:r>
          </w:p>
        </w:tc>
        <w:tc>
          <w:tcPr>
            <w:tcW w:w="2131" w:type="dxa"/>
            <w:shd w:val="clear" w:color="auto" w:fill="auto"/>
            <w:vAlign w:val="center"/>
          </w:tcPr>
          <w:p w14:paraId="3A8C9722"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 xml:space="preserve">329 (4.5%) </w:t>
            </w:r>
          </w:p>
        </w:tc>
        <w:tc>
          <w:tcPr>
            <w:tcW w:w="2054" w:type="dxa"/>
            <w:shd w:val="clear" w:color="auto" w:fill="auto"/>
            <w:vAlign w:val="center"/>
          </w:tcPr>
          <w:p w14:paraId="3E8EC9F8" w14:textId="77777777" w:rsidR="00680889" w:rsidRPr="00D41761" w:rsidRDefault="00680889" w:rsidP="00C24974">
            <w:pPr>
              <w:spacing w:before="120" w:after="120"/>
              <w:jc w:val="center"/>
              <w:rPr>
                <w:rFonts w:eastAsia="SimSun" w:cs="Arial"/>
                <w:sz w:val="24"/>
                <w:szCs w:val="24"/>
                <w:lang w:val="en-GB" w:eastAsia="zh-CN"/>
              </w:rPr>
            </w:pPr>
            <w:r w:rsidRPr="00D41761">
              <w:rPr>
                <w:rFonts w:eastAsia="SimSun" w:cs="Arial"/>
                <w:sz w:val="24"/>
                <w:szCs w:val="24"/>
                <w:lang w:val="en-US" w:eastAsia="zh-CN"/>
              </w:rPr>
              <w:t xml:space="preserve">450 (6.6%) </w:t>
            </w:r>
          </w:p>
        </w:tc>
        <w:tc>
          <w:tcPr>
            <w:tcW w:w="1581" w:type="dxa"/>
            <w:vAlign w:val="center"/>
          </w:tcPr>
          <w:p w14:paraId="06E7080A"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0.72 (0.63;0.83)</w:t>
            </w:r>
            <w:r w:rsidRPr="00D41761">
              <w:rPr>
                <w:rFonts w:cs="Arial"/>
                <w:sz w:val="24"/>
                <w:szCs w:val="24"/>
                <w:lang w:val="en-GB" w:eastAsia="en-US"/>
              </w:rPr>
              <w:br/>
              <w:t>p = 0.00001</w:t>
            </w:r>
          </w:p>
          <w:p w14:paraId="682C0C0C" w14:textId="77777777" w:rsidR="00D41761" w:rsidRPr="00D41761" w:rsidRDefault="00D41761" w:rsidP="00C24974">
            <w:pPr>
              <w:tabs>
                <w:tab w:val="left" w:pos="567"/>
              </w:tabs>
              <w:jc w:val="center"/>
              <w:rPr>
                <w:rFonts w:cs="Arial"/>
                <w:sz w:val="24"/>
                <w:szCs w:val="24"/>
                <w:lang w:val="en-GB" w:eastAsia="en-US"/>
              </w:rPr>
            </w:pPr>
          </w:p>
        </w:tc>
      </w:tr>
      <w:tr w:rsidR="00D41761" w:rsidRPr="00D41761" w14:paraId="1C9D4529" w14:textId="77777777" w:rsidTr="00C36A19">
        <w:trPr>
          <w:trHeight w:val="745"/>
        </w:trPr>
        <w:tc>
          <w:tcPr>
            <w:tcW w:w="3133" w:type="dxa"/>
            <w:shd w:val="clear" w:color="auto" w:fill="auto"/>
            <w:vAlign w:val="center"/>
          </w:tcPr>
          <w:p w14:paraId="61145DD5" w14:textId="77777777" w:rsidR="00680889" w:rsidRPr="00D41761" w:rsidRDefault="00680889" w:rsidP="0043158B">
            <w:pPr>
              <w:numPr>
                <w:ilvl w:val="0"/>
                <w:numId w:val="14"/>
              </w:numPr>
              <w:tabs>
                <w:tab w:val="left" w:pos="567"/>
              </w:tabs>
              <w:spacing w:before="120" w:after="120"/>
              <w:rPr>
                <w:rFonts w:cs="Arial"/>
                <w:sz w:val="24"/>
                <w:szCs w:val="24"/>
                <w:lang w:val="en-GB" w:eastAsia="en-US"/>
              </w:rPr>
            </w:pPr>
            <w:r w:rsidRPr="00D41761">
              <w:rPr>
                <w:rFonts w:cs="Arial"/>
                <w:sz w:val="24"/>
                <w:szCs w:val="24"/>
                <w:lang w:val="en-GB" w:eastAsia="en-US"/>
              </w:rPr>
              <w:t>Coronary heart disease death</w:t>
            </w:r>
            <w:r w:rsidRPr="00D41761">
              <w:rPr>
                <w:rFonts w:cs="Arial"/>
                <w:sz w:val="24"/>
                <w:szCs w:val="24"/>
                <w:vertAlign w:val="superscript"/>
                <w:lang w:val="en-GB" w:eastAsia="en-US"/>
              </w:rPr>
              <w:t>#</w:t>
            </w:r>
          </w:p>
        </w:tc>
        <w:tc>
          <w:tcPr>
            <w:tcW w:w="2131" w:type="dxa"/>
            <w:shd w:val="clear" w:color="auto" w:fill="auto"/>
            <w:vAlign w:val="center"/>
          </w:tcPr>
          <w:p w14:paraId="6560AA64"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86 (1.2%)</w:t>
            </w:r>
          </w:p>
        </w:tc>
        <w:tc>
          <w:tcPr>
            <w:tcW w:w="2054" w:type="dxa"/>
            <w:shd w:val="clear" w:color="auto" w:fill="auto"/>
            <w:vAlign w:val="center"/>
          </w:tcPr>
          <w:p w14:paraId="48759B64" w14:textId="77777777" w:rsidR="00680889" w:rsidRPr="00D41761" w:rsidRDefault="00680889" w:rsidP="00C24974">
            <w:pPr>
              <w:spacing w:before="120" w:after="120"/>
              <w:jc w:val="center"/>
              <w:rPr>
                <w:rFonts w:eastAsia="SimSun" w:cs="Arial"/>
                <w:sz w:val="24"/>
                <w:szCs w:val="24"/>
                <w:lang w:val="en-US" w:eastAsia="zh-CN"/>
              </w:rPr>
            </w:pPr>
            <w:r w:rsidRPr="00D41761">
              <w:rPr>
                <w:rFonts w:eastAsia="SimSun" w:cs="Arial"/>
                <w:sz w:val="24"/>
                <w:szCs w:val="24"/>
                <w:lang w:val="en-US" w:eastAsia="zh-CN"/>
              </w:rPr>
              <w:t xml:space="preserve">117 (1.6%) </w:t>
            </w:r>
          </w:p>
        </w:tc>
        <w:tc>
          <w:tcPr>
            <w:tcW w:w="1581" w:type="dxa"/>
            <w:vAlign w:val="center"/>
          </w:tcPr>
          <w:p w14:paraId="62D715BB"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0.73 (0.55;0.96)</w:t>
            </w:r>
            <w:r w:rsidRPr="00D41761">
              <w:rPr>
                <w:rFonts w:cs="Arial"/>
                <w:sz w:val="24"/>
                <w:szCs w:val="24"/>
                <w:lang w:val="en-GB" w:eastAsia="en-US"/>
              </w:rPr>
              <w:br/>
              <w:t>p = 0.02611</w:t>
            </w:r>
          </w:p>
          <w:p w14:paraId="70698EEE" w14:textId="77777777" w:rsidR="00D41761" w:rsidRPr="00D41761" w:rsidRDefault="00D41761" w:rsidP="00C24974">
            <w:pPr>
              <w:tabs>
                <w:tab w:val="left" w:pos="567"/>
              </w:tabs>
              <w:jc w:val="center"/>
              <w:rPr>
                <w:rFonts w:cs="Arial"/>
                <w:sz w:val="24"/>
                <w:szCs w:val="24"/>
                <w:lang w:val="en-GB" w:eastAsia="en-US"/>
              </w:rPr>
            </w:pPr>
          </w:p>
        </w:tc>
      </w:tr>
      <w:tr w:rsidR="00D41761" w:rsidRPr="00D41761" w14:paraId="6D4DC505" w14:textId="77777777" w:rsidTr="00C36A19">
        <w:trPr>
          <w:trHeight w:val="513"/>
        </w:trPr>
        <w:tc>
          <w:tcPr>
            <w:tcW w:w="3133" w:type="dxa"/>
            <w:shd w:val="clear" w:color="auto" w:fill="auto"/>
            <w:vAlign w:val="center"/>
          </w:tcPr>
          <w:p w14:paraId="587303BE" w14:textId="77777777" w:rsidR="00680889" w:rsidRPr="00D41761" w:rsidRDefault="00680889" w:rsidP="0043158B">
            <w:pPr>
              <w:numPr>
                <w:ilvl w:val="0"/>
                <w:numId w:val="14"/>
              </w:numPr>
              <w:tabs>
                <w:tab w:val="left" w:pos="567"/>
              </w:tabs>
              <w:spacing w:before="120" w:after="120"/>
              <w:rPr>
                <w:rFonts w:cs="Arial"/>
                <w:sz w:val="24"/>
                <w:szCs w:val="24"/>
                <w:lang w:val="en-GB" w:eastAsia="en-US"/>
              </w:rPr>
            </w:pPr>
            <w:r w:rsidRPr="00D41761">
              <w:rPr>
                <w:rFonts w:cs="Arial"/>
                <w:sz w:val="24"/>
                <w:szCs w:val="24"/>
                <w:lang w:val="en-GB" w:eastAsia="en-US"/>
              </w:rPr>
              <w:t>Ischaemic stroke</w:t>
            </w:r>
          </w:p>
        </w:tc>
        <w:tc>
          <w:tcPr>
            <w:tcW w:w="2131" w:type="dxa"/>
            <w:shd w:val="clear" w:color="auto" w:fill="auto"/>
            <w:vAlign w:val="center"/>
          </w:tcPr>
          <w:p w14:paraId="4F6385A9"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 xml:space="preserve">64 (0.9%) </w:t>
            </w:r>
          </w:p>
        </w:tc>
        <w:tc>
          <w:tcPr>
            <w:tcW w:w="2054" w:type="dxa"/>
            <w:shd w:val="clear" w:color="auto" w:fill="auto"/>
            <w:vAlign w:val="center"/>
          </w:tcPr>
          <w:p w14:paraId="380B84FA" w14:textId="77777777" w:rsidR="00680889" w:rsidRPr="00D41761" w:rsidRDefault="00680889" w:rsidP="00C24974">
            <w:pPr>
              <w:spacing w:before="120" w:after="120"/>
              <w:jc w:val="center"/>
              <w:rPr>
                <w:rFonts w:eastAsia="SimSun" w:cs="Arial"/>
                <w:sz w:val="24"/>
                <w:szCs w:val="24"/>
                <w:lang w:val="en-US" w:eastAsia="zh-CN"/>
              </w:rPr>
            </w:pPr>
            <w:r w:rsidRPr="00D41761">
              <w:rPr>
                <w:rFonts w:eastAsia="SimSun" w:cs="Arial"/>
                <w:sz w:val="24"/>
                <w:szCs w:val="24"/>
                <w:lang w:val="en-US" w:eastAsia="zh-CN"/>
              </w:rPr>
              <w:t xml:space="preserve">125 (2.0%)  </w:t>
            </w:r>
          </w:p>
        </w:tc>
        <w:tc>
          <w:tcPr>
            <w:tcW w:w="1581" w:type="dxa"/>
            <w:vAlign w:val="center"/>
          </w:tcPr>
          <w:p w14:paraId="2CF949D5" w14:textId="77777777" w:rsidR="00680889" w:rsidRPr="00D41761" w:rsidRDefault="00680889" w:rsidP="00C24974">
            <w:pPr>
              <w:tabs>
                <w:tab w:val="left" w:pos="567"/>
              </w:tabs>
              <w:jc w:val="center"/>
              <w:rPr>
                <w:rFonts w:cs="Arial"/>
                <w:noProof/>
                <w:sz w:val="24"/>
                <w:szCs w:val="24"/>
                <w:lang w:val="en-GB" w:eastAsia="en-US"/>
              </w:rPr>
            </w:pPr>
            <w:r w:rsidRPr="00D41761">
              <w:rPr>
                <w:rFonts w:cs="Arial"/>
                <w:noProof/>
                <w:sz w:val="24"/>
                <w:szCs w:val="24"/>
                <w:lang w:val="en-GB" w:eastAsia="en-US"/>
              </w:rPr>
              <w:t>0.51 (0.38;0.69)</w:t>
            </w:r>
            <w:r w:rsidRPr="00D41761">
              <w:rPr>
                <w:rFonts w:cs="Arial"/>
                <w:noProof/>
                <w:sz w:val="24"/>
                <w:szCs w:val="24"/>
                <w:lang w:val="en-GB" w:eastAsia="en-US"/>
              </w:rPr>
              <w:br/>
            </w:r>
            <w:r w:rsidRPr="00D41761">
              <w:rPr>
                <w:rFonts w:cs="Arial"/>
                <w:sz w:val="24"/>
                <w:szCs w:val="24"/>
                <w:lang w:val="en-GB" w:eastAsia="en-US"/>
              </w:rPr>
              <w:t xml:space="preserve">p = </w:t>
            </w:r>
            <w:r w:rsidRPr="00D41761">
              <w:rPr>
                <w:rFonts w:cs="Arial"/>
                <w:noProof/>
                <w:sz w:val="24"/>
                <w:szCs w:val="24"/>
                <w:lang w:val="en-GB" w:eastAsia="en-US"/>
              </w:rPr>
              <w:t>0.00001</w:t>
            </w:r>
          </w:p>
          <w:p w14:paraId="72923024" w14:textId="77777777" w:rsidR="00D41761" w:rsidRPr="00D41761" w:rsidRDefault="00D41761" w:rsidP="00C24974">
            <w:pPr>
              <w:tabs>
                <w:tab w:val="left" w:pos="567"/>
              </w:tabs>
              <w:jc w:val="center"/>
              <w:rPr>
                <w:rFonts w:cs="Arial"/>
                <w:sz w:val="24"/>
                <w:szCs w:val="24"/>
                <w:lang w:val="en-GB" w:eastAsia="en-US"/>
              </w:rPr>
            </w:pPr>
          </w:p>
        </w:tc>
      </w:tr>
      <w:tr w:rsidR="00D41761" w:rsidRPr="00D41761" w14:paraId="06F5EEF3" w14:textId="77777777" w:rsidTr="00C36A19">
        <w:trPr>
          <w:trHeight w:val="513"/>
        </w:trPr>
        <w:tc>
          <w:tcPr>
            <w:tcW w:w="3133" w:type="dxa"/>
            <w:shd w:val="clear" w:color="auto" w:fill="auto"/>
            <w:vAlign w:val="center"/>
          </w:tcPr>
          <w:p w14:paraId="5B8C390A" w14:textId="77777777" w:rsidR="00680889" w:rsidRPr="00D41761" w:rsidRDefault="00680889" w:rsidP="0043158B">
            <w:pPr>
              <w:numPr>
                <w:ilvl w:val="0"/>
                <w:numId w:val="14"/>
              </w:numPr>
              <w:tabs>
                <w:tab w:val="left" w:pos="567"/>
              </w:tabs>
              <w:spacing w:before="120" w:after="120"/>
              <w:rPr>
                <w:rFonts w:cs="Arial"/>
                <w:sz w:val="24"/>
                <w:szCs w:val="24"/>
                <w:lang w:val="en-GB" w:eastAsia="en-US"/>
              </w:rPr>
            </w:pPr>
            <w:r w:rsidRPr="00D41761">
              <w:rPr>
                <w:rFonts w:cs="Arial"/>
                <w:sz w:val="24"/>
                <w:szCs w:val="24"/>
                <w:lang w:val="en-US" w:eastAsia="en-US"/>
              </w:rPr>
              <w:t>Acute limb ischaemia**</w:t>
            </w:r>
          </w:p>
        </w:tc>
        <w:tc>
          <w:tcPr>
            <w:tcW w:w="2131" w:type="dxa"/>
            <w:shd w:val="clear" w:color="auto" w:fill="auto"/>
            <w:vAlign w:val="center"/>
          </w:tcPr>
          <w:p w14:paraId="2D7527F3" w14:textId="77777777" w:rsidR="00680889" w:rsidRPr="00D41761" w:rsidRDefault="00680889" w:rsidP="00C24974">
            <w:pPr>
              <w:tabs>
                <w:tab w:val="left" w:pos="567"/>
              </w:tabs>
              <w:jc w:val="center"/>
              <w:rPr>
                <w:rFonts w:cs="Arial"/>
                <w:sz w:val="24"/>
                <w:szCs w:val="24"/>
                <w:lang w:val="en-GB" w:eastAsia="en-US"/>
              </w:rPr>
            </w:pPr>
            <w:r w:rsidRPr="00D41761">
              <w:rPr>
                <w:rFonts w:cs="Arial"/>
                <w:sz w:val="24"/>
                <w:szCs w:val="24"/>
                <w:lang w:val="en-GB" w:eastAsia="en-US"/>
              </w:rPr>
              <w:t>22 (0.3%)</w:t>
            </w:r>
          </w:p>
        </w:tc>
        <w:tc>
          <w:tcPr>
            <w:tcW w:w="2054" w:type="dxa"/>
            <w:shd w:val="clear" w:color="auto" w:fill="auto"/>
            <w:vAlign w:val="center"/>
          </w:tcPr>
          <w:p w14:paraId="028A5DAA" w14:textId="77777777" w:rsidR="00680889" w:rsidRPr="00D41761" w:rsidRDefault="00680889" w:rsidP="00C24974">
            <w:pPr>
              <w:spacing w:before="120" w:after="120"/>
              <w:jc w:val="center"/>
              <w:rPr>
                <w:rFonts w:eastAsia="SimSun" w:cs="Arial"/>
                <w:sz w:val="24"/>
                <w:szCs w:val="24"/>
                <w:lang w:val="en-US" w:eastAsia="zh-CN"/>
              </w:rPr>
            </w:pPr>
            <w:r w:rsidRPr="00D41761">
              <w:rPr>
                <w:rFonts w:eastAsia="SimSun" w:cs="Arial"/>
                <w:sz w:val="24"/>
                <w:szCs w:val="24"/>
                <w:lang w:val="en-US" w:eastAsia="zh-CN"/>
              </w:rPr>
              <w:t xml:space="preserve">40 (0.6%)  </w:t>
            </w:r>
          </w:p>
        </w:tc>
        <w:tc>
          <w:tcPr>
            <w:tcW w:w="1581" w:type="dxa"/>
            <w:vAlign w:val="center"/>
          </w:tcPr>
          <w:p w14:paraId="1137E1B5" w14:textId="77777777" w:rsidR="00680889" w:rsidRPr="00D41761" w:rsidRDefault="00680889" w:rsidP="00C24974">
            <w:pPr>
              <w:tabs>
                <w:tab w:val="left" w:pos="567"/>
              </w:tabs>
              <w:jc w:val="center"/>
              <w:rPr>
                <w:rFonts w:cs="Arial"/>
                <w:noProof/>
                <w:sz w:val="24"/>
                <w:szCs w:val="24"/>
                <w:lang w:val="en-GB" w:eastAsia="en-US"/>
              </w:rPr>
            </w:pPr>
            <w:r w:rsidRPr="00D41761">
              <w:rPr>
                <w:rFonts w:cs="Arial"/>
                <w:noProof/>
                <w:sz w:val="24"/>
                <w:szCs w:val="24"/>
                <w:lang w:val="en-GB" w:eastAsia="en-US"/>
              </w:rPr>
              <w:t>0.55 (0.32;0.92)</w:t>
            </w:r>
            <w:r w:rsidRPr="00D41761">
              <w:rPr>
                <w:rFonts w:cs="Arial"/>
                <w:noProof/>
                <w:sz w:val="24"/>
                <w:szCs w:val="24"/>
                <w:lang w:val="en-GB" w:eastAsia="en-US"/>
              </w:rPr>
              <w:br/>
            </w:r>
            <w:r w:rsidRPr="00D41761">
              <w:rPr>
                <w:rFonts w:cs="Arial"/>
                <w:sz w:val="24"/>
                <w:szCs w:val="24"/>
                <w:lang w:val="en-GB" w:eastAsia="en-US"/>
              </w:rPr>
              <w:t xml:space="preserve">p = </w:t>
            </w:r>
            <w:r w:rsidRPr="00D41761">
              <w:rPr>
                <w:rFonts w:cs="Arial"/>
                <w:noProof/>
                <w:sz w:val="24"/>
                <w:szCs w:val="24"/>
                <w:lang w:val="en-GB" w:eastAsia="en-US"/>
              </w:rPr>
              <w:t>0.02093</w:t>
            </w:r>
          </w:p>
          <w:p w14:paraId="27DA90E8" w14:textId="77777777" w:rsidR="00D41761" w:rsidRPr="00D41761" w:rsidRDefault="00D41761" w:rsidP="00C24974">
            <w:pPr>
              <w:tabs>
                <w:tab w:val="left" w:pos="567"/>
              </w:tabs>
              <w:jc w:val="center"/>
              <w:rPr>
                <w:rFonts w:cs="Arial"/>
                <w:sz w:val="24"/>
                <w:szCs w:val="24"/>
                <w:lang w:val="en-GB" w:eastAsia="en-US"/>
              </w:rPr>
            </w:pPr>
          </w:p>
        </w:tc>
      </w:tr>
      <w:tr w:rsidR="00D41761" w:rsidRPr="00D41761" w14:paraId="5F557AB6" w14:textId="77777777" w:rsidTr="00C36A19">
        <w:trPr>
          <w:trHeight w:val="513"/>
        </w:trPr>
        <w:tc>
          <w:tcPr>
            <w:tcW w:w="3133" w:type="dxa"/>
            <w:shd w:val="clear" w:color="auto" w:fill="auto"/>
            <w:vAlign w:val="center"/>
          </w:tcPr>
          <w:p w14:paraId="23DC8B83" w14:textId="77777777" w:rsidR="00C36A19" w:rsidRPr="00D41761" w:rsidRDefault="00C36A19" w:rsidP="0043158B">
            <w:pPr>
              <w:numPr>
                <w:ilvl w:val="0"/>
                <w:numId w:val="14"/>
              </w:numPr>
              <w:tabs>
                <w:tab w:val="left" w:pos="567"/>
              </w:tabs>
              <w:spacing w:before="120" w:after="120"/>
              <w:rPr>
                <w:rFonts w:cs="Arial"/>
                <w:sz w:val="24"/>
                <w:szCs w:val="24"/>
                <w:lang w:val="en-US" w:eastAsia="en-US"/>
              </w:rPr>
            </w:pPr>
            <w:r w:rsidRPr="00D41761">
              <w:rPr>
                <w:rFonts w:cs="Arial"/>
                <w:sz w:val="24"/>
                <w:szCs w:val="24"/>
                <w:lang w:val="en-GB" w:eastAsia="en-US"/>
              </w:rPr>
              <w:t>CV death, MI, ischaemic stroke, acute limb ischaemia</w:t>
            </w:r>
          </w:p>
        </w:tc>
        <w:tc>
          <w:tcPr>
            <w:tcW w:w="2131" w:type="dxa"/>
            <w:shd w:val="clear" w:color="auto" w:fill="auto"/>
            <w:vAlign w:val="center"/>
          </w:tcPr>
          <w:p w14:paraId="5EE0F302" w14:textId="77777777" w:rsidR="00C36A19" w:rsidRPr="00D41761" w:rsidRDefault="00C36A19" w:rsidP="00C24974">
            <w:pPr>
              <w:tabs>
                <w:tab w:val="left" w:pos="567"/>
              </w:tabs>
              <w:jc w:val="center"/>
              <w:rPr>
                <w:rFonts w:cs="Arial"/>
                <w:sz w:val="24"/>
                <w:szCs w:val="24"/>
                <w:lang w:val="en-GB" w:eastAsia="en-US"/>
              </w:rPr>
            </w:pPr>
            <w:r w:rsidRPr="00D41761">
              <w:rPr>
                <w:rFonts w:cs="Arial"/>
                <w:sz w:val="24"/>
                <w:szCs w:val="24"/>
                <w:lang w:val="en-GB" w:eastAsia="en-US"/>
              </w:rPr>
              <w:t>389 (5.3%)</w:t>
            </w:r>
          </w:p>
        </w:tc>
        <w:tc>
          <w:tcPr>
            <w:tcW w:w="2054" w:type="dxa"/>
            <w:shd w:val="clear" w:color="auto" w:fill="auto"/>
            <w:vAlign w:val="center"/>
          </w:tcPr>
          <w:p w14:paraId="76D78C6F" w14:textId="77777777" w:rsidR="00C36A19" w:rsidRPr="00D41761" w:rsidRDefault="00C36A19" w:rsidP="00C24974">
            <w:pPr>
              <w:spacing w:before="120" w:after="120"/>
              <w:jc w:val="center"/>
              <w:rPr>
                <w:rFonts w:eastAsia="SimSun" w:cs="Arial"/>
                <w:sz w:val="24"/>
                <w:szCs w:val="24"/>
                <w:lang w:val="en-US" w:eastAsia="zh-CN"/>
              </w:rPr>
            </w:pPr>
            <w:r w:rsidRPr="00D41761">
              <w:rPr>
                <w:rFonts w:eastAsia="SimSun" w:cs="Arial"/>
                <w:sz w:val="24"/>
                <w:szCs w:val="24"/>
                <w:lang w:val="en-US" w:eastAsia="zh-CN"/>
              </w:rPr>
              <w:t xml:space="preserve">516 (7.5%) </w:t>
            </w:r>
          </w:p>
        </w:tc>
        <w:tc>
          <w:tcPr>
            <w:tcW w:w="1581" w:type="dxa"/>
            <w:vAlign w:val="center"/>
          </w:tcPr>
          <w:p w14:paraId="46337011" w14:textId="77777777" w:rsidR="00C36A19" w:rsidRPr="00D41761" w:rsidRDefault="00C36A19" w:rsidP="00C24974">
            <w:pPr>
              <w:tabs>
                <w:tab w:val="left" w:pos="567"/>
              </w:tabs>
              <w:jc w:val="center"/>
              <w:rPr>
                <w:rFonts w:cs="Arial"/>
                <w:sz w:val="24"/>
                <w:szCs w:val="24"/>
                <w:lang w:val="en-GB" w:eastAsia="en-US"/>
              </w:rPr>
            </w:pPr>
            <w:r w:rsidRPr="00D41761">
              <w:rPr>
                <w:rFonts w:cs="Arial"/>
                <w:sz w:val="24"/>
                <w:szCs w:val="24"/>
                <w:lang w:val="en-GB" w:eastAsia="en-US"/>
              </w:rPr>
              <w:t>0.74 (0.65;0.85)</w:t>
            </w:r>
            <w:r w:rsidRPr="00D41761">
              <w:rPr>
                <w:rFonts w:cs="Arial"/>
                <w:sz w:val="24"/>
                <w:szCs w:val="24"/>
                <w:lang w:val="en-GB" w:eastAsia="en-US"/>
              </w:rPr>
              <w:br/>
              <w:t>p = 0.00001</w:t>
            </w:r>
          </w:p>
          <w:p w14:paraId="3E5F0BD3" w14:textId="77777777" w:rsidR="00D41761" w:rsidRPr="00D41761" w:rsidRDefault="00D41761" w:rsidP="00C24974">
            <w:pPr>
              <w:tabs>
                <w:tab w:val="left" w:pos="567"/>
              </w:tabs>
              <w:jc w:val="center"/>
              <w:rPr>
                <w:rFonts w:cs="Arial"/>
                <w:noProof/>
                <w:sz w:val="24"/>
                <w:szCs w:val="24"/>
                <w:lang w:val="en-GB" w:eastAsia="en-US"/>
              </w:rPr>
            </w:pPr>
          </w:p>
        </w:tc>
      </w:tr>
      <w:tr w:rsidR="00D41761" w:rsidRPr="00D41761" w14:paraId="037DA408" w14:textId="77777777" w:rsidTr="00C36A19">
        <w:trPr>
          <w:trHeight w:val="513"/>
        </w:trPr>
        <w:tc>
          <w:tcPr>
            <w:tcW w:w="3133" w:type="dxa"/>
            <w:shd w:val="clear" w:color="auto" w:fill="auto"/>
            <w:vAlign w:val="center"/>
          </w:tcPr>
          <w:p w14:paraId="6D5188E2" w14:textId="77777777" w:rsidR="00C36A19" w:rsidRPr="00D41761" w:rsidRDefault="00C36A19" w:rsidP="0043158B">
            <w:pPr>
              <w:numPr>
                <w:ilvl w:val="0"/>
                <w:numId w:val="14"/>
              </w:numPr>
              <w:tabs>
                <w:tab w:val="left" w:pos="567"/>
              </w:tabs>
              <w:spacing w:before="120" w:after="120"/>
              <w:rPr>
                <w:rFonts w:cs="Arial"/>
                <w:sz w:val="24"/>
                <w:szCs w:val="24"/>
                <w:lang w:val="en-US" w:eastAsia="en-US"/>
              </w:rPr>
            </w:pPr>
            <w:r w:rsidRPr="00D41761">
              <w:rPr>
                <w:rFonts w:cs="Arial"/>
                <w:sz w:val="24"/>
                <w:szCs w:val="24"/>
                <w:lang w:val="en-GB" w:eastAsia="en-US"/>
              </w:rPr>
              <w:t>All-cause mortality</w:t>
            </w:r>
          </w:p>
        </w:tc>
        <w:tc>
          <w:tcPr>
            <w:tcW w:w="2131" w:type="dxa"/>
            <w:shd w:val="clear" w:color="auto" w:fill="auto"/>
            <w:vAlign w:val="center"/>
          </w:tcPr>
          <w:p w14:paraId="6BFD2E1A" w14:textId="77777777" w:rsidR="00C36A19" w:rsidRPr="00D41761" w:rsidRDefault="00C36A19" w:rsidP="00C24974">
            <w:pPr>
              <w:tabs>
                <w:tab w:val="left" w:pos="567"/>
              </w:tabs>
              <w:jc w:val="center"/>
              <w:rPr>
                <w:rFonts w:cs="Arial"/>
                <w:sz w:val="24"/>
                <w:szCs w:val="24"/>
                <w:lang w:val="en-GB" w:eastAsia="en-US"/>
              </w:rPr>
            </w:pPr>
            <w:r w:rsidRPr="00D41761">
              <w:rPr>
                <w:rFonts w:cs="Arial"/>
                <w:sz w:val="24"/>
                <w:szCs w:val="24"/>
                <w:lang w:val="en-GB" w:eastAsia="en-US"/>
              </w:rPr>
              <w:t xml:space="preserve">313 (4.5%) </w:t>
            </w:r>
          </w:p>
        </w:tc>
        <w:tc>
          <w:tcPr>
            <w:tcW w:w="2054" w:type="dxa"/>
            <w:shd w:val="clear" w:color="auto" w:fill="auto"/>
            <w:vAlign w:val="center"/>
          </w:tcPr>
          <w:p w14:paraId="6ADE79C7" w14:textId="77777777" w:rsidR="00C36A19" w:rsidRPr="00D41761" w:rsidRDefault="00C36A19" w:rsidP="00C24974">
            <w:pPr>
              <w:spacing w:before="120" w:after="120"/>
              <w:jc w:val="center"/>
              <w:rPr>
                <w:rFonts w:eastAsia="SimSun" w:cs="Arial"/>
                <w:sz w:val="24"/>
                <w:szCs w:val="24"/>
                <w:lang w:val="en-US" w:eastAsia="zh-CN"/>
              </w:rPr>
            </w:pPr>
            <w:r w:rsidRPr="00D41761">
              <w:rPr>
                <w:rFonts w:eastAsia="SimSun" w:cs="Arial"/>
                <w:sz w:val="24"/>
                <w:szCs w:val="24"/>
                <w:lang w:val="en-US" w:eastAsia="zh-CN"/>
              </w:rPr>
              <w:t xml:space="preserve">378 (5.6%) </w:t>
            </w:r>
          </w:p>
        </w:tc>
        <w:tc>
          <w:tcPr>
            <w:tcW w:w="1581" w:type="dxa"/>
            <w:vAlign w:val="center"/>
          </w:tcPr>
          <w:p w14:paraId="73F2BB81" w14:textId="77777777" w:rsidR="00C36A19" w:rsidRPr="00D41761" w:rsidRDefault="00C36A19" w:rsidP="00C24974">
            <w:pPr>
              <w:tabs>
                <w:tab w:val="left" w:pos="567"/>
              </w:tabs>
              <w:jc w:val="center"/>
              <w:rPr>
                <w:rFonts w:cs="Arial"/>
                <w:noProof/>
                <w:sz w:val="24"/>
                <w:szCs w:val="24"/>
                <w:lang w:val="en-GB" w:eastAsia="en-US"/>
              </w:rPr>
            </w:pPr>
            <w:r w:rsidRPr="00D41761">
              <w:rPr>
                <w:rFonts w:cs="Arial"/>
                <w:noProof/>
                <w:sz w:val="24"/>
                <w:szCs w:val="24"/>
                <w:lang w:val="en-GB" w:eastAsia="en-US"/>
              </w:rPr>
              <w:t>0.82 (0.71;0.96)</w:t>
            </w:r>
            <w:r w:rsidRPr="00D41761">
              <w:rPr>
                <w:rFonts w:cs="Arial"/>
                <w:noProof/>
                <w:sz w:val="24"/>
                <w:szCs w:val="24"/>
                <w:lang w:val="en-GB" w:eastAsia="en-US"/>
              </w:rPr>
              <w:br/>
            </w:r>
            <w:r w:rsidRPr="00D41761">
              <w:rPr>
                <w:rFonts w:cs="Arial"/>
                <w:sz w:val="24"/>
                <w:szCs w:val="24"/>
                <w:lang w:val="en-GB" w:eastAsia="en-US"/>
              </w:rPr>
              <w:lastRenderedPageBreak/>
              <w:t xml:space="preserve">p = </w:t>
            </w:r>
            <w:r w:rsidRPr="00D41761">
              <w:rPr>
                <w:rFonts w:cs="Arial"/>
                <w:noProof/>
                <w:sz w:val="24"/>
                <w:szCs w:val="24"/>
                <w:lang w:val="en-GB" w:eastAsia="en-US"/>
              </w:rPr>
              <w:t>0.01062</w:t>
            </w:r>
          </w:p>
          <w:p w14:paraId="42103993" w14:textId="77777777" w:rsidR="00D41761" w:rsidRPr="00D41761" w:rsidRDefault="00D41761" w:rsidP="00C24974">
            <w:pPr>
              <w:tabs>
                <w:tab w:val="left" w:pos="567"/>
              </w:tabs>
              <w:jc w:val="center"/>
              <w:rPr>
                <w:rFonts w:cs="Arial"/>
                <w:noProof/>
                <w:sz w:val="24"/>
                <w:szCs w:val="24"/>
                <w:lang w:val="en-GB" w:eastAsia="en-US"/>
              </w:rPr>
            </w:pPr>
          </w:p>
        </w:tc>
      </w:tr>
      <w:tr w:rsidR="00D41761" w:rsidRPr="00D41761" w14:paraId="3899AB30" w14:textId="77777777" w:rsidTr="00C36A19">
        <w:trPr>
          <w:trHeight w:val="513"/>
        </w:trPr>
        <w:tc>
          <w:tcPr>
            <w:tcW w:w="3133" w:type="dxa"/>
            <w:shd w:val="clear" w:color="auto" w:fill="auto"/>
            <w:vAlign w:val="center"/>
          </w:tcPr>
          <w:p w14:paraId="060A8267" w14:textId="77777777" w:rsidR="00C36A19" w:rsidRPr="00D41761" w:rsidRDefault="00C36A19" w:rsidP="0043158B">
            <w:pPr>
              <w:numPr>
                <w:ilvl w:val="0"/>
                <w:numId w:val="14"/>
              </w:numPr>
              <w:tabs>
                <w:tab w:val="left" w:pos="567"/>
              </w:tabs>
              <w:spacing w:before="120" w:after="120"/>
              <w:rPr>
                <w:rFonts w:cs="Arial"/>
                <w:sz w:val="24"/>
                <w:szCs w:val="24"/>
                <w:lang w:val="en-US" w:eastAsia="en-US"/>
              </w:rPr>
            </w:pPr>
            <w:r w:rsidRPr="00D41761">
              <w:rPr>
                <w:rFonts w:cs="Arial"/>
                <w:sz w:val="24"/>
                <w:szCs w:val="24"/>
                <w:lang w:val="en-GB" w:eastAsia="en-US"/>
              </w:rPr>
              <w:lastRenderedPageBreak/>
              <w:t>Stroke, MI or all-cause mortality</w:t>
            </w:r>
          </w:p>
        </w:tc>
        <w:tc>
          <w:tcPr>
            <w:tcW w:w="2131" w:type="dxa"/>
            <w:shd w:val="clear" w:color="auto" w:fill="auto"/>
            <w:vAlign w:val="center"/>
          </w:tcPr>
          <w:p w14:paraId="5C39656F" w14:textId="77777777" w:rsidR="00C36A19" w:rsidRPr="00D41761" w:rsidRDefault="00C36A19" w:rsidP="00C24974">
            <w:pPr>
              <w:tabs>
                <w:tab w:val="left" w:pos="567"/>
              </w:tabs>
              <w:jc w:val="center"/>
              <w:rPr>
                <w:rFonts w:cs="Arial"/>
                <w:sz w:val="24"/>
                <w:szCs w:val="24"/>
                <w:lang w:val="en-GB" w:eastAsia="en-US"/>
              </w:rPr>
            </w:pPr>
            <w:r w:rsidRPr="00D41761">
              <w:rPr>
                <w:rFonts w:cs="Arial"/>
                <w:sz w:val="24"/>
                <w:szCs w:val="24"/>
                <w:lang w:val="en-GB" w:eastAsia="en-US"/>
              </w:rPr>
              <w:t>526 (7.4%)</w:t>
            </w:r>
          </w:p>
        </w:tc>
        <w:tc>
          <w:tcPr>
            <w:tcW w:w="2054" w:type="dxa"/>
            <w:shd w:val="clear" w:color="auto" w:fill="auto"/>
            <w:vAlign w:val="center"/>
          </w:tcPr>
          <w:p w14:paraId="20F5401F" w14:textId="77777777" w:rsidR="00C36A19" w:rsidRPr="00D41761" w:rsidRDefault="00C36A19" w:rsidP="00C24974">
            <w:pPr>
              <w:spacing w:before="120" w:after="120"/>
              <w:jc w:val="center"/>
              <w:rPr>
                <w:rFonts w:eastAsia="SimSun" w:cs="Arial"/>
                <w:sz w:val="24"/>
                <w:szCs w:val="24"/>
                <w:lang w:val="en-US" w:eastAsia="zh-CN"/>
              </w:rPr>
            </w:pPr>
            <w:r w:rsidRPr="00D41761">
              <w:rPr>
                <w:rFonts w:eastAsia="SimSun" w:cs="Arial"/>
                <w:sz w:val="24"/>
                <w:szCs w:val="24"/>
                <w:lang w:val="en-US" w:eastAsia="zh-CN"/>
              </w:rPr>
              <w:t>659 (9.6%)</w:t>
            </w:r>
          </w:p>
        </w:tc>
        <w:tc>
          <w:tcPr>
            <w:tcW w:w="1581" w:type="dxa"/>
            <w:vAlign w:val="center"/>
          </w:tcPr>
          <w:p w14:paraId="7BA9B535" w14:textId="77777777" w:rsidR="00C36A19" w:rsidRPr="00D41761" w:rsidRDefault="00C36A19" w:rsidP="00C24974">
            <w:pPr>
              <w:tabs>
                <w:tab w:val="left" w:pos="567"/>
              </w:tabs>
              <w:jc w:val="center"/>
              <w:rPr>
                <w:rFonts w:cs="Arial"/>
                <w:noProof/>
                <w:sz w:val="24"/>
                <w:szCs w:val="24"/>
                <w:lang w:val="en-GB" w:eastAsia="en-US"/>
              </w:rPr>
            </w:pPr>
            <w:r w:rsidRPr="00D41761">
              <w:rPr>
                <w:rFonts w:cs="Arial"/>
                <w:sz w:val="24"/>
                <w:szCs w:val="24"/>
                <w:lang w:val="en-GB" w:eastAsia="en-US"/>
              </w:rPr>
              <w:t>0.79 (0.70;0.88) p = 0.00005</w:t>
            </w:r>
          </w:p>
        </w:tc>
      </w:tr>
      <w:tr w:rsidR="00D41761" w:rsidRPr="00D41761" w14:paraId="1E493FEB" w14:textId="77777777" w:rsidTr="00C36A19">
        <w:trPr>
          <w:trHeight w:val="513"/>
        </w:trPr>
        <w:tc>
          <w:tcPr>
            <w:tcW w:w="3133" w:type="dxa"/>
            <w:shd w:val="clear" w:color="auto" w:fill="auto"/>
            <w:vAlign w:val="center"/>
          </w:tcPr>
          <w:p w14:paraId="7A4930DE" w14:textId="77777777" w:rsidR="00C36A19" w:rsidRPr="00D41761" w:rsidRDefault="00C36A19" w:rsidP="0043158B">
            <w:pPr>
              <w:numPr>
                <w:ilvl w:val="0"/>
                <w:numId w:val="14"/>
              </w:numPr>
              <w:tabs>
                <w:tab w:val="left" w:pos="567"/>
              </w:tabs>
              <w:spacing w:before="120" w:after="120"/>
              <w:rPr>
                <w:rFonts w:cs="Arial"/>
                <w:sz w:val="24"/>
                <w:szCs w:val="24"/>
                <w:lang w:val="en-US" w:eastAsia="en-US"/>
              </w:rPr>
            </w:pPr>
            <w:r w:rsidRPr="00D41761">
              <w:rPr>
                <w:rFonts w:cs="Arial"/>
                <w:sz w:val="24"/>
                <w:szCs w:val="24"/>
                <w:lang w:val="en-US" w:eastAsia="en-US"/>
              </w:rPr>
              <w:t>CV death</w:t>
            </w:r>
            <w:r w:rsidRPr="00D41761">
              <w:rPr>
                <w:rFonts w:cs="Arial"/>
                <w:sz w:val="24"/>
                <w:szCs w:val="24"/>
                <w:lang w:val="en-GB" w:eastAsia="en-US"/>
              </w:rPr>
              <w:t>, MI, stroke, fatal or symptomatic critical-organ bleeding events (net clinical benefit)</w:t>
            </w:r>
          </w:p>
        </w:tc>
        <w:tc>
          <w:tcPr>
            <w:tcW w:w="2131" w:type="dxa"/>
            <w:shd w:val="clear" w:color="auto" w:fill="auto"/>
            <w:vAlign w:val="center"/>
          </w:tcPr>
          <w:p w14:paraId="64E4AC15" w14:textId="77777777" w:rsidR="00C36A19" w:rsidRPr="00D41761" w:rsidRDefault="00C36A19" w:rsidP="00C24974">
            <w:pPr>
              <w:tabs>
                <w:tab w:val="left" w:pos="567"/>
              </w:tabs>
              <w:jc w:val="center"/>
              <w:rPr>
                <w:rFonts w:cs="Arial"/>
                <w:sz w:val="24"/>
                <w:szCs w:val="24"/>
                <w:lang w:val="en-GB" w:eastAsia="en-US"/>
              </w:rPr>
            </w:pPr>
            <w:r w:rsidRPr="00D41761">
              <w:rPr>
                <w:rFonts w:cs="Arial"/>
                <w:sz w:val="24"/>
                <w:szCs w:val="24"/>
                <w:lang w:val="de-DE" w:eastAsia="en-US"/>
              </w:rPr>
              <w:t>431 (5.9%)</w:t>
            </w:r>
          </w:p>
        </w:tc>
        <w:tc>
          <w:tcPr>
            <w:tcW w:w="2054" w:type="dxa"/>
            <w:shd w:val="clear" w:color="auto" w:fill="auto"/>
            <w:vAlign w:val="center"/>
          </w:tcPr>
          <w:p w14:paraId="33AA9026" w14:textId="77777777" w:rsidR="00C36A19" w:rsidRPr="00D41761" w:rsidRDefault="00C36A19" w:rsidP="00C24974">
            <w:pPr>
              <w:spacing w:before="120" w:after="120"/>
              <w:jc w:val="center"/>
              <w:rPr>
                <w:rFonts w:eastAsia="SimSun" w:cs="Arial"/>
                <w:sz w:val="24"/>
                <w:szCs w:val="24"/>
                <w:lang w:val="en-US" w:eastAsia="zh-CN"/>
              </w:rPr>
            </w:pPr>
            <w:r w:rsidRPr="00D41761">
              <w:rPr>
                <w:rFonts w:eastAsia="SimSun" w:cs="Arial"/>
                <w:sz w:val="24"/>
                <w:szCs w:val="24"/>
                <w:lang w:val="de-DE" w:eastAsia="zh-CN"/>
              </w:rPr>
              <w:t>534 (7.7%)</w:t>
            </w:r>
          </w:p>
        </w:tc>
        <w:tc>
          <w:tcPr>
            <w:tcW w:w="1581" w:type="dxa"/>
            <w:vAlign w:val="center"/>
          </w:tcPr>
          <w:p w14:paraId="3168D893" w14:textId="77777777" w:rsidR="00C36A19" w:rsidRPr="00D41761" w:rsidRDefault="00C36A19" w:rsidP="00C24974">
            <w:pPr>
              <w:tabs>
                <w:tab w:val="left" w:pos="567"/>
              </w:tabs>
              <w:jc w:val="center"/>
              <w:rPr>
                <w:rFonts w:cs="Arial"/>
                <w:noProof/>
                <w:sz w:val="24"/>
                <w:szCs w:val="24"/>
                <w:lang w:val="en-GB" w:eastAsia="en-US"/>
              </w:rPr>
            </w:pPr>
            <w:r w:rsidRPr="00D41761">
              <w:rPr>
                <w:rFonts w:cs="Arial"/>
                <w:sz w:val="24"/>
                <w:szCs w:val="24"/>
                <w:lang w:val="en-GB" w:eastAsia="en-US"/>
              </w:rPr>
              <w:t>0.80 (0.70;0.91)</w:t>
            </w:r>
            <w:r w:rsidRPr="00D41761">
              <w:rPr>
                <w:rFonts w:cs="Arial"/>
                <w:sz w:val="24"/>
                <w:szCs w:val="24"/>
                <w:lang w:val="en-GB" w:eastAsia="en-US"/>
              </w:rPr>
              <w:br/>
              <w:t>p = 0.00052</w:t>
            </w:r>
          </w:p>
        </w:tc>
      </w:tr>
      <w:tr w:rsidR="00D41761" w:rsidRPr="00D41761" w14:paraId="64A1315F" w14:textId="77777777" w:rsidTr="00C36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8899" w:type="dxa"/>
            <w:gridSpan w:val="4"/>
            <w:shd w:val="clear" w:color="auto" w:fill="auto"/>
          </w:tcPr>
          <w:p w14:paraId="133A4C53" w14:textId="77777777" w:rsidR="00680889" w:rsidRPr="00D41761" w:rsidRDefault="00680889" w:rsidP="00C24974">
            <w:pPr>
              <w:keepNext/>
              <w:widowControl w:val="0"/>
              <w:ind w:left="360" w:hanging="360"/>
              <w:rPr>
                <w:rFonts w:cs="Arial"/>
                <w:sz w:val="20"/>
                <w:lang w:val="en-GB" w:eastAsia="en-US"/>
              </w:rPr>
            </w:pPr>
            <w:r w:rsidRPr="00D41761">
              <w:rPr>
                <w:rFonts w:cs="Arial"/>
                <w:sz w:val="24"/>
                <w:szCs w:val="24"/>
                <w:lang w:val="en-GB" w:eastAsia="en-US"/>
              </w:rPr>
              <w:t>a</w:t>
            </w:r>
            <w:r w:rsidRPr="00D41761">
              <w:rPr>
                <w:rFonts w:cs="Arial"/>
                <w:sz w:val="20"/>
                <w:lang w:val="en-GB" w:eastAsia="en-US"/>
              </w:rPr>
              <w:t>)</w:t>
            </w:r>
            <w:r w:rsidRPr="00D41761">
              <w:rPr>
                <w:rFonts w:cs="Arial"/>
                <w:sz w:val="20"/>
                <w:lang w:val="en-GB" w:eastAsia="en-US"/>
              </w:rPr>
              <w:tab/>
              <w:t>intention to treat analysis set, primary analyses</w:t>
            </w:r>
          </w:p>
          <w:p w14:paraId="3E8ECCAB" w14:textId="77777777" w:rsidR="00680889" w:rsidRPr="00D41761" w:rsidRDefault="00680889" w:rsidP="00C24974">
            <w:pPr>
              <w:keepNext/>
              <w:widowControl w:val="0"/>
              <w:ind w:left="360" w:hanging="360"/>
              <w:rPr>
                <w:rFonts w:cs="Arial"/>
                <w:sz w:val="20"/>
                <w:lang w:val="en-GB" w:eastAsia="en-US"/>
              </w:rPr>
            </w:pPr>
            <w:r w:rsidRPr="00D41761">
              <w:rPr>
                <w:rFonts w:cs="Arial"/>
                <w:sz w:val="20"/>
                <w:lang w:val="en-GB" w:eastAsia="en-US"/>
              </w:rPr>
              <w:t>b) Cum. Risk: Cumulative incidence risk (Kaplan-Meier estimates) at 30 months</w:t>
            </w:r>
          </w:p>
          <w:p w14:paraId="074E7EA9" w14:textId="77777777" w:rsidR="00680889" w:rsidRPr="00D41761" w:rsidRDefault="00680889" w:rsidP="00C24974">
            <w:pPr>
              <w:keepNext/>
              <w:widowControl w:val="0"/>
              <w:ind w:left="360" w:hanging="360"/>
              <w:rPr>
                <w:rFonts w:cs="Arial"/>
                <w:sz w:val="20"/>
                <w:lang w:val="en-GB" w:eastAsia="en-US"/>
              </w:rPr>
            </w:pPr>
            <w:r w:rsidRPr="00D41761">
              <w:rPr>
                <w:rFonts w:cs="Arial"/>
                <w:sz w:val="20"/>
                <w:lang w:val="en-GB" w:eastAsia="en-US"/>
              </w:rPr>
              <w:t>c)</w:t>
            </w:r>
            <w:r w:rsidRPr="00D41761">
              <w:rPr>
                <w:rFonts w:cs="Arial"/>
                <w:sz w:val="20"/>
                <w:lang w:val="en-GB" w:eastAsia="en-US"/>
              </w:rPr>
              <w:tab/>
              <w:t>vs. aspirin 100 mg; Log-Rank p-value</w:t>
            </w:r>
          </w:p>
          <w:p w14:paraId="695DD842" w14:textId="77777777" w:rsidR="00680889" w:rsidRPr="00D41761" w:rsidRDefault="00680889" w:rsidP="00C24974">
            <w:pPr>
              <w:keepNext/>
              <w:widowControl w:val="0"/>
              <w:ind w:left="360" w:hanging="360"/>
              <w:rPr>
                <w:rFonts w:cs="Arial"/>
                <w:sz w:val="20"/>
                <w:lang w:val="en-GB" w:eastAsia="en-US"/>
              </w:rPr>
            </w:pPr>
            <w:r w:rsidRPr="00D41761">
              <w:rPr>
                <w:rFonts w:cs="Arial"/>
                <w:sz w:val="20"/>
                <w:lang w:val="en-GB" w:eastAsia="en-US"/>
              </w:rPr>
              <w:t>*</w:t>
            </w:r>
            <w:r w:rsidRPr="00D41761">
              <w:rPr>
                <w:rFonts w:cs="Arial"/>
                <w:sz w:val="20"/>
                <w:lang w:val="en-GB" w:eastAsia="en-US"/>
              </w:rPr>
              <w:tab/>
              <w:t>The reduction in the primary efficacy outcome was statistically superior.</w:t>
            </w:r>
          </w:p>
          <w:p w14:paraId="503E4506" w14:textId="77777777" w:rsidR="00680889" w:rsidRPr="00D41761" w:rsidRDefault="00680889" w:rsidP="00C24974">
            <w:pPr>
              <w:keepNext/>
              <w:widowControl w:val="0"/>
              <w:ind w:left="360" w:hanging="360"/>
              <w:rPr>
                <w:rFonts w:cs="Arial"/>
                <w:sz w:val="20"/>
                <w:lang w:val="en-GB" w:eastAsia="en-US"/>
              </w:rPr>
            </w:pPr>
            <w:r w:rsidRPr="00D41761">
              <w:rPr>
                <w:rFonts w:cs="Arial"/>
                <w:sz w:val="20"/>
                <w:lang w:val="en-GB" w:eastAsia="en-US"/>
              </w:rPr>
              <w:t>Nominal p-value significant at p&lt;0.05.</w:t>
            </w:r>
          </w:p>
          <w:p w14:paraId="7FEAEA57" w14:textId="77777777" w:rsidR="00680889" w:rsidRPr="00D41761" w:rsidRDefault="00680889" w:rsidP="00C24974">
            <w:pPr>
              <w:keepNext/>
              <w:widowControl w:val="0"/>
              <w:ind w:left="360" w:hanging="360"/>
              <w:rPr>
                <w:rFonts w:cs="Arial"/>
                <w:sz w:val="20"/>
                <w:lang w:val="en-US" w:eastAsia="en-US"/>
              </w:rPr>
            </w:pPr>
            <w:r w:rsidRPr="00D41761">
              <w:rPr>
                <w:rFonts w:cs="Arial"/>
                <w:sz w:val="20"/>
                <w:lang w:val="en-GB" w:eastAsia="en-US"/>
              </w:rPr>
              <w:t># CHD coronary heart disease death: death due to acute MI, sudden cardiac death, or CV procedure</w:t>
            </w:r>
          </w:p>
          <w:p w14:paraId="722D12C6" w14:textId="77777777" w:rsidR="00680889" w:rsidRPr="00D41761" w:rsidRDefault="00680889" w:rsidP="00C24974">
            <w:pPr>
              <w:keepNext/>
              <w:widowControl w:val="0"/>
              <w:ind w:left="318" w:hanging="284"/>
              <w:rPr>
                <w:rFonts w:cs="Arial"/>
                <w:sz w:val="20"/>
                <w:lang w:val="en-GB" w:eastAsia="en-US"/>
              </w:rPr>
            </w:pPr>
            <w:r w:rsidRPr="00D41761">
              <w:rPr>
                <w:rFonts w:cs="Arial"/>
                <w:sz w:val="20"/>
                <w:lang w:val="en-GB" w:eastAsia="en-US"/>
              </w:rPr>
              <w:t xml:space="preserve">** </w:t>
            </w:r>
            <w:r w:rsidRPr="00D41761">
              <w:rPr>
                <w:rFonts w:cs="Arial"/>
                <w:sz w:val="20"/>
                <w:lang w:val="en-US" w:eastAsia="en-US"/>
              </w:rPr>
              <w:t>Acute limb ischaemia is defined as limb-threatening ischaemia leading to an acute vascular intervention (i.e., pharmacologic, peripheral arterial surgery/reconstruction, peripheral angioplasty/stent, or amputation)</w:t>
            </w:r>
          </w:p>
          <w:p w14:paraId="463629D8" w14:textId="77777777" w:rsidR="00430D86" w:rsidRPr="00D41761" w:rsidRDefault="00680889" w:rsidP="00D41761">
            <w:pPr>
              <w:keepNext/>
              <w:widowControl w:val="0"/>
              <w:ind w:left="360" w:hanging="360"/>
              <w:rPr>
                <w:rFonts w:cs="Arial"/>
                <w:sz w:val="20"/>
                <w:lang w:val="en-GB" w:eastAsia="en-US"/>
              </w:rPr>
            </w:pPr>
            <w:r w:rsidRPr="00D41761">
              <w:rPr>
                <w:rFonts w:cs="Arial"/>
                <w:sz w:val="20"/>
                <w:lang w:val="en-GB" w:eastAsia="en-US"/>
              </w:rPr>
              <w:t>bid: twice daily; od: once daily; CI: confidence interval; MI: myocardial infarction; CV: cardiovascular</w:t>
            </w:r>
          </w:p>
          <w:p w14:paraId="26F01D4F" w14:textId="77777777" w:rsidR="00430D86" w:rsidRPr="00D41761" w:rsidRDefault="00430D86" w:rsidP="00C24974">
            <w:pPr>
              <w:keepNext/>
              <w:widowControl w:val="0"/>
              <w:ind w:left="360" w:hanging="360"/>
              <w:rPr>
                <w:rFonts w:cs="Arial"/>
                <w:sz w:val="24"/>
                <w:szCs w:val="24"/>
                <w:lang w:val="en-GB" w:eastAsia="en-US"/>
              </w:rPr>
            </w:pPr>
          </w:p>
        </w:tc>
      </w:tr>
    </w:tbl>
    <w:p w14:paraId="16EFE2E7" w14:textId="7F5B5624" w:rsidR="00680889" w:rsidRPr="001E0BB9" w:rsidRDefault="001E0BB9" w:rsidP="001E0BB9">
      <w:pPr>
        <w:pStyle w:val="Caption"/>
        <w:jc w:val="left"/>
      </w:pPr>
      <w:bookmarkStart w:id="59" w:name="Table22"/>
      <w:bookmarkEnd w:id="59"/>
      <w:r>
        <w:t xml:space="preserve">Table </w:t>
      </w:r>
      <w:r w:rsidR="005833E0">
        <w:fldChar w:fldCharType="begin"/>
      </w:r>
      <w:r w:rsidR="005833E0">
        <w:instrText xml:space="preserve"> SEQ Table \* ARABIC </w:instrText>
      </w:r>
      <w:r w:rsidR="005833E0">
        <w:fldChar w:fldCharType="separate"/>
      </w:r>
      <w:r w:rsidR="00C51DA4">
        <w:rPr>
          <w:noProof/>
        </w:rPr>
        <w:t>22</w:t>
      </w:r>
      <w:r w:rsidR="005833E0">
        <w:rPr>
          <w:noProof/>
        </w:rPr>
        <w:fldChar w:fldCharType="end"/>
      </w:r>
      <w:r w:rsidR="00430D86" w:rsidRPr="00430D86">
        <w:t xml:space="preserve">:  </w:t>
      </w:r>
      <w:r w:rsidR="00430D86" w:rsidRPr="00430D86">
        <w:rPr>
          <w:rFonts w:cs="Arial"/>
          <w:lang w:val="en-GB" w:eastAsia="en-US"/>
        </w:rPr>
        <w:t>Safety results from phase III COMPASS</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2255"/>
        <w:gridCol w:w="1881"/>
        <w:gridCol w:w="2364"/>
      </w:tblGrid>
      <w:tr w:rsidR="00430D86" w:rsidRPr="00EE119B" w14:paraId="732DF5E2" w14:textId="77777777" w:rsidTr="00D41761">
        <w:trPr>
          <w:cantSplit/>
          <w:tblHeader/>
        </w:trPr>
        <w:tc>
          <w:tcPr>
            <w:tcW w:w="3245" w:type="dxa"/>
            <w:shd w:val="clear" w:color="auto" w:fill="D9D9D9" w:themeFill="background1" w:themeFillShade="D9"/>
          </w:tcPr>
          <w:p w14:paraId="39DF1B24" w14:textId="77777777" w:rsidR="00430D86" w:rsidRPr="00EE119B" w:rsidRDefault="00430D86" w:rsidP="00F24286">
            <w:pPr>
              <w:keepNext/>
              <w:widowControl w:val="0"/>
              <w:spacing w:after="120"/>
              <w:rPr>
                <w:rFonts w:cs="Arial"/>
                <w:b/>
                <w:lang w:val="en-GB" w:eastAsia="en-US"/>
              </w:rPr>
            </w:pPr>
            <w:r w:rsidRPr="00EE119B">
              <w:rPr>
                <w:rFonts w:cs="Arial"/>
                <w:b/>
                <w:lang w:val="en-GB" w:eastAsia="en-US"/>
              </w:rPr>
              <w:t>Study Population</w:t>
            </w:r>
          </w:p>
        </w:tc>
        <w:tc>
          <w:tcPr>
            <w:tcW w:w="6500" w:type="dxa"/>
            <w:gridSpan w:val="3"/>
            <w:shd w:val="clear" w:color="auto" w:fill="D9D9D9" w:themeFill="background1" w:themeFillShade="D9"/>
          </w:tcPr>
          <w:p w14:paraId="3F2114F6" w14:textId="77777777" w:rsidR="00430D86" w:rsidRPr="00EE119B" w:rsidRDefault="00430D86" w:rsidP="00F24286">
            <w:pPr>
              <w:autoSpaceDE w:val="0"/>
              <w:rPr>
                <w:rFonts w:cs="Arial"/>
                <w:lang w:val="en-GB" w:eastAsia="en-US"/>
              </w:rPr>
            </w:pPr>
            <w:r w:rsidRPr="00EE119B">
              <w:rPr>
                <w:rFonts w:cs="Arial"/>
                <w:b/>
                <w:lang w:val="en-GB" w:eastAsia="en-US"/>
              </w:rPr>
              <w:t xml:space="preserve">Patients with CAD </w:t>
            </w:r>
            <w:r>
              <w:rPr>
                <w:rFonts w:cs="Arial"/>
                <w:b/>
                <w:lang w:val="en-GB" w:eastAsia="en-US"/>
              </w:rPr>
              <w:t>and/</w:t>
            </w:r>
            <w:r w:rsidRPr="00EE119B">
              <w:rPr>
                <w:rFonts w:cs="Arial"/>
                <w:b/>
                <w:lang w:val="en-GB" w:eastAsia="en-US"/>
              </w:rPr>
              <w:t>or PAD </w:t>
            </w:r>
            <w:r w:rsidRPr="00EE119B">
              <w:rPr>
                <w:rFonts w:cs="Arial"/>
                <w:b/>
                <w:vertAlign w:val="superscript"/>
                <w:lang w:val="en-GB" w:eastAsia="en-US"/>
              </w:rPr>
              <w:t>a)</w:t>
            </w:r>
          </w:p>
        </w:tc>
      </w:tr>
      <w:tr w:rsidR="00430D86" w:rsidRPr="00EE119B" w14:paraId="69D42CD2" w14:textId="77777777" w:rsidTr="00D41761">
        <w:trPr>
          <w:cantSplit/>
          <w:tblHeader/>
        </w:trPr>
        <w:tc>
          <w:tcPr>
            <w:tcW w:w="3245" w:type="dxa"/>
            <w:shd w:val="clear" w:color="auto" w:fill="D9D9D9" w:themeFill="background1" w:themeFillShade="D9"/>
          </w:tcPr>
          <w:p w14:paraId="453EDB1C" w14:textId="77777777" w:rsidR="00430D86" w:rsidRPr="00E43722" w:rsidRDefault="00430D86" w:rsidP="00F24286">
            <w:pPr>
              <w:keepNext/>
              <w:widowControl w:val="0"/>
              <w:spacing w:after="120"/>
              <w:rPr>
                <w:rFonts w:cs="Arial"/>
                <w:b/>
                <w:lang w:val="en-GB" w:eastAsia="en-US"/>
              </w:rPr>
            </w:pPr>
            <w:r w:rsidRPr="00E43722">
              <w:rPr>
                <w:rFonts w:cs="Arial"/>
                <w:b/>
                <w:lang w:val="en-GB" w:eastAsia="en-US"/>
              </w:rPr>
              <w:t>Treatment Dosage</w:t>
            </w:r>
          </w:p>
          <w:p w14:paraId="17688C54" w14:textId="77777777" w:rsidR="00430D86" w:rsidRPr="00E43722" w:rsidRDefault="00430D86" w:rsidP="00F24286">
            <w:pPr>
              <w:keepNext/>
              <w:widowControl w:val="0"/>
              <w:spacing w:after="120"/>
              <w:rPr>
                <w:rFonts w:cs="Arial"/>
                <w:b/>
                <w:lang w:val="en-GB" w:eastAsia="en-US"/>
              </w:rPr>
            </w:pPr>
          </w:p>
        </w:tc>
        <w:tc>
          <w:tcPr>
            <w:tcW w:w="2255" w:type="dxa"/>
            <w:shd w:val="clear" w:color="auto" w:fill="D9D9D9" w:themeFill="background1" w:themeFillShade="D9"/>
          </w:tcPr>
          <w:p w14:paraId="20DC2D1D" w14:textId="77777777" w:rsidR="00430D86" w:rsidRPr="00EE119B" w:rsidRDefault="00430D86" w:rsidP="00F24286">
            <w:pPr>
              <w:autoSpaceDE w:val="0"/>
              <w:rPr>
                <w:rFonts w:cs="Arial"/>
                <w:b/>
                <w:lang w:val="en-GB" w:eastAsia="en-US"/>
              </w:rPr>
            </w:pPr>
            <w:r>
              <w:rPr>
                <w:rFonts w:cs="Arial"/>
                <w:b/>
                <w:lang w:val="en-GB" w:eastAsia="en-US"/>
              </w:rPr>
              <w:t>XARELTO</w:t>
            </w:r>
            <w:r w:rsidRPr="00E43722">
              <w:rPr>
                <w:rFonts w:cs="Arial"/>
                <w:b/>
                <w:lang w:val="en-GB" w:eastAsia="en-US"/>
              </w:rPr>
              <w:t xml:space="preserve"> 2.5</w:t>
            </w:r>
            <w:r>
              <w:rPr>
                <w:rFonts w:cs="Arial"/>
                <w:b/>
                <w:lang w:val="en-GB" w:eastAsia="en-US"/>
              </w:rPr>
              <w:t xml:space="preserve"> </w:t>
            </w:r>
            <w:r w:rsidRPr="00E43722">
              <w:rPr>
                <w:rFonts w:cs="Arial"/>
                <w:b/>
                <w:lang w:val="en-GB" w:eastAsia="en-US"/>
              </w:rPr>
              <w:t xml:space="preserve">mg bid in combination with </w:t>
            </w:r>
            <w:r>
              <w:rPr>
                <w:rFonts w:cs="Arial"/>
                <w:b/>
                <w:lang w:val="en-GB" w:eastAsia="en-US"/>
              </w:rPr>
              <w:t>aspirin</w:t>
            </w:r>
            <w:r w:rsidRPr="00E43722">
              <w:rPr>
                <w:rFonts w:cs="Arial"/>
                <w:b/>
                <w:lang w:val="en-GB" w:eastAsia="en-US"/>
              </w:rPr>
              <w:t xml:space="preserve"> 100</w:t>
            </w:r>
            <w:r>
              <w:rPr>
                <w:rFonts w:cs="Arial"/>
                <w:b/>
                <w:lang w:val="en-GB" w:eastAsia="en-US"/>
              </w:rPr>
              <w:t xml:space="preserve"> </w:t>
            </w:r>
            <w:r w:rsidRPr="00EE119B">
              <w:rPr>
                <w:rFonts w:cs="Arial"/>
                <w:b/>
                <w:lang w:val="en-GB" w:eastAsia="en-US"/>
              </w:rPr>
              <w:t>mg od, N=9152</w:t>
            </w:r>
            <w:r w:rsidRPr="00EE119B">
              <w:rPr>
                <w:rFonts w:cs="Arial"/>
                <w:b/>
                <w:lang w:val="en-GB" w:eastAsia="en-US"/>
              </w:rPr>
              <w:br/>
              <w:t>n</w:t>
            </w:r>
            <w:r>
              <w:rPr>
                <w:rFonts w:cs="Arial"/>
                <w:b/>
                <w:lang w:val="en-GB" w:eastAsia="en-US"/>
              </w:rPr>
              <w:t xml:space="preserve"> </w:t>
            </w:r>
            <w:r w:rsidRPr="00EE119B">
              <w:rPr>
                <w:rFonts w:cs="Arial"/>
                <w:b/>
                <w:lang w:val="en-GB" w:eastAsia="en-US"/>
              </w:rPr>
              <w:t>(</w:t>
            </w:r>
            <w:r w:rsidRPr="00EE119B">
              <w:rPr>
                <w:rFonts w:cs="Arial"/>
                <w:b/>
                <w:lang w:val="en-US" w:eastAsia="en-US"/>
              </w:rPr>
              <w:t>Cum. risk %</w:t>
            </w:r>
            <w:r w:rsidRPr="00EE119B">
              <w:rPr>
                <w:rFonts w:cs="Arial"/>
                <w:b/>
                <w:lang w:val="en-GB" w:eastAsia="en-US"/>
              </w:rPr>
              <w:t>)</w:t>
            </w:r>
            <w:r w:rsidRPr="00EE119B">
              <w:rPr>
                <w:rFonts w:cs="Arial"/>
                <w:b/>
                <w:vertAlign w:val="superscript"/>
                <w:lang w:val="en-GB" w:eastAsia="en-US"/>
              </w:rPr>
              <w:t>b)</w:t>
            </w:r>
          </w:p>
        </w:tc>
        <w:tc>
          <w:tcPr>
            <w:tcW w:w="1881" w:type="dxa"/>
            <w:shd w:val="clear" w:color="auto" w:fill="D9D9D9" w:themeFill="background1" w:themeFillShade="D9"/>
          </w:tcPr>
          <w:p w14:paraId="39BB66A9" w14:textId="77777777" w:rsidR="00430D86" w:rsidRPr="00EE119B" w:rsidRDefault="00430D86" w:rsidP="00F24286">
            <w:pPr>
              <w:rPr>
                <w:rFonts w:cs="Arial"/>
                <w:b/>
                <w:lang w:val="en-GB" w:eastAsia="en-US"/>
              </w:rPr>
            </w:pPr>
            <w:r>
              <w:rPr>
                <w:rFonts w:cs="Arial"/>
                <w:b/>
                <w:lang w:val="en-GB" w:eastAsia="en-US"/>
              </w:rPr>
              <w:t>aspirin</w:t>
            </w:r>
            <w:r w:rsidRPr="00EE119B">
              <w:rPr>
                <w:rFonts w:cs="Arial"/>
                <w:b/>
                <w:lang w:val="en-GB" w:eastAsia="en-US"/>
              </w:rPr>
              <w:t xml:space="preserve"> 100</w:t>
            </w:r>
            <w:r>
              <w:rPr>
                <w:rFonts w:cs="Arial"/>
                <w:b/>
                <w:lang w:val="en-GB" w:eastAsia="en-US"/>
              </w:rPr>
              <w:t xml:space="preserve"> </w:t>
            </w:r>
            <w:r w:rsidRPr="00EE119B">
              <w:rPr>
                <w:rFonts w:cs="Arial"/>
                <w:b/>
                <w:lang w:val="en-GB" w:eastAsia="en-US"/>
              </w:rPr>
              <w:t>mg od</w:t>
            </w:r>
            <w:r w:rsidRPr="00EE119B">
              <w:rPr>
                <w:rFonts w:cs="Arial"/>
                <w:b/>
                <w:lang w:val="en-GB" w:eastAsia="en-US"/>
              </w:rPr>
              <w:br/>
              <w:t>N=9126</w:t>
            </w:r>
            <w:r w:rsidRPr="00EE119B">
              <w:rPr>
                <w:rFonts w:cs="Arial"/>
                <w:b/>
                <w:lang w:val="en-GB" w:eastAsia="en-US"/>
              </w:rPr>
              <w:br/>
            </w:r>
            <w:r w:rsidRPr="00EE119B">
              <w:rPr>
                <w:rFonts w:cs="Arial"/>
                <w:b/>
                <w:lang w:val="en-GB" w:eastAsia="en-US"/>
              </w:rPr>
              <w:br/>
              <w:t>n</w:t>
            </w:r>
            <w:r>
              <w:rPr>
                <w:rFonts w:cs="Arial"/>
                <w:b/>
                <w:lang w:val="en-GB" w:eastAsia="en-US"/>
              </w:rPr>
              <w:t xml:space="preserve"> </w:t>
            </w:r>
            <w:r w:rsidRPr="00EE119B">
              <w:rPr>
                <w:rFonts w:cs="Arial"/>
                <w:b/>
                <w:lang w:val="en-GB" w:eastAsia="en-US"/>
              </w:rPr>
              <w:t>(</w:t>
            </w:r>
            <w:r w:rsidRPr="00EE119B">
              <w:rPr>
                <w:rFonts w:cs="Arial"/>
                <w:b/>
                <w:lang w:val="en-US" w:eastAsia="en-US"/>
              </w:rPr>
              <w:t>Cum.risk %</w:t>
            </w:r>
            <w:r w:rsidRPr="00EE119B">
              <w:rPr>
                <w:rFonts w:cs="Arial"/>
                <w:b/>
                <w:lang w:val="en-GB" w:eastAsia="en-US"/>
              </w:rPr>
              <w:t>)</w:t>
            </w:r>
            <w:r w:rsidRPr="00EE119B">
              <w:rPr>
                <w:rFonts w:cs="Arial"/>
                <w:b/>
                <w:vertAlign w:val="superscript"/>
                <w:lang w:val="en-GB" w:eastAsia="en-US"/>
              </w:rPr>
              <w:t>b)</w:t>
            </w:r>
          </w:p>
        </w:tc>
        <w:tc>
          <w:tcPr>
            <w:tcW w:w="2364" w:type="dxa"/>
            <w:shd w:val="clear" w:color="auto" w:fill="D9D9D9" w:themeFill="background1" w:themeFillShade="D9"/>
          </w:tcPr>
          <w:p w14:paraId="655E32EA" w14:textId="77777777" w:rsidR="00430D86" w:rsidRPr="00EE119B" w:rsidRDefault="00430D86" w:rsidP="00F24286">
            <w:pPr>
              <w:rPr>
                <w:rFonts w:cs="Arial"/>
                <w:b/>
                <w:lang w:val="en-GB" w:eastAsia="en-US"/>
              </w:rPr>
            </w:pPr>
            <w:r w:rsidRPr="00EE119B">
              <w:rPr>
                <w:rFonts w:cs="Arial"/>
                <w:b/>
                <w:lang w:val="en-GB" w:eastAsia="en-US"/>
              </w:rPr>
              <w:t>Hazard Ratio</w:t>
            </w:r>
            <w:r>
              <w:rPr>
                <w:rFonts w:cs="Arial"/>
                <w:b/>
                <w:lang w:val="en-GB" w:eastAsia="en-US"/>
              </w:rPr>
              <w:t xml:space="preserve"> </w:t>
            </w:r>
            <w:r w:rsidRPr="00EE119B">
              <w:rPr>
                <w:rFonts w:cs="Arial"/>
                <w:b/>
                <w:lang w:val="en-GB" w:eastAsia="en-US"/>
              </w:rPr>
              <w:t>(95 % CI)</w:t>
            </w:r>
            <w:r w:rsidRPr="00EE119B">
              <w:rPr>
                <w:rFonts w:cs="Arial"/>
                <w:b/>
                <w:lang w:val="en-GB" w:eastAsia="en-US"/>
              </w:rPr>
              <w:br/>
              <w:t>p-value </w:t>
            </w:r>
            <w:r w:rsidRPr="00EE119B">
              <w:rPr>
                <w:rFonts w:cs="Arial"/>
                <w:b/>
                <w:vertAlign w:val="superscript"/>
                <w:lang w:val="en-GB" w:eastAsia="en-US"/>
              </w:rPr>
              <w:t>c)</w:t>
            </w:r>
          </w:p>
        </w:tc>
      </w:tr>
      <w:tr w:rsidR="00430D86" w:rsidRPr="00EE119B" w14:paraId="5A543FF5" w14:textId="77777777" w:rsidTr="00F24286">
        <w:trPr>
          <w:cantSplit/>
        </w:trPr>
        <w:tc>
          <w:tcPr>
            <w:tcW w:w="3245" w:type="dxa"/>
            <w:shd w:val="clear" w:color="auto" w:fill="auto"/>
          </w:tcPr>
          <w:p w14:paraId="0BC87120" w14:textId="77777777" w:rsidR="00430D86" w:rsidRPr="00E43722" w:rsidRDefault="00430D86" w:rsidP="00F24286">
            <w:pPr>
              <w:keepNext/>
              <w:widowControl w:val="0"/>
              <w:spacing w:after="120"/>
              <w:rPr>
                <w:rFonts w:cs="Arial"/>
                <w:lang w:val="en-GB" w:eastAsia="en-US"/>
              </w:rPr>
            </w:pPr>
            <w:r w:rsidRPr="00E43722">
              <w:rPr>
                <w:rFonts w:cs="Arial"/>
                <w:lang w:val="en-GB" w:eastAsia="en-US"/>
              </w:rPr>
              <w:t>Modified ISTH major bleeding</w:t>
            </w:r>
          </w:p>
        </w:tc>
        <w:tc>
          <w:tcPr>
            <w:tcW w:w="2255" w:type="dxa"/>
            <w:shd w:val="clear" w:color="auto" w:fill="auto"/>
          </w:tcPr>
          <w:p w14:paraId="23A87D44"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 xml:space="preserve">288 (3.9%)  </w:t>
            </w:r>
          </w:p>
        </w:tc>
        <w:tc>
          <w:tcPr>
            <w:tcW w:w="1881" w:type="dxa"/>
            <w:shd w:val="clear" w:color="auto" w:fill="auto"/>
          </w:tcPr>
          <w:p w14:paraId="11DA6CBA"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 xml:space="preserve">170 (2.5%) </w:t>
            </w:r>
          </w:p>
        </w:tc>
        <w:tc>
          <w:tcPr>
            <w:tcW w:w="2364" w:type="dxa"/>
          </w:tcPr>
          <w:p w14:paraId="0389D8F1"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1.70 (1.40;2.05)</w:t>
            </w:r>
            <w:r w:rsidRPr="00E43722">
              <w:rPr>
                <w:rFonts w:eastAsia="SimSun" w:cs="Arial"/>
                <w:lang w:val="en-US" w:eastAsia="zh-CN"/>
              </w:rPr>
              <w:br/>
            </w:r>
            <w:r w:rsidRPr="00E43722">
              <w:rPr>
                <w:rFonts w:eastAsia="SimSun" w:cs="Arial"/>
                <w:lang w:val="en-GB" w:eastAsia="zh-CN"/>
              </w:rPr>
              <w:t>p</w:t>
            </w:r>
            <w:r>
              <w:rPr>
                <w:rFonts w:eastAsia="SimSun" w:cs="Arial"/>
                <w:lang w:val="en-GB" w:eastAsia="zh-CN"/>
              </w:rPr>
              <w:t xml:space="preserve"> </w:t>
            </w:r>
            <w:r w:rsidRPr="00E43722">
              <w:rPr>
                <w:rFonts w:eastAsia="SimSun" w:cs="Arial"/>
                <w:lang w:val="en-GB" w:eastAsia="zh-CN"/>
              </w:rPr>
              <w:t>&lt;</w:t>
            </w:r>
            <w:r>
              <w:rPr>
                <w:rFonts w:eastAsia="SimSun" w:cs="Arial"/>
                <w:lang w:val="en-GB" w:eastAsia="zh-CN"/>
              </w:rPr>
              <w:t xml:space="preserve"> </w:t>
            </w:r>
            <w:r w:rsidRPr="00E43722">
              <w:rPr>
                <w:rFonts w:eastAsia="SimSun" w:cs="Arial"/>
                <w:lang w:val="en-US" w:eastAsia="zh-CN"/>
              </w:rPr>
              <w:t>0.00001</w:t>
            </w:r>
          </w:p>
        </w:tc>
      </w:tr>
      <w:tr w:rsidR="00430D86" w:rsidRPr="00EE119B" w14:paraId="1473F4AE" w14:textId="77777777" w:rsidTr="00F24286">
        <w:trPr>
          <w:cantSplit/>
        </w:trPr>
        <w:tc>
          <w:tcPr>
            <w:tcW w:w="3245" w:type="dxa"/>
            <w:shd w:val="clear" w:color="auto" w:fill="auto"/>
          </w:tcPr>
          <w:p w14:paraId="6D2692DC" w14:textId="77777777" w:rsidR="00430D86" w:rsidRPr="00E43722" w:rsidRDefault="00430D86" w:rsidP="0043158B">
            <w:pPr>
              <w:numPr>
                <w:ilvl w:val="0"/>
                <w:numId w:val="14"/>
              </w:numPr>
              <w:tabs>
                <w:tab w:val="left" w:pos="567"/>
              </w:tabs>
              <w:spacing w:before="120" w:after="120"/>
              <w:ind w:left="342" w:hanging="177"/>
              <w:rPr>
                <w:rFonts w:cs="Arial"/>
                <w:lang w:val="en-GB" w:eastAsia="en-US"/>
              </w:rPr>
            </w:pPr>
            <w:r w:rsidRPr="00E43722">
              <w:rPr>
                <w:rFonts w:cs="Arial"/>
                <w:lang w:val="en-GB" w:eastAsia="en-US"/>
              </w:rPr>
              <w:t>Fatal bleeding event</w:t>
            </w:r>
          </w:p>
        </w:tc>
        <w:tc>
          <w:tcPr>
            <w:tcW w:w="2255" w:type="dxa"/>
            <w:shd w:val="clear" w:color="auto" w:fill="auto"/>
          </w:tcPr>
          <w:p w14:paraId="7BDD0199"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 xml:space="preserve">15 (0.2%) </w:t>
            </w:r>
          </w:p>
        </w:tc>
        <w:tc>
          <w:tcPr>
            <w:tcW w:w="1881" w:type="dxa"/>
            <w:shd w:val="clear" w:color="auto" w:fill="auto"/>
          </w:tcPr>
          <w:p w14:paraId="68933833"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 xml:space="preserve">10 (0.2%) </w:t>
            </w:r>
          </w:p>
        </w:tc>
        <w:tc>
          <w:tcPr>
            <w:tcW w:w="2364" w:type="dxa"/>
          </w:tcPr>
          <w:p w14:paraId="72DFF2D6"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1.49 (0.67;3.33)</w:t>
            </w:r>
            <w:r w:rsidRPr="00E43722">
              <w:rPr>
                <w:rFonts w:eastAsia="SimSun" w:cs="Arial"/>
                <w:lang w:val="en-US" w:eastAsia="zh-CN"/>
              </w:rPr>
              <w:br/>
            </w:r>
            <w:r w:rsidRPr="00E43722">
              <w:rPr>
                <w:rFonts w:eastAsia="SimSun" w:cs="Arial"/>
                <w:lang w:val="en-GB" w:eastAsia="zh-CN"/>
              </w:rPr>
              <w:t>p</w:t>
            </w:r>
            <w:r>
              <w:rPr>
                <w:rFonts w:eastAsia="SimSun" w:cs="Arial"/>
                <w:lang w:val="en-GB" w:eastAsia="zh-CN"/>
              </w:rPr>
              <w:t xml:space="preserve"> </w:t>
            </w:r>
            <w:r w:rsidRPr="00E43722">
              <w:rPr>
                <w:rFonts w:eastAsia="SimSun" w:cs="Arial"/>
                <w:lang w:val="en-GB" w:eastAsia="zh-CN"/>
              </w:rPr>
              <w:t>=</w:t>
            </w:r>
            <w:r>
              <w:rPr>
                <w:rFonts w:eastAsia="SimSun" w:cs="Arial"/>
                <w:lang w:val="en-GB" w:eastAsia="zh-CN"/>
              </w:rPr>
              <w:t xml:space="preserve"> </w:t>
            </w:r>
            <w:r w:rsidRPr="00E43722">
              <w:rPr>
                <w:rFonts w:eastAsia="SimSun" w:cs="Arial"/>
                <w:lang w:val="en-US" w:eastAsia="zh-CN"/>
              </w:rPr>
              <w:t>0.32164</w:t>
            </w:r>
          </w:p>
        </w:tc>
      </w:tr>
      <w:tr w:rsidR="00430D86" w:rsidRPr="00EE119B" w14:paraId="48C320CD" w14:textId="77777777" w:rsidTr="00F24286">
        <w:trPr>
          <w:cantSplit/>
        </w:trPr>
        <w:tc>
          <w:tcPr>
            <w:tcW w:w="3245" w:type="dxa"/>
            <w:shd w:val="clear" w:color="auto" w:fill="auto"/>
          </w:tcPr>
          <w:p w14:paraId="3F7E7148" w14:textId="77777777" w:rsidR="00430D86" w:rsidRPr="00E43722" w:rsidRDefault="00430D86" w:rsidP="0043158B">
            <w:pPr>
              <w:numPr>
                <w:ilvl w:val="0"/>
                <w:numId w:val="14"/>
              </w:numPr>
              <w:tabs>
                <w:tab w:val="left" w:pos="567"/>
              </w:tabs>
              <w:spacing w:before="120" w:after="120"/>
              <w:ind w:left="342" w:hanging="177"/>
              <w:rPr>
                <w:rFonts w:cs="Arial"/>
                <w:lang w:val="en-GB" w:eastAsia="en-US"/>
              </w:rPr>
            </w:pPr>
            <w:r w:rsidRPr="00E43722">
              <w:rPr>
                <w:rFonts w:cs="Arial"/>
                <w:lang w:val="en-GB" w:eastAsia="en-US"/>
              </w:rPr>
              <w:t>Symptomatic bleeding in critical organ (non-fatal)</w:t>
            </w:r>
          </w:p>
        </w:tc>
        <w:tc>
          <w:tcPr>
            <w:tcW w:w="2255" w:type="dxa"/>
            <w:shd w:val="clear" w:color="auto" w:fill="auto"/>
          </w:tcPr>
          <w:p w14:paraId="70CCA83A"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 xml:space="preserve">63 (0.9%) </w:t>
            </w:r>
          </w:p>
        </w:tc>
        <w:tc>
          <w:tcPr>
            <w:tcW w:w="1881" w:type="dxa"/>
            <w:shd w:val="clear" w:color="auto" w:fill="auto"/>
          </w:tcPr>
          <w:p w14:paraId="765EA770"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 xml:space="preserve">49 (0.7%) </w:t>
            </w:r>
          </w:p>
        </w:tc>
        <w:tc>
          <w:tcPr>
            <w:tcW w:w="2364" w:type="dxa"/>
          </w:tcPr>
          <w:p w14:paraId="284A62F5"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1.28 (0.88;1.86)</w:t>
            </w:r>
            <w:r w:rsidRPr="00E43722">
              <w:rPr>
                <w:rFonts w:eastAsia="SimSun" w:cs="Arial"/>
                <w:lang w:val="en-US" w:eastAsia="zh-CN"/>
              </w:rPr>
              <w:br/>
            </w:r>
            <w:r w:rsidRPr="00E43722">
              <w:rPr>
                <w:rFonts w:eastAsia="SimSun" w:cs="Arial"/>
                <w:lang w:val="en-GB" w:eastAsia="zh-CN"/>
              </w:rPr>
              <w:t>p</w:t>
            </w:r>
            <w:r>
              <w:rPr>
                <w:rFonts w:eastAsia="SimSun" w:cs="Arial"/>
                <w:lang w:val="en-GB" w:eastAsia="zh-CN"/>
              </w:rPr>
              <w:t xml:space="preserve"> </w:t>
            </w:r>
            <w:r w:rsidRPr="00E43722">
              <w:rPr>
                <w:rFonts w:eastAsia="SimSun" w:cs="Arial"/>
                <w:lang w:val="en-GB" w:eastAsia="zh-CN"/>
              </w:rPr>
              <w:t>=</w:t>
            </w:r>
            <w:r>
              <w:rPr>
                <w:rFonts w:eastAsia="SimSun" w:cs="Arial"/>
                <w:lang w:val="en-GB" w:eastAsia="zh-CN"/>
              </w:rPr>
              <w:t xml:space="preserve"> </w:t>
            </w:r>
            <w:r w:rsidRPr="00E43722">
              <w:rPr>
                <w:rFonts w:eastAsia="SimSun" w:cs="Arial"/>
                <w:lang w:val="en-US" w:eastAsia="zh-CN"/>
              </w:rPr>
              <w:t>0.19679</w:t>
            </w:r>
          </w:p>
        </w:tc>
      </w:tr>
      <w:tr w:rsidR="00430D86" w:rsidRPr="00EE119B" w14:paraId="208347C4" w14:textId="77777777" w:rsidTr="00F24286">
        <w:trPr>
          <w:cantSplit/>
        </w:trPr>
        <w:tc>
          <w:tcPr>
            <w:tcW w:w="3245" w:type="dxa"/>
            <w:shd w:val="clear" w:color="auto" w:fill="auto"/>
          </w:tcPr>
          <w:p w14:paraId="00CE4379" w14:textId="77777777" w:rsidR="00430D86" w:rsidRPr="00E43722" w:rsidRDefault="00430D86" w:rsidP="0043158B">
            <w:pPr>
              <w:numPr>
                <w:ilvl w:val="0"/>
                <w:numId w:val="14"/>
              </w:numPr>
              <w:tabs>
                <w:tab w:val="left" w:pos="567"/>
              </w:tabs>
              <w:spacing w:before="120" w:after="120"/>
              <w:ind w:left="342" w:hanging="177"/>
              <w:rPr>
                <w:rFonts w:cs="Arial"/>
                <w:lang w:val="en-GB" w:eastAsia="en-US"/>
              </w:rPr>
            </w:pPr>
            <w:r w:rsidRPr="00E43722">
              <w:rPr>
                <w:rFonts w:cs="Arial"/>
                <w:lang w:val="en-GB" w:eastAsia="en-US"/>
              </w:rPr>
              <w:lastRenderedPageBreak/>
              <w:t>B</w:t>
            </w:r>
            <w:r w:rsidRPr="00E43722">
              <w:rPr>
                <w:rFonts w:cs="Arial"/>
                <w:lang w:val="en-US" w:eastAsia="en-US"/>
              </w:rPr>
              <w:t>leeding into the surgical site requiring reoperation (non-fatal, not in critical organ)</w:t>
            </w:r>
          </w:p>
        </w:tc>
        <w:tc>
          <w:tcPr>
            <w:tcW w:w="2255" w:type="dxa"/>
            <w:shd w:val="clear" w:color="auto" w:fill="auto"/>
          </w:tcPr>
          <w:p w14:paraId="03FF3B1F"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10 (0.1%)</w:t>
            </w:r>
          </w:p>
        </w:tc>
        <w:tc>
          <w:tcPr>
            <w:tcW w:w="1881" w:type="dxa"/>
            <w:shd w:val="clear" w:color="auto" w:fill="auto"/>
          </w:tcPr>
          <w:p w14:paraId="718BD6A6"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 xml:space="preserve">8 (0.1%) </w:t>
            </w:r>
          </w:p>
        </w:tc>
        <w:tc>
          <w:tcPr>
            <w:tcW w:w="2364" w:type="dxa"/>
          </w:tcPr>
          <w:p w14:paraId="1CB68118"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1.24 (0.49;3.14)</w:t>
            </w:r>
            <w:r w:rsidRPr="00E43722">
              <w:rPr>
                <w:rFonts w:eastAsia="SimSun" w:cs="Arial"/>
                <w:lang w:val="en-US" w:eastAsia="zh-CN"/>
              </w:rPr>
              <w:tab/>
            </w:r>
            <w:r w:rsidRPr="00E43722">
              <w:rPr>
                <w:rFonts w:eastAsia="SimSun" w:cs="Arial"/>
                <w:lang w:val="en-US" w:eastAsia="zh-CN"/>
              </w:rPr>
              <w:br/>
            </w:r>
            <w:r w:rsidRPr="00E43722">
              <w:rPr>
                <w:rFonts w:eastAsia="SimSun" w:cs="Arial"/>
                <w:lang w:val="en-GB" w:eastAsia="zh-CN"/>
              </w:rPr>
              <w:t>p</w:t>
            </w:r>
            <w:r>
              <w:rPr>
                <w:rFonts w:eastAsia="SimSun" w:cs="Arial"/>
                <w:lang w:val="en-GB" w:eastAsia="zh-CN"/>
              </w:rPr>
              <w:t xml:space="preserve"> </w:t>
            </w:r>
            <w:r w:rsidRPr="00E43722">
              <w:rPr>
                <w:rFonts w:eastAsia="SimSun" w:cs="Arial"/>
                <w:lang w:val="en-GB" w:eastAsia="zh-CN"/>
              </w:rPr>
              <w:t>=</w:t>
            </w:r>
            <w:r>
              <w:rPr>
                <w:rFonts w:eastAsia="SimSun" w:cs="Arial"/>
                <w:lang w:val="en-GB" w:eastAsia="zh-CN"/>
              </w:rPr>
              <w:t xml:space="preserve"> </w:t>
            </w:r>
            <w:r w:rsidRPr="00E43722">
              <w:rPr>
                <w:rFonts w:eastAsia="SimSun" w:cs="Arial"/>
                <w:lang w:val="en-US" w:eastAsia="zh-CN"/>
              </w:rPr>
              <w:t>0.65119</w:t>
            </w:r>
          </w:p>
        </w:tc>
      </w:tr>
      <w:tr w:rsidR="00430D86" w:rsidRPr="00EE119B" w14:paraId="5E007232" w14:textId="77777777" w:rsidTr="00F24286">
        <w:trPr>
          <w:cantSplit/>
        </w:trPr>
        <w:tc>
          <w:tcPr>
            <w:tcW w:w="3245" w:type="dxa"/>
            <w:shd w:val="clear" w:color="auto" w:fill="auto"/>
          </w:tcPr>
          <w:p w14:paraId="67650012" w14:textId="77777777" w:rsidR="00430D86" w:rsidRPr="00EE119B" w:rsidRDefault="00430D86" w:rsidP="0043158B">
            <w:pPr>
              <w:numPr>
                <w:ilvl w:val="0"/>
                <w:numId w:val="14"/>
              </w:numPr>
              <w:tabs>
                <w:tab w:val="left" w:pos="567"/>
              </w:tabs>
              <w:spacing w:before="120" w:after="120"/>
              <w:ind w:left="342" w:hanging="177"/>
              <w:rPr>
                <w:rFonts w:cs="Arial"/>
                <w:lang w:val="en-GB" w:eastAsia="en-US"/>
              </w:rPr>
            </w:pPr>
            <w:r w:rsidRPr="00EE119B">
              <w:rPr>
                <w:rFonts w:cs="Arial"/>
                <w:lang w:val="en-GB" w:eastAsia="en-US"/>
              </w:rPr>
              <w:t xml:space="preserve">Bleeding leading to hospitalisation </w:t>
            </w:r>
            <w:r w:rsidRPr="00EE119B">
              <w:rPr>
                <w:rFonts w:cs="Arial"/>
                <w:lang w:val="en-US" w:eastAsia="en-US"/>
              </w:rPr>
              <w:t>(non-fatal, not in critical organ, not requiring reoperation)</w:t>
            </w:r>
          </w:p>
        </w:tc>
        <w:tc>
          <w:tcPr>
            <w:tcW w:w="2255" w:type="dxa"/>
            <w:shd w:val="clear" w:color="auto" w:fill="auto"/>
          </w:tcPr>
          <w:p w14:paraId="28C09286" w14:textId="77777777" w:rsidR="00430D86" w:rsidRPr="00EE119B" w:rsidRDefault="00430D86" w:rsidP="00F24286">
            <w:pPr>
              <w:spacing w:before="120" w:after="120"/>
              <w:jc w:val="center"/>
              <w:rPr>
                <w:rFonts w:eastAsia="SimSun" w:cs="Arial"/>
                <w:lang w:val="en-GB" w:eastAsia="zh-CN"/>
              </w:rPr>
            </w:pPr>
            <w:r w:rsidRPr="00EE119B">
              <w:rPr>
                <w:rFonts w:eastAsia="SimSun" w:cs="Arial"/>
                <w:lang w:val="en-US" w:eastAsia="zh-CN"/>
              </w:rPr>
              <w:t xml:space="preserve">208 (2.9%) </w:t>
            </w:r>
          </w:p>
        </w:tc>
        <w:tc>
          <w:tcPr>
            <w:tcW w:w="1881" w:type="dxa"/>
            <w:shd w:val="clear" w:color="auto" w:fill="auto"/>
          </w:tcPr>
          <w:p w14:paraId="7EC1EC4D" w14:textId="77777777" w:rsidR="00430D86" w:rsidRPr="00EE119B" w:rsidRDefault="00430D86" w:rsidP="00F24286">
            <w:pPr>
              <w:spacing w:before="120" w:after="120"/>
              <w:jc w:val="center"/>
              <w:rPr>
                <w:rFonts w:eastAsia="SimSun" w:cs="Arial"/>
                <w:lang w:val="en-GB" w:eastAsia="zh-CN"/>
              </w:rPr>
            </w:pPr>
            <w:r w:rsidRPr="00EE119B">
              <w:rPr>
                <w:rFonts w:eastAsia="SimSun" w:cs="Arial"/>
                <w:lang w:val="en-US" w:eastAsia="zh-CN"/>
              </w:rPr>
              <w:t xml:space="preserve">109 (1.6%)  </w:t>
            </w:r>
          </w:p>
        </w:tc>
        <w:tc>
          <w:tcPr>
            <w:tcW w:w="2364" w:type="dxa"/>
          </w:tcPr>
          <w:p w14:paraId="70934D11" w14:textId="77777777" w:rsidR="00430D86" w:rsidRPr="00EE119B" w:rsidRDefault="00430D86" w:rsidP="00F24286">
            <w:pPr>
              <w:spacing w:before="120" w:after="120"/>
              <w:jc w:val="center"/>
              <w:rPr>
                <w:rFonts w:eastAsia="SimSun" w:cs="Arial"/>
                <w:lang w:val="en-US" w:eastAsia="zh-CN"/>
              </w:rPr>
            </w:pPr>
            <w:r w:rsidRPr="00EE119B">
              <w:rPr>
                <w:rFonts w:eastAsia="SimSun" w:cs="Arial"/>
                <w:lang w:val="en-US" w:eastAsia="zh-CN"/>
              </w:rPr>
              <w:t>1.91 (1.51;2.41)</w:t>
            </w:r>
            <w:r w:rsidRPr="00EE119B">
              <w:rPr>
                <w:rFonts w:eastAsia="SimSun" w:cs="Arial"/>
                <w:lang w:val="en-US" w:eastAsia="zh-CN"/>
              </w:rPr>
              <w:br/>
              <w:t>p&lt;0.00001</w:t>
            </w:r>
          </w:p>
        </w:tc>
      </w:tr>
      <w:tr w:rsidR="00430D86" w:rsidRPr="00EE119B" w14:paraId="2F169B20" w14:textId="77777777" w:rsidTr="00F24286">
        <w:trPr>
          <w:cantSplit/>
        </w:trPr>
        <w:tc>
          <w:tcPr>
            <w:tcW w:w="3245" w:type="dxa"/>
            <w:shd w:val="clear" w:color="auto" w:fill="auto"/>
          </w:tcPr>
          <w:p w14:paraId="5229CD17" w14:textId="77777777" w:rsidR="00430D86" w:rsidRPr="00E43722" w:rsidRDefault="00430D86" w:rsidP="0043158B">
            <w:pPr>
              <w:numPr>
                <w:ilvl w:val="0"/>
                <w:numId w:val="15"/>
              </w:numPr>
              <w:tabs>
                <w:tab w:val="left" w:pos="567"/>
              </w:tabs>
              <w:spacing w:before="120" w:after="120"/>
              <w:ind w:hanging="198"/>
              <w:rPr>
                <w:rFonts w:cs="Arial"/>
                <w:lang w:val="en-GB" w:eastAsia="en-US"/>
              </w:rPr>
            </w:pPr>
            <w:r w:rsidRPr="00E43722">
              <w:rPr>
                <w:rFonts w:cs="Arial"/>
                <w:lang w:val="en-GB" w:eastAsia="en-US"/>
              </w:rPr>
              <w:t>With overnight stay</w:t>
            </w:r>
          </w:p>
        </w:tc>
        <w:tc>
          <w:tcPr>
            <w:tcW w:w="2255" w:type="dxa"/>
            <w:shd w:val="clear" w:color="auto" w:fill="auto"/>
          </w:tcPr>
          <w:p w14:paraId="28ADDEE6"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172 (2.3%)</w:t>
            </w:r>
          </w:p>
        </w:tc>
        <w:tc>
          <w:tcPr>
            <w:tcW w:w="1881" w:type="dxa"/>
            <w:shd w:val="clear" w:color="auto" w:fill="auto"/>
          </w:tcPr>
          <w:p w14:paraId="314CD47A"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90 (1.3%)</w:t>
            </w:r>
          </w:p>
        </w:tc>
        <w:tc>
          <w:tcPr>
            <w:tcW w:w="2364" w:type="dxa"/>
          </w:tcPr>
          <w:p w14:paraId="6B802BA0"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1.91 (1.48;2.46)</w:t>
            </w:r>
            <w:r w:rsidRPr="00E43722">
              <w:rPr>
                <w:rFonts w:eastAsia="SimSun" w:cs="Arial"/>
                <w:lang w:val="en-US" w:eastAsia="zh-CN"/>
              </w:rPr>
              <w:br/>
              <w:t>p</w:t>
            </w:r>
            <w:r>
              <w:rPr>
                <w:rFonts w:eastAsia="SimSun" w:cs="Arial"/>
                <w:lang w:val="en-US" w:eastAsia="zh-CN"/>
              </w:rPr>
              <w:t xml:space="preserve"> </w:t>
            </w:r>
            <w:r w:rsidRPr="00E43722">
              <w:rPr>
                <w:rFonts w:eastAsia="SimSun" w:cs="Arial"/>
                <w:lang w:val="en-US" w:eastAsia="zh-CN"/>
              </w:rPr>
              <w:t>&lt;</w:t>
            </w:r>
            <w:r>
              <w:rPr>
                <w:rFonts w:eastAsia="SimSun" w:cs="Arial"/>
                <w:lang w:val="en-US" w:eastAsia="zh-CN"/>
              </w:rPr>
              <w:t xml:space="preserve"> </w:t>
            </w:r>
            <w:r w:rsidRPr="00E43722">
              <w:rPr>
                <w:rFonts w:eastAsia="SimSun" w:cs="Arial"/>
                <w:lang w:val="en-US" w:eastAsia="zh-CN"/>
              </w:rPr>
              <w:t>0.00001</w:t>
            </w:r>
          </w:p>
        </w:tc>
      </w:tr>
      <w:tr w:rsidR="00430D86" w:rsidRPr="00EE119B" w14:paraId="6930B4E4" w14:textId="77777777" w:rsidTr="00F24286">
        <w:trPr>
          <w:cantSplit/>
        </w:trPr>
        <w:tc>
          <w:tcPr>
            <w:tcW w:w="3245" w:type="dxa"/>
            <w:shd w:val="clear" w:color="auto" w:fill="auto"/>
          </w:tcPr>
          <w:p w14:paraId="1149FA29" w14:textId="77777777" w:rsidR="00430D86" w:rsidRPr="00E43722" w:rsidRDefault="00430D86" w:rsidP="0043158B">
            <w:pPr>
              <w:numPr>
                <w:ilvl w:val="0"/>
                <w:numId w:val="15"/>
              </w:numPr>
              <w:tabs>
                <w:tab w:val="left" w:pos="567"/>
              </w:tabs>
              <w:spacing w:before="120" w:after="120"/>
              <w:ind w:hanging="198"/>
              <w:rPr>
                <w:rFonts w:cs="Arial"/>
                <w:lang w:val="en-GB" w:eastAsia="en-US"/>
              </w:rPr>
            </w:pPr>
            <w:r w:rsidRPr="00E43722">
              <w:rPr>
                <w:rFonts w:cs="Arial"/>
                <w:lang w:val="en-GB" w:eastAsia="en-US"/>
              </w:rPr>
              <w:t>Without overnight stay</w:t>
            </w:r>
          </w:p>
        </w:tc>
        <w:tc>
          <w:tcPr>
            <w:tcW w:w="2255" w:type="dxa"/>
            <w:shd w:val="clear" w:color="auto" w:fill="auto"/>
          </w:tcPr>
          <w:p w14:paraId="5E0EC112" w14:textId="77777777" w:rsidR="00430D86" w:rsidRPr="00EE119B" w:rsidRDefault="00430D86" w:rsidP="00F24286">
            <w:pPr>
              <w:spacing w:before="120" w:after="120"/>
              <w:jc w:val="center"/>
              <w:rPr>
                <w:rFonts w:eastAsia="SimSun" w:cs="Arial"/>
                <w:lang w:val="en-US" w:eastAsia="zh-CN"/>
              </w:rPr>
            </w:pPr>
            <w:r w:rsidRPr="00EE119B">
              <w:rPr>
                <w:rFonts w:eastAsia="SimSun" w:cs="Arial"/>
                <w:lang w:val="en-US" w:eastAsia="zh-CN"/>
              </w:rPr>
              <w:t>36 (0.5%)</w:t>
            </w:r>
          </w:p>
        </w:tc>
        <w:tc>
          <w:tcPr>
            <w:tcW w:w="1881" w:type="dxa"/>
            <w:shd w:val="clear" w:color="auto" w:fill="auto"/>
          </w:tcPr>
          <w:p w14:paraId="7711C8FF" w14:textId="77777777" w:rsidR="00430D86" w:rsidRPr="00EE119B" w:rsidRDefault="00430D86" w:rsidP="00F24286">
            <w:pPr>
              <w:spacing w:before="120" w:after="120"/>
              <w:jc w:val="center"/>
              <w:rPr>
                <w:rFonts w:eastAsia="SimSun" w:cs="Arial"/>
                <w:lang w:val="en-US" w:eastAsia="zh-CN"/>
              </w:rPr>
            </w:pPr>
            <w:r w:rsidRPr="00EE119B">
              <w:rPr>
                <w:rFonts w:eastAsia="SimSun" w:cs="Arial"/>
                <w:lang w:val="en-US" w:eastAsia="zh-CN"/>
              </w:rPr>
              <w:t>21 (0.3%)</w:t>
            </w:r>
          </w:p>
        </w:tc>
        <w:tc>
          <w:tcPr>
            <w:tcW w:w="2364" w:type="dxa"/>
          </w:tcPr>
          <w:p w14:paraId="0058C957" w14:textId="77777777" w:rsidR="00430D86" w:rsidRPr="00EE119B" w:rsidRDefault="00430D86" w:rsidP="00F24286">
            <w:pPr>
              <w:spacing w:before="120" w:after="120"/>
              <w:jc w:val="center"/>
              <w:rPr>
                <w:rFonts w:eastAsia="SimSun" w:cs="Arial"/>
                <w:lang w:val="en-US" w:eastAsia="zh-CN"/>
              </w:rPr>
            </w:pPr>
            <w:r w:rsidRPr="00EE119B">
              <w:rPr>
                <w:rFonts w:eastAsia="SimSun" w:cs="Arial"/>
                <w:lang w:val="en-US" w:eastAsia="zh-CN"/>
              </w:rPr>
              <w:t>1.70 (0.99;2.92)</w:t>
            </w:r>
            <w:r w:rsidRPr="00EE119B">
              <w:rPr>
                <w:rFonts w:eastAsia="SimSun" w:cs="Arial"/>
                <w:lang w:val="en-US" w:eastAsia="zh-CN"/>
              </w:rPr>
              <w:br/>
              <w:t>p</w:t>
            </w:r>
            <w:r>
              <w:rPr>
                <w:rFonts w:eastAsia="SimSun" w:cs="Arial"/>
                <w:lang w:val="en-US" w:eastAsia="zh-CN"/>
              </w:rPr>
              <w:t xml:space="preserve"> </w:t>
            </w:r>
            <w:r w:rsidRPr="00EE119B">
              <w:rPr>
                <w:rFonts w:eastAsia="SimSun" w:cs="Arial"/>
                <w:lang w:val="en-US" w:eastAsia="zh-CN"/>
              </w:rPr>
              <w:t>=</w:t>
            </w:r>
            <w:r>
              <w:rPr>
                <w:rFonts w:eastAsia="SimSun" w:cs="Arial"/>
                <w:lang w:val="en-US" w:eastAsia="zh-CN"/>
              </w:rPr>
              <w:t xml:space="preserve"> </w:t>
            </w:r>
            <w:r w:rsidRPr="00EE119B">
              <w:rPr>
                <w:rFonts w:eastAsia="SimSun" w:cs="Arial"/>
                <w:lang w:val="en-US" w:eastAsia="zh-CN"/>
              </w:rPr>
              <w:t>0.04983</w:t>
            </w:r>
          </w:p>
        </w:tc>
      </w:tr>
      <w:tr w:rsidR="00430D86" w:rsidRPr="00EE119B" w14:paraId="003B35D9" w14:textId="77777777" w:rsidTr="00F24286">
        <w:trPr>
          <w:cantSplit/>
        </w:trPr>
        <w:tc>
          <w:tcPr>
            <w:tcW w:w="3245" w:type="dxa"/>
            <w:shd w:val="clear" w:color="auto" w:fill="auto"/>
          </w:tcPr>
          <w:p w14:paraId="0C988811" w14:textId="77777777" w:rsidR="00430D86" w:rsidRPr="00E43722" w:rsidRDefault="00430D86" w:rsidP="00F24286">
            <w:pPr>
              <w:keepNext/>
              <w:widowControl w:val="0"/>
              <w:spacing w:after="120"/>
              <w:rPr>
                <w:rFonts w:cs="Arial"/>
                <w:lang w:val="en-GB" w:eastAsia="en-US"/>
              </w:rPr>
            </w:pPr>
            <w:r w:rsidRPr="00E43722">
              <w:rPr>
                <w:rFonts w:cs="Arial"/>
                <w:lang w:val="en-GB" w:eastAsia="en-US"/>
              </w:rPr>
              <w:t>Major gastrointestinal bleeding</w:t>
            </w:r>
          </w:p>
        </w:tc>
        <w:tc>
          <w:tcPr>
            <w:tcW w:w="2255" w:type="dxa"/>
            <w:shd w:val="clear" w:color="auto" w:fill="auto"/>
          </w:tcPr>
          <w:p w14:paraId="52A8B1FE"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140 (2.0%)</w:t>
            </w:r>
          </w:p>
        </w:tc>
        <w:tc>
          <w:tcPr>
            <w:tcW w:w="1881" w:type="dxa"/>
            <w:shd w:val="clear" w:color="auto" w:fill="auto"/>
          </w:tcPr>
          <w:p w14:paraId="2CC1317F"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 xml:space="preserve">65 (1.1%) </w:t>
            </w:r>
          </w:p>
        </w:tc>
        <w:tc>
          <w:tcPr>
            <w:tcW w:w="2364" w:type="dxa"/>
          </w:tcPr>
          <w:p w14:paraId="0A948EE9"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2.15 (1.60;2.89)</w:t>
            </w:r>
            <w:r w:rsidRPr="00E43722">
              <w:rPr>
                <w:rFonts w:eastAsia="SimSun" w:cs="Arial"/>
                <w:lang w:val="en-US" w:eastAsia="zh-CN"/>
              </w:rPr>
              <w:tab/>
            </w:r>
            <w:r w:rsidRPr="00E43722">
              <w:rPr>
                <w:rFonts w:eastAsia="SimSun" w:cs="Arial"/>
                <w:lang w:val="en-US" w:eastAsia="zh-CN"/>
              </w:rPr>
              <w:br/>
            </w:r>
            <w:r w:rsidRPr="00E43722">
              <w:rPr>
                <w:rFonts w:eastAsia="SimSun" w:cs="Arial"/>
                <w:lang w:val="en-GB" w:eastAsia="zh-CN"/>
              </w:rPr>
              <w:t>p</w:t>
            </w:r>
            <w:r>
              <w:rPr>
                <w:rFonts w:eastAsia="SimSun" w:cs="Arial"/>
                <w:lang w:val="en-GB" w:eastAsia="zh-CN"/>
              </w:rPr>
              <w:t xml:space="preserve"> </w:t>
            </w:r>
            <w:r w:rsidRPr="00E43722">
              <w:rPr>
                <w:rFonts w:eastAsia="SimSun" w:cs="Arial"/>
                <w:lang w:val="en-GB" w:eastAsia="zh-CN"/>
              </w:rPr>
              <w:t>&lt;</w:t>
            </w:r>
            <w:r>
              <w:rPr>
                <w:rFonts w:eastAsia="SimSun" w:cs="Arial"/>
                <w:lang w:val="en-GB" w:eastAsia="zh-CN"/>
              </w:rPr>
              <w:t xml:space="preserve"> </w:t>
            </w:r>
            <w:r w:rsidRPr="00E43722">
              <w:rPr>
                <w:rFonts w:eastAsia="SimSun" w:cs="Arial"/>
                <w:lang w:val="en-US" w:eastAsia="zh-CN"/>
              </w:rPr>
              <w:t>0.00001</w:t>
            </w:r>
          </w:p>
        </w:tc>
      </w:tr>
      <w:tr w:rsidR="00430D86" w:rsidRPr="00EE119B" w14:paraId="10836790" w14:textId="77777777" w:rsidTr="00F24286">
        <w:trPr>
          <w:cantSplit/>
        </w:trPr>
        <w:tc>
          <w:tcPr>
            <w:tcW w:w="3245" w:type="dxa"/>
            <w:shd w:val="clear" w:color="auto" w:fill="auto"/>
          </w:tcPr>
          <w:p w14:paraId="7A8D77F5" w14:textId="77777777" w:rsidR="00430D86" w:rsidRPr="00E43722" w:rsidRDefault="00430D86" w:rsidP="00F24286">
            <w:pPr>
              <w:keepNext/>
              <w:widowControl w:val="0"/>
              <w:spacing w:after="120"/>
              <w:rPr>
                <w:rFonts w:cs="Arial"/>
                <w:lang w:val="en-GB" w:eastAsia="en-US"/>
              </w:rPr>
            </w:pPr>
            <w:r w:rsidRPr="00E43722">
              <w:rPr>
                <w:rFonts w:cs="Arial"/>
                <w:lang w:val="en-GB" w:eastAsia="en-US"/>
              </w:rPr>
              <w:t>Major intracranial bleeding</w:t>
            </w:r>
          </w:p>
        </w:tc>
        <w:tc>
          <w:tcPr>
            <w:tcW w:w="2255" w:type="dxa"/>
            <w:shd w:val="clear" w:color="auto" w:fill="auto"/>
          </w:tcPr>
          <w:p w14:paraId="203FDFB4"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28 (0.4%)</w:t>
            </w:r>
            <w:r w:rsidRPr="00E43722" w:rsidDel="00C841EA">
              <w:rPr>
                <w:rFonts w:eastAsia="SimSun" w:cs="Arial"/>
                <w:lang w:val="en-GB" w:eastAsia="zh-CN"/>
              </w:rPr>
              <w:t xml:space="preserve"> </w:t>
            </w:r>
          </w:p>
        </w:tc>
        <w:tc>
          <w:tcPr>
            <w:tcW w:w="1881" w:type="dxa"/>
            <w:shd w:val="clear" w:color="auto" w:fill="auto"/>
          </w:tcPr>
          <w:p w14:paraId="4D75BB41" w14:textId="77777777" w:rsidR="00430D86" w:rsidRPr="00E43722" w:rsidRDefault="00430D86" w:rsidP="00F24286">
            <w:pPr>
              <w:spacing w:before="120" w:after="120"/>
              <w:jc w:val="center"/>
              <w:rPr>
                <w:rFonts w:eastAsia="SimSun" w:cs="Arial"/>
                <w:lang w:val="en-GB" w:eastAsia="zh-CN"/>
              </w:rPr>
            </w:pPr>
            <w:r w:rsidRPr="00E43722">
              <w:rPr>
                <w:rFonts w:eastAsia="SimSun" w:cs="Arial"/>
                <w:lang w:val="en-US" w:eastAsia="zh-CN"/>
              </w:rPr>
              <w:t>24 (0.3%)</w:t>
            </w:r>
          </w:p>
        </w:tc>
        <w:tc>
          <w:tcPr>
            <w:tcW w:w="2364" w:type="dxa"/>
          </w:tcPr>
          <w:p w14:paraId="389D95AA" w14:textId="77777777" w:rsidR="00430D86" w:rsidRPr="00E43722" w:rsidRDefault="00430D86" w:rsidP="00F24286">
            <w:pPr>
              <w:spacing w:before="120" w:after="120"/>
              <w:jc w:val="center"/>
              <w:rPr>
                <w:rFonts w:eastAsia="SimSun" w:cs="Arial"/>
                <w:lang w:val="en-US" w:eastAsia="zh-CN"/>
              </w:rPr>
            </w:pPr>
            <w:r w:rsidRPr="00E43722">
              <w:rPr>
                <w:rFonts w:eastAsia="SimSun" w:cs="Arial"/>
                <w:lang w:val="en-US" w:eastAsia="zh-CN"/>
              </w:rPr>
              <w:t>1.16 (0.67;2.00)</w:t>
            </w:r>
            <w:r w:rsidRPr="00E43722">
              <w:rPr>
                <w:rFonts w:eastAsia="SimSun" w:cs="Arial"/>
                <w:lang w:val="en-US" w:eastAsia="zh-CN"/>
              </w:rPr>
              <w:br/>
            </w:r>
            <w:r w:rsidRPr="00E43722">
              <w:rPr>
                <w:rFonts w:eastAsia="SimSun" w:cs="Arial"/>
                <w:lang w:val="en-GB" w:eastAsia="zh-CN"/>
              </w:rPr>
              <w:t>p</w:t>
            </w:r>
            <w:r>
              <w:rPr>
                <w:rFonts w:eastAsia="SimSun" w:cs="Arial"/>
                <w:lang w:val="en-GB" w:eastAsia="zh-CN"/>
              </w:rPr>
              <w:t xml:space="preserve"> </w:t>
            </w:r>
            <w:r w:rsidRPr="00E43722">
              <w:rPr>
                <w:rFonts w:eastAsia="SimSun" w:cs="Arial"/>
                <w:lang w:val="en-GB" w:eastAsia="zh-CN"/>
              </w:rPr>
              <w:t>=</w:t>
            </w:r>
            <w:r>
              <w:rPr>
                <w:rFonts w:eastAsia="SimSun" w:cs="Arial"/>
                <w:lang w:val="en-GB" w:eastAsia="zh-CN"/>
              </w:rPr>
              <w:t xml:space="preserve"> </w:t>
            </w:r>
            <w:r w:rsidRPr="00E43722">
              <w:rPr>
                <w:rFonts w:eastAsia="SimSun" w:cs="Arial"/>
                <w:lang w:val="en-US" w:eastAsia="zh-CN"/>
              </w:rPr>
              <w:t>0.59858</w:t>
            </w:r>
          </w:p>
        </w:tc>
      </w:tr>
      <w:tr w:rsidR="00430D86" w:rsidRPr="00EE119B" w14:paraId="142BC8EE" w14:textId="77777777" w:rsidTr="00F24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c>
          <w:tcPr>
            <w:tcW w:w="9745" w:type="dxa"/>
            <w:gridSpan w:val="4"/>
            <w:shd w:val="clear" w:color="auto" w:fill="auto"/>
          </w:tcPr>
          <w:p w14:paraId="1C28B9C2" w14:textId="77777777" w:rsidR="00430D86" w:rsidRPr="00E43722" w:rsidRDefault="00430D86" w:rsidP="00F24286">
            <w:pPr>
              <w:keepNext/>
              <w:widowControl w:val="0"/>
              <w:spacing w:line="276" w:lineRule="auto"/>
              <w:ind w:left="360" w:hanging="360"/>
              <w:rPr>
                <w:rFonts w:cs="Arial"/>
                <w:sz w:val="18"/>
                <w:szCs w:val="18"/>
                <w:lang w:val="en-GB" w:eastAsia="en-US"/>
              </w:rPr>
            </w:pPr>
            <w:r w:rsidRPr="00EE119B">
              <w:rPr>
                <w:rFonts w:ascii="Times New Roman" w:hAnsi="Times New Roman"/>
                <w:szCs w:val="22"/>
                <w:lang w:val="en-GB" w:eastAsia="en-US"/>
              </w:rPr>
              <w:t>a</w:t>
            </w:r>
            <w:r w:rsidRPr="00E43722">
              <w:rPr>
                <w:rFonts w:cs="Arial"/>
                <w:sz w:val="18"/>
                <w:szCs w:val="18"/>
                <w:lang w:val="en-GB" w:eastAsia="en-US"/>
              </w:rPr>
              <w:t>)</w:t>
            </w:r>
            <w:r w:rsidRPr="00E43722">
              <w:rPr>
                <w:rFonts w:cs="Arial"/>
                <w:sz w:val="18"/>
                <w:szCs w:val="18"/>
                <w:lang w:val="en-GB" w:eastAsia="en-US"/>
              </w:rPr>
              <w:tab/>
            </w:r>
            <w:r w:rsidRPr="00E43722">
              <w:rPr>
                <w:rFonts w:cs="Arial"/>
                <w:sz w:val="18"/>
                <w:szCs w:val="18"/>
                <w:lang w:val="en-US" w:eastAsia="en-US"/>
              </w:rPr>
              <w:t>intention-to-treat analysis set, primary analyses</w:t>
            </w:r>
            <w:r w:rsidRPr="00E43722" w:rsidDel="007E5B2C">
              <w:rPr>
                <w:rFonts w:cs="Arial"/>
                <w:sz w:val="18"/>
                <w:szCs w:val="18"/>
                <w:lang w:val="en-GB" w:eastAsia="en-US"/>
              </w:rPr>
              <w:t xml:space="preserve"> </w:t>
            </w:r>
          </w:p>
          <w:p w14:paraId="616B1507" w14:textId="77777777" w:rsidR="00430D86" w:rsidRPr="00E43722" w:rsidRDefault="00430D86" w:rsidP="00F24286">
            <w:pPr>
              <w:keepNext/>
              <w:widowControl w:val="0"/>
              <w:ind w:left="360" w:hanging="360"/>
              <w:rPr>
                <w:rFonts w:cs="Arial"/>
                <w:sz w:val="18"/>
                <w:szCs w:val="18"/>
                <w:lang w:val="en-GB" w:eastAsia="en-US"/>
              </w:rPr>
            </w:pPr>
            <w:r w:rsidRPr="00E43722">
              <w:rPr>
                <w:rFonts w:cs="Arial"/>
                <w:sz w:val="18"/>
                <w:szCs w:val="18"/>
                <w:lang w:val="en-GB" w:eastAsia="en-US"/>
              </w:rPr>
              <w:t>b) Cum. Risk: Cumulative incidence risk (Kaplan-Meier estimates) at 30 months</w:t>
            </w:r>
          </w:p>
          <w:p w14:paraId="6412874E" w14:textId="77777777" w:rsidR="00430D86" w:rsidRPr="00EE119B" w:rsidRDefault="00430D86" w:rsidP="00F24286">
            <w:pPr>
              <w:keepNext/>
              <w:widowControl w:val="0"/>
              <w:spacing w:line="276" w:lineRule="auto"/>
              <w:ind w:left="360" w:hanging="360"/>
              <w:rPr>
                <w:rFonts w:cs="Arial"/>
                <w:sz w:val="18"/>
                <w:szCs w:val="18"/>
                <w:lang w:val="en-GB" w:eastAsia="en-US"/>
              </w:rPr>
            </w:pPr>
            <w:r w:rsidRPr="00E43722">
              <w:rPr>
                <w:rFonts w:cs="Arial"/>
                <w:sz w:val="18"/>
                <w:szCs w:val="18"/>
                <w:lang w:val="en-GB" w:eastAsia="en-US"/>
              </w:rPr>
              <w:t>c)</w:t>
            </w:r>
            <w:r w:rsidRPr="00E43722">
              <w:rPr>
                <w:rFonts w:cs="Arial"/>
                <w:sz w:val="18"/>
                <w:szCs w:val="18"/>
                <w:lang w:val="en-GB" w:eastAsia="en-US"/>
              </w:rPr>
              <w:tab/>
              <w:t xml:space="preserve">vs. </w:t>
            </w:r>
            <w:r>
              <w:rPr>
                <w:rFonts w:cs="Arial"/>
                <w:sz w:val="18"/>
                <w:szCs w:val="18"/>
                <w:lang w:val="en-GB" w:eastAsia="en-US"/>
              </w:rPr>
              <w:t>aspirin</w:t>
            </w:r>
            <w:r w:rsidRPr="00E43722">
              <w:rPr>
                <w:rFonts w:cs="Arial"/>
                <w:sz w:val="18"/>
                <w:szCs w:val="18"/>
                <w:lang w:val="en-GB" w:eastAsia="en-US"/>
              </w:rPr>
              <w:t xml:space="preserve"> 100</w:t>
            </w:r>
            <w:r>
              <w:rPr>
                <w:rFonts w:cs="Arial"/>
                <w:sz w:val="18"/>
                <w:szCs w:val="18"/>
                <w:lang w:val="en-GB" w:eastAsia="en-US"/>
              </w:rPr>
              <w:t xml:space="preserve"> </w:t>
            </w:r>
            <w:r w:rsidRPr="00EE119B">
              <w:rPr>
                <w:rFonts w:cs="Arial"/>
                <w:sz w:val="18"/>
                <w:szCs w:val="18"/>
                <w:lang w:val="en-GB" w:eastAsia="en-US"/>
              </w:rPr>
              <w:t>mg; Log-Rank p-value</w:t>
            </w:r>
          </w:p>
          <w:p w14:paraId="35DDAC67" w14:textId="77777777" w:rsidR="00430D86" w:rsidRPr="00EE119B" w:rsidRDefault="00430D86" w:rsidP="00F24286">
            <w:pPr>
              <w:keepNext/>
              <w:widowControl w:val="0"/>
              <w:spacing w:line="276" w:lineRule="auto"/>
              <w:ind w:left="360" w:hanging="360"/>
              <w:rPr>
                <w:rFonts w:ascii="Times New Roman" w:hAnsi="Times New Roman"/>
                <w:szCs w:val="22"/>
                <w:lang w:val="en-GB" w:eastAsia="en-US"/>
              </w:rPr>
            </w:pPr>
            <w:r w:rsidRPr="00EE119B">
              <w:rPr>
                <w:rFonts w:cs="Arial"/>
                <w:sz w:val="18"/>
                <w:szCs w:val="18"/>
                <w:lang w:val="en-GB" w:eastAsia="en-US"/>
              </w:rPr>
              <w:t>bid: twice daily; od: once daily; CI: confidence interval;</w:t>
            </w:r>
          </w:p>
        </w:tc>
      </w:tr>
    </w:tbl>
    <w:p w14:paraId="6EC8204F" w14:textId="77777777" w:rsidR="00430D86" w:rsidRPr="00430D86" w:rsidRDefault="00430D86" w:rsidP="00680889">
      <w:pPr>
        <w:keepNext/>
        <w:rPr>
          <w:rFonts w:cs="Arial"/>
          <w:color w:val="000000"/>
          <w:sz w:val="18"/>
          <w:szCs w:val="18"/>
          <w:lang w:eastAsia="en-US"/>
        </w:rPr>
      </w:pPr>
    </w:p>
    <w:p w14:paraId="0E8C6C57" w14:textId="6E048E13" w:rsidR="00680889" w:rsidRPr="001E0BB9" w:rsidRDefault="001E0BB9" w:rsidP="001E0BB9">
      <w:pPr>
        <w:pStyle w:val="Caption"/>
      </w:pPr>
      <w:bookmarkStart w:id="60" w:name="_Ref501396917"/>
      <w:bookmarkStart w:id="61" w:name="_Ref533154472"/>
      <w:bookmarkStart w:id="62" w:name="_Ref533164636"/>
      <w:r>
        <w:t xml:space="preserve">Table </w:t>
      </w:r>
      <w:r w:rsidR="005833E0">
        <w:fldChar w:fldCharType="begin"/>
      </w:r>
      <w:r w:rsidR="005833E0">
        <w:instrText xml:space="preserve"> SEQ Table \* ARABIC </w:instrText>
      </w:r>
      <w:r w:rsidR="005833E0">
        <w:fldChar w:fldCharType="separate"/>
      </w:r>
      <w:r w:rsidR="00C51DA4">
        <w:rPr>
          <w:noProof/>
        </w:rPr>
        <w:t>23</w:t>
      </w:r>
      <w:r w:rsidR="005833E0">
        <w:rPr>
          <w:noProof/>
        </w:rPr>
        <w:fldChar w:fldCharType="end"/>
      </w:r>
      <w:r>
        <w:t xml:space="preserve"> </w:t>
      </w:r>
      <w:bookmarkEnd w:id="60"/>
      <w:bookmarkEnd w:id="61"/>
      <w:r w:rsidR="00870A72">
        <w:t xml:space="preserve">:  </w:t>
      </w:r>
      <w:r w:rsidR="00680889" w:rsidRPr="00EE119B">
        <w:rPr>
          <w:rFonts w:cs="Arial"/>
          <w:color w:val="000000"/>
          <w:lang w:val="en-GB" w:eastAsia="en-US"/>
        </w:rPr>
        <w:t>Efficac</w:t>
      </w:r>
      <w:r w:rsidR="007D7E75">
        <w:rPr>
          <w:rFonts w:cs="Arial"/>
          <w:color w:val="000000"/>
          <w:lang w:val="en-GB" w:eastAsia="en-US"/>
        </w:rPr>
        <w:t xml:space="preserve">y and safety results from phase </w:t>
      </w:r>
      <w:r w:rsidR="00680889" w:rsidRPr="00EE119B">
        <w:rPr>
          <w:rFonts w:cs="Arial"/>
          <w:color w:val="000000"/>
          <w:lang w:val="en-GB" w:eastAsia="en-US"/>
        </w:rPr>
        <w:t xml:space="preserve">III COMPASS in subpopulation </w:t>
      </w:r>
      <w:r w:rsidR="00870A72">
        <w:rPr>
          <w:rFonts w:cs="Arial"/>
          <w:color w:val="000000"/>
          <w:lang w:val="en-GB" w:eastAsia="en-US"/>
        </w:rPr>
        <w:t xml:space="preserve">with </w:t>
      </w:r>
      <w:r w:rsidR="00A17A35">
        <w:rPr>
          <w:rFonts w:cs="Arial"/>
          <w:color w:val="000000"/>
          <w:lang w:val="en-GB" w:eastAsia="en-US"/>
        </w:rPr>
        <w:t xml:space="preserve">CAD, </w:t>
      </w:r>
      <w:r w:rsidR="00680889" w:rsidRPr="00EE119B">
        <w:rPr>
          <w:rFonts w:cs="Arial"/>
          <w:color w:val="000000"/>
          <w:lang w:val="en-GB" w:eastAsia="en-US"/>
        </w:rPr>
        <w:t>PAD, or both CAD and PAD</w:t>
      </w:r>
      <w:bookmarkEnd w:id="62"/>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1984"/>
        <w:gridCol w:w="2374"/>
      </w:tblGrid>
      <w:tr w:rsidR="00DC0AA0" w:rsidRPr="00EE119B" w14:paraId="21AB61AA" w14:textId="77777777" w:rsidTr="00D41761">
        <w:trPr>
          <w:tblHeader/>
        </w:trPr>
        <w:tc>
          <w:tcPr>
            <w:tcW w:w="2977" w:type="dxa"/>
            <w:shd w:val="clear" w:color="auto" w:fill="D9D9D9" w:themeFill="background1" w:themeFillShade="D9"/>
          </w:tcPr>
          <w:p w14:paraId="3BB9AD4E" w14:textId="77777777" w:rsidR="00DC0AA0" w:rsidRPr="00EE119B" w:rsidRDefault="000729F7" w:rsidP="007F136E">
            <w:pPr>
              <w:keepNext/>
              <w:widowControl w:val="0"/>
              <w:spacing w:after="120"/>
              <w:rPr>
                <w:rFonts w:cs="Arial"/>
                <w:b/>
                <w:lang w:val="en-GB" w:eastAsia="en-US"/>
              </w:rPr>
            </w:pPr>
            <w:r w:rsidRPr="00EE119B">
              <w:rPr>
                <w:rFonts w:cs="Arial"/>
                <w:b/>
                <w:lang w:val="en-GB" w:eastAsia="en-US"/>
              </w:rPr>
              <w:t>Study Population</w:t>
            </w:r>
          </w:p>
        </w:tc>
        <w:tc>
          <w:tcPr>
            <w:tcW w:w="6768" w:type="dxa"/>
            <w:gridSpan w:val="3"/>
            <w:shd w:val="clear" w:color="auto" w:fill="D9D9D9" w:themeFill="background1" w:themeFillShade="D9"/>
          </w:tcPr>
          <w:p w14:paraId="5D3A53BD" w14:textId="77777777" w:rsidR="00DC0AA0" w:rsidRPr="00EE119B" w:rsidRDefault="000729F7" w:rsidP="007F136E">
            <w:pPr>
              <w:rPr>
                <w:rFonts w:cs="Arial"/>
                <w:b/>
                <w:lang w:val="en-GB" w:eastAsia="en-US"/>
              </w:rPr>
            </w:pPr>
            <w:r w:rsidRPr="00EE119B">
              <w:rPr>
                <w:rFonts w:cs="Arial"/>
                <w:b/>
                <w:lang w:val="en-GB" w:eastAsia="en-US"/>
              </w:rPr>
              <w:t xml:space="preserve">Patients with CAD </w:t>
            </w:r>
            <w:r>
              <w:rPr>
                <w:rFonts w:cs="Arial"/>
                <w:b/>
                <w:lang w:val="en-GB" w:eastAsia="en-US"/>
              </w:rPr>
              <w:t>and/</w:t>
            </w:r>
            <w:r w:rsidRPr="00EE119B">
              <w:rPr>
                <w:rFonts w:cs="Arial"/>
                <w:b/>
                <w:lang w:val="en-GB" w:eastAsia="en-US"/>
              </w:rPr>
              <w:t>or PAD by subgroups </w:t>
            </w:r>
            <w:r w:rsidRPr="00EE119B">
              <w:rPr>
                <w:rFonts w:cs="Arial"/>
                <w:b/>
                <w:vertAlign w:val="superscript"/>
                <w:lang w:val="en-GB" w:eastAsia="en-US"/>
              </w:rPr>
              <w:t>a)</w:t>
            </w:r>
          </w:p>
        </w:tc>
      </w:tr>
      <w:tr w:rsidR="00DC0AA0" w:rsidRPr="00EE119B" w14:paraId="577E76D4" w14:textId="77777777" w:rsidTr="00D41761">
        <w:trPr>
          <w:tblHeader/>
        </w:trPr>
        <w:tc>
          <w:tcPr>
            <w:tcW w:w="2977" w:type="dxa"/>
            <w:shd w:val="clear" w:color="auto" w:fill="D9D9D9" w:themeFill="background1" w:themeFillShade="D9"/>
          </w:tcPr>
          <w:p w14:paraId="46CE6EBB" w14:textId="77777777" w:rsidR="000729F7" w:rsidRPr="00EE119B" w:rsidRDefault="000729F7" w:rsidP="000729F7">
            <w:pPr>
              <w:keepNext/>
              <w:widowControl w:val="0"/>
              <w:spacing w:after="120"/>
              <w:rPr>
                <w:rFonts w:cs="Arial"/>
                <w:b/>
                <w:lang w:val="en-GB" w:eastAsia="en-US"/>
              </w:rPr>
            </w:pPr>
            <w:r w:rsidRPr="00EE119B">
              <w:rPr>
                <w:rFonts w:cs="Arial"/>
                <w:b/>
                <w:lang w:val="en-GB" w:eastAsia="en-US"/>
              </w:rPr>
              <w:t>Treatment Dosage</w:t>
            </w:r>
          </w:p>
          <w:p w14:paraId="787AC9B5" w14:textId="77777777" w:rsidR="00DC0AA0" w:rsidRPr="00EE119B" w:rsidRDefault="00DC0AA0" w:rsidP="000729F7">
            <w:pPr>
              <w:keepNext/>
              <w:widowControl w:val="0"/>
              <w:spacing w:after="120"/>
              <w:rPr>
                <w:rFonts w:cs="Arial"/>
                <w:b/>
                <w:lang w:val="en-GB" w:eastAsia="en-US"/>
              </w:rPr>
            </w:pPr>
          </w:p>
        </w:tc>
        <w:tc>
          <w:tcPr>
            <w:tcW w:w="2410" w:type="dxa"/>
            <w:shd w:val="clear" w:color="auto" w:fill="D9D9D9" w:themeFill="background1" w:themeFillShade="D9"/>
          </w:tcPr>
          <w:p w14:paraId="1999136D" w14:textId="77777777" w:rsidR="00DC0AA0" w:rsidRPr="00EE119B" w:rsidRDefault="000729F7" w:rsidP="007F136E">
            <w:pPr>
              <w:autoSpaceDE w:val="0"/>
              <w:rPr>
                <w:rFonts w:cs="Arial"/>
                <w:b/>
                <w:lang w:val="en-GB" w:eastAsia="en-US"/>
              </w:rPr>
            </w:pPr>
            <w:r>
              <w:rPr>
                <w:rFonts w:cs="Arial"/>
                <w:b/>
                <w:lang w:val="en-GB" w:eastAsia="en-US"/>
              </w:rPr>
              <w:t>XARELTO</w:t>
            </w:r>
            <w:r w:rsidRPr="00EE119B">
              <w:rPr>
                <w:rFonts w:cs="Arial"/>
                <w:b/>
                <w:lang w:val="en-GB" w:eastAsia="en-US"/>
              </w:rPr>
              <w:t xml:space="preserve"> 2.5</w:t>
            </w:r>
            <w:r>
              <w:rPr>
                <w:rFonts w:cs="Arial"/>
                <w:b/>
                <w:lang w:val="en-GB" w:eastAsia="en-US"/>
              </w:rPr>
              <w:t xml:space="preserve"> </w:t>
            </w:r>
            <w:r w:rsidRPr="00EE119B">
              <w:rPr>
                <w:rFonts w:cs="Arial"/>
                <w:b/>
                <w:lang w:val="en-GB" w:eastAsia="en-US"/>
              </w:rPr>
              <w:t xml:space="preserve">mg bid in combination with </w:t>
            </w:r>
            <w:r>
              <w:rPr>
                <w:rFonts w:cs="Arial"/>
                <w:b/>
                <w:lang w:val="en-GB" w:eastAsia="en-US"/>
              </w:rPr>
              <w:t>aspirin</w:t>
            </w:r>
            <w:r w:rsidRPr="00EE119B">
              <w:rPr>
                <w:rFonts w:cs="Arial"/>
                <w:b/>
                <w:lang w:val="en-GB" w:eastAsia="en-US"/>
              </w:rPr>
              <w:t xml:space="preserve"> 100</w:t>
            </w:r>
            <w:r>
              <w:rPr>
                <w:rFonts w:cs="Arial"/>
                <w:b/>
                <w:lang w:val="en-GB" w:eastAsia="en-US"/>
              </w:rPr>
              <w:t xml:space="preserve"> </w:t>
            </w:r>
            <w:r w:rsidRPr="00EE119B">
              <w:rPr>
                <w:rFonts w:cs="Arial"/>
                <w:b/>
                <w:lang w:val="en-GB" w:eastAsia="en-US"/>
              </w:rPr>
              <w:t>mg od, N=9152</w:t>
            </w:r>
            <w:r w:rsidRPr="00EE119B">
              <w:rPr>
                <w:rFonts w:cs="Arial"/>
                <w:b/>
                <w:lang w:val="en-GB" w:eastAsia="en-US"/>
              </w:rPr>
              <w:br/>
              <w:t>n</w:t>
            </w:r>
            <w:r>
              <w:rPr>
                <w:rFonts w:cs="Arial"/>
                <w:b/>
                <w:lang w:val="en-GB" w:eastAsia="en-US"/>
              </w:rPr>
              <w:t xml:space="preserve"> </w:t>
            </w:r>
            <w:r w:rsidRPr="00EE119B">
              <w:rPr>
                <w:rFonts w:cs="Arial"/>
                <w:b/>
                <w:lang w:val="en-GB" w:eastAsia="en-US"/>
              </w:rPr>
              <w:t>(</w:t>
            </w:r>
            <w:r w:rsidRPr="00EE119B">
              <w:rPr>
                <w:rFonts w:cs="Arial"/>
                <w:b/>
                <w:lang w:val="en-US" w:eastAsia="en-US"/>
              </w:rPr>
              <w:t>Cum. risk %</w:t>
            </w:r>
            <w:r w:rsidRPr="00EE119B">
              <w:rPr>
                <w:rFonts w:cs="Arial"/>
                <w:b/>
                <w:lang w:val="en-GB" w:eastAsia="en-US"/>
              </w:rPr>
              <w:t>)</w:t>
            </w:r>
            <w:r w:rsidRPr="00EE119B">
              <w:rPr>
                <w:rFonts w:cs="Arial"/>
                <w:b/>
                <w:vertAlign w:val="superscript"/>
                <w:lang w:val="en-GB" w:eastAsia="en-US"/>
              </w:rPr>
              <w:t>b)</w:t>
            </w:r>
          </w:p>
        </w:tc>
        <w:tc>
          <w:tcPr>
            <w:tcW w:w="1984" w:type="dxa"/>
            <w:shd w:val="clear" w:color="auto" w:fill="D9D9D9" w:themeFill="background1" w:themeFillShade="D9"/>
          </w:tcPr>
          <w:p w14:paraId="208AFB04" w14:textId="77777777" w:rsidR="00DC0AA0" w:rsidRPr="00EE119B" w:rsidRDefault="000729F7" w:rsidP="007F136E">
            <w:pPr>
              <w:rPr>
                <w:rFonts w:cs="Arial"/>
                <w:b/>
                <w:lang w:val="en-GB" w:eastAsia="en-US"/>
              </w:rPr>
            </w:pPr>
            <w:r>
              <w:rPr>
                <w:rFonts w:cs="Arial"/>
                <w:b/>
                <w:lang w:val="en-GB" w:eastAsia="en-US"/>
              </w:rPr>
              <w:t>aspirin</w:t>
            </w:r>
            <w:r w:rsidRPr="00EE119B">
              <w:rPr>
                <w:rFonts w:cs="Arial"/>
                <w:b/>
                <w:lang w:val="en-GB" w:eastAsia="en-US"/>
              </w:rPr>
              <w:t xml:space="preserve"> 100 mg od</w:t>
            </w:r>
            <w:r w:rsidRPr="00EE119B">
              <w:rPr>
                <w:rFonts w:cs="Arial"/>
                <w:b/>
                <w:lang w:val="en-GB" w:eastAsia="en-US"/>
              </w:rPr>
              <w:br/>
              <w:t>N=9126</w:t>
            </w:r>
            <w:r w:rsidRPr="00EE119B">
              <w:rPr>
                <w:rFonts w:cs="Arial"/>
                <w:b/>
                <w:lang w:val="en-GB" w:eastAsia="en-US"/>
              </w:rPr>
              <w:br/>
            </w:r>
            <w:r w:rsidRPr="00EE119B">
              <w:rPr>
                <w:rFonts w:cs="Arial"/>
                <w:b/>
                <w:lang w:val="en-GB" w:eastAsia="en-US"/>
              </w:rPr>
              <w:br/>
              <w:t>n</w:t>
            </w:r>
            <w:r>
              <w:rPr>
                <w:rFonts w:cs="Arial"/>
                <w:b/>
                <w:lang w:val="en-GB" w:eastAsia="en-US"/>
              </w:rPr>
              <w:t xml:space="preserve"> </w:t>
            </w:r>
            <w:r w:rsidRPr="00EE119B">
              <w:rPr>
                <w:rFonts w:cs="Arial"/>
                <w:b/>
                <w:lang w:val="en-GB" w:eastAsia="en-US"/>
              </w:rPr>
              <w:t>(</w:t>
            </w:r>
            <w:r w:rsidRPr="00EE119B">
              <w:rPr>
                <w:rFonts w:cs="Arial"/>
                <w:b/>
                <w:lang w:val="en-US" w:eastAsia="en-US"/>
              </w:rPr>
              <w:t>Cum. risk %</w:t>
            </w:r>
            <w:r w:rsidRPr="00EE119B">
              <w:rPr>
                <w:rFonts w:cs="Arial"/>
                <w:b/>
                <w:lang w:val="en-GB" w:eastAsia="en-US"/>
              </w:rPr>
              <w:t>)</w:t>
            </w:r>
            <w:r w:rsidRPr="00EE119B">
              <w:rPr>
                <w:rFonts w:cs="Arial"/>
                <w:b/>
                <w:vertAlign w:val="superscript"/>
                <w:lang w:val="en-GB" w:eastAsia="en-US"/>
              </w:rPr>
              <w:t>b)</w:t>
            </w:r>
          </w:p>
        </w:tc>
        <w:tc>
          <w:tcPr>
            <w:tcW w:w="2374" w:type="dxa"/>
            <w:shd w:val="clear" w:color="auto" w:fill="D9D9D9" w:themeFill="background1" w:themeFillShade="D9"/>
          </w:tcPr>
          <w:p w14:paraId="0ECC87B2" w14:textId="77777777" w:rsidR="00DC0AA0" w:rsidRPr="00EE119B" w:rsidRDefault="000729F7" w:rsidP="007F136E">
            <w:pPr>
              <w:rPr>
                <w:rFonts w:cs="Arial"/>
                <w:b/>
                <w:lang w:val="en-GB" w:eastAsia="en-US"/>
              </w:rPr>
            </w:pPr>
            <w:r w:rsidRPr="00EE119B">
              <w:rPr>
                <w:rFonts w:cs="Arial"/>
                <w:b/>
                <w:lang w:val="en-GB" w:eastAsia="en-US"/>
              </w:rPr>
              <w:t xml:space="preserve">Hazard Ratio </w:t>
            </w:r>
            <w:r w:rsidRPr="00EE119B">
              <w:rPr>
                <w:rFonts w:cs="Arial"/>
                <w:b/>
                <w:lang w:val="en-GB" w:eastAsia="en-US"/>
              </w:rPr>
              <w:br/>
              <w:t>(95% CI)</w:t>
            </w:r>
            <w:r w:rsidRPr="00EE119B">
              <w:rPr>
                <w:rFonts w:cs="Arial"/>
                <w:b/>
                <w:lang w:val="en-GB" w:eastAsia="en-US"/>
              </w:rPr>
              <w:br/>
              <w:t>p-value </w:t>
            </w:r>
            <w:r w:rsidRPr="00EE119B">
              <w:rPr>
                <w:rFonts w:cs="Arial"/>
                <w:b/>
                <w:vertAlign w:val="superscript"/>
                <w:lang w:val="en-GB" w:eastAsia="en-US"/>
              </w:rPr>
              <w:t>c)</w:t>
            </w:r>
          </w:p>
        </w:tc>
      </w:tr>
      <w:tr w:rsidR="00DC0AA0" w:rsidRPr="00EE119B" w14:paraId="48DC5ABD" w14:textId="77777777" w:rsidTr="007F136E">
        <w:tc>
          <w:tcPr>
            <w:tcW w:w="2977" w:type="dxa"/>
            <w:shd w:val="clear" w:color="auto" w:fill="auto"/>
          </w:tcPr>
          <w:p w14:paraId="29A18194" w14:textId="77777777" w:rsidR="00DC0AA0" w:rsidRPr="00E43722" w:rsidRDefault="000729F7" w:rsidP="007F136E">
            <w:pPr>
              <w:spacing w:before="120" w:after="120"/>
              <w:rPr>
                <w:rFonts w:eastAsia="SimSun" w:cs="Arial"/>
                <w:b/>
                <w:lang w:val="en-GB" w:eastAsia="zh-CN"/>
              </w:rPr>
            </w:pPr>
            <w:r w:rsidRPr="00624597">
              <w:rPr>
                <w:rFonts w:eastAsia="SimSun" w:cs="Arial"/>
                <w:b/>
                <w:lang w:val="en-GB" w:eastAsia="zh-CN"/>
              </w:rPr>
              <w:t>Patients with CAD</w:t>
            </w:r>
          </w:p>
        </w:tc>
        <w:tc>
          <w:tcPr>
            <w:tcW w:w="2410" w:type="dxa"/>
            <w:shd w:val="clear" w:color="auto" w:fill="auto"/>
          </w:tcPr>
          <w:p w14:paraId="33F4C715" w14:textId="77777777" w:rsidR="00DC0AA0" w:rsidRPr="00E43722" w:rsidRDefault="00DC0AA0" w:rsidP="000729F7">
            <w:pPr>
              <w:tabs>
                <w:tab w:val="left" w:pos="380"/>
              </w:tabs>
              <w:spacing w:before="120" w:after="120"/>
              <w:rPr>
                <w:rFonts w:eastAsia="SimSun" w:cs="Arial"/>
                <w:b/>
                <w:lang w:val="en-GB" w:eastAsia="zh-CN"/>
              </w:rPr>
            </w:pPr>
            <w:r>
              <w:rPr>
                <w:rFonts w:eastAsia="SimSun" w:cs="Arial"/>
                <w:b/>
                <w:lang w:val="en-GB" w:eastAsia="zh-CN"/>
              </w:rPr>
              <w:tab/>
            </w:r>
            <w:r w:rsidRPr="00624597">
              <w:rPr>
                <w:rFonts w:eastAsia="SimSun" w:cs="Arial"/>
                <w:b/>
                <w:lang w:val="en-GB" w:eastAsia="zh-CN"/>
              </w:rPr>
              <w:t xml:space="preserve"> </w:t>
            </w:r>
            <w:r w:rsidR="000729F7" w:rsidRPr="00624597">
              <w:rPr>
                <w:rFonts w:eastAsia="SimSun" w:cs="Arial"/>
                <w:b/>
                <w:lang w:val="en-GB" w:eastAsia="zh-CN"/>
              </w:rPr>
              <w:t>N=8313</w:t>
            </w:r>
            <w:r w:rsidR="00F76CE9" w:rsidRPr="00F76CE9">
              <w:rPr>
                <w:rFonts w:eastAsia="SimSun" w:cs="Arial"/>
                <w:b/>
                <w:vertAlign w:val="superscript"/>
                <w:lang w:val="en-GB" w:eastAsia="zh-CN"/>
              </w:rPr>
              <w:t>d</w:t>
            </w:r>
            <w:r w:rsidR="00F76CE9">
              <w:rPr>
                <w:rFonts w:eastAsia="SimSun" w:cs="Arial"/>
                <w:b/>
                <w:vertAlign w:val="superscript"/>
                <w:lang w:val="en-GB" w:eastAsia="zh-CN"/>
              </w:rPr>
              <w:t>)</w:t>
            </w:r>
          </w:p>
        </w:tc>
        <w:tc>
          <w:tcPr>
            <w:tcW w:w="1984" w:type="dxa"/>
            <w:shd w:val="clear" w:color="auto" w:fill="auto"/>
          </w:tcPr>
          <w:p w14:paraId="508652EF" w14:textId="77777777" w:rsidR="00DC0AA0" w:rsidRPr="00E43722" w:rsidRDefault="000729F7" w:rsidP="0076435D">
            <w:pPr>
              <w:spacing w:before="120" w:after="120"/>
              <w:jc w:val="center"/>
              <w:rPr>
                <w:rFonts w:eastAsia="SimSun" w:cs="Arial"/>
                <w:b/>
                <w:lang w:val="en-GB" w:eastAsia="zh-CN"/>
              </w:rPr>
            </w:pPr>
            <w:r w:rsidRPr="00624597">
              <w:rPr>
                <w:rFonts w:eastAsia="SimSun" w:cs="Arial"/>
                <w:b/>
                <w:lang w:val="en-GB" w:eastAsia="zh-CN"/>
              </w:rPr>
              <w:t>N=8261</w:t>
            </w:r>
            <w:r w:rsidR="00F76CE9" w:rsidRPr="00F76CE9">
              <w:rPr>
                <w:rFonts w:eastAsia="SimSun" w:cs="Arial"/>
                <w:b/>
                <w:vertAlign w:val="superscript"/>
                <w:lang w:val="en-GB" w:eastAsia="zh-CN"/>
              </w:rPr>
              <w:t>d</w:t>
            </w:r>
            <w:r w:rsidR="00F76CE9">
              <w:rPr>
                <w:rFonts w:eastAsia="SimSun" w:cs="Arial"/>
                <w:b/>
                <w:vertAlign w:val="superscript"/>
                <w:lang w:val="en-GB" w:eastAsia="zh-CN"/>
              </w:rPr>
              <w:t>)</w:t>
            </w:r>
          </w:p>
        </w:tc>
        <w:tc>
          <w:tcPr>
            <w:tcW w:w="2374" w:type="dxa"/>
          </w:tcPr>
          <w:p w14:paraId="4C2880A7" w14:textId="77777777" w:rsidR="00DC0AA0" w:rsidRPr="00E43722" w:rsidRDefault="00DC0AA0" w:rsidP="007F136E">
            <w:pPr>
              <w:spacing w:before="120" w:after="120"/>
              <w:jc w:val="center"/>
              <w:rPr>
                <w:rFonts w:eastAsia="SimSun" w:cs="Arial"/>
                <w:b/>
                <w:lang w:val="en-GB" w:eastAsia="zh-CN"/>
              </w:rPr>
            </w:pPr>
          </w:p>
        </w:tc>
      </w:tr>
      <w:tr w:rsidR="00DC0AA0" w:rsidRPr="00EE119B" w14:paraId="551532FD" w14:textId="77777777" w:rsidTr="007F136E">
        <w:tc>
          <w:tcPr>
            <w:tcW w:w="2977" w:type="dxa"/>
            <w:shd w:val="clear" w:color="auto" w:fill="auto"/>
          </w:tcPr>
          <w:p w14:paraId="4891D6DB" w14:textId="77777777" w:rsidR="00DC0AA0" w:rsidRPr="000729F7" w:rsidRDefault="000729F7" w:rsidP="007F136E">
            <w:pPr>
              <w:spacing w:before="120" w:after="120"/>
              <w:rPr>
                <w:rFonts w:eastAsia="SimSun" w:cs="Arial"/>
                <w:lang w:val="en-GB" w:eastAsia="zh-CN"/>
              </w:rPr>
            </w:pPr>
            <w:r w:rsidRPr="000729F7">
              <w:rPr>
                <w:rFonts w:eastAsia="SimSun" w:cs="Arial"/>
                <w:color w:val="002060"/>
                <w:lang w:val="en-GB" w:eastAsia="zh-CN"/>
              </w:rPr>
              <w:t>Stroke, MI, or CV death</w:t>
            </w:r>
          </w:p>
        </w:tc>
        <w:tc>
          <w:tcPr>
            <w:tcW w:w="2410" w:type="dxa"/>
            <w:shd w:val="clear" w:color="auto" w:fill="auto"/>
          </w:tcPr>
          <w:p w14:paraId="1DEC735E" w14:textId="77777777" w:rsidR="00DC0AA0" w:rsidRPr="00624597" w:rsidRDefault="008E7159" w:rsidP="007A66AD">
            <w:pPr>
              <w:spacing w:before="120" w:after="120"/>
              <w:jc w:val="center"/>
              <w:rPr>
                <w:rFonts w:eastAsia="SimSun" w:cs="Arial"/>
                <w:lang w:val="en-GB" w:eastAsia="zh-CN"/>
              </w:rPr>
            </w:pPr>
            <w:r w:rsidRPr="008E7159">
              <w:rPr>
                <w:rFonts w:eastAsia="SimSun" w:cs="Arial"/>
                <w:lang w:val="en-GB" w:eastAsia="zh-CN"/>
              </w:rPr>
              <w:t>347 (5.2%)</w:t>
            </w:r>
          </w:p>
        </w:tc>
        <w:tc>
          <w:tcPr>
            <w:tcW w:w="1984" w:type="dxa"/>
            <w:shd w:val="clear" w:color="auto" w:fill="auto"/>
          </w:tcPr>
          <w:p w14:paraId="13128E87" w14:textId="77777777" w:rsidR="00DC0AA0" w:rsidRPr="00624597" w:rsidRDefault="008E7159" w:rsidP="003F5E3B">
            <w:pPr>
              <w:spacing w:before="120" w:after="120"/>
              <w:jc w:val="center"/>
              <w:rPr>
                <w:rFonts w:eastAsia="SimSun" w:cs="Arial"/>
                <w:lang w:val="en-GB" w:eastAsia="zh-CN"/>
              </w:rPr>
            </w:pPr>
            <w:r w:rsidRPr="00624597">
              <w:rPr>
                <w:rFonts w:eastAsia="SimSun" w:cs="Arial"/>
                <w:lang w:val="en-GB" w:eastAsia="zh-CN"/>
              </w:rPr>
              <w:t>460 (7.3%)</w:t>
            </w:r>
          </w:p>
        </w:tc>
        <w:tc>
          <w:tcPr>
            <w:tcW w:w="2374" w:type="dxa"/>
          </w:tcPr>
          <w:p w14:paraId="49F29F6B" w14:textId="77777777" w:rsidR="008E7159" w:rsidRPr="00624597" w:rsidRDefault="008E7159" w:rsidP="008E7159">
            <w:pPr>
              <w:spacing w:before="120" w:after="120"/>
              <w:jc w:val="center"/>
              <w:rPr>
                <w:rFonts w:eastAsia="SimSun" w:cs="Arial"/>
                <w:lang w:val="en-GB" w:eastAsia="zh-CN"/>
              </w:rPr>
            </w:pPr>
            <w:r w:rsidRPr="00624597">
              <w:rPr>
                <w:rFonts w:eastAsia="SimSun" w:cs="Arial"/>
                <w:lang w:val="en-GB" w:eastAsia="zh-CN"/>
              </w:rPr>
              <w:t>0.74 (0.65;0.86)</w:t>
            </w:r>
          </w:p>
          <w:p w14:paraId="7BDAA58F" w14:textId="77777777" w:rsidR="00DC0AA0" w:rsidRDefault="008E7159" w:rsidP="008E7159">
            <w:pPr>
              <w:spacing w:before="120" w:after="120"/>
              <w:jc w:val="center"/>
              <w:rPr>
                <w:rFonts w:eastAsia="SimSun" w:cs="Arial"/>
                <w:lang w:val="en-GB" w:eastAsia="zh-CN"/>
              </w:rPr>
            </w:pPr>
            <w:r w:rsidRPr="00624597">
              <w:rPr>
                <w:rFonts w:eastAsia="SimSun" w:cs="Arial"/>
                <w:lang w:val="en-GB" w:eastAsia="zh-CN"/>
              </w:rPr>
              <w:t>p = 0.00003</w:t>
            </w:r>
          </w:p>
          <w:p w14:paraId="0E0E490D" w14:textId="77777777" w:rsidR="00D41761" w:rsidRPr="00624597" w:rsidRDefault="00D41761" w:rsidP="008E7159">
            <w:pPr>
              <w:spacing w:before="120" w:after="120"/>
              <w:jc w:val="center"/>
              <w:rPr>
                <w:rFonts w:eastAsia="SimSun" w:cs="Arial"/>
                <w:lang w:val="en-GB" w:eastAsia="zh-CN"/>
              </w:rPr>
            </w:pPr>
          </w:p>
        </w:tc>
      </w:tr>
      <w:tr w:rsidR="00DC0AA0" w:rsidRPr="00EE119B" w14:paraId="64465279" w14:textId="77777777" w:rsidTr="007F136E">
        <w:tc>
          <w:tcPr>
            <w:tcW w:w="2977" w:type="dxa"/>
            <w:shd w:val="clear" w:color="auto" w:fill="auto"/>
          </w:tcPr>
          <w:p w14:paraId="295207C0" w14:textId="77777777" w:rsidR="000729F7" w:rsidRPr="000729F7" w:rsidRDefault="000729F7" w:rsidP="000729F7">
            <w:pPr>
              <w:spacing w:before="120" w:after="120"/>
              <w:rPr>
                <w:rFonts w:eastAsia="SimSun" w:cs="Arial"/>
                <w:lang w:val="en-GB" w:eastAsia="zh-CN"/>
              </w:rPr>
            </w:pPr>
            <w:r w:rsidRPr="000729F7">
              <w:rPr>
                <w:rFonts w:eastAsia="SimSun" w:cs="Arial"/>
                <w:lang w:val="en-GB" w:eastAsia="zh-CN"/>
              </w:rPr>
              <w:lastRenderedPageBreak/>
              <w:t>Modified ISTH major</w:t>
            </w:r>
          </w:p>
          <w:p w14:paraId="4B00238C" w14:textId="77777777" w:rsidR="00DC0AA0" w:rsidRPr="000729F7" w:rsidRDefault="000729F7" w:rsidP="000729F7">
            <w:pPr>
              <w:spacing w:before="120" w:after="120"/>
              <w:rPr>
                <w:rFonts w:eastAsia="SimSun" w:cs="Arial"/>
                <w:lang w:val="en-GB" w:eastAsia="zh-CN"/>
              </w:rPr>
            </w:pPr>
            <w:r w:rsidRPr="000729F7">
              <w:rPr>
                <w:rFonts w:eastAsia="SimSun" w:cs="Arial"/>
                <w:lang w:val="en-GB" w:eastAsia="zh-CN"/>
              </w:rPr>
              <w:t>bleeding</w:t>
            </w:r>
          </w:p>
        </w:tc>
        <w:tc>
          <w:tcPr>
            <w:tcW w:w="2410" w:type="dxa"/>
            <w:shd w:val="clear" w:color="auto" w:fill="auto"/>
          </w:tcPr>
          <w:p w14:paraId="5F6080AF" w14:textId="77777777" w:rsidR="00DC0AA0" w:rsidRPr="00624597" w:rsidRDefault="008E7159" w:rsidP="0076435D">
            <w:pPr>
              <w:spacing w:before="120" w:after="120"/>
              <w:jc w:val="center"/>
              <w:rPr>
                <w:rFonts w:eastAsia="SimSun" w:cs="Arial"/>
                <w:lang w:val="en-GB" w:eastAsia="zh-CN"/>
              </w:rPr>
            </w:pPr>
            <w:r w:rsidRPr="00624597">
              <w:rPr>
                <w:rFonts w:eastAsia="SimSun" w:cs="Arial"/>
                <w:lang w:val="en-GB" w:eastAsia="zh-CN"/>
              </w:rPr>
              <w:t>263 (</w:t>
            </w:r>
            <w:r>
              <w:rPr>
                <w:rFonts w:eastAsia="SimSun" w:cs="Arial"/>
                <w:lang w:val="en-GB" w:eastAsia="zh-CN"/>
              </w:rPr>
              <w:t>4.0</w:t>
            </w:r>
            <w:r w:rsidRPr="00624597">
              <w:rPr>
                <w:rFonts w:eastAsia="SimSun" w:cs="Arial"/>
                <w:lang w:val="en-GB" w:eastAsia="zh-CN"/>
              </w:rPr>
              <w:t>%)</w:t>
            </w:r>
          </w:p>
        </w:tc>
        <w:tc>
          <w:tcPr>
            <w:tcW w:w="1984" w:type="dxa"/>
            <w:shd w:val="clear" w:color="auto" w:fill="auto"/>
          </w:tcPr>
          <w:p w14:paraId="143596B7" w14:textId="77777777" w:rsidR="00DC0AA0" w:rsidRPr="00624597" w:rsidRDefault="008E7159" w:rsidP="0076435D">
            <w:pPr>
              <w:spacing w:before="120" w:after="120"/>
              <w:jc w:val="center"/>
              <w:rPr>
                <w:rFonts w:eastAsia="SimSun" w:cs="Arial"/>
                <w:lang w:val="en-GB" w:eastAsia="zh-CN"/>
              </w:rPr>
            </w:pPr>
            <w:r w:rsidRPr="00624597">
              <w:rPr>
                <w:rFonts w:eastAsia="SimSun" w:cs="Arial"/>
                <w:lang w:val="en-GB" w:eastAsia="zh-CN"/>
              </w:rPr>
              <w:t>158 (</w:t>
            </w:r>
            <w:r>
              <w:rPr>
                <w:rFonts w:eastAsia="SimSun" w:cs="Arial"/>
                <w:lang w:val="en-GB" w:eastAsia="zh-CN"/>
              </w:rPr>
              <w:t>2.5</w:t>
            </w:r>
            <w:r w:rsidRPr="00624597">
              <w:rPr>
                <w:rFonts w:eastAsia="SimSun" w:cs="Arial"/>
                <w:lang w:val="en-GB" w:eastAsia="zh-CN"/>
              </w:rPr>
              <w:t>%)</w:t>
            </w:r>
          </w:p>
        </w:tc>
        <w:tc>
          <w:tcPr>
            <w:tcW w:w="2374" w:type="dxa"/>
          </w:tcPr>
          <w:p w14:paraId="66E3957D" w14:textId="77777777" w:rsidR="008E7159" w:rsidRPr="00624597" w:rsidRDefault="008E7159" w:rsidP="008E7159">
            <w:pPr>
              <w:spacing w:before="120" w:after="120"/>
              <w:jc w:val="center"/>
              <w:rPr>
                <w:rFonts w:eastAsia="SimSun" w:cs="Arial"/>
                <w:lang w:val="en-GB" w:eastAsia="zh-CN"/>
              </w:rPr>
            </w:pPr>
            <w:r w:rsidRPr="00624597">
              <w:rPr>
                <w:rFonts w:eastAsia="SimSun" w:cs="Arial"/>
                <w:lang w:val="en-GB" w:eastAsia="zh-CN"/>
              </w:rPr>
              <w:t>1.66 (1.37;2.03)</w:t>
            </w:r>
          </w:p>
          <w:p w14:paraId="43EAC04A" w14:textId="77777777" w:rsidR="00DC0AA0" w:rsidRDefault="008E7159" w:rsidP="008E7159">
            <w:pPr>
              <w:spacing w:before="120" w:after="120"/>
              <w:jc w:val="center"/>
              <w:rPr>
                <w:rFonts w:eastAsia="SimSun" w:cs="Arial"/>
                <w:lang w:val="en-GB" w:eastAsia="zh-CN"/>
              </w:rPr>
            </w:pPr>
            <w:r w:rsidRPr="00624597">
              <w:rPr>
                <w:rFonts w:eastAsia="SimSun" w:cs="Arial"/>
                <w:lang w:val="en-GB" w:eastAsia="zh-CN"/>
              </w:rPr>
              <w:t>p &lt; 0.00001</w:t>
            </w:r>
          </w:p>
          <w:p w14:paraId="1FDFB598" w14:textId="77777777" w:rsidR="00D41761" w:rsidRPr="00624597" w:rsidRDefault="00D41761" w:rsidP="008E7159">
            <w:pPr>
              <w:spacing w:before="120" w:after="120"/>
              <w:jc w:val="center"/>
              <w:rPr>
                <w:rFonts w:eastAsia="SimSun" w:cs="Arial"/>
                <w:lang w:val="en-GB" w:eastAsia="zh-CN"/>
              </w:rPr>
            </w:pPr>
          </w:p>
        </w:tc>
      </w:tr>
      <w:tr w:rsidR="00AA3073" w:rsidRPr="00EE119B" w14:paraId="0E99FBCA" w14:textId="77777777" w:rsidTr="007F136E">
        <w:tc>
          <w:tcPr>
            <w:tcW w:w="2977" w:type="dxa"/>
            <w:shd w:val="clear" w:color="auto" w:fill="auto"/>
          </w:tcPr>
          <w:p w14:paraId="78D6C605" w14:textId="77777777" w:rsidR="00AA3073" w:rsidRPr="000729F7" w:rsidRDefault="00AA3073" w:rsidP="007F136E">
            <w:pPr>
              <w:spacing w:before="120" w:after="120"/>
              <w:rPr>
                <w:rFonts w:eastAsia="SimSun" w:cs="Arial"/>
                <w:lang w:val="en-GB" w:eastAsia="zh-CN"/>
              </w:rPr>
            </w:pPr>
            <w:r w:rsidRPr="000729F7">
              <w:rPr>
                <w:rFonts w:cs="Arial"/>
                <w:lang w:val="en-GB" w:eastAsia="en-US"/>
              </w:rPr>
              <w:t>Stroke MI, CV death, fatal or symptomatic critical organ bleeding</w:t>
            </w:r>
          </w:p>
        </w:tc>
        <w:tc>
          <w:tcPr>
            <w:tcW w:w="2410" w:type="dxa"/>
            <w:shd w:val="clear" w:color="auto" w:fill="auto"/>
          </w:tcPr>
          <w:p w14:paraId="62779464" w14:textId="77777777" w:rsidR="00AA3073" w:rsidRPr="00624597" w:rsidRDefault="00AA3073" w:rsidP="00445EB9">
            <w:pPr>
              <w:spacing w:before="120" w:after="120"/>
              <w:jc w:val="center"/>
              <w:rPr>
                <w:rFonts w:eastAsia="SimSun" w:cs="Arial"/>
                <w:lang w:val="en-GB" w:eastAsia="zh-CN"/>
              </w:rPr>
            </w:pPr>
            <w:r>
              <w:rPr>
                <w:rFonts w:eastAsia="SimSun" w:cs="Arial"/>
                <w:lang w:val="en-GB" w:eastAsia="zh-CN"/>
              </w:rPr>
              <w:t>392 (</w:t>
            </w:r>
            <w:r w:rsidR="00445EB9">
              <w:rPr>
                <w:rFonts w:eastAsia="SimSun" w:cs="Arial"/>
                <w:lang w:val="en-GB" w:eastAsia="zh-CN"/>
              </w:rPr>
              <w:t>5.8</w:t>
            </w:r>
            <w:r>
              <w:rPr>
                <w:rFonts w:eastAsia="SimSun" w:cs="Arial"/>
                <w:lang w:val="en-GB" w:eastAsia="zh-CN"/>
              </w:rPr>
              <w:t>%)</w:t>
            </w:r>
          </w:p>
        </w:tc>
        <w:tc>
          <w:tcPr>
            <w:tcW w:w="1984" w:type="dxa"/>
            <w:shd w:val="clear" w:color="auto" w:fill="auto"/>
          </w:tcPr>
          <w:p w14:paraId="2084B3CB" w14:textId="77777777" w:rsidR="00AA3073" w:rsidRPr="00624597" w:rsidRDefault="00AA3073" w:rsidP="00445EB9">
            <w:pPr>
              <w:spacing w:before="120" w:after="120"/>
              <w:jc w:val="center"/>
              <w:rPr>
                <w:rFonts w:eastAsia="SimSun" w:cs="Arial"/>
                <w:lang w:val="en-GB" w:eastAsia="zh-CN"/>
              </w:rPr>
            </w:pPr>
            <w:r>
              <w:rPr>
                <w:rFonts w:eastAsia="SimSun" w:cs="Arial"/>
                <w:lang w:val="en-GB" w:eastAsia="zh-CN"/>
              </w:rPr>
              <w:t>494 (</w:t>
            </w:r>
            <w:r w:rsidR="00445EB9">
              <w:rPr>
                <w:rFonts w:eastAsia="SimSun" w:cs="Arial"/>
                <w:lang w:val="en-GB" w:eastAsia="zh-CN"/>
              </w:rPr>
              <w:t>7.8</w:t>
            </w:r>
            <w:r>
              <w:rPr>
                <w:rFonts w:eastAsia="SimSun" w:cs="Arial"/>
                <w:lang w:val="en-GB" w:eastAsia="zh-CN"/>
              </w:rPr>
              <w:t>%)</w:t>
            </w:r>
          </w:p>
        </w:tc>
        <w:tc>
          <w:tcPr>
            <w:tcW w:w="2374" w:type="dxa"/>
          </w:tcPr>
          <w:p w14:paraId="1DF24911" w14:textId="77777777" w:rsidR="00AA3073" w:rsidRDefault="00CF1D90" w:rsidP="007F136E">
            <w:pPr>
              <w:spacing w:before="120" w:after="120"/>
              <w:jc w:val="center"/>
              <w:rPr>
                <w:rFonts w:eastAsia="SimSun" w:cs="Arial"/>
                <w:lang w:val="en-GB" w:eastAsia="zh-CN"/>
              </w:rPr>
            </w:pPr>
            <w:r w:rsidRPr="00CF1D90">
              <w:rPr>
                <w:rFonts w:eastAsia="SimSun" w:cs="Arial"/>
                <w:lang w:val="en-GB" w:eastAsia="zh-CN"/>
              </w:rPr>
              <w:t>0.78 (0.69;0.90</w:t>
            </w:r>
            <w:r w:rsidR="008E7159">
              <w:rPr>
                <w:rFonts w:eastAsia="SimSun" w:cs="Arial"/>
                <w:lang w:val="en-GB" w:eastAsia="zh-CN"/>
              </w:rPr>
              <w:t>)</w:t>
            </w:r>
          </w:p>
          <w:p w14:paraId="72E9CE3D" w14:textId="77777777" w:rsidR="009C6432" w:rsidRPr="00624597" w:rsidRDefault="009C6432" w:rsidP="007F136E">
            <w:pPr>
              <w:spacing w:before="120" w:after="120"/>
              <w:jc w:val="center"/>
              <w:rPr>
                <w:rFonts w:eastAsia="SimSun" w:cs="Arial"/>
                <w:lang w:val="en-GB" w:eastAsia="zh-CN"/>
              </w:rPr>
            </w:pPr>
            <w:r w:rsidRPr="009C6432">
              <w:rPr>
                <w:rFonts w:eastAsia="SimSun" w:cs="Arial"/>
                <w:lang w:val="en-GB" w:eastAsia="zh-CN"/>
              </w:rPr>
              <w:t>0.00032</w:t>
            </w:r>
          </w:p>
        </w:tc>
      </w:tr>
      <w:tr w:rsidR="00DC0AA0" w:rsidRPr="00EE119B" w14:paraId="2AD3AF10" w14:textId="77777777" w:rsidTr="007F136E">
        <w:tc>
          <w:tcPr>
            <w:tcW w:w="2977" w:type="dxa"/>
            <w:shd w:val="clear" w:color="auto" w:fill="auto"/>
          </w:tcPr>
          <w:p w14:paraId="445D3126" w14:textId="77777777" w:rsidR="00DC0AA0" w:rsidRPr="00E43722" w:rsidRDefault="008938C0" w:rsidP="007F136E">
            <w:pPr>
              <w:spacing w:before="120" w:after="120"/>
              <w:rPr>
                <w:rFonts w:eastAsia="SimSun" w:cs="Arial"/>
                <w:b/>
                <w:lang w:val="en-GB" w:eastAsia="zh-CN"/>
              </w:rPr>
            </w:pPr>
            <w:r w:rsidRPr="00E43722">
              <w:rPr>
                <w:rFonts w:eastAsia="SimSun" w:cs="Arial"/>
                <w:b/>
                <w:lang w:val="en-GB" w:eastAsia="zh-CN"/>
              </w:rPr>
              <w:t xml:space="preserve"> Patients with PAD</w:t>
            </w:r>
          </w:p>
        </w:tc>
        <w:tc>
          <w:tcPr>
            <w:tcW w:w="2410" w:type="dxa"/>
            <w:shd w:val="clear" w:color="auto" w:fill="auto"/>
          </w:tcPr>
          <w:p w14:paraId="4633648F" w14:textId="77777777" w:rsidR="00DC0AA0" w:rsidRPr="00E43722" w:rsidRDefault="008938C0" w:rsidP="00F76CE9">
            <w:pPr>
              <w:spacing w:before="120" w:after="120"/>
              <w:jc w:val="center"/>
              <w:rPr>
                <w:rFonts w:eastAsia="SimSun" w:cs="Arial"/>
                <w:b/>
                <w:lang w:val="en-GB" w:eastAsia="zh-CN"/>
              </w:rPr>
            </w:pPr>
            <w:r w:rsidRPr="00E43722">
              <w:rPr>
                <w:rFonts w:eastAsia="SimSun" w:cs="Arial"/>
                <w:b/>
                <w:lang w:val="en-GB" w:eastAsia="zh-CN"/>
              </w:rPr>
              <w:t>N=</w:t>
            </w:r>
            <w:r w:rsidRPr="00E43722">
              <w:rPr>
                <w:rFonts w:eastAsia="SimSun" w:cs="Arial"/>
                <w:b/>
                <w:lang w:val="en-US" w:eastAsia="zh-CN"/>
              </w:rPr>
              <w:t xml:space="preserve">2492 </w:t>
            </w:r>
            <w:r w:rsidR="00F76CE9">
              <w:rPr>
                <w:rFonts w:eastAsia="SimSun" w:cs="Arial"/>
                <w:b/>
                <w:vertAlign w:val="superscript"/>
                <w:lang w:val="en-GB" w:eastAsia="zh-CN"/>
              </w:rPr>
              <w:t>d</w:t>
            </w:r>
            <w:r w:rsidRPr="00E43722">
              <w:rPr>
                <w:rFonts w:eastAsia="SimSun" w:cs="Arial"/>
                <w:b/>
                <w:vertAlign w:val="superscript"/>
                <w:lang w:val="en-GB" w:eastAsia="zh-CN"/>
              </w:rPr>
              <w:t>)</w:t>
            </w:r>
          </w:p>
        </w:tc>
        <w:tc>
          <w:tcPr>
            <w:tcW w:w="1984" w:type="dxa"/>
            <w:shd w:val="clear" w:color="auto" w:fill="auto"/>
          </w:tcPr>
          <w:p w14:paraId="3CA58F0D" w14:textId="77777777" w:rsidR="00DC0AA0" w:rsidRPr="00E43722" w:rsidRDefault="008938C0" w:rsidP="00F76CE9">
            <w:pPr>
              <w:spacing w:before="120" w:after="120"/>
              <w:jc w:val="center"/>
              <w:rPr>
                <w:rFonts w:eastAsia="SimSun" w:cs="Arial"/>
                <w:b/>
                <w:lang w:val="en-GB" w:eastAsia="zh-CN"/>
              </w:rPr>
            </w:pPr>
            <w:r w:rsidRPr="00E43722">
              <w:rPr>
                <w:rFonts w:eastAsia="SimSun" w:cs="Arial"/>
                <w:b/>
                <w:lang w:val="en-GB" w:eastAsia="zh-CN"/>
              </w:rPr>
              <w:t>N=</w:t>
            </w:r>
            <w:r w:rsidRPr="00E43722">
              <w:rPr>
                <w:rFonts w:eastAsia="SimSun" w:cs="Arial"/>
                <w:b/>
                <w:lang w:val="en-US" w:eastAsia="zh-CN"/>
              </w:rPr>
              <w:t>2504 (100%)</w:t>
            </w:r>
            <w:r w:rsidR="00F76CE9">
              <w:rPr>
                <w:rFonts w:eastAsia="SimSun" w:cs="Arial"/>
                <w:b/>
                <w:vertAlign w:val="superscript"/>
                <w:lang w:val="en-GB" w:eastAsia="zh-CN"/>
              </w:rPr>
              <w:t>d</w:t>
            </w:r>
            <w:r w:rsidRPr="00E43722">
              <w:rPr>
                <w:rFonts w:eastAsia="SimSun" w:cs="Arial"/>
                <w:b/>
                <w:vertAlign w:val="superscript"/>
                <w:lang w:val="en-GB" w:eastAsia="zh-CN"/>
              </w:rPr>
              <w:t>)</w:t>
            </w:r>
          </w:p>
        </w:tc>
        <w:tc>
          <w:tcPr>
            <w:tcW w:w="2374" w:type="dxa"/>
          </w:tcPr>
          <w:p w14:paraId="366DBC0A" w14:textId="77777777" w:rsidR="00DC0AA0" w:rsidRPr="00E43722" w:rsidRDefault="00DC0AA0" w:rsidP="007F136E">
            <w:pPr>
              <w:spacing w:before="120" w:after="120"/>
              <w:jc w:val="center"/>
              <w:rPr>
                <w:rFonts w:eastAsia="SimSun" w:cs="Arial"/>
                <w:b/>
                <w:lang w:val="en-GB" w:eastAsia="zh-CN"/>
              </w:rPr>
            </w:pPr>
          </w:p>
        </w:tc>
      </w:tr>
      <w:tr w:rsidR="00DC0AA0" w:rsidRPr="00EE119B" w14:paraId="4D47D3A5" w14:textId="77777777" w:rsidTr="007F136E">
        <w:tc>
          <w:tcPr>
            <w:tcW w:w="2977" w:type="dxa"/>
            <w:shd w:val="clear" w:color="auto" w:fill="auto"/>
          </w:tcPr>
          <w:p w14:paraId="15EFD414" w14:textId="77777777" w:rsidR="00DC0AA0" w:rsidRPr="00E43722" w:rsidRDefault="008938C0" w:rsidP="007F136E">
            <w:pPr>
              <w:keepNext/>
              <w:widowControl w:val="0"/>
              <w:spacing w:after="120"/>
              <w:rPr>
                <w:rFonts w:cs="Arial"/>
                <w:lang w:val="en-GB" w:eastAsia="en-US"/>
              </w:rPr>
            </w:pPr>
            <w:r>
              <w:rPr>
                <w:rFonts w:cs="Arial"/>
                <w:lang w:val="en-GB" w:eastAsia="en-US"/>
              </w:rPr>
              <w:t xml:space="preserve"> </w:t>
            </w:r>
            <w:r w:rsidRPr="00096C36">
              <w:rPr>
                <w:rFonts w:cs="Arial"/>
                <w:lang w:val="en-GB" w:eastAsia="en-US"/>
              </w:rPr>
              <w:t>Stroke, MI, or CV death</w:t>
            </w:r>
          </w:p>
        </w:tc>
        <w:tc>
          <w:tcPr>
            <w:tcW w:w="2410" w:type="dxa"/>
            <w:shd w:val="clear" w:color="auto" w:fill="auto"/>
          </w:tcPr>
          <w:p w14:paraId="2CA7BFE2" w14:textId="77777777" w:rsidR="00DC0AA0" w:rsidRDefault="00DC0AA0" w:rsidP="002D3533">
            <w:pPr>
              <w:spacing w:before="120" w:after="120"/>
              <w:rPr>
                <w:rFonts w:eastAsia="SimSun" w:cs="Arial"/>
                <w:lang w:val="en-US" w:eastAsia="zh-CN"/>
              </w:rPr>
            </w:pPr>
          </w:p>
          <w:p w14:paraId="3A7918EB" w14:textId="77777777" w:rsidR="008938C0" w:rsidRPr="00E43722" w:rsidRDefault="008938C0" w:rsidP="007C3A03">
            <w:pPr>
              <w:spacing w:before="120" w:after="120"/>
              <w:jc w:val="center"/>
              <w:rPr>
                <w:rFonts w:eastAsia="SimSun" w:cs="Arial"/>
                <w:lang w:val="en-GB" w:eastAsia="zh-CN"/>
              </w:rPr>
            </w:pPr>
            <w:r w:rsidRPr="00E43722">
              <w:rPr>
                <w:rFonts w:eastAsia="SimSun" w:cs="Arial"/>
                <w:lang w:val="en-US" w:eastAsia="zh-CN"/>
              </w:rPr>
              <w:t>126 (6.</w:t>
            </w:r>
            <w:r>
              <w:rPr>
                <w:rFonts w:eastAsia="SimSun" w:cs="Arial"/>
                <w:lang w:val="en-US" w:eastAsia="zh-CN"/>
              </w:rPr>
              <w:t>6</w:t>
            </w:r>
            <w:r w:rsidRPr="00E43722">
              <w:rPr>
                <w:rFonts w:eastAsia="SimSun" w:cs="Arial"/>
                <w:lang w:val="en-US" w:eastAsia="zh-CN"/>
              </w:rPr>
              <w:t xml:space="preserve">%)  </w:t>
            </w:r>
          </w:p>
        </w:tc>
        <w:tc>
          <w:tcPr>
            <w:tcW w:w="1984" w:type="dxa"/>
            <w:shd w:val="clear" w:color="auto" w:fill="auto"/>
          </w:tcPr>
          <w:p w14:paraId="52BDC4B7" w14:textId="77777777" w:rsidR="00DC0AA0" w:rsidRDefault="00DC0AA0" w:rsidP="007C3A03">
            <w:pPr>
              <w:spacing w:before="120" w:after="120"/>
              <w:jc w:val="center"/>
              <w:rPr>
                <w:rFonts w:eastAsia="SimSun" w:cs="Arial"/>
                <w:lang w:val="en-US" w:eastAsia="zh-CN"/>
              </w:rPr>
            </w:pPr>
          </w:p>
          <w:p w14:paraId="5530760C" w14:textId="77777777" w:rsidR="008938C0" w:rsidRPr="00E43722" w:rsidRDefault="008938C0" w:rsidP="007C3A03">
            <w:pPr>
              <w:spacing w:before="120" w:after="120"/>
              <w:jc w:val="center"/>
              <w:rPr>
                <w:rFonts w:eastAsia="SimSun" w:cs="Arial"/>
                <w:lang w:val="en-GB" w:eastAsia="zh-CN"/>
              </w:rPr>
            </w:pPr>
            <w:r w:rsidRPr="00E43722">
              <w:rPr>
                <w:rFonts w:eastAsia="SimSun" w:cs="Arial"/>
                <w:lang w:val="en-US" w:eastAsia="zh-CN"/>
              </w:rPr>
              <w:t xml:space="preserve">174 (10.3%)  </w:t>
            </w:r>
          </w:p>
        </w:tc>
        <w:tc>
          <w:tcPr>
            <w:tcW w:w="2374" w:type="dxa"/>
          </w:tcPr>
          <w:p w14:paraId="3F2D94D5" w14:textId="77777777" w:rsidR="00DC0AA0" w:rsidRDefault="008938C0" w:rsidP="007F136E">
            <w:pPr>
              <w:spacing w:before="120" w:after="120"/>
              <w:jc w:val="center"/>
              <w:rPr>
                <w:rFonts w:eastAsia="SimSun" w:cs="Arial"/>
                <w:lang w:val="en-US" w:eastAsia="zh-CN"/>
              </w:rPr>
            </w:pPr>
            <w:r w:rsidRPr="00E43722">
              <w:rPr>
                <w:rFonts w:eastAsia="SimSun" w:cs="Arial"/>
                <w:lang w:val="en-US" w:eastAsia="zh-CN"/>
              </w:rPr>
              <w:t>0.72 (0.57;0.90)</w:t>
            </w:r>
            <w:r w:rsidRPr="00E43722">
              <w:rPr>
                <w:rFonts w:eastAsia="SimSun" w:cs="Arial"/>
                <w:lang w:val="en-GB" w:eastAsia="zh-CN"/>
              </w:rPr>
              <w:br/>
              <w:t>p</w:t>
            </w:r>
            <w:r>
              <w:rPr>
                <w:rFonts w:eastAsia="SimSun" w:cs="Arial"/>
                <w:lang w:val="en-GB" w:eastAsia="zh-CN"/>
              </w:rPr>
              <w:t xml:space="preserve"> = </w:t>
            </w:r>
            <w:r w:rsidRPr="00E43722">
              <w:rPr>
                <w:rFonts w:eastAsia="SimSun" w:cs="Arial"/>
                <w:lang w:val="en-GB" w:eastAsia="zh-CN"/>
              </w:rPr>
              <w:t>0</w:t>
            </w:r>
            <w:r w:rsidRPr="00E43722">
              <w:rPr>
                <w:rFonts w:eastAsia="SimSun" w:cs="Arial"/>
                <w:lang w:val="en-US" w:eastAsia="zh-CN"/>
              </w:rPr>
              <w:t>.00466</w:t>
            </w:r>
          </w:p>
          <w:p w14:paraId="52B38D7D" w14:textId="77777777" w:rsidR="00D41761" w:rsidRPr="00E43722" w:rsidRDefault="00D41761" w:rsidP="007F136E">
            <w:pPr>
              <w:spacing w:before="120" w:after="120"/>
              <w:jc w:val="center"/>
              <w:rPr>
                <w:rFonts w:eastAsia="SimSun" w:cs="Arial"/>
                <w:lang w:val="en-GB" w:eastAsia="zh-CN"/>
              </w:rPr>
            </w:pPr>
          </w:p>
        </w:tc>
      </w:tr>
      <w:tr w:rsidR="00DC0AA0" w:rsidRPr="00EE119B" w14:paraId="5480379E" w14:textId="77777777" w:rsidTr="007F136E">
        <w:tc>
          <w:tcPr>
            <w:tcW w:w="2977" w:type="dxa"/>
            <w:shd w:val="clear" w:color="auto" w:fill="auto"/>
          </w:tcPr>
          <w:p w14:paraId="578F359C" w14:textId="77777777" w:rsidR="00DC0AA0" w:rsidRPr="00EE119B" w:rsidRDefault="00B10D10" w:rsidP="00E54340">
            <w:pPr>
              <w:keepNext/>
              <w:widowControl w:val="0"/>
              <w:spacing w:after="120"/>
              <w:rPr>
                <w:rFonts w:cs="Arial"/>
                <w:lang w:val="en-GB" w:eastAsia="en-US"/>
              </w:rPr>
            </w:pPr>
            <w:r w:rsidRPr="00096C36">
              <w:rPr>
                <w:rFonts w:cs="Arial"/>
                <w:lang w:val="en-GB" w:eastAsia="en-US"/>
              </w:rPr>
              <w:t xml:space="preserve"> Modified  ISTH major bleeding</w:t>
            </w:r>
            <w:r w:rsidRPr="00096C36" w:rsidDel="00B10D10">
              <w:rPr>
                <w:rFonts w:cs="Arial"/>
                <w:lang w:val="en-GB" w:eastAsia="en-US"/>
              </w:rPr>
              <w:t xml:space="preserve"> </w:t>
            </w:r>
          </w:p>
        </w:tc>
        <w:tc>
          <w:tcPr>
            <w:tcW w:w="2410" w:type="dxa"/>
            <w:shd w:val="clear" w:color="auto" w:fill="auto"/>
          </w:tcPr>
          <w:p w14:paraId="2C088541" w14:textId="77777777" w:rsidR="00DC0AA0" w:rsidRPr="00EE119B" w:rsidRDefault="008938C0" w:rsidP="0076435D">
            <w:pPr>
              <w:spacing w:before="120" w:after="120"/>
              <w:jc w:val="center"/>
              <w:rPr>
                <w:rFonts w:eastAsia="SimSun" w:cs="Arial"/>
                <w:lang w:val="en-GB" w:eastAsia="zh-CN"/>
              </w:rPr>
            </w:pPr>
            <w:r w:rsidRPr="00EE119B">
              <w:rPr>
                <w:rFonts w:eastAsia="SimSun" w:cs="Arial"/>
                <w:lang w:val="en-US" w:eastAsia="zh-CN"/>
              </w:rPr>
              <w:t>77 (</w:t>
            </w:r>
            <w:r>
              <w:rPr>
                <w:rFonts w:eastAsia="SimSun" w:cs="Arial"/>
                <w:lang w:val="en-US" w:eastAsia="zh-CN"/>
              </w:rPr>
              <w:t>4.0</w:t>
            </w:r>
            <w:r w:rsidRPr="00EE119B">
              <w:rPr>
                <w:rFonts w:eastAsia="SimSun" w:cs="Arial"/>
                <w:lang w:val="en-US" w:eastAsia="zh-CN"/>
              </w:rPr>
              <w:t>%)</w:t>
            </w:r>
          </w:p>
        </w:tc>
        <w:tc>
          <w:tcPr>
            <w:tcW w:w="1984" w:type="dxa"/>
            <w:shd w:val="clear" w:color="auto" w:fill="auto"/>
          </w:tcPr>
          <w:p w14:paraId="5DECD173" w14:textId="77777777" w:rsidR="00DC0AA0" w:rsidRPr="00EE119B" w:rsidRDefault="002D3533" w:rsidP="00A47D38">
            <w:pPr>
              <w:spacing w:before="120" w:after="120"/>
              <w:jc w:val="center"/>
              <w:rPr>
                <w:rFonts w:eastAsia="SimSun" w:cs="Arial"/>
                <w:lang w:val="en-GB" w:eastAsia="zh-CN"/>
              </w:rPr>
            </w:pPr>
            <w:r w:rsidRPr="00EE119B">
              <w:rPr>
                <w:rFonts w:eastAsia="SimSun" w:cs="Arial"/>
                <w:lang w:val="en-US" w:eastAsia="zh-CN"/>
              </w:rPr>
              <w:t>48 (</w:t>
            </w:r>
            <w:r>
              <w:rPr>
                <w:rFonts w:eastAsia="SimSun" w:cs="Arial"/>
                <w:lang w:val="en-US" w:eastAsia="zh-CN"/>
              </w:rPr>
              <w:t>2.5</w:t>
            </w:r>
            <w:r w:rsidRPr="00EE119B">
              <w:rPr>
                <w:rFonts w:eastAsia="SimSun" w:cs="Arial"/>
                <w:lang w:val="en-US" w:eastAsia="zh-CN"/>
              </w:rPr>
              <w:t>%)</w:t>
            </w:r>
          </w:p>
        </w:tc>
        <w:tc>
          <w:tcPr>
            <w:tcW w:w="2374" w:type="dxa"/>
          </w:tcPr>
          <w:p w14:paraId="612C0384" w14:textId="77777777" w:rsidR="00DC0AA0" w:rsidRDefault="008938C0" w:rsidP="007F136E">
            <w:pPr>
              <w:spacing w:before="120" w:after="120"/>
              <w:jc w:val="center"/>
              <w:rPr>
                <w:rFonts w:eastAsia="SimSun" w:cs="Arial"/>
                <w:lang w:val="en-US" w:eastAsia="zh-CN"/>
              </w:rPr>
            </w:pPr>
            <w:r w:rsidRPr="00EE119B">
              <w:rPr>
                <w:rFonts w:eastAsia="SimSun" w:cs="Arial"/>
                <w:lang w:val="en-US" w:eastAsia="zh-CN"/>
              </w:rPr>
              <w:t>1.61 (1.12;2.31</w:t>
            </w:r>
            <w:r w:rsidRPr="00EE119B">
              <w:rPr>
                <w:rFonts w:eastAsia="SimSun" w:cs="Arial"/>
                <w:lang w:val="en-GB" w:eastAsia="zh-CN"/>
              </w:rPr>
              <w:t>)</w:t>
            </w:r>
            <w:r w:rsidRPr="00EE119B">
              <w:rPr>
                <w:rFonts w:eastAsia="SimSun" w:cs="Arial"/>
                <w:lang w:val="en-GB" w:eastAsia="zh-CN"/>
              </w:rPr>
              <w:br/>
              <w:t>p</w:t>
            </w:r>
            <w:r>
              <w:rPr>
                <w:rFonts w:eastAsia="SimSun" w:cs="Arial"/>
                <w:lang w:val="en-GB" w:eastAsia="zh-CN"/>
              </w:rPr>
              <w:t xml:space="preserve"> = </w:t>
            </w:r>
            <w:r w:rsidRPr="00EE119B">
              <w:rPr>
                <w:rFonts w:eastAsia="SimSun" w:cs="Arial"/>
                <w:lang w:val="en-GB" w:eastAsia="zh-CN"/>
              </w:rPr>
              <w:t>0</w:t>
            </w:r>
            <w:r w:rsidRPr="00EE119B">
              <w:rPr>
                <w:rFonts w:eastAsia="SimSun" w:cs="Arial"/>
                <w:lang w:val="en-US" w:eastAsia="zh-CN"/>
              </w:rPr>
              <w:t>.00890</w:t>
            </w:r>
          </w:p>
          <w:p w14:paraId="708FB784" w14:textId="77777777" w:rsidR="00D41761" w:rsidRPr="00EE119B" w:rsidRDefault="00D41761" w:rsidP="007F136E">
            <w:pPr>
              <w:spacing w:before="120" w:after="120"/>
              <w:jc w:val="center"/>
              <w:rPr>
                <w:rFonts w:eastAsia="SimSun" w:cs="Arial"/>
                <w:lang w:val="en-GB" w:eastAsia="zh-CN"/>
              </w:rPr>
            </w:pPr>
          </w:p>
        </w:tc>
      </w:tr>
      <w:tr w:rsidR="00DC0AA0" w:rsidRPr="00EE119B" w14:paraId="12E32C51" w14:textId="77777777" w:rsidTr="007F136E">
        <w:tc>
          <w:tcPr>
            <w:tcW w:w="2977" w:type="dxa"/>
            <w:shd w:val="clear" w:color="auto" w:fill="auto"/>
          </w:tcPr>
          <w:p w14:paraId="55E27B31" w14:textId="77777777" w:rsidR="00DC0AA0" w:rsidRPr="00EE119B" w:rsidRDefault="00B10D10" w:rsidP="007F136E">
            <w:pPr>
              <w:keepNext/>
              <w:widowControl w:val="0"/>
              <w:spacing w:after="120"/>
              <w:rPr>
                <w:rFonts w:cs="Arial"/>
                <w:lang w:val="en-GB" w:eastAsia="en-US"/>
              </w:rPr>
            </w:pPr>
            <w:r w:rsidRPr="00BA0B9A">
              <w:rPr>
                <w:rFonts w:cs="Arial"/>
                <w:lang w:val="en-GB" w:eastAsia="en-US"/>
              </w:rPr>
              <w:t>Stroke MI, CV death, fatal or symptomatic critical organ bleeding</w:t>
            </w:r>
            <w:r w:rsidRPr="00BA0B9A" w:rsidDel="00B10D10">
              <w:rPr>
                <w:rFonts w:cs="Arial"/>
                <w:lang w:val="en-GB" w:eastAsia="en-US"/>
              </w:rPr>
              <w:t xml:space="preserve"> </w:t>
            </w:r>
          </w:p>
        </w:tc>
        <w:tc>
          <w:tcPr>
            <w:tcW w:w="2410" w:type="dxa"/>
            <w:shd w:val="clear" w:color="auto" w:fill="auto"/>
          </w:tcPr>
          <w:p w14:paraId="6C9CFBFC" w14:textId="77777777" w:rsidR="00DC0AA0" w:rsidRPr="00EE119B" w:rsidRDefault="008938C0" w:rsidP="0076435D">
            <w:pPr>
              <w:spacing w:before="120" w:after="120"/>
              <w:jc w:val="center"/>
              <w:rPr>
                <w:rFonts w:eastAsia="SimSun" w:cs="Arial"/>
                <w:lang w:val="en-GB" w:eastAsia="zh-CN"/>
              </w:rPr>
            </w:pPr>
            <w:r w:rsidRPr="00EE119B">
              <w:rPr>
                <w:rFonts w:eastAsia="SimSun" w:cs="Arial"/>
                <w:lang w:val="en-US" w:eastAsia="zh-CN"/>
              </w:rPr>
              <w:t>140 (</w:t>
            </w:r>
            <w:r>
              <w:rPr>
                <w:rFonts w:eastAsia="SimSun" w:cs="Arial"/>
                <w:lang w:val="en-US" w:eastAsia="zh-CN"/>
              </w:rPr>
              <w:t>7.1</w:t>
            </w:r>
            <w:r w:rsidRPr="00EE119B">
              <w:rPr>
                <w:rFonts w:eastAsia="SimSun" w:cs="Arial"/>
                <w:lang w:val="en-US" w:eastAsia="zh-CN"/>
              </w:rPr>
              <w:t>%)</w:t>
            </w:r>
          </w:p>
        </w:tc>
        <w:tc>
          <w:tcPr>
            <w:tcW w:w="1984" w:type="dxa"/>
            <w:shd w:val="clear" w:color="auto" w:fill="auto"/>
          </w:tcPr>
          <w:p w14:paraId="5D7BF60B" w14:textId="77777777" w:rsidR="00DC0AA0" w:rsidRPr="00EE119B" w:rsidRDefault="008938C0" w:rsidP="006F3C1A">
            <w:pPr>
              <w:spacing w:before="120" w:after="120"/>
              <w:jc w:val="center"/>
              <w:rPr>
                <w:rFonts w:eastAsia="SimSun" w:cs="Arial"/>
                <w:lang w:val="en-GB" w:eastAsia="zh-CN"/>
              </w:rPr>
            </w:pPr>
            <w:r w:rsidRPr="00EE119B">
              <w:rPr>
                <w:rFonts w:eastAsia="SimSun" w:cs="Arial"/>
                <w:lang w:val="en-US" w:eastAsia="zh-CN"/>
              </w:rPr>
              <w:t xml:space="preserve">185 (10.7%) </w:t>
            </w:r>
          </w:p>
        </w:tc>
        <w:tc>
          <w:tcPr>
            <w:tcW w:w="2374" w:type="dxa"/>
          </w:tcPr>
          <w:p w14:paraId="779AFBCE" w14:textId="77777777" w:rsidR="00DC0AA0" w:rsidRDefault="008938C0" w:rsidP="007F136E">
            <w:pPr>
              <w:spacing w:before="120" w:after="120"/>
              <w:jc w:val="center"/>
              <w:rPr>
                <w:rFonts w:eastAsia="SimSun" w:cs="Arial"/>
                <w:lang w:val="en-US" w:eastAsia="zh-CN"/>
              </w:rPr>
            </w:pPr>
            <w:r w:rsidRPr="00EE119B">
              <w:rPr>
                <w:rFonts w:eastAsia="SimSun" w:cs="Arial"/>
                <w:lang w:val="en-US" w:eastAsia="zh-CN"/>
              </w:rPr>
              <w:t>0.75 (0.60;0.94)</w:t>
            </w:r>
            <w:r w:rsidRPr="00EE119B">
              <w:rPr>
                <w:rFonts w:eastAsia="SimSun" w:cs="Arial"/>
                <w:lang w:val="en-GB" w:eastAsia="zh-CN"/>
              </w:rPr>
              <w:br/>
              <w:t>p</w:t>
            </w:r>
            <w:r>
              <w:rPr>
                <w:rFonts w:eastAsia="SimSun" w:cs="Arial"/>
                <w:lang w:val="en-GB" w:eastAsia="zh-CN"/>
              </w:rPr>
              <w:t xml:space="preserve"> = </w:t>
            </w:r>
            <w:r w:rsidRPr="00EE119B">
              <w:rPr>
                <w:rFonts w:eastAsia="SimSun" w:cs="Arial"/>
                <w:lang w:val="en-US" w:eastAsia="zh-CN"/>
              </w:rPr>
              <w:t>0.01072</w:t>
            </w:r>
          </w:p>
          <w:p w14:paraId="0FBAF8B0" w14:textId="77777777" w:rsidR="00D41761" w:rsidRPr="00EE119B" w:rsidRDefault="00D41761" w:rsidP="007F136E">
            <w:pPr>
              <w:spacing w:before="120" w:after="120"/>
              <w:jc w:val="center"/>
              <w:rPr>
                <w:rFonts w:eastAsia="SimSun" w:cs="Arial"/>
                <w:lang w:val="en-GB" w:eastAsia="zh-CN"/>
              </w:rPr>
            </w:pPr>
          </w:p>
        </w:tc>
      </w:tr>
      <w:tr w:rsidR="00DC0AA0" w:rsidRPr="00EE119B" w14:paraId="7E643804" w14:textId="77777777" w:rsidTr="007F136E">
        <w:tc>
          <w:tcPr>
            <w:tcW w:w="2977" w:type="dxa"/>
            <w:shd w:val="clear" w:color="auto" w:fill="auto"/>
          </w:tcPr>
          <w:p w14:paraId="3027D1A1" w14:textId="77777777" w:rsidR="00DC0AA0" w:rsidRPr="00E43722" w:rsidRDefault="00B10D10" w:rsidP="007F136E">
            <w:pPr>
              <w:spacing w:before="120" w:after="120"/>
              <w:rPr>
                <w:rFonts w:eastAsia="SimSun" w:cs="Arial"/>
                <w:b/>
                <w:lang w:val="en-GB" w:eastAsia="zh-CN"/>
              </w:rPr>
            </w:pPr>
            <w:r w:rsidRPr="00E43722">
              <w:rPr>
                <w:rFonts w:eastAsia="SimSun" w:cs="Arial"/>
                <w:b/>
                <w:lang w:val="en-GB" w:eastAsia="zh-CN"/>
              </w:rPr>
              <w:t xml:space="preserve"> Patients with CAD and PAD</w:t>
            </w:r>
          </w:p>
        </w:tc>
        <w:tc>
          <w:tcPr>
            <w:tcW w:w="2410" w:type="dxa"/>
            <w:shd w:val="clear" w:color="auto" w:fill="auto"/>
          </w:tcPr>
          <w:p w14:paraId="02A1DBCB" w14:textId="77777777" w:rsidR="00DC0AA0" w:rsidRPr="00E43722" w:rsidRDefault="00B10D10" w:rsidP="0076435D">
            <w:pPr>
              <w:spacing w:before="120" w:after="120"/>
              <w:jc w:val="center"/>
              <w:rPr>
                <w:rFonts w:eastAsia="SimSun" w:cs="Arial"/>
                <w:b/>
                <w:lang w:val="en-GB" w:eastAsia="zh-CN"/>
              </w:rPr>
            </w:pPr>
            <w:r w:rsidRPr="00E43722">
              <w:rPr>
                <w:rFonts w:eastAsia="SimSun" w:cs="Arial"/>
                <w:b/>
                <w:lang w:val="en-GB" w:eastAsia="zh-CN"/>
              </w:rPr>
              <w:t xml:space="preserve"> N=</w:t>
            </w:r>
            <w:r w:rsidRPr="00E43722">
              <w:rPr>
                <w:rFonts w:eastAsia="SimSun" w:cs="Arial"/>
                <w:b/>
                <w:lang w:val="en-US" w:eastAsia="zh-CN"/>
              </w:rPr>
              <w:t xml:space="preserve">1656 </w:t>
            </w:r>
          </w:p>
        </w:tc>
        <w:tc>
          <w:tcPr>
            <w:tcW w:w="1984" w:type="dxa"/>
            <w:shd w:val="clear" w:color="auto" w:fill="auto"/>
          </w:tcPr>
          <w:p w14:paraId="1679A71B" w14:textId="77777777" w:rsidR="00DC0AA0" w:rsidRPr="00E43722" w:rsidRDefault="00B10D10" w:rsidP="0076435D">
            <w:pPr>
              <w:spacing w:before="120" w:after="120"/>
              <w:jc w:val="center"/>
              <w:rPr>
                <w:rFonts w:eastAsia="SimSun" w:cs="Arial"/>
                <w:b/>
                <w:lang w:val="en-GB" w:eastAsia="zh-CN"/>
              </w:rPr>
            </w:pPr>
            <w:r w:rsidRPr="00E43722">
              <w:rPr>
                <w:rFonts w:eastAsia="SimSun" w:cs="Arial"/>
                <w:b/>
                <w:lang w:val="en-GB" w:eastAsia="zh-CN"/>
              </w:rPr>
              <w:t>N=</w:t>
            </w:r>
            <w:r w:rsidRPr="00E43722">
              <w:rPr>
                <w:rFonts w:eastAsia="SimSun" w:cs="Arial"/>
                <w:b/>
                <w:lang w:val="fr-FR" w:eastAsia="zh-CN"/>
              </w:rPr>
              <w:t>1641</w:t>
            </w:r>
          </w:p>
        </w:tc>
        <w:tc>
          <w:tcPr>
            <w:tcW w:w="2374" w:type="dxa"/>
          </w:tcPr>
          <w:p w14:paraId="540C7EAB" w14:textId="77777777" w:rsidR="00DC0AA0" w:rsidRPr="00E43722" w:rsidRDefault="00DC0AA0" w:rsidP="007F136E">
            <w:pPr>
              <w:spacing w:before="120" w:after="120"/>
              <w:jc w:val="center"/>
              <w:rPr>
                <w:rFonts w:eastAsia="SimSun" w:cs="Arial"/>
                <w:b/>
                <w:lang w:val="en-GB" w:eastAsia="zh-CN"/>
              </w:rPr>
            </w:pPr>
          </w:p>
        </w:tc>
      </w:tr>
      <w:tr w:rsidR="00DC0AA0" w:rsidRPr="00EE119B" w14:paraId="205881C2" w14:textId="77777777" w:rsidTr="007F136E">
        <w:tc>
          <w:tcPr>
            <w:tcW w:w="2977" w:type="dxa"/>
            <w:shd w:val="clear" w:color="auto" w:fill="auto"/>
          </w:tcPr>
          <w:p w14:paraId="65C5DFBF" w14:textId="77777777" w:rsidR="00DC0AA0" w:rsidRPr="00271389" w:rsidRDefault="00B10D10" w:rsidP="007F136E">
            <w:pPr>
              <w:keepNext/>
              <w:widowControl w:val="0"/>
              <w:spacing w:after="120"/>
              <w:rPr>
                <w:rFonts w:cs="Arial"/>
                <w:lang w:val="en-GB" w:eastAsia="en-US"/>
              </w:rPr>
            </w:pPr>
            <w:r w:rsidRPr="00271389">
              <w:rPr>
                <w:rFonts w:cs="Arial"/>
                <w:lang w:val="en-GB" w:eastAsia="en-US"/>
              </w:rPr>
              <w:t xml:space="preserve"> Stroke, MI, or CV death</w:t>
            </w:r>
          </w:p>
        </w:tc>
        <w:tc>
          <w:tcPr>
            <w:tcW w:w="2410" w:type="dxa"/>
            <w:shd w:val="clear" w:color="auto" w:fill="auto"/>
          </w:tcPr>
          <w:p w14:paraId="73258A9C" w14:textId="77777777" w:rsidR="00DC0AA0" w:rsidRPr="00E43722" w:rsidRDefault="00B10D10" w:rsidP="00917F28">
            <w:pPr>
              <w:spacing w:before="120" w:after="120"/>
              <w:jc w:val="center"/>
              <w:rPr>
                <w:rFonts w:eastAsia="SimSun" w:cs="Arial"/>
                <w:lang w:val="en-GB" w:eastAsia="zh-CN"/>
              </w:rPr>
            </w:pPr>
            <w:r w:rsidRPr="00E43722">
              <w:rPr>
                <w:rFonts w:eastAsia="SimSun" w:cs="Arial"/>
                <w:lang w:val="en-US" w:eastAsia="zh-CN"/>
              </w:rPr>
              <w:t xml:space="preserve">94 (7.2%)  </w:t>
            </w:r>
          </w:p>
        </w:tc>
        <w:tc>
          <w:tcPr>
            <w:tcW w:w="1984" w:type="dxa"/>
            <w:shd w:val="clear" w:color="auto" w:fill="auto"/>
          </w:tcPr>
          <w:p w14:paraId="024375EA" w14:textId="77777777" w:rsidR="00DC0AA0" w:rsidRPr="00E43722" w:rsidRDefault="00B10D10" w:rsidP="00917F28">
            <w:pPr>
              <w:spacing w:before="120" w:after="120"/>
              <w:jc w:val="center"/>
              <w:rPr>
                <w:rFonts w:eastAsia="SimSun" w:cs="Arial"/>
                <w:lang w:val="en-GB" w:eastAsia="zh-CN"/>
              </w:rPr>
            </w:pPr>
            <w:r w:rsidRPr="00E43722">
              <w:rPr>
                <w:rFonts w:eastAsia="SimSun" w:cs="Arial"/>
                <w:lang w:val="en-US" w:eastAsia="zh-CN"/>
              </w:rPr>
              <w:t xml:space="preserve">138 (12.0%)  </w:t>
            </w:r>
          </w:p>
        </w:tc>
        <w:tc>
          <w:tcPr>
            <w:tcW w:w="2374" w:type="dxa"/>
          </w:tcPr>
          <w:p w14:paraId="710F5391" w14:textId="77777777" w:rsidR="00DC0AA0" w:rsidRDefault="00B10D10" w:rsidP="007F136E">
            <w:pPr>
              <w:spacing w:before="120" w:after="120"/>
              <w:jc w:val="center"/>
              <w:rPr>
                <w:rFonts w:eastAsia="SimSun" w:cs="Arial"/>
                <w:lang w:val="en-US" w:eastAsia="zh-CN"/>
              </w:rPr>
            </w:pPr>
            <w:r w:rsidRPr="00E43722">
              <w:rPr>
                <w:rFonts w:eastAsia="SimSun" w:cs="Arial"/>
                <w:lang w:val="en-US" w:eastAsia="zh-CN"/>
              </w:rPr>
              <w:t>0.67 (0.52;0.87)</w:t>
            </w:r>
            <w:r w:rsidRPr="00E43722">
              <w:rPr>
                <w:rFonts w:eastAsia="SimSun" w:cs="Arial"/>
                <w:lang w:val="en-GB" w:eastAsia="zh-CN"/>
              </w:rPr>
              <w:br/>
              <w:t xml:space="preserve"> p</w:t>
            </w:r>
            <w:r>
              <w:rPr>
                <w:rFonts w:eastAsia="SimSun" w:cs="Arial"/>
                <w:lang w:val="en-GB" w:eastAsia="zh-CN"/>
              </w:rPr>
              <w:t xml:space="preserve"> = </w:t>
            </w:r>
            <w:r w:rsidRPr="00E43722">
              <w:rPr>
                <w:rFonts w:eastAsia="SimSun" w:cs="Arial"/>
                <w:lang w:val="en-US" w:eastAsia="zh-CN"/>
              </w:rPr>
              <w:t>0.00262</w:t>
            </w:r>
          </w:p>
          <w:p w14:paraId="7405DF68" w14:textId="77777777" w:rsidR="00D41761" w:rsidRPr="00E43722" w:rsidRDefault="00D41761" w:rsidP="007F136E">
            <w:pPr>
              <w:spacing w:before="120" w:after="120"/>
              <w:jc w:val="center"/>
              <w:rPr>
                <w:rFonts w:eastAsia="SimSun" w:cs="Arial"/>
                <w:lang w:val="en-GB" w:eastAsia="zh-CN"/>
              </w:rPr>
            </w:pPr>
          </w:p>
        </w:tc>
      </w:tr>
      <w:tr w:rsidR="00DC0AA0" w:rsidRPr="00EE119B" w14:paraId="58F84BE1" w14:textId="77777777" w:rsidTr="007F136E">
        <w:tc>
          <w:tcPr>
            <w:tcW w:w="2977" w:type="dxa"/>
            <w:shd w:val="clear" w:color="auto" w:fill="auto"/>
          </w:tcPr>
          <w:p w14:paraId="7E76B562" w14:textId="77777777" w:rsidR="00DC0AA0" w:rsidRPr="001875E4" w:rsidRDefault="00B10D10" w:rsidP="00E54340">
            <w:pPr>
              <w:keepNext/>
              <w:widowControl w:val="0"/>
              <w:spacing w:after="120"/>
              <w:rPr>
                <w:rFonts w:cs="Arial"/>
                <w:lang w:val="en-GB" w:eastAsia="en-US"/>
              </w:rPr>
            </w:pPr>
            <w:r w:rsidRPr="001875E4">
              <w:rPr>
                <w:rFonts w:cs="Arial"/>
                <w:lang w:val="en-GB" w:eastAsia="en-US"/>
              </w:rPr>
              <w:t>Modified ISTH major bleeding</w:t>
            </w:r>
          </w:p>
        </w:tc>
        <w:tc>
          <w:tcPr>
            <w:tcW w:w="2410" w:type="dxa"/>
            <w:shd w:val="clear" w:color="auto" w:fill="auto"/>
          </w:tcPr>
          <w:p w14:paraId="2B195C80" w14:textId="77777777" w:rsidR="00DC0AA0" w:rsidRPr="001875E4" w:rsidRDefault="00B10D10" w:rsidP="00745A14">
            <w:pPr>
              <w:spacing w:before="120" w:after="120"/>
              <w:jc w:val="center"/>
              <w:rPr>
                <w:rFonts w:eastAsia="SimSun" w:cs="Arial"/>
                <w:lang w:val="en-GB" w:eastAsia="zh-CN"/>
              </w:rPr>
            </w:pPr>
            <w:r w:rsidRPr="001875E4">
              <w:rPr>
                <w:rFonts w:eastAsia="SimSun" w:cs="Arial"/>
                <w:lang w:val="en-US" w:eastAsia="zh-CN"/>
              </w:rPr>
              <w:t>52 (4.3%)</w:t>
            </w:r>
          </w:p>
        </w:tc>
        <w:tc>
          <w:tcPr>
            <w:tcW w:w="1984" w:type="dxa"/>
            <w:shd w:val="clear" w:color="auto" w:fill="auto"/>
          </w:tcPr>
          <w:p w14:paraId="06FE638F" w14:textId="77777777" w:rsidR="00DC0AA0" w:rsidRPr="001875E4" w:rsidRDefault="00B10D10" w:rsidP="00745A14">
            <w:pPr>
              <w:spacing w:before="120" w:after="120"/>
              <w:jc w:val="center"/>
              <w:rPr>
                <w:rFonts w:eastAsia="SimSun" w:cs="Arial"/>
                <w:lang w:val="en-GB" w:eastAsia="zh-CN"/>
              </w:rPr>
            </w:pPr>
            <w:r w:rsidRPr="001875E4">
              <w:rPr>
                <w:rFonts w:eastAsia="SimSun" w:cs="Arial"/>
                <w:lang w:val="en-US" w:eastAsia="zh-CN"/>
              </w:rPr>
              <w:t>36 (2.6%)</w:t>
            </w:r>
            <w:r w:rsidRPr="001875E4" w:rsidDel="00B10D10">
              <w:rPr>
                <w:rFonts w:eastAsia="SimSun" w:cs="Arial"/>
                <w:lang w:val="en-US" w:eastAsia="zh-CN"/>
              </w:rPr>
              <w:t xml:space="preserve"> </w:t>
            </w:r>
          </w:p>
        </w:tc>
        <w:tc>
          <w:tcPr>
            <w:tcW w:w="2374" w:type="dxa"/>
          </w:tcPr>
          <w:p w14:paraId="683E1C3F" w14:textId="77777777" w:rsidR="00DC0AA0" w:rsidRDefault="00B10D10" w:rsidP="007F136E">
            <w:pPr>
              <w:spacing w:before="120" w:after="120"/>
              <w:jc w:val="center"/>
              <w:rPr>
                <w:rFonts w:eastAsia="SimSun" w:cs="Arial"/>
                <w:lang w:val="en-US" w:eastAsia="zh-CN"/>
              </w:rPr>
            </w:pPr>
            <w:r w:rsidRPr="001875E4">
              <w:rPr>
                <w:rFonts w:eastAsia="SimSun" w:cs="Arial"/>
                <w:lang w:val="en-US" w:eastAsia="zh-CN"/>
              </w:rPr>
              <w:t>1.43 (0.93;2.19)</w:t>
            </w:r>
            <w:r w:rsidRPr="001875E4">
              <w:rPr>
                <w:rFonts w:eastAsia="SimSun" w:cs="Arial"/>
                <w:lang w:val="en-GB" w:eastAsia="zh-CN"/>
              </w:rPr>
              <w:br/>
              <w:t xml:space="preserve"> p = 0</w:t>
            </w:r>
            <w:r w:rsidRPr="001875E4">
              <w:rPr>
                <w:rFonts w:eastAsia="SimSun" w:cs="Arial"/>
                <w:lang w:val="en-US" w:eastAsia="zh-CN"/>
              </w:rPr>
              <w:t>.09819</w:t>
            </w:r>
          </w:p>
          <w:p w14:paraId="31CE78AD" w14:textId="77777777" w:rsidR="00D41761" w:rsidRPr="00EE119B" w:rsidRDefault="00D41761" w:rsidP="007F136E">
            <w:pPr>
              <w:spacing w:before="120" w:after="120"/>
              <w:jc w:val="center"/>
              <w:rPr>
                <w:rFonts w:eastAsia="SimSun" w:cs="Arial"/>
                <w:lang w:val="en-GB" w:eastAsia="zh-CN"/>
              </w:rPr>
            </w:pPr>
          </w:p>
        </w:tc>
      </w:tr>
      <w:tr w:rsidR="00DC0AA0" w:rsidRPr="00EE119B" w14:paraId="3B29B625" w14:textId="77777777" w:rsidTr="007F136E">
        <w:tc>
          <w:tcPr>
            <w:tcW w:w="2977" w:type="dxa"/>
            <w:shd w:val="clear" w:color="auto" w:fill="auto"/>
          </w:tcPr>
          <w:p w14:paraId="4883D812" w14:textId="77777777" w:rsidR="00DC0AA0" w:rsidRPr="00271389" w:rsidRDefault="00B10D10" w:rsidP="007F136E">
            <w:pPr>
              <w:keepNext/>
              <w:widowControl w:val="0"/>
              <w:spacing w:after="120"/>
              <w:rPr>
                <w:rFonts w:cs="Arial"/>
                <w:lang w:val="en-GB" w:eastAsia="en-US"/>
              </w:rPr>
            </w:pPr>
            <w:r w:rsidRPr="00271389">
              <w:rPr>
                <w:rFonts w:cs="Arial"/>
                <w:lang w:val="en-GB" w:eastAsia="en-US"/>
              </w:rPr>
              <w:t xml:space="preserve"> Stroke, MI, CV death, fatal or symptomatic critical organ bleeding</w:t>
            </w:r>
          </w:p>
        </w:tc>
        <w:tc>
          <w:tcPr>
            <w:tcW w:w="2410" w:type="dxa"/>
            <w:shd w:val="clear" w:color="auto" w:fill="auto"/>
          </w:tcPr>
          <w:p w14:paraId="05050282" w14:textId="77777777" w:rsidR="00DC0AA0" w:rsidRPr="00EE119B" w:rsidRDefault="00B10D10" w:rsidP="000E0D8F">
            <w:pPr>
              <w:spacing w:before="120" w:after="120"/>
              <w:jc w:val="center"/>
              <w:rPr>
                <w:rFonts w:eastAsia="SimSun" w:cs="Arial"/>
                <w:lang w:val="en-GB" w:eastAsia="zh-CN"/>
              </w:rPr>
            </w:pPr>
            <w:r w:rsidRPr="00EE119B">
              <w:rPr>
                <w:rFonts w:eastAsia="SimSun" w:cs="Arial"/>
                <w:lang w:val="en-US" w:eastAsia="zh-CN"/>
              </w:rPr>
              <w:t xml:space="preserve">101 (7.5%)  </w:t>
            </w:r>
          </w:p>
        </w:tc>
        <w:tc>
          <w:tcPr>
            <w:tcW w:w="1984" w:type="dxa"/>
            <w:shd w:val="clear" w:color="auto" w:fill="auto"/>
          </w:tcPr>
          <w:p w14:paraId="2C3DF225" w14:textId="77777777" w:rsidR="00DC0AA0" w:rsidRPr="00EE119B" w:rsidRDefault="00B10D10" w:rsidP="001434A4">
            <w:pPr>
              <w:spacing w:before="120" w:after="120"/>
              <w:jc w:val="center"/>
              <w:rPr>
                <w:rFonts w:eastAsia="SimSun" w:cs="Arial"/>
                <w:lang w:val="en-GB" w:eastAsia="zh-CN"/>
              </w:rPr>
            </w:pPr>
            <w:r w:rsidRPr="00EE119B">
              <w:rPr>
                <w:rFonts w:eastAsia="SimSun" w:cs="Arial"/>
                <w:lang w:val="en-US" w:eastAsia="zh-CN"/>
              </w:rPr>
              <w:t>145 (12.3%)</w:t>
            </w:r>
          </w:p>
        </w:tc>
        <w:tc>
          <w:tcPr>
            <w:tcW w:w="2374" w:type="dxa"/>
          </w:tcPr>
          <w:p w14:paraId="5F7F42C4" w14:textId="77777777" w:rsidR="00B10D10" w:rsidRDefault="00B10D10" w:rsidP="00B10D10">
            <w:pPr>
              <w:spacing w:before="120" w:after="120"/>
              <w:jc w:val="center"/>
              <w:rPr>
                <w:rFonts w:eastAsia="SimSun" w:cs="Arial"/>
                <w:lang w:val="en-US" w:eastAsia="zh-CN"/>
              </w:rPr>
            </w:pPr>
            <w:r w:rsidRPr="00EE119B">
              <w:rPr>
                <w:rFonts w:eastAsia="SimSun" w:cs="Arial"/>
                <w:lang w:val="en-US" w:eastAsia="zh-CN"/>
              </w:rPr>
              <w:t xml:space="preserve">0.68 (0.53;0.88) </w:t>
            </w:r>
          </w:p>
          <w:p w14:paraId="3031446D" w14:textId="77777777" w:rsidR="00DC0AA0" w:rsidRDefault="00B10D10" w:rsidP="00B10D10">
            <w:pPr>
              <w:spacing w:before="120" w:after="120"/>
              <w:jc w:val="center"/>
              <w:rPr>
                <w:rFonts w:eastAsia="SimSun" w:cs="Arial"/>
                <w:lang w:val="en-US" w:eastAsia="zh-CN"/>
              </w:rPr>
            </w:pPr>
            <w:r w:rsidRPr="00EE119B">
              <w:rPr>
                <w:rFonts w:eastAsia="SimSun" w:cs="Arial"/>
                <w:lang w:val="en-GB" w:eastAsia="zh-CN"/>
              </w:rPr>
              <w:t>p</w:t>
            </w:r>
            <w:r>
              <w:rPr>
                <w:rFonts w:eastAsia="SimSun" w:cs="Arial"/>
                <w:lang w:val="en-GB" w:eastAsia="zh-CN"/>
              </w:rPr>
              <w:t xml:space="preserve"> = </w:t>
            </w:r>
            <w:r w:rsidRPr="00EE119B">
              <w:rPr>
                <w:rFonts w:eastAsia="SimSun" w:cs="Arial"/>
                <w:lang w:val="en-US" w:eastAsia="zh-CN"/>
              </w:rPr>
              <w:t>0.00327</w:t>
            </w:r>
          </w:p>
          <w:p w14:paraId="6D1AE0A9" w14:textId="77777777" w:rsidR="00D41761" w:rsidRPr="00EE119B" w:rsidRDefault="00D41761" w:rsidP="00B10D10">
            <w:pPr>
              <w:spacing w:before="120" w:after="120"/>
              <w:jc w:val="center"/>
              <w:rPr>
                <w:rFonts w:eastAsia="SimSun" w:cs="Arial"/>
                <w:lang w:val="en-GB" w:eastAsia="zh-CN"/>
              </w:rPr>
            </w:pPr>
          </w:p>
        </w:tc>
      </w:tr>
      <w:tr w:rsidR="00DC0AA0" w:rsidRPr="00EE119B" w14:paraId="5371D77F" w14:textId="77777777" w:rsidTr="007F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45" w:type="dxa"/>
            <w:gridSpan w:val="4"/>
            <w:shd w:val="clear" w:color="auto" w:fill="auto"/>
          </w:tcPr>
          <w:p w14:paraId="4A3D81EE" w14:textId="77777777" w:rsidR="00B10D10" w:rsidRPr="00EE119B" w:rsidRDefault="00B10D10" w:rsidP="00B10D10">
            <w:pPr>
              <w:keepNext/>
              <w:widowControl w:val="0"/>
              <w:ind w:left="360" w:hanging="360"/>
              <w:rPr>
                <w:rFonts w:cs="Arial"/>
                <w:sz w:val="18"/>
                <w:szCs w:val="18"/>
                <w:lang w:val="en-GB" w:eastAsia="en-US"/>
              </w:rPr>
            </w:pPr>
            <w:r w:rsidRPr="00E43722">
              <w:rPr>
                <w:rFonts w:cs="Arial"/>
                <w:sz w:val="18"/>
                <w:szCs w:val="18"/>
                <w:lang w:val="en-GB" w:eastAsia="en-US"/>
              </w:rPr>
              <w:t>a)</w:t>
            </w:r>
            <w:r w:rsidRPr="00E43722">
              <w:rPr>
                <w:rFonts w:cs="Arial"/>
                <w:sz w:val="18"/>
                <w:szCs w:val="18"/>
                <w:lang w:val="en-GB" w:eastAsia="en-US"/>
              </w:rPr>
              <w:tab/>
              <w:t>intention to treat analysis set, primary analyses</w:t>
            </w:r>
            <w:r w:rsidRPr="00EE119B">
              <w:rPr>
                <w:rFonts w:cs="Arial"/>
                <w:sz w:val="18"/>
                <w:szCs w:val="18"/>
                <w:lang w:val="en-GB" w:eastAsia="en-US"/>
              </w:rPr>
              <w:t xml:space="preserve">. </w:t>
            </w:r>
          </w:p>
          <w:p w14:paraId="34AE7528" w14:textId="77777777" w:rsidR="00B10D10" w:rsidRPr="00EE119B" w:rsidRDefault="00B10D10" w:rsidP="00B10D10">
            <w:pPr>
              <w:keepNext/>
              <w:widowControl w:val="0"/>
              <w:ind w:left="360" w:hanging="360"/>
              <w:rPr>
                <w:rFonts w:cs="Arial"/>
                <w:sz w:val="18"/>
                <w:szCs w:val="18"/>
                <w:lang w:val="en-GB" w:eastAsia="en-US"/>
              </w:rPr>
            </w:pPr>
            <w:r w:rsidRPr="00EE119B">
              <w:rPr>
                <w:rFonts w:cs="Arial"/>
                <w:sz w:val="18"/>
                <w:szCs w:val="18"/>
                <w:lang w:val="en-GB" w:eastAsia="en-US"/>
              </w:rPr>
              <w:t>b) Cum. Risk: Cumulative incidence risk (Kaplan-Meier estimates) at 30</w:t>
            </w:r>
            <w:r>
              <w:rPr>
                <w:rFonts w:cs="Arial"/>
                <w:sz w:val="18"/>
                <w:szCs w:val="18"/>
                <w:lang w:val="en-GB" w:eastAsia="en-US"/>
              </w:rPr>
              <w:t xml:space="preserve"> </w:t>
            </w:r>
            <w:r w:rsidRPr="00EE119B">
              <w:rPr>
                <w:rFonts w:cs="Arial"/>
                <w:sz w:val="18"/>
                <w:szCs w:val="18"/>
                <w:lang w:val="en-GB" w:eastAsia="en-US"/>
              </w:rPr>
              <w:t>months</w:t>
            </w:r>
          </w:p>
          <w:p w14:paraId="23D15660" w14:textId="77777777" w:rsidR="00B10D10" w:rsidRPr="00EE119B" w:rsidRDefault="00B10D10" w:rsidP="00B10D10">
            <w:pPr>
              <w:keepNext/>
              <w:widowControl w:val="0"/>
              <w:ind w:left="360" w:hanging="360"/>
              <w:rPr>
                <w:rFonts w:cs="Arial"/>
                <w:sz w:val="18"/>
                <w:szCs w:val="18"/>
                <w:lang w:val="en-GB" w:eastAsia="en-US"/>
              </w:rPr>
            </w:pPr>
            <w:r w:rsidRPr="00EE119B">
              <w:rPr>
                <w:rFonts w:cs="Arial"/>
                <w:sz w:val="18"/>
                <w:szCs w:val="18"/>
                <w:lang w:val="en-GB" w:eastAsia="en-US"/>
              </w:rPr>
              <w:t>c)</w:t>
            </w:r>
            <w:r w:rsidRPr="00EE119B">
              <w:rPr>
                <w:rFonts w:cs="Arial"/>
                <w:sz w:val="18"/>
                <w:szCs w:val="18"/>
                <w:lang w:val="en-GB" w:eastAsia="en-US"/>
              </w:rPr>
              <w:tab/>
              <w:t xml:space="preserve">vs. </w:t>
            </w:r>
            <w:r>
              <w:rPr>
                <w:rFonts w:cs="Arial"/>
                <w:sz w:val="18"/>
                <w:szCs w:val="18"/>
                <w:lang w:val="en-GB" w:eastAsia="en-US"/>
              </w:rPr>
              <w:t>aspirin</w:t>
            </w:r>
            <w:r w:rsidRPr="00EE119B">
              <w:rPr>
                <w:rFonts w:cs="Arial"/>
                <w:sz w:val="18"/>
                <w:szCs w:val="18"/>
                <w:lang w:val="en-GB" w:eastAsia="en-US"/>
              </w:rPr>
              <w:t xml:space="preserve"> 100</w:t>
            </w:r>
            <w:r>
              <w:rPr>
                <w:rFonts w:cs="Arial"/>
                <w:sz w:val="18"/>
                <w:szCs w:val="18"/>
                <w:lang w:val="en-GB" w:eastAsia="en-US"/>
              </w:rPr>
              <w:t xml:space="preserve"> </w:t>
            </w:r>
            <w:r w:rsidRPr="00EE119B">
              <w:rPr>
                <w:rFonts w:cs="Arial"/>
                <w:sz w:val="18"/>
                <w:szCs w:val="18"/>
                <w:lang w:val="en-GB" w:eastAsia="en-US"/>
              </w:rPr>
              <w:t>mg; Log-Rank p-value</w:t>
            </w:r>
          </w:p>
          <w:p w14:paraId="30EB685C" w14:textId="77777777" w:rsidR="00DC0AA0" w:rsidRDefault="00B10D10" w:rsidP="007F136E">
            <w:pPr>
              <w:keepNext/>
              <w:widowControl w:val="0"/>
              <w:ind w:left="360" w:hanging="360"/>
              <w:rPr>
                <w:rFonts w:cs="Arial"/>
                <w:sz w:val="18"/>
                <w:szCs w:val="18"/>
                <w:lang w:val="en-GB" w:eastAsia="en-US"/>
              </w:rPr>
            </w:pPr>
            <w:r w:rsidRPr="00EE119B">
              <w:rPr>
                <w:rFonts w:cs="Arial"/>
                <w:sz w:val="18"/>
                <w:szCs w:val="18"/>
                <w:lang w:val="en-GB" w:eastAsia="en-US"/>
              </w:rPr>
              <w:t>bid: twice daily; od: once daily; CI: confidence interval; MI: myocardial infarction, CV: cardiovascular</w:t>
            </w:r>
          </w:p>
          <w:p w14:paraId="520F4FD6" w14:textId="77777777" w:rsidR="00F76CE9" w:rsidRPr="00F76CE9" w:rsidRDefault="00F76CE9" w:rsidP="00F76CE9">
            <w:pPr>
              <w:keepNext/>
              <w:widowControl w:val="0"/>
              <w:ind w:left="360" w:hanging="360"/>
              <w:rPr>
                <w:rFonts w:cs="Arial"/>
                <w:sz w:val="18"/>
                <w:szCs w:val="18"/>
                <w:lang w:val="en-GB" w:eastAsia="en-US"/>
              </w:rPr>
            </w:pPr>
            <w:r w:rsidRPr="00F76CE9">
              <w:rPr>
                <w:rFonts w:cs="Arial"/>
                <w:sz w:val="18"/>
                <w:szCs w:val="18"/>
                <w:lang w:val="en-GB" w:eastAsia="en-US"/>
              </w:rPr>
              <w:t xml:space="preserve">d) </w:t>
            </w:r>
            <w:r w:rsidRPr="00F76CE9">
              <w:rPr>
                <w:rFonts w:cs="Arial"/>
                <w:sz w:val="18"/>
                <w:szCs w:val="18"/>
                <w:lang w:val="en-GB" w:eastAsia="en-US"/>
              </w:rPr>
              <w:tab/>
              <w:t xml:space="preserve">Patients could have more than one clinical diagnosis indicating either CAD and/or PAD. </w:t>
            </w:r>
          </w:p>
          <w:p w14:paraId="3076AA59" w14:textId="77777777" w:rsidR="00F76CE9" w:rsidRPr="00EE119B" w:rsidRDefault="00F76CE9" w:rsidP="00F76CE9">
            <w:pPr>
              <w:keepNext/>
              <w:widowControl w:val="0"/>
              <w:ind w:left="360" w:hanging="360"/>
              <w:rPr>
                <w:rFonts w:ascii="Times New Roman" w:hAnsi="Times New Roman"/>
                <w:szCs w:val="22"/>
                <w:lang w:val="en-GB" w:eastAsia="en-US"/>
              </w:rPr>
            </w:pPr>
            <w:r w:rsidRPr="00F76CE9">
              <w:rPr>
                <w:rFonts w:cs="Arial"/>
                <w:sz w:val="18"/>
                <w:szCs w:val="18"/>
                <w:lang w:val="en-GB" w:eastAsia="en-US"/>
              </w:rPr>
              <w:t>bid: twice daily; od: once daily; CI: confidence interval; MI: myocardial infarction, CV: cardiovascular</w:t>
            </w:r>
          </w:p>
        </w:tc>
      </w:tr>
    </w:tbl>
    <w:p w14:paraId="516501B2" w14:textId="77777777" w:rsidR="00DC0AA0" w:rsidRPr="00DC0AA0" w:rsidRDefault="00DC0AA0" w:rsidP="00DC0AA0">
      <w:pPr>
        <w:rPr>
          <w:lang w:eastAsia="en-US"/>
        </w:rPr>
      </w:pPr>
    </w:p>
    <w:p w14:paraId="2AFEEC59" w14:textId="77777777" w:rsidR="00DC0AA0" w:rsidRPr="00DC0AA0" w:rsidRDefault="00DC0AA0" w:rsidP="00DC0AA0">
      <w:pPr>
        <w:rPr>
          <w:lang w:val="en-GB" w:eastAsia="en-US"/>
        </w:rPr>
      </w:pPr>
    </w:p>
    <w:p w14:paraId="58E0B732" w14:textId="77777777" w:rsidR="00680889" w:rsidRPr="00EE119B" w:rsidRDefault="00680889" w:rsidP="00680889">
      <w:pPr>
        <w:rPr>
          <w:rFonts w:ascii="Times New Roman" w:hAnsi="Times New Roman"/>
          <w:szCs w:val="22"/>
          <w:lang w:val="en-GB" w:eastAsia="de-DE"/>
        </w:rPr>
      </w:pPr>
    </w:p>
    <w:p w14:paraId="3FE0CDFC" w14:textId="447C027F" w:rsidR="00680889" w:rsidRDefault="00680889" w:rsidP="00680889">
      <w:pPr>
        <w:pStyle w:val="Caption"/>
      </w:pPr>
    </w:p>
    <w:p w14:paraId="2D2165E8" w14:textId="77777777" w:rsidR="00680889" w:rsidRPr="00EE119B" w:rsidRDefault="00680889" w:rsidP="00680889">
      <w:pPr>
        <w:keepNext/>
        <w:tabs>
          <w:tab w:val="left" w:pos="567"/>
        </w:tabs>
        <w:rPr>
          <w:rFonts w:ascii="Times New Roman" w:hAnsi="Times New Roman"/>
          <w:b/>
          <w:szCs w:val="22"/>
          <w:lang w:val="en-GB" w:eastAsia="en-US"/>
        </w:rPr>
      </w:pPr>
    </w:p>
    <w:p w14:paraId="754F5137" w14:textId="77777777" w:rsidR="00680889" w:rsidRPr="00EE119B" w:rsidRDefault="00680889" w:rsidP="00DA50C6">
      <w:pPr>
        <w:pStyle w:val="Caption"/>
        <w:ind w:left="1080" w:hanging="1080"/>
        <w:rPr>
          <w:rFonts w:cs="Arial"/>
          <w:lang w:val="en-GB" w:eastAsia="de-DE"/>
        </w:rPr>
      </w:pPr>
      <w:bookmarkStart w:id="63" w:name="_Ref522884781"/>
      <w:bookmarkStart w:id="64" w:name="_Ref505605134"/>
      <w:r w:rsidRPr="00FD39D3">
        <w:rPr>
          <w:rFonts w:cs="Arial"/>
        </w:rPr>
        <w:t xml:space="preserve">Figure </w:t>
      </w:r>
      <w:r w:rsidRPr="00FD39D3">
        <w:rPr>
          <w:rFonts w:cs="Arial"/>
        </w:rPr>
        <w:fldChar w:fldCharType="begin"/>
      </w:r>
      <w:r w:rsidRPr="00FD39D3">
        <w:rPr>
          <w:rFonts w:cs="Arial"/>
        </w:rPr>
        <w:instrText xml:space="preserve"> SEQ Figure \* ARABIC </w:instrText>
      </w:r>
      <w:r w:rsidRPr="00FD39D3">
        <w:rPr>
          <w:rFonts w:cs="Arial"/>
        </w:rPr>
        <w:fldChar w:fldCharType="separate"/>
      </w:r>
      <w:r w:rsidR="00C51DA4">
        <w:rPr>
          <w:rFonts w:cs="Arial"/>
          <w:noProof/>
        </w:rPr>
        <w:t>1</w:t>
      </w:r>
      <w:r w:rsidRPr="00FD39D3">
        <w:rPr>
          <w:rFonts w:cs="Arial"/>
        </w:rPr>
        <w:fldChar w:fldCharType="end"/>
      </w:r>
      <w:bookmarkEnd w:id="63"/>
      <w:r w:rsidRPr="00EE119B">
        <w:rPr>
          <w:rFonts w:cs="Arial"/>
          <w:lang w:val="en-GB" w:eastAsia="de-DE"/>
        </w:rPr>
        <w:t xml:space="preserve">: </w:t>
      </w:r>
      <w:r w:rsidRPr="00EE119B">
        <w:rPr>
          <w:rFonts w:cs="Arial"/>
          <w:color w:val="000000"/>
          <w:lang w:val="en-GB" w:eastAsia="de-DE"/>
        </w:rPr>
        <w:t>Time to first occurrence of primary efficacy outcome (stroke, myocardial infarction, cardiovascular death) in COMPASS</w:t>
      </w:r>
      <w:bookmarkEnd w:id="64"/>
    </w:p>
    <w:p w14:paraId="7EEBA64F" w14:textId="3FCB576D" w:rsidR="00680889" w:rsidRPr="00680889" w:rsidRDefault="00CD36D5" w:rsidP="00DC2E51">
      <w:pPr>
        <w:spacing w:before="120" w:after="120"/>
        <w:rPr>
          <w:lang w:val="en-GB"/>
        </w:rPr>
      </w:pPr>
      <w:r>
        <w:rPr>
          <w:noProof/>
        </w:rPr>
        <w:drawing>
          <wp:inline distT="0" distB="0" distL="0" distR="0" wp14:anchorId="4B400B78" wp14:editId="7304E3B7">
            <wp:extent cx="5759450" cy="3788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3788410"/>
                    </a:xfrm>
                    <a:prstGeom prst="rect">
                      <a:avLst/>
                    </a:prstGeom>
                  </pic:spPr>
                </pic:pic>
              </a:graphicData>
            </a:graphic>
          </wp:inline>
        </w:drawing>
      </w:r>
    </w:p>
    <w:p w14:paraId="3158244E" w14:textId="77777777" w:rsidR="00680889" w:rsidRPr="00EE119B" w:rsidRDefault="00680889" w:rsidP="00680889">
      <w:pPr>
        <w:ind w:left="34"/>
        <w:rPr>
          <w:rFonts w:cs="Arial"/>
          <w:color w:val="000000"/>
          <w:szCs w:val="22"/>
          <w:lang w:val="en-US" w:eastAsia="de-DE"/>
        </w:rPr>
      </w:pPr>
      <w:r w:rsidRPr="00EE119B">
        <w:rPr>
          <w:rFonts w:cs="Arial"/>
          <w:color w:val="000000"/>
          <w:szCs w:val="22"/>
          <w:lang w:val="en-GB" w:eastAsia="de-DE"/>
        </w:rPr>
        <w:t>bid: twice daily; od: once daily; CI: confidence interval</w:t>
      </w:r>
    </w:p>
    <w:p w14:paraId="1D7584B4" w14:textId="77777777" w:rsidR="009454E4" w:rsidRPr="00CD3C0D" w:rsidRDefault="00DC2E51" w:rsidP="00DC2E51">
      <w:pPr>
        <w:spacing w:before="120" w:after="120"/>
      </w:pPr>
      <w:r>
        <w:rPr>
          <w:rFonts w:ascii="Times New Roman" w:hAnsi="Times New Roman"/>
          <w:noProof/>
          <w:color w:val="000000"/>
          <w:szCs w:val="22"/>
        </w:rPr>
        <mc:AlternateContent>
          <mc:Choice Requires="wps">
            <w:drawing>
              <wp:anchor distT="0" distB="0" distL="114300" distR="114300" simplePos="0" relativeHeight="251659776" behindDoc="0" locked="0" layoutInCell="1" allowOverlap="1" wp14:anchorId="478EC2E0" wp14:editId="4AD6D960">
                <wp:simplePos x="0" y="0"/>
                <wp:positionH relativeFrom="column">
                  <wp:posOffset>1675793</wp:posOffset>
                </wp:positionH>
                <wp:positionV relativeFrom="paragraph">
                  <wp:posOffset>23771</wp:posOffset>
                </wp:positionV>
                <wp:extent cx="2695492" cy="524786"/>
                <wp:effectExtent l="0" t="0" r="1016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492" cy="52478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2F43520" w14:textId="77777777" w:rsidR="000E55D4" w:rsidRPr="004D1386" w:rsidRDefault="000E55D4" w:rsidP="00EE119B">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EC2E0" id="_x0000_t202" coordsize="21600,21600" o:spt="202" path="m,l,21600r21600,l21600,xe">
                <v:stroke joinstyle="miter"/>
                <v:path gradientshapeok="t" o:connecttype="rect"/>
              </v:shapetype>
              <v:shape id="Text Box 4" o:spid="_x0000_s1026" type="#_x0000_t202" style="position:absolute;margin-left:131.95pt;margin-top:1.85pt;width:212.25pt;height:4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" filled="f" strokecolor="white">
                <v:textbox>
                  <w:txbxContent>
                    <w:p w14:paraId="52F43520" w14:textId="77777777" w:rsidR="000E55D4" w:rsidRPr="004D1386" w:rsidRDefault="000E55D4" w:rsidP="00EE119B">
                      <w:pPr>
                        <w:rPr>
                          <w:sz w:val="16"/>
                        </w:rPr>
                      </w:pPr>
                    </w:p>
                  </w:txbxContent>
                </v:textbox>
              </v:shape>
            </w:pict>
          </mc:Fallback>
        </mc:AlternateContent>
      </w:r>
    </w:p>
    <w:p w14:paraId="4070A1FE" w14:textId="77777777" w:rsidR="007F08E4" w:rsidRPr="000202B5" w:rsidRDefault="00792CC7" w:rsidP="00D9199E">
      <w:pPr>
        <w:pStyle w:val="Heading2"/>
        <w:tabs>
          <w:tab w:val="num" w:pos="389"/>
        </w:tabs>
        <w:ind w:left="1298"/>
      </w:pPr>
      <w:bookmarkStart w:id="65" w:name="_Ref522882073"/>
      <w:r w:rsidRPr="000202B5">
        <w:t>PHARMACOKINETIC PROPERTIES</w:t>
      </w:r>
      <w:bookmarkEnd w:id="65"/>
    </w:p>
    <w:p w14:paraId="3C035462" w14:textId="77777777" w:rsidR="007F08E4" w:rsidRPr="000202B5" w:rsidRDefault="003B25EB" w:rsidP="00D9199E">
      <w:pPr>
        <w:pStyle w:val="Heading3"/>
        <w:ind w:left="720"/>
      </w:pPr>
      <w:r w:rsidRPr="000202B5">
        <w:t>Absorption</w:t>
      </w:r>
    </w:p>
    <w:p w14:paraId="66C8F589" w14:textId="77777777" w:rsidR="000E1128" w:rsidRPr="002742BE" w:rsidRDefault="000E1128" w:rsidP="00D9199E">
      <w:pPr>
        <w:spacing w:before="120" w:after="240"/>
        <w:ind w:left="720" w:right="46"/>
        <w:rPr>
          <w:rFonts w:cs="Arial"/>
          <w:szCs w:val="22"/>
        </w:rPr>
      </w:pPr>
      <w:r w:rsidRPr="002742BE">
        <w:rPr>
          <w:rFonts w:cs="Arial"/>
          <w:szCs w:val="22"/>
        </w:rPr>
        <w:t>Rivaroxaban is rapidly absorbed with maximum concentrations (C</w:t>
      </w:r>
      <w:r w:rsidRPr="002742BE">
        <w:rPr>
          <w:rFonts w:cs="Arial"/>
          <w:szCs w:val="22"/>
          <w:vertAlign w:val="subscript"/>
        </w:rPr>
        <w:t>max</w:t>
      </w:r>
      <w:r w:rsidR="00DF6C29">
        <w:rPr>
          <w:rFonts w:cs="Arial"/>
          <w:szCs w:val="22"/>
        </w:rPr>
        <w:t xml:space="preserve">) appearing 2 </w:t>
      </w:r>
      <w:r w:rsidRPr="002742BE">
        <w:rPr>
          <w:rFonts w:cs="Arial"/>
          <w:szCs w:val="22"/>
        </w:rPr>
        <w:t>- 4 hours after tablet intake.</w:t>
      </w:r>
      <w:r w:rsidR="00DF6C29">
        <w:rPr>
          <w:rFonts w:cs="Arial"/>
          <w:szCs w:val="22"/>
        </w:rPr>
        <w:t xml:space="preserve"> </w:t>
      </w:r>
      <w:r w:rsidRPr="002742BE">
        <w:rPr>
          <w:rFonts w:cs="Arial"/>
          <w:szCs w:val="22"/>
        </w:rPr>
        <w:t xml:space="preserve"> The absolute bioavailability of ri</w:t>
      </w:r>
      <w:r w:rsidR="00DF6C29">
        <w:rPr>
          <w:rFonts w:cs="Arial"/>
          <w:szCs w:val="22"/>
        </w:rPr>
        <w:t>varoxaban is high (80-100</w:t>
      </w:r>
      <w:r w:rsidRPr="002742BE">
        <w:rPr>
          <w:rFonts w:cs="Arial"/>
          <w:szCs w:val="22"/>
        </w:rPr>
        <w:t xml:space="preserve">%) for the 10 mg dose irrespective of fasting/fed conditions. </w:t>
      </w:r>
      <w:r w:rsidR="00DF6C29">
        <w:rPr>
          <w:rFonts w:cs="Arial"/>
          <w:szCs w:val="22"/>
        </w:rPr>
        <w:t xml:space="preserve"> </w:t>
      </w:r>
      <w:r w:rsidRPr="002742BE">
        <w:rPr>
          <w:rFonts w:cs="Arial"/>
          <w:szCs w:val="22"/>
        </w:rPr>
        <w:t>Under f</w:t>
      </w:r>
      <w:r w:rsidR="00DF6C29">
        <w:rPr>
          <w:rFonts w:cs="Arial"/>
          <w:szCs w:val="22"/>
        </w:rPr>
        <w:t xml:space="preserve">ed conditions </w:t>
      </w:r>
      <w:r w:rsidR="005F6704">
        <w:rPr>
          <w:rFonts w:cs="Arial"/>
          <w:szCs w:val="22"/>
        </w:rPr>
        <w:t>XARELTO</w:t>
      </w:r>
      <w:r w:rsidR="00DF6C29">
        <w:rPr>
          <w:rFonts w:cs="Arial"/>
          <w:szCs w:val="22"/>
        </w:rPr>
        <w:t xml:space="preserve"> 10 mg, 15 mg and 20 </w:t>
      </w:r>
      <w:r w:rsidRPr="002742BE">
        <w:rPr>
          <w:rFonts w:cs="Arial"/>
          <w:szCs w:val="22"/>
        </w:rPr>
        <w:t xml:space="preserve">mg tablets demonstrated dose-proportionality. </w:t>
      </w:r>
      <w:r w:rsidR="00DF6C29">
        <w:rPr>
          <w:rFonts w:cs="Arial"/>
          <w:szCs w:val="22"/>
        </w:rPr>
        <w:t xml:space="preserve"> </w:t>
      </w:r>
      <w:r w:rsidRPr="002742BE">
        <w:rPr>
          <w:rFonts w:cs="Arial"/>
          <w:szCs w:val="22"/>
        </w:rPr>
        <w:t xml:space="preserve">Oral bioavailability of </w:t>
      </w:r>
      <w:r w:rsidR="005F6704">
        <w:rPr>
          <w:rFonts w:cs="Arial"/>
          <w:szCs w:val="22"/>
        </w:rPr>
        <w:t>XARELTO</w:t>
      </w:r>
      <w:r w:rsidRPr="002742BE">
        <w:rPr>
          <w:rFonts w:cs="Arial"/>
          <w:szCs w:val="22"/>
        </w:rPr>
        <w:t xml:space="preserve"> 20 mg tablet is reduced to 66% under fasting conditions. </w:t>
      </w:r>
      <w:r w:rsidR="00DF6C29">
        <w:rPr>
          <w:rFonts w:cs="Arial"/>
          <w:szCs w:val="22"/>
        </w:rPr>
        <w:t xml:space="preserve"> </w:t>
      </w:r>
      <w:r w:rsidR="005C1099">
        <w:rPr>
          <w:rFonts w:cs="Arial"/>
          <w:szCs w:val="22"/>
        </w:rPr>
        <w:t xml:space="preserve">When </w:t>
      </w:r>
      <w:r w:rsidR="005F6704">
        <w:rPr>
          <w:rFonts w:cs="Arial"/>
          <w:szCs w:val="22"/>
        </w:rPr>
        <w:t>XARELTO</w:t>
      </w:r>
      <w:r w:rsidR="005C1099">
        <w:rPr>
          <w:rFonts w:cs="Arial"/>
          <w:szCs w:val="22"/>
        </w:rPr>
        <w:t xml:space="preserve"> 20 </w:t>
      </w:r>
      <w:r w:rsidRPr="002742BE">
        <w:rPr>
          <w:rFonts w:cs="Arial"/>
          <w:szCs w:val="22"/>
        </w:rPr>
        <w:t xml:space="preserve">mg tablet is taken with food mean AUC is increased by 39% compared to tablet taken under fasting conditions. </w:t>
      </w:r>
      <w:r w:rsidR="00DF6C29">
        <w:rPr>
          <w:rFonts w:cs="Arial"/>
          <w:szCs w:val="22"/>
        </w:rPr>
        <w:t xml:space="preserve"> </w:t>
      </w:r>
      <w:r w:rsidRPr="002742BE">
        <w:rPr>
          <w:rFonts w:cs="Arial"/>
          <w:szCs w:val="22"/>
        </w:rPr>
        <w:t>This indicates almost complete absorption and high oral bioavailability.</w:t>
      </w:r>
    </w:p>
    <w:p w14:paraId="468082FA" w14:textId="77777777" w:rsidR="000E1128" w:rsidRPr="00BA01EB" w:rsidRDefault="005F6704" w:rsidP="00D9199E">
      <w:pPr>
        <w:spacing w:before="120" w:after="240"/>
        <w:ind w:left="720" w:right="46"/>
        <w:rPr>
          <w:rFonts w:cs="Arial"/>
          <w:szCs w:val="22"/>
        </w:rPr>
      </w:pPr>
      <w:r>
        <w:rPr>
          <w:rFonts w:cs="Arial"/>
          <w:szCs w:val="22"/>
        </w:rPr>
        <w:t>XARELTO</w:t>
      </w:r>
      <w:r w:rsidR="000E1128" w:rsidRPr="002742BE">
        <w:rPr>
          <w:rFonts w:cs="Arial"/>
          <w:szCs w:val="22"/>
        </w:rPr>
        <w:t xml:space="preserve"> 10 mg tablets can be taken with or without food. </w:t>
      </w:r>
      <w:r w:rsidR="000E1128" w:rsidRPr="002742BE">
        <w:rPr>
          <w:rFonts w:cs="Arial"/>
          <w:bCs/>
          <w:szCs w:val="22"/>
        </w:rPr>
        <w:t xml:space="preserve">Intake with food does not affect rivaroxaban AUC or </w:t>
      </w:r>
      <w:r w:rsidR="000E1128" w:rsidRPr="002742BE">
        <w:rPr>
          <w:rFonts w:cs="Arial"/>
          <w:szCs w:val="22"/>
        </w:rPr>
        <w:t>C</w:t>
      </w:r>
      <w:r w:rsidR="000E1128" w:rsidRPr="002742BE">
        <w:rPr>
          <w:rFonts w:cs="Arial"/>
          <w:szCs w:val="22"/>
          <w:vertAlign w:val="subscript"/>
        </w:rPr>
        <w:t>max</w:t>
      </w:r>
      <w:r w:rsidR="00DF6C29">
        <w:rPr>
          <w:rFonts w:cs="Arial"/>
          <w:bCs/>
          <w:szCs w:val="22"/>
        </w:rPr>
        <w:t xml:space="preserve"> at the </w:t>
      </w:r>
      <w:r w:rsidR="00DF6C29" w:rsidRPr="00BA01EB">
        <w:rPr>
          <w:rFonts w:cs="Arial"/>
          <w:bCs/>
          <w:szCs w:val="22"/>
        </w:rPr>
        <w:t>10 mg dose</w:t>
      </w:r>
      <w:r w:rsidR="000E1128" w:rsidRPr="00BA01EB">
        <w:rPr>
          <w:rFonts w:cs="Arial"/>
          <w:bCs/>
          <w:szCs w:val="22"/>
        </w:rPr>
        <w:t xml:space="preserve"> </w:t>
      </w:r>
      <w:r w:rsidR="000E1128" w:rsidRPr="00BA01EB">
        <w:rPr>
          <w:rFonts w:cs="Arial"/>
          <w:szCs w:val="22"/>
        </w:rPr>
        <w:t>(</w:t>
      </w:r>
      <w:r w:rsidR="00DF6C29" w:rsidRPr="00BA01EB">
        <w:rPr>
          <w:rFonts w:cs="Arial"/>
          <w:szCs w:val="22"/>
        </w:rPr>
        <w:t>see</w:t>
      </w:r>
      <w:r w:rsidR="0068602B" w:rsidRPr="00BA01EB">
        <w:rPr>
          <w:rFonts w:cs="Arial"/>
          <w:szCs w:val="22"/>
        </w:rPr>
        <w:t xml:space="preserve"> Section 4.2</w:t>
      </w:r>
      <w:r w:rsidR="00DF6C29" w:rsidRPr="00BA01EB">
        <w:rPr>
          <w:rFonts w:cs="Arial"/>
          <w:szCs w:val="22"/>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00DF6C29" w:rsidRPr="00BA01EB">
        <w:rPr>
          <w:rFonts w:cs="Arial"/>
          <w:szCs w:val="22"/>
        </w:rPr>
        <w:t>).</w:t>
      </w:r>
    </w:p>
    <w:p w14:paraId="4B2D9479" w14:textId="77777777" w:rsidR="000E1128" w:rsidRPr="002742BE" w:rsidRDefault="005F6704" w:rsidP="00D9199E">
      <w:pPr>
        <w:spacing w:before="120" w:after="240"/>
        <w:ind w:left="720" w:right="46"/>
        <w:rPr>
          <w:rFonts w:cs="Arial"/>
          <w:szCs w:val="22"/>
        </w:rPr>
      </w:pPr>
      <w:r w:rsidRPr="00BA01EB">
        <w:rPr>
          <w:rFonts w:cs="Arial"/>
          <w:szCs w:val="22"/>
        </w:rPr>
        <w:lastRenderedPageBreak/>
        <w:t>XARELTO</w:t>
      </w:r>
      <w:r w:rsidR="000E1128" w:rsidRPr="00BA01EB">
        <w:rPr>
          <w:rFonts w:cs="Arial"/>
          <w:szCs w:val="22"/>
        </w:rPr>
        <w:t xml:space="preserve"> 15 mg and 20 mg tablets should be taken with food (see</w:t>
      </w:r>
      <w:r w:rsidR="0068602B" w:rsidRPr="00BA01EB">
        <w:rPr>
          <w:rFonts w:cs="Arial"/>
          <w:szCs w:val="22"/>
        </w:rPr>
        <w:t xml:space="preserve"> Section 4.2</w:t>
      </w:r>
      <w:r w:rsidR="000E1128" w:rsidRPr="00BA01EB">
        <w:rPr>
          <w:rFonts w:cs="Arial"/>
          <w:szCs w:val="22"/>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000E1128" w:rsidRPr="00BA01EB">
        <w:rPr>
          <w:rFonts w:cs="Arial"/>
          <w:szCs w:val="22"/>
        </w:rPr>
        <w:t>).</w:t>
      </w:r>
      <w:r w:rsidR="000E1128">
        <w:rPr>
          <w:rFonts w:cs="Arial"/>
          <w:szCs w:val="22"/>
        </w:rPr>
        <w:t xml:space="preserve"> </w:t>
      </w:r>
      <w:r w:rsidR="005C1099">
        <w:rPr>
          <w:rFonts w:cs="Arial"/>
          <w:szCs w:val="22"/>
        </w:rPr>
        <w:t xml:space="preserve"> </w:t>
      </w:r>
      <w:r w:rsidR="000E1128">
        <w:rPr>
          <w:rFonts w:cs="Arial"/>
          <w:szCs w:val="22"/>
        </w:rPr>
        <w:t>The data regarding food effect is limited.</w:t>
      </w:r>
    </w:p>
    <w:p w14:paraId="2EA5D620" w14:textId="77777777" w:rsidR="000E1128" w:rsidRDefault="000E1128" w:rsidP="00D9199E">
      <w:pPr>
        <w:spacing w:before="120" w:after="240"/>
        <w:ind w:left="720" w:right="46"/>
        <w:rPr>
          <w:rFonts w:cs="Arial"/>
          <w:szCs w:val="22"/>
        </w:rPr>
      </w:pPr>
      <w:r w:rsidRPr="002742BE">
        <w:rPr>
          <w:rFonts w:cs="Arial"/>
          <w:szCs w:val="22"/>
        </w:rPr>
        <w:t>Variability in rivaroxaban pharmacokinetics is moderate with i</w:t>
      </w:r>
      <w:r w:rsidR="00DF6C29">
        <w:rPr>
          <w:rFonts w:cs="Arial"/>
          <w:szCs w:val="22"/>
        </w:rPr>
        <w:t>nter-individual variability (CV%) ranging from 30% to 40</w:t>
      </w:r>
      <w:r w:rsidRPr="002742BE">
        <w:rPr>
          <w:rFonts w:cs="Arial"/>
          <w:szCs w:val="22"/>
        </w:rPr>
        <w:t>%, apart from the day of surgery and the following day when variability in exposure is high (70%) in patients who underwent hip or knee replacement.</w:t>
      </w:r>
    </w:p>
    <w:p w14:paraId="2B14603E" w14:textId="77777777" w:rsidR="000E1128" w:rsidRPr="005A1773" w:rsidRDefault="000E1128" w:rsidP="00D41761">
      <w:pPr>
        <w:spacing w:before="120" w:after="240"/>
        <w:ind w:left="630" w:right="46"/>
        <w:rPr>
          <w:rFonts w:cs="Arial"/>
          <w:szCs w:val="22"/>
        </w:rPr>
      </w:pPr>
      <w:r w:rsidRPr="005A1773">
        <w:rPr>
          <w:rFonts w:cs="Arial"/>
          <w:szCs w:val="22"/>
        </w:rPr>
        <w:t>Absorption of rivaroxaban is dependent on the site of drug release in the GI tract.</w:t>
      </w:r>
      <w:r w:rsidR="00DF6C29">
        <w:rPr>
          <w:rFonts w:cs="Arial"/>
          <w:szCs w:val="22"/>
        </w:rPr>
        <w:t xml:space="preserve"> </w:t>
      </w:r>
      <w:r w:rsidRPr="005A1773">
        <w:rPr>
          <w:rFonts w:cs="Arial"/>
          <w:szCs w:val="22"/>
        </w:rPr>
        <w:t xml:space="preserve"> A 29% and 56% decrease in AUC and C</w:t>
      </w:r>
      <w:r w:rsidRPr="005A1773">
        <w:rPr>
          <w:rFonts w:cs="Arial"/>
          <w:szCs w:val="22"/>
          <w:vertAlign w:val="subscript"/>
        </w:rPr>
        <w:t>max</w:t>
      </w:r>
      <w:r w:rsidRPr="005A1773">
        <w:rPr>
          <w:rFonts w:cs="Arial"/>
          <w:szCs w:val="22"/>
        </w:rPr>
        <w:t xml:space="preserve"> compared to tablet was reported when rivaroxaban granulate is released in the proximal small intestine.</w:t>
      </w:r>
      <w:r w:rsidR="00DF6C29">
        <w:rPr>
          <w:rFonts w:cs="Arial"/>
          <w:szCs w:val="22"/>
        </w:rPr>
        <w:t xml:space="preserve"> </w:t>
      </w:r>
      <w:r w:rsidRPr="005A1773">
        <w:rPr>
          <w:rFonts w:cs="Arial"/>
          <w:szCs w:val="22"/>
        </w:rPr>
        <w:t xml:space="preserve"> Exposure is further reduced when drug is released in the distal small intestine, or ascending colon. </w:t>
      </w:r>
      <w:r w:rsidR="00DF6C29">
        <w:rPr>
          <w:rFonts w:cs="Arial"/>
          <w:szCs w:val="22"/>
        </w:rPr>
        <w:t xml:space="preserve"> </w:t>
      </w:r>
      <w:r>
        <w:rPr>
          <w:rFonts w:cs="Arial"/>
          <w:szCs w:val="22"/>
        </w:rPr>
        <w:t xml:space="preserve">In case of administration of </w:t>
      </w:r>
      <w:r w:rsidR="005F6704">
        <w:rPr>
          <w:rFonts w:cs="Arial"/>
          <w:szCs w:val="22"/>
        </w:rPr>
        <w:t>XARELTO</w:t>
      </w:r>
      <w:r>
        <w:rPr>
          <w:rFonts w:cs="Arial"/>
          <w:szCs w:val="22"/>
        </w:rPr>
        <w:t xml:space="preserve"> through nasogastric/enteral tube, a</w:t>
      </w:r>
      <w:r w:rsidRPr="005A1773">
        <w:rPr>
          <w:rFonts w:cs="Arial"/>
          <w:szCs w:val="22"/>
        </w:rPr>
        <w:t>void administration of rivaroxaban distal to the stomach which can result in reduced absorption and related drug exposure.</w:t>
      </w:r>
    </w:p>
    <w:p w14:paraId="47BD0377" w14:textId="77777777" w:rsidR="000E1128" w:rsidRPr="002742BE" w:rsidRDefault="000E1128" w:rsidP="00DC2E51">
      <w:pPr>
        <w:spacing w:before="120" w:after="240"/>
        <w:ind w:left="630" w:right="46"/>
        <w:rPr>
          <w:rFonts w:cs="Arial"/>
          <w:szCs w:val="22"/>
        </w:rPr>
      </w:pPr>
      <w:r w:rsidRPr="005A1773">
        <w:rPr>
          <w:rFonts w:cs="Arial"/>
          <w:szCs w:val="22"/>
        </w:rPr>
        <w:t>Bioavailability (AUC and C</w:t>
      </w:r>
      <w:r w:rsidRPr="005A1773">
        <w:rPr>
          <w:rFonts w:cs="Arial"/>
          <w:szCs w:val="22"/>
          <w:vertAlign w:val="subscript"/>
        </w:rPr>
        <w:t>max</w:t>
      </w:r>
      <w:r w:rsidRPr="005A1773">
        <w:rPr>
          <w:rFonts w:cs="Arial"/>
          <w:szCs w:val="22"/>
        </w:rPr>
        <w:t>) was comparable for 20 mg rivaroxaban administered orally as a crushed tablet mixed in apple</w:t>
      </w:r>
      <w:r w:rsidR="00DF6C29">
        <w:rPr>
          <w:rFonts w:cs="Arial"/>
          <w:szCs w:val="22"/>
        </w:rPr>
        <w:t xml:space="preserve"> </w:t>
      </w:r>
      <w:r w:rsidRPr="005A1773">
        <w:rPr>
          <w:rFonts w:cs="Arial"/>
          <w:szCs w:val="22"/>
        </w:rPr>
        <w:t xml:space="preserve">sauce, or suspended in water and administered via a gastric tube followed by a liquid meal, compared to a whole tablet. </w:t>
      </w:r>
      <w:r w:rsidR="00DF6C29">
        <w:rPr>
          <w:rFonts w:cs="Arial"/>
          <w:szCs w:val="22"/>
        </w:rPr>
        <w:t xml:space="preserve"> </w:t>
      </w:r>
      <w:r w:rsidRPr="005A1773">
        <w:rPr>
          <w:rFonts w:cs="Arial"/>
          <w:szCs w:val="22"/>
        </w:rPr>
        <w:t>Given, the predictable, dose-proportional pharmacokinetic profile of rivaroxaban, the bioavailability results from this study are likely applicable to lower rivaroxaban doses</w:t>
      </w:r>
      <w:r>
        <w:rPr>
          <w:rFonts w:cs="Arial"/>
          <w:szCs w:val="22"/>
        </w:rPr>
        <w:t>.</w:t>
      </w:r>
    </w:p>
    <w:p w14:paraId="393AB702" w14:textId="77777777" w:rsidR="007F08E4" w:rsidRPr="000202B5" w:rsidRDefault="003B25EB" w:rsidP="000202B5">
      <w:pPr>
        <w:pStyle w:val="Heading3"/>
      </w:pPr>
      <w:r w:rsidRPr="000202B5">
        <w:t>Distribution</w:t>
      </w:r>
    </w:p>
    <w:p w14:paraId="1C8BAC35" w14:textId="77777777" w:rsidR="000E1128" w:rsidRDefault="000E1128" w:rsidP="00DC2E51">
      <w:pPr>
        <w:spacing w:before="120" w:after="240"/>
        <w:ind w:left="630" w:right="46"/>
      </w:pPr>
      <w:r w:rsidRPr="002742BE">
        <w:rPr>
          <w:rFonts w:cs="Arial"/>
          <w:szCs w:val="22"/>
        </w:rPr>
        <w:t xml:space="preserve">Plasma protein binding in human is high at approximately 92% to 95%, with serum albumin being the main binding component. </w:t>
      </w:r>
      <w:r w:rsidR="00294A91">
        <w:rPr>
          <w:rFonts w:cs="Arial"/>
          <w:szCs w:val="22"/>
        </w:rPr>
        <w:t xml:space="preserve"> </w:t>
      </w:r>
      <w:r w:rsidRPr="002742BE">
        <w:rPr>
          <w:rFonts w:cs="Arial"/>
          <w:szCs w:val="22"/>
        </w:rPr>
        <w:t>The volume of distribution is moderate with V</w:t>
      </w:r>
      <w:r w:rsidRPr="002742BE">
        <w:rPr>
          <w:rFonts w:cs="Arial"/>
          <w:vertAlign w:val="subscript"/>
        </w:rPr>
        <w:t>ss</w:t>
      </w:r>
      <w:r w:rsidRPr="002742BE">
        <w:rPr>
          <w:rFonts w:cs="Arial"/>
          <w:szCs w:val="22"/>
        </w:rPr>
        <w:t xml:space="preserve"> being approximately 50</w:t>
      </w:r>
      <w:r w:rsidR="00DF6C29">
        <w:rPr>
          <w:rFonts w:cs="Arial"/>
          <w:szCs w:val="22"/>
        </w:rPr>
        <w:t xml:space="preserve"> </w:t>
      </w:r>
      <w:r w:rsidRPr="002742BE">
        <w:rPr>
          <w:rFonts w:cs="Arial"/>
          <w:szCs w:val="22"/>
        </w:rPr>
        <w:t>L.</w:t>
      </w:r>
    </w:p>
    <w:p w14:paraId="355A36FC" w14:textId="77777777" w:rsidR="007F08E4" w:rsidRPr="000202B5" w:rsidRDefault="003B25EB" w:rsidP="000202B5">
      <w:pPr>
        <w:pStyle w:val="Heading3"/>
      </w:pPr>
      <w:bookmarkStart w:id="66" w:name="_Ref501602476"/>
      <w:r w:rsidRPr="000202B5">
        <w:t>Metabolism</w:t>
      </w:r>
      <w:bookmarkEnd w:id="66"/>
    </w:p>
    <w:p w14:paraId="60FC3132" w14:textId="77777777" w:rsidR="000E1128" w:rsidRDefault="000E1128" w:rsidP="00E90F26">
      <w:pPr>
        <w:pStyle w:val="BayerBodyTextFull"/>
      </w:pPr>
      <w:r w:rsidRPr="002742BE">
        <w:t xml:space="preserve">Of the administered rivaroxaban dose, approximately 2/3 </w:t>
      </w:r>
      <w:r w:rsidR="00AD243B">
        <w:t>undergoes metabolic degradation.</w:t>
      </w:r>
    </w:p>
    <w:p w14:paraId="45F8283A" w14:textId="77777777" w:rsidR="000E1128" w:rsidRPr="000E1128" w:rsidRDefault="000E1128" w:rsidP="00DC2E51">
      <w:pPr>
        <w:spacing w:before="120" w:after="240"/>
        <w:ind w:left="630" w:right="46"/>
        <w:rPr>
          <w:rFonts w:cs="Arial"/>
          <w:szCs w:val="22"/>
          <w:lang w:eastAsia="en-US"/>
        </w:rPr>
      </w:pPr>
      <w:r w:rsidRPr="000E1128">
        <w:rPr>
          <w:rFonts w:cs="Arial"/>
          <w:szCs w:val="22"/>
          <w:lang w:eastAsia="en-US"/>
        </w:rPr>
        <w:t xml:space="preserve">Rivaroxaban is metabolised via CYP3A4, CYP2J2 and CYP-independent mechanisms. </w:t>
      </w:r>
      <w:r w:rsidR="00C0749F">
        <w:rPr>
          <w:rFonts w:cs="Arial"/>
          <w:szCs w:val="22"/>
          <w:lang w:eastAsia="en-US"/>
        </w:rPr>
        <w:t xml:space="preserve"> </w:t>
      </w:r>
      <w:r w:rsidRPr="000E1128">
        <w:rPr>
          <w:rFonts w:cs="Arial"/>
          <w:szCs w:val="22"/>
          <w:lang w:eastAsia="en-US"/>
        </w:rPr>
        <w:t xml:space="preserve">Oxidative degradation of the morpholinone moiety and hydrolysis of the amide bonds are the major sites of biotransformation. </w:t>
      </w:r>
    </w:p>
    <w:p w14:paraId="5C2C0379" w14:textId="77777777" w:rsidR="000E1128" w:rsidRPr="000E1128" w:rsidRDefault="000E1128" w:rsidP="00DC2E51">
      <w:pPr>
        <w:spacing w:before="120" w:after="240"/>
        <w:ind w:left="630" w:right="46"/>
        <w:rPr>
          <w:rFonts w:cs="Arial"/>
          <w:szCs w:val="22"/>
          <w:lang w:eastAsia="en-US"/>
        </w:rPr>
      </w:pPr>
      <w:r w:rsidRPr="000E1128">
        <w:rPr>
          <w:rFonts w:cs="Arial"/>
          <w:szCs w:val="22"/>
          <w:lang w:eastAsia="en-US"/>
        </w:rPr>
        <w:t xml:space="preserve">Based on </w:t>
      </w:r>
      <w:r w:rsidRPr="000E1128">
        <w:rPr>
          <w:rFonts w:cs="Arial"/>
          <w:i/>
          <w:szCs w:val="22"/>
          <w:lang w:eastAsia="en-US"/>
        </w:rPr>
        <w:t>in vitro</w:t>
      </w:r>
      <w:r w:rsidRPr="000E1128">
        <w:rPr>
          <w:rFonts w:cs="Arial"/>
          <w:szCs w:val="22"/>
          <w:lang w:eastAsia="en-US"/>
        </w:rPr>
        <w:t xml:space="preserve"> investigations rivaroxaban is a substrate of the transporter proteins P-gp (P-glycoprotein) and Bcrp (breast cancer resistance protein).</w:t>
      </w:r>
    </w:p>
    <w:p w14:paraId="1F8E20F6" w14:textId="77777777" w:rsidR="000E1128" w:rsidRPr="000E1128" w:rsidRDefault="000E1128" w:rsidP="00E90F26">
      <w:pPr>
        <w:pStyle w:val="BayerBodyTextFull"/>
      </w:pPr>
      <w:r w:rsidRPr="000E1128">
        <w:rPr>
          <w:lang w:eastAsia="en-US"/>
        </w:rPr>
        <w:t>Unchanged rivaroxaban is the most important compound in human plasma with no major or active circulating metabolites being present.</w:t>
      </w:r>
    </w:p>
    <w:p w14:paraId="2A933557" w14:textId="77777777" w:rsidR="007F08E4" w:rsidRPr="000202B5" w:rsidRDefault="003B25EB" w:rsidP="000202B5">
      <w:pPr>
        <w:pStyle w:val="Heading3"/>
      </w:pPr>
      <w:bookmarkStart w:id="67" w:name="_Ref501602484"/>
      <w:r w:rsidRPr="000202B5">
        <w:t>Excretion</w:t>
      </w:r>
      <w:bookmarkEnd w:id="67"/>
    </w:p>
    <w:p w14:paraId="6C721861" w14:textId="77777777" w:rsidR="000E1128" w:rsidRPr="002742BE" w:rsidRDefault="000E1128" w:rsidP="00DC2E51">
      <w:pPr>
        <w:spacing w:before="120" w:after="240"/>
        <w:ind w:left="630" w:right="46"/>
        <w:rPr>
          <w:rFonts w:cs="Arial"/>
          <w:szCs w:val="22"/>
        </w:rPr>
      </w:pPr>
      <w:r>
        <w:rPr>
          <w:rFonts w:cs="Arial"/>
          <w:szCs w:val="22"/>
        </w:rPr>
        <w:t xml:space="preserve">Of the </w:t>
      </w:r>
      <w:r w:rsidRPr="002742BE">
        <w:rPr>
          <w:rFonts w:cs="Arial"/>
          <w:szCs w:val="22"/>
        </w:rPr>
        <w:t xml:space="preserve">approximately 2/3 </w:t>
      </w:r>
      <w:r>
        <w:rPr>
          <w:rFonts w:cs="Arial"/>
          <w:szCs w:val="22"/>
        </w:rPr>
        <w:t xml:space="preserve">that </w:t>
      </w:r>
      <w:r w:rsidRPr="002742BE">
        <w:rPr>
          <w:rFonts w:cs="Arial"/>
          <w:szCs w:val="22"/>
        </w:rPr>
        <w:t>undergoes metabolic degradation</w:t>
      </w:r>
      <w:r>
        <w:rPr>
          <w:rFonts w:cs="Arial"/>
          <w:szCs w:val="22"/>
        </w:rPr>
        <w:t>,</w:t>
      </w:r>
      <w:r w:rsidRPr="002742BE">
        <w:rPr>
          <w:rFonts w:cs="Arial"/>
          <w:szCs w:val="22"/>
        </w:rPr>
        <w:t xml:space="preserve"> half </w:t>
      </w:r>
      <w:r>
        <w:rPr>
          <w:rFonts w:cs="Arial"/>
          <w:szCs w:val="22"/>
        </w:rPr>
        <w:t xml:space="preserve">is </w:t>
      </w:r>
      <w:r w:rsidRPr="002742BE">
        <w:rPr>
          <w:rFonts w:cs="Arial"/>
          <w:szCs w:val="22"/>
        </w:rPr>
        <w:t>then eliminated renally and the other half eliminated by the f</w:t>
      </w:r>
      <w:r w:rsidR="0068602B">
        <w:rPr>
          <w:rFonts w:cs="Arial"/>
          <w:szCs w:val="22"/>
        </w:rPr>
        <w:t>a</w:t>
      </w:r>
      <w:r w:rsidRPr="002742BE">
        <w:rPr>
          <w:rFonts w:cs="Arial"/>
          <w:szCs w:val="22"/>
        </w:rPr>
        <w:t xml:space="preserve">ecal route. </w:t>
      </w:r>
      <w:r>
        <w:rPr>
          <w:rFonts w:cs="Arial"/>
          <w:szCs w:val="22"/>
        </w:rPr>
        <w:t xml:space="preserve"> </w:t>
      </w:r>
      <w:r w:rsidRPr="002742BE">
        <w:rPr>
          <w:rFonts w:cs="Arial"/>
          <w:szCs w:val="22"/>
        </w:rPr>
        <w:t>The other 1/3 of the administered dose undergoes direct renal excretion as unchanged active substance in the urine, mainly via active secretion.</w:t>
      </w:r>
    </w:p>
    <w:p w14:paraId="701E2FE8" w14:textId="77777777" w:rsidR="000E1128" w:rsidRDefault="000E1128" w:rsidP="00DC2E51">
      <w:pPr>
        <w:spacing w:before="120" w:after="240"/>
        <w:ind w:left="630" w:right="46"/>
        <w:rPr>
          <w:rFonts w:cs="Arial"/>
          <w:szCs w:val="22"/>
          <w:lang w:eastAsia="en-US"/>
        </w:rPr>
      </w:pPr>
      <w:r w:rsidRPr="000E1128">
        <w:rPr>
          <w:rFonts w:cs="Arial"/>
          <w:szCs w:val="22"/>
          <w:lang w:eastAsia="en-US"/>
        </w:rPr>
        <w:t>With a systemic clearance of about 10</w:t>
      </w:r>
      <w:r>
        <w:rPr>
          <w:rFonts w:cs="Arial"/>
          <w:szCs w:val="22"/>
          <w:lang w:eastAsia="en-US"/>
        </w:rPr>
        <w:t xml:space="preserve"> </w:t>
      </w:r>
      <w:r w:rsidRPr="000E1128">
        <w:rPr>
          <w:rFonts w:cs="Arial"/>
          <w:szCs w:val="22"/>
          <w:lang w:eastAsia="en-US"/>
        </w:rPr>
        <w:t xml:space="preserve">L/h rivaroxaban can be classified as a low-clearance drug. </w:t>
      </w:r>
      <w:r w:rsidR="005C1099">
        <w:rPr>
          <w:rFonts w:cs="Arial"/>
          <w:szCs w:val="22"/>
          <w:lang w:eastAsia="en-US"/>
        </w:rPr>
        <w:t xml:space="preserve"> </w:t>
      </w:r>
      <w:r w:rsidRPr="000E1128">
        <w:rPr>
          <w:rFonts w:cs="Arial"/>
          <w:szCs w:val="22"/>
          <w:lang w:eastAsia="en-US"/>
        </w:rPr>
        <w:t>Elimination of rivaroxaban from plasma occurred with terminal half-lives of 5 to 9 hours in young individuals, and with terminal half-lives of 11 to 13 hours in the elderly.</w:t>
      </w:r>
    </w:p>
    <w:p w14:paraId="5120BC0F" w14:textId="77777777" w:rsidR="000E1128" w:rsidRPr="000202B5" w:rsidRDefault="000E1128" w:rsidP="000202B5">
      <w:pPr>
        <w:pStyle w:val="Heading3"/>
      </w:pPr>
      <w:r w:rsidRPr="000202B5">
        <w:lastRenderedPageBreak/>
        <w:t>G</w:t>
      </w:r>
      <w:r w:rsidR="00D852B8" w:rsidRPr="000202B5">
        <w:t xml:space="preserve">ender </w:t>
      </w:r>
      <w:r w:rsidR="00DF6C29" w:rsidRPr="000202B5">
        <w:t xml:space="preserve">/ Elderly (above 65 </w:t>
      </w:r>
      <w:r w:rsidRPr="000202B5">
        <w:t>years)</w:t>
      </w:r>
    </w:p>
    <w:p w14:paraId="6FDB7120" w14:textId="77777777" w:rsidR="000E1128" w:rsidRPr="00BA01EB" w:rsidRDefault="000E1128" w:rsidP="00DC2E51">
      <w:pPr>
        <w:spacing w:before="120" w:after="240"/>
        <w:ind w:left="630" w:right="46"/>
        <w:rPr>
          <w:rFonts w:cs="Arial"/>
          <w:szCs w:val="22"/>
          <w:lang w:eastAsia="en-US"/>
        </w:rPr>
      </w:pPr>
      <w:r w:rsidRPr="000E1128">
        <w:rPr>
          <w:rFonts w:cs="Arial"/>
          <w:szCs w:val="22"/>
          <w:lang w:eastAsia="en-US"/>
        </w:rPr>
        <w:t>Whilst elderly patients exhibited higher plasma concentrations than younger patients with mean AUC values being approximately 1.5-fold higher, mainly due to reduced (apparent) total and renal clearance, no dose adjustment is necessary (see</w:t>
      </w:r>
      <w:r w:rsidR="0068602B">
        <w:rPr>
          <w:rFonts w:cs="Arial"/>
          <w:szCs w:val="22"/>
          <w:lang w:eastAsia="en-US"/>
        </w:rPr>
        <w:t xml:space="preserve"> Section 4.</w:t>
      </w:r>
      <w:r w:rsidR="0068602B" w:rsidRPr="00BA01EB">
        <w:rPr>
          <w:rFonts w:cs="Arial"/>
          <w:szCs w:val="22"/>
          <w:lang w:eastAsia="en-US"/>
        </w:rPr>
        <w:t>2</w:t>
      </w:r>
      <w:r w:rsidRPr="00BA01EB">
        <w:rPr>
          <w:rFonts w:cs="Arial"/>
          <w:szCs w:val="22"/>
          <w:lang w:eastAsia="en-US"/>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004A6231">
        <w:rPr>
          <w:rFonts w:cs="Arial"/>
          <w:szCs w:val="22"/>
        </w:rPr>
        <w:t>)</w:t>
      </w:r>
      <w:r w:rsidRPr="00BA01EB">
        <w:rPr>
          <w:rFonts w:cs="Arial"/>
          <w:szCs w:val="22"/>
          <w:lang w:eastAsia="en-US"/>
        </w:rPr>
        <w:t>.</w:t>
      </w:r>
    </w:p>
    <w:p w14:paraId="508FC51F" w14:textId="77777777" w:rsidR="000E1128" w:rsidRPr="000E1128" w:rsidRDefault="000E1128" w:rsidP="00DC2E51">
      <w:pPr>
        <w:spacing w:before="120" w:after="240"/>
        <w:ind w:left="630" w:right="46"/>
        <w:rPr>
          <w:rFonts w:cs="Arial"/>
          <w:szCs w:val="22"/>
          <w:lang w:eastAsia="en-US"/>
        </w:rPr>
      </w:pPr>
      <w:r w:rsidRPr="00BA01EB">
        <w:rPr>
          <w:rFonts w:cs="Arial"/>
          <w:szCs w:val="22"/>
          <w:lang w:eastAsia="en-US"/>
        </w:rPr>
        <w:t>There were no clinically relevant differences in pharmacokinetics and pharmacodynamics between male and female patients (see</w:t>
      </w:r>
      <w:r w:rsidR="0068602B" w:rsidRPr="00BA01EB">
        <w:rPr>
          <w:rFonts w:cs="Arial"/>
          <w:szCs w:val="22"/>
          <w:lang w:eastAsia="en-US"/>
        </w:rPr>
        <w:t xml:space="preserve"> Section 4.2</w:t>
      </w:r>
      <w:r w:rsidR="004A6231">
        <w:rPr>
          <w:rFonts w:cs="Arial"/>
          <w:szCs w:val="22"/>
          <w:lang w:eastAsia="en-US"/>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p>
    <w:p w14:paraId="368A10B3" w14:textId="77777777" w:rsidR="000E1128" w:rsidRPr="000202B5" w:rsidRDefault="000E1128" w:rsidP="000202B5">
      <w:pPr>
        <w:pStyle w:val="Heading3"/>
      </w:pPr>
      <w:r w:rsidRPr="000202B5">
        <w:t>Different weight categories</w:t>
      </w:r>
    </w:p>
    <w:p w14:paraId="69AF8615" w14:textId="77777777" w:rsidR="000E1128" w:rsidRPr="000E1128" w:rsidRDefault="00DF6C29" w:rsidP="00DC2E51">
      <w:pPr>
        <w:spacing w:before="120" w:after="240"/>
        <w:ind w:left="630" w:right="46"/>
        <w:rPr>
          <w:rFonts w:cs="Arial"/>
          <w:szCs w:val="22"/>
          <w:lang w:eastAsia="en-US"/>
        </w:rPr>
      </w:pPr>
      <w:r>
        <w:rPr>
          <w:rFonts w:cs="Arial"/>
          <w:szCs w:val="22"/>
          <w:lang w:eastAsia="en-US"/>
        </w:rPr>
        <w:t xml:space="preserve">Extremes in body weight (&lt; 50 kg or &gt; 120 </w:t>
      </w:r>
      <w:r w:rsidR="000E1128" w:rsidRPr="000E1128">
        <w:rPr>
          <w:rFonts w:cs="Arial"/>
          <w:szCs w:val="22"/>
          <w:lang w:eastAsia="en-US"/>
        </w:rPr>
        <w:t>kg) had only a small influence on rivaroxaban plas</w:t>
      </w:r>
      <w:r>
        <w:rPr>
          <w:rFonts w:cs="Arial"/>
          <w:szCs w:val="22"/>
          <w:lang w:eastAsia="en-US"/>
        </w:rPr>
        <w:t>ma concentrations (less than 25</w:t>
      </w:r>
      <w:r w:rsidR="000E1128" w:rsidRPr="000E1128">
        <w:rPr>
          <w:rFonts w:cs="Arial"/>
          <w:szCs w:val="22"/>
          <w:lang w:eastAsia="en-US"/>
        </w:rPr>
        <w:t xml:space="preserve">%). </w:t>
      </w:r>
      <w:r w:rsidR="00D852B8">
        <w:rPr>
          <w:rFonts w:cs="Arial"/>
          <w:szCs w:val="22"/>
          <w:lang w:eastAsia="en-US"/>
        </w:rPr>
        <w:t xml:space="preserve"> </w:t>
      </w:r>
      <w:r w:rsidR="000E1128" w:rsidRPr="000E1128">
        <w:rPr>
          <w:rFonts w:cs="Arial"/>
          <w:szCs w:val="22"/>
          <w:lang w:eastAsia="en-US"/>
        </w:rPr>
        <w:t>No dose adjustment is necessary (see</w:t>
      </w:r>
      <w:r w:rsidR="0068602B">
        <w:rPr>
          <w:rFonts w:cs="Arial"/>
          <w:szCs w:val="22"/>
          <w:lang w:eastAsia="en-US"/>
        </w:rPr>
        <w:t xml:space="preserve"> Section 4.</w:t>
      </w:r>
      <w:r w:rsidR="0068602B" w:rsidRPr="00BA01EB">
        <w:rPr>
          <w:rFonts w:cs="Arial"/>
          <w:szCs w:val="22"/>
          <w:lang w:eastAsia="en-US"/>
        </w:rPr>
        <w:t>2</w:t>
      </w:r>
      <w:r w:rsidR="000E1128" w:rsidRPr="00BA01EB">
        <w:rPr>
          <w:rFonts w:cs="Arial"/>
          <w:szCs w:val="22"/>
          <w:lang w:eastAsia="en-US"/>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000E1128" w:rsidRPr="000E1128">
        <w:rPr>
          <w:rFonts w:cs="Arial"/>
          <w:szCs w:val="22"/>
          <w:lang w:eastAsia="en-US"/>
        </w:rPr>
        <w:t>).</w:t>
      </w:r>
    </w:p>
    <w:p w14:paraId="0DB7B26B" w14:textId="77777777" w:rsidR="000E1128" w:rsidRPr="000202B5" w:rsidRDefault="000E1128" w:rsidP="000202B5">
      <w:pPr>
        <w:pStyle w:val="Heading3"/>
      </w:pPr>
      <w:r w:rsidRPr="000202B5">
        <w:t>Children and adolescents (from birth to 18 years)</w:t>
      </w:r>
    </w:p>
    <w:p w14:paraId="5B445DBB" w14:textId="77777777" w:rsidR="000E1128" w:rsidRDefault="000E1128" w:rsidP="00D607DA">
      <w:pPr>
        <w:spacing w:before="120" w:after="120"/>
        <w:ind w:left="630" w:right="45"/>
        <w:jc w:val="both"/>
        <w:rPr>
          <w:rFonts w:cs="Arial"/>
          <w:noProof/>
          <w:szCs w:val="22"/>
          <w:lang w:eastAsia="en-US"/>
        </w:rPr>
      </w:pPr>
      <w:r w:rsidRPr="004A6231">
        <w:rPr>
          <w:rFonts w:cs="Arial"/>
          <w:bCs/>
          <w:szCs w:val="22"/>
          <w:lang w:eastAsia="en-US"/>
        </w:rPr>
        <w:t>No data are available for this patient population (see</w:t>
      </w:r>
      <w:r w:rsidR="0068602B" w:rsidRPr="004A6231">
        <w:rPr>
          <w:rFonts w:cs="Arial"/>
          <w:bCs/>
          <w:szCs w:val="22"/>
          <w:lang w:eastAsia="en-US"/>
        </w:rPr>
        <w:t xml:space="preserve"> Section 4.2</w:t>
      </w:r>
      <w:r w:rsidRPr="004A6231">
        <w:rPr>
          <w:rFonts w:cs="Arial"/>
          <w:bCs/>
          <w:szCs w:val="22"/>
          <w:lang w:eastAsia="en-US"/>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Pr="004A6231">
        <w:rPr>
          <w:rFonts w:cs="Arial"/>
          <w:bCs/>
          <w:szCs w:val="22"/>
          <w:lang w:eastAsia="en-US"/>
        </w:rPr>
        <w:t>).</w:t>
      </w:r>
      <w:r w:rsidR="00414BFC" w:rsidRPr="00414BFC">
        <w:rPr>
          <w:rFonts w:cs="Arial"/>
          <w:noProof/>
          <w:szCs w:val="22"/>
          <w:lang w:eastAsia="en-US"/>
        </w:rPr>
        <w:t xml:space="preserve"> XARELTO is not recommended for use in children or adolescents below 18 years of age due to a lack of data on safety and efficacy.</w:t>
      </w:r>
    </w:p>
    <w:p w14:paraId="68CCA4E0" w14:textId="77777777" w:rsidR="00D607DA" w:rsidRPr="00D607DA" w:rsidRDefault="00D607DA" w:rsidP="00D607DA">
      <w:pPr>
        <w:spacing w:before="120" w:after="120"/>
        <w:ind w:left="630" w:right="45"/>
        <w:jc w:val="both"/>
        <w:rPr>
          <w:rFonts w:cs="Arial"/>
          <w:noProof/>
          <w:szCs w:val="22"/>
          <w:lang w:eastAsia="en-US"/>
        </w:rPr>
      </w:pPr>
    </w:p>
    <w:p w14:paraId="0DDE0C54" w14:textId="77777777" w:rsidR="000E1128" w:rsidRPr="000202B5" w:rsidRDefault="000E1128" w:rsidP="000202B5">
      <w:pPr>
        <w:pStyle w:val="Heading3"/>
      </w:pPr>
      <w:r w:rsidRPr="000202B5">
        <w:t>Interethnic differences</w:t>
      </w:r>
    </w:p>
    <w:p w14:paraId="1A8BBC06" w14:textId="77777777" w:rsidR="000E1128" w:rsidRPr="00BA01EB" w:rsidRDefault="000E1128" w:rsidP="00DC2E51">
      <w:pPr>
        <w:spacing w:before="120" w:after="240"/>
        <w:ind w:left="630" w:right="46"/>
        <w:rPr>
          <w:rFonts w:cs="Arial"/>
          <w:szCs w:val="22"/>
          <w:lang w:eastAsia="en-US"/>
        </w:rPr>
      </w:pPr>
      <w:r w:rsidRPr="000E1128">
        <w:rPr>
          <w:rFonts w:cs="Arial"/>
          <w:szCs w:val="22"/>
          <w:lang w:eastAsia="en-US"/>
        </w:rPr>
        <w:t>No clinically relevant interethnic differences among Caucasian, African-American, Hispanic, Japanese or Chinese patients were observed regarding rivaroxaban pharmacokinetics and pharmacodynamics (see</w:t>
      </w:r>
      <w:r w:rsidR="0068602B">
        <w:rPr>
          <w:rFonts w:cs="Arial"/>
          <w:szCs w:val="22"/>
          <w:lang w:eastAsia="en-US"/>
        </w:rPr>
        <w:t xml:space="preserve"> </w:t>
      </w:r>
      <w:r w:rsidR="0068602B" w:rsidRPr="00BA01EB">
        <w:rPr>
          <w:rFonts w:cs="Arial"/>
          <w:szCs w:val="22"/>
          <w:lang w:eastAsia="en-US"/>
        </w:rPr>
        <w:t>Section 4.2</w:t>
      </w:r>
      <w:r w:rsidRPr="00BA01EB">
        <w:rPr>
          <w:rFonts w:cs="Arial"/>
          <w:i/>
          <w:szCs w:val="22"/>
          <w:lang w:eastAsia="en-US"/>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Pr="00BA01EB">
        <w:rPr>
          <w:rFonts w:cs="Arial"/>
          <w:szCs w:val="22"/>
          <w:lang w:eastAsia="en-US"/>
        </w:rPr>
        <w:t>).</w:t>
      </w:r>
    </w:p>
    <w:p w14:paraId="7DB8ECEC" w14:textId="77777777" w:rsidR="000E1128" w:rsidRPr="000202B5" w:rsidRDefault="000E1128" w:rsidP="000202B5">
      <w:pPr>
        <w:pStyle w:val="Heading3"/>
      </w:pPr>
      <w:r w:rsidRPr="000202B5">
        <w:t>Hepatic impairment</w:t>
      </w:r>
    </w:p>
    <w:p w14:paraId="3A660329" w14:textId="77777777" w:rsidR="000E1128" w:rsidRPr="000E1128" w:rsidRDefault="000E1128" w:rsidP="00DC2E51">
      <w:pPr>
        <w:spacing w:before="120" w:after="240"/>
        <w:ind w:left="630" w:right="46"/>
        <w:rPr>
          <w:rFonts w:cs="Arial"/>
          <w:szCs w:val="22"/>
          <w:lang w:eastAsia="en-US"/>
        </w:rPr>
      </w:pPr>
      <w:r w:rsidRPr="000E1128">
        <w:rPr>
          <w:rFonts w:cs="Arial"/>
          <w:szCs w:val="22"/>
          <w:lang w:eastAsia="en-US"/>
        </w:rPr>
        <w:t xml:space="preserve">The critical aspect of liver impairment is the reduced synthesis of normal coagulation factors in the liver, which is captured by only one of the five clinical/biochemical measurements composing the Child-Pugh classification system. </w:t>
      </w:r>
      <w:r w:rsidR="00DF6C29">
        <w:rPr>
          <w:rFonts w:cs="Arial"/>
          <w:szCs w:val="22"/>
          <w:lang w:eastAsia="en-US"/>
        </w:rPr>
        <w:t xml:space="preserve"> </w:t>
      </w:r>
      <w:r w:rsidRPr="000E1128">
        <w:rPr>
          <w:rFonts w:cs="Arial"/>
          <w:szCs w:val="22"/>
          <w:lang w:eastAsia="en-US"/>
        </w:rPr>
        <w:t xml:space="preserve">The bleeding risk in patients may not clearly correlate with this classification scheme. </w:t>
      </w:r>
      <w:r w:rsidR="00DF6C29">
        <w:rPr>
          <w:rFonts w:cs="Arial"/>
          <w:szCs w:val="22"/>
          <w:lang w:eastAsia="en-US"/>
        </w:rPr>
        <w:t xml:space="preserve"> </w:t>
      </w:r>
      <w:r w:rsidRPr="000E1128">
        <w:rPr>
          <w:rFonts w:cs="Arial"/>
          <w:szCs w:val="22"/>
          <w:lang w:eastAsia="en-US"/>
        </w:rPr>
        <w:t>Therefore, the decision to treat patients with an anticoagulant should be made independently of the Child-Pugh classification.</w:t>
      </w:r>
    </w:p>
    <w:p w14:paraId="7694053F" w14:textId="77777777" w:rsidR="000E1128" w:rsidRPr="000E1128" w:rsidRDefault="000E1128" w:rsidP="00DC2E51">
      <w:pPr>
        <w:spacing w:before="120" w:after="240"/>
        <w:ind w:left="630" w:right="46"/>
        <w:rPr>
          <w:rFonts w:cs="Arial"/>
          <w:szCs w:val="22"/>
          <w:lang w:eastAsia="en-US"/>
        </w:rPr>
      </w:pPr>
      <w:r w:rsidRPr="000E1128">
        <w:rPr>
          <w:rFonts w:cs="Arial"/>
          <w:szCs w:val="22"/>
          <w:lang w:eastAsia="en-US"/>
        </w:rPr>
        <w:t xml:space="preserve">Cirrhotic patients with mild hepatic impairment (classified as Child-Pugh A) exhibited only minor changes in rivaroxaban pharmacokinetics (1.2-fold increase in rivaroxaban AUC on average), nearly comparable to their matched healthy control group. </w:t>
      </w:r>
      <w:r w:rsidR="00DF6C29">
        <w:rPr>
          <w:rFonts w:cs="Arial"/>
          <w:szCs w:val="22"/>
          <w:lang w:eastAsia="en-US"/>
        </w:rPr>
        <w:t xml:space="preserve"> </w:t>
      </w:r>
      <w:r w:rsidRPr="000E1128">
        <w:rPr>
          <w:rFonts w:cs="Arial"/>
          <w:szCs w:val="22"/>
          <w:lang w:eastAsia="en-US"/>
        </w:rPr>
        <w:t>No relevant difference in</w:t>
      </w:r>
      <w:r w:rsidR="00BA01EB">
        <w:rPr>
          <w:rFonts w:cs="Arial"/>
          <w:szCs w:val="22"/>
          <w:lang w:eastAsia="en-US"/>
        </w:rPr>
        <w:t xml:space="preserve"> pharmacodynamics properties</w:t>
      </w:r>
      <w:r w:rsidRPr="000E1128">
        <w:rPr>
          <w:rFonts w:cs="Arial"/>
          <w:szCs w:val="22"/>
          <w:lang w:eastAsia="en-US"/>
        </w:rPr>
        <w:t xml:space="preserve"> was observed between these groups. </w:t>
      </w:r>
      <w:r w:rsidR="00DF6C29">
        <w:rPr>
          <w:rFonts w:cs="Arial"/>
          <w:szCs w:val="22"/>
          <w:lang w:eastAsia="en-US"/>
        </w:rPr>
        <w:t xml:space="preserve"> </w:t>
      </w:r>
      <w:r w:rsidRPr="000E1128">
        <w:rPr>
          <w:rFonts w:cs="Arial"/>
          <w:szCs w:val="22"/>
          <w:lang w:eastAsia="en-US"/>
        </w:rPr>
        <w:t xml:space="preserve">In cirrhotic patients with moderate hepatic impairment (classified as Child-Pugh B), rivaroxaban mean AUC was significantly increased by 2.3-fold compared to healthy volunteers, due to significantly impaired drug clearance which indicates significant liver disease. </w:t>
      </w:r>
      <w:r w:rsidR="00DF6C29">
        <w:rPr>
          <w:rFonts w:cs="Arial"/>
          <w:szCs w:val="22"/>
          <w:lang w:eastAsia="en-US"/>
        </w:rPr>
        <w:t xml:space="preserve"> </w:t>
      </w:r>
      <w:r w:rsidRPr="000E1128">
        <w:rPr>
          <w:rFonts w:cs="Arial"/>
          <w:szCs w:val="22"/>
          <w:lang w:eastAsia="en-US"/>
        </w:rPr>
        <w:t xml:space="preserve">Unbound AUC was increased 2.6-fold. </w:t>
      </w:r>
      <w:r w:rsidR="00DF6C29">
        <w:rPr>
          <w:rFonts w:cs="Arial"/>
          <w:szCs w:val="22"/>
          <w:lang w:eastAsia="en-US"/>
        </w:rPr>
        <w:t xml:space="preserve"> </w:t>
      </w:r>
      <w:r w:rsidRPr="000E1128">
        <w:rPr>
          <w:rFonts w:cs="Arial"/>
          <w:szCs w:val="22"/>
          <w:lang w:eastAsia="en-US"/>
        </w:rPr>
        <w:t xml:space="preserve">There are no data in patients with severe hepatic impairment. </w:t>
      </w:r>
      <w:r w:rsidR="00DF6C29">
        <w:rPr>
          <w:rFonts w:cs="Arial"/>
          <w:szCs w:val="22"/>
          <w:lang w:eastAsia="en-US"/>
        </w:rPr>
        <w:t xml:space="preserve"> </w:t>
      </w:r>
      <w:r w:rsidRPr="000E1128">
        <w:rPr>
          <w:rFonts w:cs="Arial"/>
          <w:szCs w:val="22"/>
          <w:lang w:eastAsia="en-US"/>
        </w:rPr>
        <w:t>The inhibition of FXa activity was increased by a factor of 2.6 as compared to healthy volunteers; prolongation of PT was similarly</w:t>
      </w:r>
      <w:r w:rsidR="00DF6C29">
        <w:rPr>
          <w:rFonts w:cs="Arial"/>
          <w:szCs w:val="22"/>
          <w:lang w:eastAsia="en-US"/>
        </w:rPr>
        <w:t xml:space="preserve"> increased by a factor of 2.1.</w:t>
      </w:r>
    </w:p>
    <w:p w14:paraId="279A3B6C" w14:textId="77777777" w:rsidR="000E1128" w:rsidRPr="000E1128" w:rsidRDefault="000E1128" w:rsidP="00DC2E51">
      <w:pPr>
        <w:spacing w:before="120" w:after="240"/>
        <w:ind w:left="630" w:right="46"/>
        <w:rPr>
          <w:rFonts w:cs="Arial"/>
          <w:szCs w:val="22"/>
          <w:lang w:eastAsia="en-US"/>
        </w:rPr>
      </w:pPr>
      <w:r w:rsidRPr="000E1128">
        <w:rPr>
          <w:rFonts w:cs="Arial"/>
          <w:szCs w:val="22"/>
          <w:lang w:eastAsia="en-US"/>
        </w:rPr>
        <w:t xml:space="preserve">The global clotting test PT assesses the extrinsic pathway that comprises of coagulation Factors VII, X, V, II, and I, which are synthesised in the liver.  Patients with moderate hepatic impairment were more sensitive to rivaroxaban resulting in a steeper PK/PD relationship between concentration and PT. </w:t>
      </w:r>
      <w:r w:rsidR="00DF6C29">
        <w:rPr>
          <w:rFonts w:cs="Arial"/>
          <w:szCs w:val="22"/>
          <w:lang w:eastAsia="en-US"/>
        </w:rPr>
        <w:t xml:space="preserve"> </w:t>
      </w:r>
      <w:r w:rsidRPr="000E1128">
        <w:rPr>
          <w:rFonts w:cs="Arial"/>
          <w:szCs w:val="22"/>
          <w:lang w:eastAsia="en-US"/>
        </w:rPr>
        <w:t xml:space="preserve">The elevated PT at </w:t>
      </w:r>
      <w:r w:rsidRPr="000E1128">
        <w:rPr>
          <w:rFonts w:cs="Arial"/>
          <w:szCs w:val="22"/>
          <w:lang w:eastAsia="en-US"/>
        </w:rPr>
        <w:lastRenderedPageBreak/>
        <w:t xml:space="preserve">baseline and a significantly altered sensitivity in anti-coagulant activity towards rivaroxaban plasma exposure (increase in slope for PT/rivaroxaban plasma concentration relationship by more than 2-fold) in cirrhotic patients with moderate hepatic impairment indicate the decreased ability of the liver to synthesize coagulation factors. </w:t>
      </w:r>
      <w:r w:rsidR="00DF6C29">
        <w:rPr>
          <w:rFonts w:cs="Arial"/>
          <w:szCs w:val="22"/>
          <w:lang w:eastAsia="en-US"/>
        </w:rPr>
        <w:t xml:space="preserve"> </w:t>
      </w:r>
      <w:r w:rsidRPr="000E1128">
        <w:rPr>
          <w:rFonts w:cs="Arial"/>
          <w:szCs w:val="22"/>
          <w:lang w:eastAsia="en-US"/>
        </w:rPr>
        <w:t>The PK/PD changes in these patients are markers for the severity of the underlying hepatic disease which is expected to lead to a subsequent increased bleed</w:t>
      </w:r>
      <w:r w:rsidR="00DF6C29">
        <w:rPr>
          <w:rFonts w:cs="Arial"/>
          <w:szCs w:val="22"/>
          <w:lang w:eastAsia="en-US"/>
        </w:rPr>
        <w:t>ing risk in this patient group.</w:t>
      </w:r>
    </w:p>
    <w:p w14:paraId="62E669AF" w14:textId="77777777" w:rsidR="000E1128" w:rsidRPr="000E1128" w:rsidRDefault="000E1128" w:rsidP="00DC2E51">
      <w:pPr>
        <w:spacing w:before="120" w:after="240"/>
        <w:ind w:left="630" w:right="46"/>
        <w:rPr>
          <w:rFonts w:cs="Arial"/>
          <w:szCs w:val="22"/>
          <w:lang w:eastAsia="en-US"/>
        </w:rPr>
      </w:pPr>
      <w:bookmarkStart w:id="68" w:name="OLE_LINK1"/>
      <w:bookmarkStart w:id="69" w:name="OLE_LINK2"/>
      <w:r w:rsidRPr="000E1128">
        <w:rPr>
          <w:rFonts w:cs="Arial"/>
          <w:szCs w:val="22"/>
          <w:lang w:eastAsia="en-US"/>
        </w:rPr>
        <w:t xml:space="preserve">Therefore </w:t>
      </w:r>
      <w:r w:rsidR="005F6704">
        <w:rPr>
          <w:rFonts w:cs="Arial"/>
          <w:noProof/>
          <w:szCs w:val="22"/>
          <w:lang w:eastAsia="en-US"/>
        </w:rPr>
        <w:t>XARELTO</w:t>
      </w:r>
      <w:r w:rsidRPr="000E1128">
        <w:rPr>
          <w:rFonts w:cs="Arial"/>
          <w:noProof/>
          <w:szCs w:val="22"/>
          <w:lang w:eastAsia="en-US"/>
        </w:rPr>
        <w:t xml:space="preserve"> is contraindicated in patients with significant hepatic disease (including moderate and severe hepatic impairment, i.e. Child-Pugh B and C) which is associated with coagulopathy leading to a clinically relevant bleeding risk.  </w:t>
      </w:r>
      <w:r w:rsidRPr="000E1128">
        <w:rPr>
          <w:rFonts w:cs="Arial"/>
          <w:szCs w:val="22"/>
          <w:lang w:eastAsia="en-US"/>
        </w:rPr>
        <w:t xml:space="preserve">No data </w:t>
      </w:r>
      <w:r w:rsidRPr="00BA01EB">
        <w:rPr>
          <w:rFonts w:cs="Arial"/>
          <w:szCs w:val="22"/>
          <w:lang w:eastAsia="en-US"/>
        </w:rPr>
        <w:t>are available for severe</w:t>
      </w:r>
      <w:r w:rsidR="005C1099" w:rsidRPr="00BA01EB">
        <w:rPr>
          <w:rFonts w:cs="Arial"/>
          <w:szCs w:val="22"/>
          <w:lang w:eastAsia="en-US"/>
        </w:rPr>
        <w:t xml:space="preserve"> hepatic impairment (Child-Pugh </w:t>
      </w:r>
      <w:r w:rsidRPr="00BA01EB">
        <w:rPr>
          <w:rFonts w:cs="Arial"/>
          <w:szCs w:val="22"/>
          <w:lang w:eastAsia="en-US"/>
        </w:rPr>
        <w:t>C patients)</w:t>
      </w:r>
      <w:r w:rsidRPr="00BA01EB">
        <w:rPr>
          <w:rFonts w:ascii="Times New Roman" w:hAnsi="Times New Roman"/>
          <w:sz w:val="24"/>
          <w:szCs w:val="22"/>
          <w:lang w:eastAsia="en-US"/>
        </w:rPr>
        <w:t xml:space="preserve"> </w:t>
      </w:r>
      <w:r w:rsidRPr="00BA01EB">
        <w:rPr>
          <w:rFonts w:cs="Arial"/>
          <w:szCs w:val="22"/>
          <w:lang w:eastAsia="en-US"/>
        </w:rPr>
        <w:t>(see</w:t>
      </w:r>
      <w:r w:rsidR="0068602B" w:rsidRPr="00BA01EB">
        <w:rPr>
          <w:rFonts w:cs="Arial"/>
          <w:szCs w:val="22"/>
          <w:lang w:eastAsia="en-US"/>
        </w:rPr>
        <w:t xml:space="preserve"> Section 4.2</w:t>
      </w:r>
      <w:r w:rsidRPr="00BA01EB">
        <w:rPr>
          <w:rFonts w:cs="Arial"/>
          <w:i/>
          <w:szCs w:val="22"/>
          <w:lang w:eastAsia="en-US"/>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Pr="000E1128">
        <w:rPr>
          <w:rFonts w:cs="Arial"/>
          <w:szCs w:val="22"/>
          <w:lang w:eastAsia="en-US"/>
        </w:rPr>
        <w:t>).</w:t>
      </w:r>
      <w:r w:rsidRPr="000E1128">
        <w:rPr>
          <w:rFonts w:ascii="Times New Roman" w:hAnsi="Times New Roman"/>
          <w:sz w:val="24"/>
          <w:szCs w:val="24"/>
          <w:lang w:eastAsia="en-US"/>
        </w:rPr>
        <w:t xml:space="preserve"> </w:t>
      </w:r>
      <w:r w:rsidR="004A6231">
        <w:rPr>
          <w:rFonts w:ascii="Times New Roman" w:hAnsi="Times New Roman"/>
          <w:sz w:val="24"/>
          <w:szCs w:val="24"/>
          <w:lang w:eastAsia="en-US"/>
        </w:rPr>
        <w:t xml:space="preserve"> </w:t>
      </w:r>
      <w:r w:rsidR="005F6704">
        <w:rPr>
          <w:rFonts w:cs="Arial"/>
          <w:szCs w:val="22"/>
          <w:lang w:eastAsia="en-US"/>
        </w:rPr>
        <w:t>XARELTO</w:t>
      </w:r>
      <w:r w:rsidRPr="000E1128">
        <w:rPr>
          <w:rFonts w:cs="Arial"/>
          <w:szCs w:val="22"/>
          <w:lang w:eastAsia="en-US"/>
        </w:rPr>
        <w:t xml:space="preserve"> may be used with caution in cirrhotic patients with moderate hepatic impairment if it is not associated with coagulopathy.</w:t>
      </w:r>
    </w:p>
    <w:bookmarkEnd w:id="68"/>
    <w:bookmarkEnd w:id="69"/>
    <w:p w14:paraId="3C715B68" w14:textId="77777777" w:rsidR="000E1128" w:rsidRPr="000202B5" w:rsidRDefault="000E1128" w:rsidP="000202B5">
      <w:pPr>
        <w:pStyle w:val="Heading3"/>
        <w:rPr>
          <w:rFonts w:eastAsia="SimSun"/>
        </w:rPr>
      </w:pPr>
      <w:r w:rsidRPr="000202B5">
        <w:t>Renal impairment</w:t>
      </w:r>
    </w:p>
    <w:p w14:paraId="63CC6FC8" w14:textId="76E5D96B" w:rsidR="000E1128" w:rsidRPr="000E1128" w:rsidRDefault="000E1128" w:rsidP="00DC2E51">
      <w:pPr>
        <w:spacing w:before="120" w:after="240"/>
        <w:ind w:left="630" w:right="46"/>
        <w:rPr>
          <w:rFonts w:cs="Arial"/>
          <w:szCs w:val="22"/>
          <w:lang w:eastAsia="en-US"/>
        </w:rPr>
      </w:pPr>
      <w:r w:rsidRPr="000E1128">
        <w:rPr>
          <w:rFonts w:cs="Arial"/>
          <w:szCs w:val="22"/>
          <w:lang w:eastAsia="en-US"/>
        </w:rPr>
        <w:t>Rivaroxaban exposure was inversely correlated to the decrease in renal function, as assessed via creatinine clearance (CrCl) measurements.</w:t>
      </w:r>
      <w:r w:rsidR="00842BB0">
        <w:rPr>
          <w:rFonts w:cs="Arial"/>
          <w:szCs w:val="22"/>
          <w:lang w:eastAsia="en-US"/>
        </w:rPr>
        <w:t xml:space="preserve"> </w:t>
      </w:r>
      <w:r w:rsidRPr="000E1128">
        <w:rPr>
          <w:rFonts w:cs="Arial"/>
          <w:szCs w:val="22"/>
          <w:lang w:eastAsia="en-US"/>
        </w:rPr>
        <w:t xml:space="preserve"> In individuals with </w:t>
      </w:r>
      <w:r w:rsidR="00876515">
        <w:rPr>
          <w:rFonts w:cs="Arial"/>
          <w:szCs w:val="22"/>
          <w:lang w:eastAsia="en-US"/>
        </w:rPr>
        <w:t>mild (creatinine clearance 50 -</w:t>
      </w:r>
      <w:r w:rsidR="00842BB0">
        <w:rPr>
          <w:rFonts w:cs="Arial"/>
          <w:szCs w:val="22"/>
          <w:lang w:eastAsia="en-US"/>
        </w:rPr>
        <w:t xml:space="preserve"> 80 </w:t>
      </w:r>
      <w:r w:rsidRPr="000E1128">
        <w:rPr>
          <w:rFonts w:cs="Arial"/>
          <w:szCs w:val="22"/>
          <w:lang w:eastAsia="en-US"/>
        </w:rPr>
        <w:t>mL/min), mode</w:t>
      </w:r>
      <w:r w:rsidR="00842BB0">
        <w:rPr>
          <w:rFonts w:cs="Arial"/>
          <w:szCs w:val="22"/>
          <w:lang w:eastAsia="en-US"/>
        </w:rPr>
        <w:t>rate (creatinine cleara</w:t>
      </w:r>
      <w:r w:rsidR="00876515">
        <w:rPr>
          <w:rFonts w:cs="Arial"/>
          <w:szCs w:val="22"/>
          <w:lang w:eastAsia="en-US"/>
        </w:rPr>
        <w:t>nce 30 -</w:t>
      </w:r>
      <w:r w:rsidR="00842BB0">
        <w:rPr>
          <w:rFonts w:cs="Arial"/>
          <w:szCs w:val="22"/>
          <w:lang w:eastAsia="en-US"/>
        </w:rPr>
        <w:t xml:space="preserve"> 49 </w:t>
      </w:r>
      <w:r w:rsidRPr="000E1128">
        <w:rPr>
          <w:rFonts w:cs="Arial"/>
          <w:szCs w:val="22"/>
          <w:lang w:eastAsia="en-US"/>
        </w:rPr>
        <w:t>mL/min) and severe (creatinine c</w:t>
      </w:r>
      <w:r w:rsidR="00876515">
        <w:rPr>
          <w:rFonts w:cs="Arial"/>
          <w:szCs w:val="22"/>
          <w:lang w:eastAsia="en-US"/>
        </w:rPr>
        <w:t>learance 15 -</w:t>
      </w:r>
      <w:r w:rsidR="00842BB0">
        <w:rPr>
          <w:rFonts w:cs="Arial"/>
          <w:szCs w:val="22"/>
          <w:lang w:eastAsia="en-US"/>
        </w:rPr>
        <w:t xml:space="preserve"> 29 </w:t>
      </w:r>
      <w:r w:rsidRPr="000E1128">
        <w:rPr>
          <w:rFonts w:cs="Arial"/>
          <w:szCs w:val="22"/>
          <w:lang w:eastAsia="en-US"/>
        </w:rPr>
        <w:t>mL/min) renal impairment, rivaroxaban plasma concentrations (AUC) were 1.4, 1.5 and 1.6-fold increased respectively as compared to healthy volunteers (see</w:t>
      </w:r>
      <w:r w:rsidR="0068602B">
        <w:rPr>
          <w:rFonts w:cs="Arial"/>
          <w:szCs w:val="22"/>
          <w:lang w:eastAsia="en-US"/>
        </w:rPr>
        <w:t xml:space="preserve"> Section 4</w:t>
      </w:r>
      <w:r w:rsidR="0068602B" w:rsidRPr="00BA01EB">
        <w:rPr>
          <w:rFonts w:cs="Arial"/>
          <w:szCs w:val="22"/>
          <w:lang w:eastAsia="en-US"/>
        </w:rPr>
        <w:t>.2</w:t>
      </w:r>
      <w:r w:rsidRPr="00BA01EB">
        <w:rPr>
          <w:rFonts w:cs="Arial"/>
          <w:i/>
          <w:szCs w:val="22"/>
          <w:lang w:eastAsia="en-US"/>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0068602B" w:rsidRPr="00BA01EB">
        <w:rPr>
          <w:rFonts w:cs="Arial"/>
          <w:szCs w:val="22"/>
        </w:rPr>
        <w:t xml:space="preserve"> </w:t>
      </w:r>
      <w:r w:rsidR="00842BB0" w:rsidRPr="00BA01EB">
        <w:rPr>
          <w:rFonts w:cs="Arial"/>
          <w:szCs w:val="22"/>
          <w:lang w:eastAsia="en-US"/>
        </w:rPr>
        <w:t>and</w:t>
      </w:r>
      <w:r w:rsidR="0068602B" w:rsidRPr="00BA01EB">
        <w:rPr>
          <w:rFonts w:cs="Arial"/>
          <w:szCs w:val="22"/>
          <w:lang w:eastAsia="en-US"/>
        </w:rPr>
        <w:t xml:space="preserve"> Section 4.4</w:t>
      </w:r>
      <w:r w:rsidR="00DA50C6">
        <w:rPr>
          <w:rFonts w:cs="Arial"/>
          <w:b/>
          <w:bCs/>
          <w:szCs w:val="22"/>
          <w:lang w:val="en-US"/>
        </w:rPr>
        <w:t xml:space="preserve"> </w:t>
      </w:r>
      <w:r w:rsidR="00A810D1" w:rsidRPr="00A810D1">
        <w:rPr>
          <w:rFonts w:cs="Arial"/>
          <w:szCs w:val="22"/>
        </w:rPr>
        <w:fldChar w:fldCharType="begin"/>
      </w:r>
      <w:r w:rsidR="00A810D1" w:rsidRPr="00A810D1">
        <w:rPr>
          <w:rFonts w:cs="Arial"/>
          <w:szCs w:val="22"/>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cs="Arial"/>
          <w:szCs w:val="22"/>
        </w:rPr>
        <w:t>SPECIAL WARNINGS AND PRECAUTIONS FOR USE</w:t>
      </w:r>
      <w:r w:rsidR="00A810D1" w:rsidRPr="00A810D1">
        <w:rPr>
          <w:rFonts w:cs="Arial"/>
          <w:szCs w:val="22"/>
        </w:rPr>
        <w:fldChar w:fldCharType="end"/>
      </w:r>
      <w:r w:rsidR="00842BB0">
        <w:rPr>
          <w:rFonts w:cs="Arial"/>
          <w:szCs w:val="22"/>
          <w:lang w:eastAsia="en-US"/>
        </w:rPr>
        <w:t>).</w:t>
      </w:r>
    </w:p>
    <w:p w14:paraId="34E9450B" w14:textId="77777777" w:rsidR="000E1128" w:rsidRPr="000E1128" w:rsidRDefault="000E1128" w:rsidP="00DC2E51">
      <w:pPr>
        <w:spacing w:before="120" w:after="240"/>
        <w:ind w:left="630" w:right="46"/>
        <w:rPr>
          <w:rFonts w:cs="Arial"/>
          <w:szCs w:val="22"/>
          <w:lang w:eastAsia="en-US"/>
        </w:rPr>
      </w:pPr>
      <w:r w:rsidRPr="000E1128">
        <w:rPr>
          <w:rFonts w:cs="Arial"/>
          <w:szCs w:val="22"/>
          <w:lang w:eastAsia="en-US"/>
        </w:rPr>
        <w:t>Corresponding increases in pharmacodynamic effects were more pronounced (see</w:t>
      </w:r>
      <w:r w:rsidR="0068602B">
        <w:rPr>
          <w:rFonts w:cs="Arial"/>
          <w:szCs w:val="22"/>
          <w:lang w:eastAsia="en-US"/>
        </w:rPr>
        <w:t xml:space="preserve"> Section 4</w:t>
      </w:r>
      <w:r w:rsidR="0068602B" w:rsidRPr="00BA01EB">
        <w:rPr>
          <w:rFonts w:cs="Arial"/>
          <w:szCs w:val="22"/>
          <w:lang w:eastAsia="en-US"/>
        </w:rPr>
        <w:t>.</w:t>
      </w:r>
      <w:r w:rsidR="004A6231">
        <w:rPr>
          <w:rFonts w:cs="Arial"/>
          <w:szCs w:val="22"/>
          <w:lang w:eastAsia="en-US"/>
        </w:rPr>
        <w:t xml:space="preserve">2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00A019A2">
        <w:rPr>
          <w:rFonts w:cs="Arial"/>
          <w:szCs w:val="22"/>
        </w:rPr>
        <w:t xml:space="preserve"> </w:t>
      </w:r>
      <w:r w:rsidRPr="00BA01EB">
        <w:rPr>
          <w:rFonts w:cs="Arial"/>
          <w:szCs w:val="22"/>
          <w:lang w:eastAsia="en-US"/>
        </w:rPr>
        <w:t>and</w:t>
      </w:r>
      <w:r w:rsidR="0068602B" w:rsidRPr="00BA01EB">
        <w:rPr>
          <w:rFonts w:cs="Arial"/>
          <w:szCs w:val="22"/>
          <w:lang w:eastAsia="en-US"/>
        </w:rPr>
        <w:t xml:space="preserve"> Section 4.4</w:t>
      </w:r>
      <w:r w:rsidRPr="00BA01EB">
        <w:rPr>
          <w:rFonts w:cs="Arial"/>
          <w:szCs w:val="22"/>
          <w:lang w:eastAsia="en-US"/>
        </w:rPr>
        <w:t xml:space="preserve"> </w:t>
      </w:r>
      <w:r w:rsidR="00A810D1" w:rsidRPr="00A810D1">
        <w:rPr>
          <w:rFonts w:cs="Arial"/>
          <w:szCs w:val="22"/>
        </w:rPr>
        <w:fldChar w:fldCharType="begin"/>
      </w:r>
      <w:r w:rsidR="00A810D1" w:rsidRPr="00A810D1">
        <w:rPr>
          <w:rFonts w:cs="Arial"/>
          <w:szCs w:val="22"/>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cs="Arial"/>
          <w:szCs w:val="22"/>
        </w:rPr>
        <w:t>SPECIAL WARNINGS AND PRECAUTIONS FOR USE</w:t>
      </w:r>
      <w:r w:rsidR="00A810D1" w:rsidRPr="00A810D1">
        <w:rPr>
          <w:rFonts w:cs="Arial"/>
          <w:szCs w:val="22"/>
        </w:rPr>
        <w:fldChar w:fldCharType="end"/>
      </w:r>
      <w:r w:rsidRPr="000E1128">
        <w:rPr>
          <w:rFonts w:cs="Arial"/>
          <w:szCs w:val="22"/>
          <w:lang w:eastAsia="en-US"/>
        </w:rPr>
        <w:t xml:space="preserve">) in individuals with mild, moderate or severe renal impairment; the overall inhibition of FXa activity was increased by a factor of 1.5, 1.9 and 2.0 respectively as compared to healthy volunteers. </w:t>
      </w:r>
      <w:r w:rsidR="00842BB0">
        <w:rPr>
          <w:rFonts w:cs="Arial"/>
          <w:szCs w:val="22"/>
          <w:lang w:eastAsia="en-US"/>
        </w:rPr>
        <w:t xml:space="preserve"> </w:t>
      </w:r>
      <w:r w:rsidRPr="000E1128">
        <w:rPr>
          <w:rFonts w:cs="Arial"/>
          <w:szCs w:val="22"/>
          <w:lang w:eastAsia="en-US"/>
        </w:rPr>
        <w:t>Prolongation of PT was similarly increased by a factor of</w:t>
      </w:r>
      <w:r w:rsidR="00842BB0">
        <w:rPr>
          <w:rFonts w:cs="Arial"/>
          <w:szCs w:val="22"/>
          <w:lang w:eastAsia="en-US"/>
        </w:rPr>
        <w:t xml:space="preserve"> 1.3, 2.2 and 2.4 respectively.</w:t>
      </w:r>
    </w:p>
    <w:p w14:paraId="740A745C" w14:textId="77777777" w:rsidR="000E1128" w:rsidRPr="000E1128" w:rsidRDefault="000E1128" w:rsidP="00DC2E51">
      <w:pPr>
        <w:spacing w:before="120" w:after="240"/>
        <w:ind w:left="630" w:right="46"/>
        <w:rPr>
          <w:rFonts w:cs="Arial"/>
          <w:szCs w:val="22"/>
          <w:lang w:eastAsia="en-US"/>
        </w:rPr>
      </w:pPr>
      <w:r w:rsidRPr="000E1128">
        <w:rPr>
          <w:rFonts w:cs="Arial"/>
          <w:szCs w:val="22"/>
          <w:lang w:eastAsia="en-US"/>
        </w:rPr>
        <w:t>There are no data in patients with CrCl &lt;</w:t>
      </w:r>
      <w:r w:rsidR="00842BB0">
        <w:rPr>
          <w:rFonts w:ascii="Times New Roman" w:hAnsi="Times New Roman"/>
          <w:sz w:val="24"/>
          <w:szCs w:val="24"/>
          <w:lang w:eastAsia="en-US"/>
        </w:rPr>
        <w:t xml:space="preserve"> </w:t>
      </w:r>
      <w:r w:rsidR="00842BB0">
        <w:rPr>
          <w:rFonts w:cs="Arial"/>
          <w:szCs w:val="22"/>
          <w:lang w:eastAsia="en-US"/>
        </w:rPr>
        <w:t xml:space="preserve">15 </w:t>
      </w:r>
      <w:r w:rsidRPr="000E1128">
        <w:rPr>
          <w:rFonts w:cs="Arial"/>
          <w:szCs w:val="22"/>
          <w:lang w:eastAsia="en-US"/>
        </w:rPr>
        <w:t xml:space="preserve">mL/min. </w:t>
      </w:r>
      <w:r w:rsidR="004A6231">
        <w:rPr>
          <w:rFonts w:cs="Arial"/>
          <w:szCs w:val="22"/>
          <w:lang w:eastAsia="en-US"/>
        </w:rPr>
        <w:t xml:space="preserve"> </w:t>
      </w:r>
      <w:r w:rsidRPr="000E1128">
        <w:rPr>
          <w:rFonts w:cs="Arial"/>
          <w:szCs w:val="22"/>
          <w:lang w:eastAsia="en-US"/>
        </w:rPr>
        <w:t>Use is contraindicated in patie</w:t>
      </w:r>
      <w:r w:rsidR="00842BB0">
        <w:rPr>
          <w:rFonts w:cs="Arial"/>
          <w:szCs w:val="22"/>
          <w:lang w:eastAsia="en-US"/>
        </w:rPr>
        <w:t xml:space="preserve">nts with creatinine clearance &lt; </w:t>
      </w:r>
      <w:r w:rsidRPr="000E1128">
        <w:rPr>
          <w:rFonts w:cs="Arial"/>
          <w:szCs w:val="22"/>
          <w:lang w:eastAsia="en-US"/>
        </w:rPr>
        <w:t>15</w:t>
      </w:r>
      <w:r w:rsidR="00842BB0">
        <w:rPr>
          <w:rFonts w:ascii="Times New Roman" w:hAnsi="Times New Roman"/>
          <w:sz w:val="24"/>
          <w:szCs w:val="24"/>
          <w:lang w:eastAsia="en-US"/>
        </w:rPr>
        <w:t xml:space="preserve"> </w:t>
      </w:r>
      <w:r w:rsidRPr="000E1128">
        <w:rPr>
          <w:rFonts w:cs="Arial"/>
          <w:szCs w:val="22"/>
          <w:lang w:eastAsia="en-US"/>
        </w:rPr>
        <w:t xml:space="preserve">mL/min (see </w:t>
      </w:r>
      <w:r w:rsidR="00DA50C6">
        <w:rPr>
          <w:rFonts w:cs="Arial"/>
          <w:szCs w:val="22"/>
          <w:lang w:eastAsia="en-US"/>
        </w:rPr>
        <w:t xml:space="preserve">Section 4.3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Pr="000E1128">
        <w:rPr>
          <w:rFonts w:cs="Arial"/>
          <w:szCs w:val="22"/>
          <w:lang w:eastAsia="en-US"/>
        </w:rPr>
        <w:t xml:space="preserve">). </w:t>
      </w:r>
      <w:r w:rsidR="00842BB0">
        <w:rPr>
          <w:rFonts w:cs="Arial"/>
          <w:szCs w:val="22"/>
          <w:lang w:eastAsia="en-US"/>
        </w:rPr>
        <w:t xml:space="preserve"> </w:t>
      </w:r>
      <w:r w:rsidR="005F6704">
        <w:rPr>
          <w:rFonts w:cs="Arial"/>
          <w:szCs w:val="22"/>
          <w:lang w:eastAsia="en-US"/>
        </w:rPr>
        <w:t>XARELTO</w:t>
      </w:r>
      <w:r w:rsidRPr="000E1128">
        <w:rPr>
          <w:rFonts w:cs="Arial"/>
          <w:szCs w:val="22"/>
          <w:lang w:eastAsia="en-US"/>
        </w:rPr>
        <w:t xml:space="preserve"> 10 mg is to be used with caution in patients with severe renal impairme</w:t>
      </w:r>
      <w:r w:rsidR="00842BB0">
        <w:rPr>
          <w:rFonts w:cs="Arial"/>
          <w:szCs w:val="22"/>
          <w:lang w:eastAsia="en-US"/>
        </w:rPr>
        <w:t xml:space="preserve">nt creatinine clearance 15 – 29 </w:t>
      </w:r>
      <w:r w:rsidRPr="000E1128">
        <w:rPr>
          <w:rFonts w:cs="Arial"/>
          <w:szCs w:val="22"/>
          <w:lang w:eastAsia="en-US"/>
        </w:rPr>
        <w:t>mL/min.</w:t>
      </w:r>
      <w:r w:rsidR="004A6231">
        <w:rPr>
          <w:rFonts w:cs="Arial"/>
          <w:szCs w:val="22"/>
          <w:lang w:eastAsia="en-US"/>
        </w:rPr>
        <w:t xml:space="preserve"> </w:t>
      </w:r>
      <w:r w:rsidRPr="000E1128">
        <w:rPr>
          <w:rFonts w:cs="Arial"/>
          <w:szCs w:val="22"/>
          <w:lang w:eastAsia="en-US"/>
        </w:rPr>
        <w:t xml:space="preserve"> </w:t>
      </w:r>
      <w:r w:rsidR="005F6704">
        <w:rPr>
          <w:rFonts w:cs="Arial"/>
          <w:szCs w:val="22"/>
          <w:lang w:eastAsia="en-US"/>
        </w:rPr>
        <w:t>XARELTO</w:t>
      </w:r>
      <w:r w:rsidRPr="000E1128">
        <w:rPr>
          <w:rFonts w:cs="Arial"/>
          <w:szCs w:val="22"/>
          <w:lang w:eastAsia="en-US"/>
        </w:rPr>
        <w:t xml:space="preserve"> 15 mg and 20 mg are contraindicated in patients with CrCl &lt; 30 mL/min (see</w:t>
      </w:r>
      <w:r w:rsidR="0068602B">
        <w:rPr>
          <w:rFonts w:cs="Arial"/>
          <w:szCs w:val="22"/>
          <w:lang w:eastAsia="en-US"/>
        </w:rPr>
        <w:t xml:space="preserve"> Section </w:t>
      </w:r>
      <w:r w:rsidR="0068602B" w:rsidRPr="00BA01EB">
        <w:rPr>
          <w:rFonts w:cs="Arial"/>
          <w:szCs w:val="22"/>
          <w:lang w:eastAsia="en-US"/>
        </w:rPr>
        <w:t>4.2</w:t>
      </w:r>
      <w:r w:rsidR="00A019A2">
        <w:rPr>
          <w:rFonts w:cs="Arial"/>
          <w:szCs w:val="22"/>
          <w:lang w:eastAsia="en-US"/>
        </w:rPr>
        <w:t xml:space="preserve"> </w:t>
      </w:r>
      <w:r w:rsidR="00A019A2">
        <w:rPr>
          <w:rFonts w:cs="Arial"/>
          <w:szCs w:val="22"/>
        </w:rPr>
        <w:fldChar w:fldCharType="begin"/>
      </w:r>
      <w:r w:rsidR="00A019A2">
        <w:rPr>
          <w:rFonts w:cs="Arial"/>
          <w:szCs w:val="22"/>
        </w:rPr>
        <w:instrText xml:space="preserve"> REF _Ref501602701 \h </w:instrText>
      </w:r>
      <w:r w:rsidR="00A019A2">
        <w:rPr>
          <w:rFonts w:cs="Arial"/>
          <w:szCs w:val="22"/>
        </w:rPr>
      </w:r>
      <w:r w:rsidR="00A019A2">
        <w:rPr>
          <w:rFonts w:cs="Arial"/>
          <w:szCs w:val="22"/>
        </w:rPr>
        <w:fldChar w:fldCharType="separate"/>
      </w:r>
      <w:r w:rsidR="00C51DA4" w:rsidRPr="00AC51A2">
        <w:t>DOSE AND METHOD OF ADMINISTRATION</w:t>
      </w:r>
      <w:r w:rsidR="00A019A2">
        <w:rPr>
          <w:rFonts w:cs="Arial"/>
          <w:szCs w:val="22"/>
        </w:rPr>
        <w:fldChar w:fldCharType="end"/>
      </w:r>
      <w:r w:rsidRPr="00BA01EB">
        <w:rPr>
          <w:rFonts w:cs="Arial"/>
          <w:szCs w:val="22"/>
          <w:lang w:eastAsia="en-US"/>
        </w:rPr>
        <w:t xml:space="preserve">, </w:t>
      </w:r>
      <w:r w:rsidR="0068602B" w:rsidRPr="00BA01EB">
        <w:rPr>
          <w:rFonts w:cs="Arial"/>
          <w:szCs w:val="22"/>
          <w:lang w:eastAsia="en-US"/>
        </w:rPr>
        <w:t>Section 4.3</w:t>
      </w:r>
      <w:r w:rsidR="00BA01EB">
        <w:rPr>
          <w:rFonts w:cs="Arial"/>
          <w:szCs w:val="22"/>
          <w:lang w:eastAsia="en-US"/>
        </w:rPr>
        <w:t xml:space="preserve"> </w:t>
      </w:r>
      <w:r w:rsidR="00A810D1">
        <w:rPr>
          <w:noProof/>
        </w:rPr>
        <w:fldChar w:fldCharType="begin"/>
      </w:r>
      <w:r w:rsidR="00A810D1">
        <w:rPr>
          <w:noProof/>
        </w:rPr>
        <w:instrText xml:space="preserve"> REF _Ref522882247 \h  \* MERGEFORMAT </w:instrText>
      </w:r>
      <w:r w:rsidR="00A810D1">
        <w:rPr>
          <w:noProof/>
        </w:rPr>
      </w:r>
      <w:r w:rsidR="00A810D1">
        <w:rPr>
          <w:noProof/>
        </w:rPr>
        <w:fldChar w:fldCharType="separate"/>
      </w:r>
      <w:r w:rsidR="00C51DA4" w:rsidRPr="00AC51A2">
        <w:t>CONTRAINDICATIONS</w:t>
      </w:r>
      <w:r w:rsidR="00A810D1">
        <w:rPr>
          <w:noProof/>
        </w:rPr>
        <w:fldChar w:fldCharType="end"/>
      </w:r>
      <w:r w:rsidR="00DA50C6">
        <w:rPr>
          <w:rFonts w:cs="Arial"/>
          <w:szCs w:val="22"/>
          <w:lang w:eastAsia="en-US"/>
        </w:rPr>
        <w:t xml:space="preserve"> </w:t>
      </w:r>
      <w:r w:rsidRPr="00BA01EB">
        <w:rPr>
          <w:rFonts w:cs="Arial"/>
          <w:szCs w:val="22"/>
          <w:lang w:eastAsia="en-US"/>
        </w:rPr>
        <w:t>an</w:t>
      </w:r>
      <w:r w:rsidR="00842BB0" w:rsidRPr="00BA01EB">
        <w:rPr>
          <w:rFonts w:cs="Arial"/>
          <w:szCs w:val="22"/>
          <w:lang w:eastAsia="en-US"/>
        </w:rPr>
        <w:t>d</w:t>
      </w:r>
      <w:r w:rsidR="0068602B" w:rsidRPr="00BA01EB">
        <w:rPr>
          <w:rFonts w:cs="Arial"/>
          <w:szCs w:val="22"/>
          <w:lang w:eastAsia="en-US"/>
        </w:rPr>
        <w:t xml:space="preserve"> Section 4.4</w:t>
      </w:r>
      <w:r w:rsidR="00842BB0" w:rsidRPr="00BA01EB">
        <w:rPr>
          <w:rFonts w:cs="Arial"/>
          <w:szCs w:val="22"/>
          <w:lang w:eastAsia="en-US"/>
        </w:rPr>
        <w:t xml:space="preserve"> </w:t>
      </w:r>
      <w:r w:rsidR="00A810D1" w:rsidRPr="00A810D1">
        <w:rPr>
          <w:rFonts w:cs="Arial"/>
          <w:szCs w:val="22"/>
        </w:rPr>
        <w:fldChar w:fldCharType="begin"/>
      </w:r>
      <w:r w:rsidR="00A810D1" w:rsidRPr="00A810D1">
        <w:rPr>
          <w:rFonts w:cs="Arial"/>
          <w:szCs w:val="22"/>
        </w:rPr>
        <w:instrText xml:space="preserve"> REF _Ref522882516 \h  \* MERGEFORMAT </w:instrText>
      </w:r>
      <w:r w:rsidR="00A810D1" w:rsidRPr="00A810D1">
        <w:rPr>
          <w:rFonts w:cs="Arial"/>
          <w:szCs w:val="22"/>
        </w:rPr>
      </w:r>
      <w:r w:rsidR="00A810D1" w:rsidRPr="00A810D1">
        <w:rPr>
          <w:rFonts w:cs="Arial"/>
          <w:szCs w:val="22"/>
        </w:rPr>
        <w:fldChar w:fldCharType="separate"/>
      </w:r>
      <w:r w:rsidR="00C51DA4" w:rsidRPr="00C51DA4">
        <w:rPr>
          <w:rFonts w:cs="Arial"/>
          <w:szCs w:val="22"/>
        </w:rPr>
        <w:t>SPECIAL WARNINGS AND PRECAUTIONS FOR USE</w:t>
      </w:r>
      <w:r w:rsidR="00A810D1" w:rsidRPr="00A810D1">
        <w:rPr>
          <w:rFonts w:cs="Arial"/>
          <w:szCs w:val="22"/>
        </w:rPr>
        <w:fldChar w:fldCharType="end"/>
      </w:r>
      <w:r w:rsidR="00842BB0" w:rsidRPr="00BA01EB">
        <w:rPr>
          <w:rFonts w:cs="Arial"/>
          <w:szCs w:val="22"/>
          <w:lang w:eastAsia="en-US"/>
        </w:rPr>
        <w:t>).</w:t>
      </w:r>
    </w:p>
    <w:p w14:paraId="501EE48F" w14:textId="77777777" w:rsidR="000E1128" w:rsidRPr="000E1128" w:rsidRDefault="000E1128" w:rsidP="00DC2E51">
      <w:pPr>
        <w:spacing w:before="120" w:after="240"/>
        <w:ind w:left="630" w:right="46"/>
        <w:rPr>
          <w:rFonts w:cs="Arial"/>
          <w:szCs w:val="22"/>
          <w:lang w:eastAsia="en-US"/>
        </w:rPr>
      </w:pPr>
      <w:r w:rsidRPr="000E1128">
        <w:rPr>
          <w:rFonts w:cs="Arial"/>
          <w:szCs w:val="22"/>
          <w:lang w:eastAsia="en-US"/>
        </w:rPr>
        <w:t>Due to the underlying disease</w:t>
      </w:r>
      <w:r w:rsidR="00842BB0">
        <w:rPr>
          <w:rFonts w:cs="Arial"/>
          <w:szCs w:val="22"/>
          <w:lang w:eastAsia="en-US"/>
        </w:rPr>
        <w:t>,</w:t>
      </w:r>
      <w:r w:rsidRPr="000E1128">
        <w:rPr>
          <w:rFonts w:cs="Arial"/>
          <w:szCs w:val="22"/>
          <w:lang w:eastAsia="en-US"/>
        </w:rPr>
        <w:t xml:space="preserve"> patients with severe renal impairment are at an increased risk of both bleeding and thrombosis. </w:t>
      </w:r>
      <w:r w:rsidR="00842BB0">
        <w:rPr>
          <w:rFonts w:cs="Arial"/>
          <w:szCs w:val="22"/>
          <w:lang w:eastAsia="en-US"/>
        </w:rPr>
        <w:t xml:space="preserve"> </w:t>
      </w:r>
      <w:r w:rsidRPr="000E1128">
        <w:rPr>
          <w:rFonts w:cs="Arial"/>
          <w:szCs w:val="22"/>
          <w:lang w:eastAsia="en-US"/>
        </w:rPr>
        <w:t>The increased exposure to rivaroxaban further increases the risk of bleeding in these patients.</w:t>
      </w:r>
      <w:r w:rsidR="00842BB0">
        <w:rPr>
          <w:rFonts w:cs="Arial"/>
          <w:szCs w:val="22"/>
          <w:lang w:eastAsia="en-US"/>
        </w:rPr>
        <w:t xml:space="preserve"> </w:t>
      </w:r>
      <w:r w:rsidRPr="000E1128">
        <w:rPr>
          <w:rFonts w:cs="Arial"/>
          <w:szCs w:val="22"/>
          <w:lang w:eastAsia="en-US"/>
        </w:rPr>
        <w:t xml:space="preserve"> Due to the high plasma protein binding rivaroxaban is not expected to be dialysable.</w:t>
      </w:r>
    </w:p>
    <w:p w14:paraId="4C331498" w14:textId="77777777" w:rsidR="000E1128" w:rsidRPr="000E1128" w:rsidRDefault="000E1128" w:rsidP="00DC2E51">
      <w:pPr>
        <w:spacing w:before="120" w:after="120"/>
        <w:ind w:left="630" w:right="45"/>
        <w:rPr>
          <w:rFonts w:cs="Arial"/>
          <w:szCs w:val="22"/>
        </w:rPr>
      </w:pPr>
      <w:r w:rsidRPr="000E1128">
        <w:rPr>
          <w:rFonts w:cs="Arial"/>
          <w:szCs w:val="22"/>
          <w:lang w:eastAsia="en-US"/>
        </w:rPr>
        <w:t xml:space="preserve">If there is a suspicion of renal impairment, the degree of renal impairment must be determined accurately. </w:t>
      </w:r>
      <w:r w:rsidR="00842BB0">
        <w:rPr>
          <w:rFonts w:cs="Arial"/>
          <w:szCs w:val="22"/>
          <w:lang w:eastAsia="en-US"/>
        </w:rPr>
        <w:t xml:space="preserve"> </w:t>
      </w:r>
      <w:r w:rsidRPr="000E1128">
        <w:rPr>
          <w:rFonts w:cs="Arial"/>
          <w:szCs w:val="22"/>
        </w:rPr>
        <w:t xml:space="preserve">Caution must be exercised when renal function estimates are based on eGFR. </w:t>
      </w:r>
      <w:r w:rsidR="00842BB0">
        <w:rPr>
          <w:rFonts w:cs="Arial"/>
          <w:szCs w:val="22"/>
        </w:rPr>
        <w:t xml:space="preserve"> </w:t>
      </w:r>
      <w:r w:rsidRPr="000E1128">
        <w:rPr>
          <w:rFonts w:cs="Arial"/>
          <w:szCs w:val="22"/>
          <w:lang w:eastAsia="en-US"/>
        </w:rPr>
        <w:t xml:space="preserve">In clinical trials, renal function was determined using the calculated creatinine clearance, </w:t>
      </w:r>
      <w:r w:rsidRPr="000E1128">
        <w:rPr>
          <w:rFonts w:cs="Arial"/>
          <w:szCs w:val="22"/>
        </w:rPr>
        <w:t>using the Cockcroft-Gault Formula as follows:</w:t>
      </w:r>
    </w:p>
    <w:p w14:paraId="5EA9F278" w14:textId="77777777" w:rsidR="000E1128" w:rsidRPr="000E1128" w:rsidRDefault="000E1128" w:rsidP="00DC2E51">
      <w:pPr>
        <w:autoSpaceDE w:val="0"/>
        <w:autoSpaceDN w:val="0"/>
        <w:adjustRightInd w:val="0"/>
        <w:spacing w:after="240"/>
        <w:ind w:left="630" w:right="45"/>
        <w:rPr>
          <w:rFonts w:cs="Arial"/>
          <w:szCs w:val="22"/>
          <w:u w:val="single"/>
        </w:rPr>
      </w:pPr>
      <w:r w:rsidRPr="000E1128">
        <w:rPr>
          <w:rFonts w:cs="Arial"/>
          <w:szCs w:val="22"/>
          <w:u w:val="single"/>
        </w:rPr>
        <w:t>For serum creatinine concentration in mg/100 mL:</w:t>
      </w:r>
    </w:p>
    <w:p w14:paraId="38C7CAF9" w14:textId="13275C73" w:rsidR="000E1128" w:rsidRPr="000E1128" w:rsidRDefault="00432479" w:rsidP="000E1128">
      <w:pPr>
        <w:autoSpaceDE w:val="0"/>
        <w:autoSpaceDN w:val="0"/>
        <w:adjustRightInd w:val="0"/>
        <w:spacing w:after="240"/>
        <w:ind w:right="45"/>
        <w:rPr>
          <w:rFonts w:cs="Arial"/>
          <w:szCs w:val="22"/>
        </w:rPr>
      </w:pPr>
      <w:r>
        <w:rPr>
          <w:rFonts w:cs="Arial"/>
          <w:noProof/>
          <w:position w:val="-30"/>
          <w:szCs w:val="22"/>
        </w:rPr>
        <w:lastRenderedPageBreak/>
        <w:drawing>
          <wp:inline distT="0" distB="0" distL="0" distR="0" wp14:anchorId="2F5E1516" wp14:editId="080717C4">
            <wp:extent cx="5505450" cy="438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05450" cy="438150"/>
                    </a:xfrm>
                    <a:prstGeom prst="rect">
                      <a:avLst/>
                    </a:prstGeom>
                    <a:noFill/>
                    <a:ln>
                      <a:noFill/>
                    </a:ln>
                  </pic:spPr>
                </pic:pic>
              </a:graphicData>
            </a:graphic>
          </wp:inline>
        </w:drawing>
      </w:r>
    </w:p>
    <w:p w14:paraId="63C28314" w14:textId="77777777" w:rsidR="000E1128" w:rsidRPr="000E1128" w:rsidRDefault="000E1128" w:rsidP="00DC2E51">
      <w:pPr>
        <w:autoSpaceDE w:val="0"/>
        <w:autoSpaceDN w:val="0"/>
        <w:adjustRightInd w:val="0"/>
        <w:spacing w:after="240"/>
        <w:ind w:left="630" w:right="45"/>
        <w:rPr>
          <w:rFonts w:cs="Arial"/>
          <w:szCs w:val="22"/>
          <w:u w:val="single"/>
        </w:rPr>
      </w:pPr>
      <w:r w:rsidRPr="000E1128">
        <w:rPr>
          <w:rFonts w:cs="Arial"/>
          <w:szCs w:val="22"/>
          <w:u w:val="single"/>
        </w:rPr>
        <w:t xml:space="preserve">For serum creatinine concentration in </w:t>
      </w:r>
      <w:r w:rsidRPr="000E1128">
        <w:rPr>
          <w:rFonts w:cs="Arial"/>
          <w:szCs w:val="22"/>
          <w:u w:val="single"/>
          <w:lang w:val="en-GB" w:eastAsia="en-US"/>
        </w:rPr>
        <w:t>µmol/L:</w:t>
      </w:r>
    </w:p>
    <w:p w14:paraId="382B8130" w14:textId="436FC16D" w:rsidR="000E1128" w:rsidRPr="000E1128" w:rsidRDefault="00432479" w:rsidP="000E1128">
      <w:pPr>
        <w:autoSpaceDE w:val="0"/>
        <w:autoSpaceDN w:val="0"/>
        <w:adjustRightInd w:val="0"/>
        <w:spacing w:after="240"/>
        <w:ind w:right="45"/>
        <w:rPr>
          <w:rFonts w:cs="Arial"/>
          <w:szCs w:val="22"/>
        </w:rPr>
      </w:pPr>
      <w:r>
        <w:rPr>
          <w:rFonts w:cs="Arial"/>
          <w:noProof/>
          <w:position w:val="-30"/>
          <w:szCs w:val="22"/>
        </w:rPr>
        <w:drawing>
          <wp:inline distT="0" distB="0" distL="0" distR="0" wp14:anchorId="475BC555" wp14:editId="4EA24CF9">
            <wp:extent cx="57054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05475" cy="438150"/>
                    </a:xfrm>
                    <a:prstGeom prst="rect">
                      <a:avLst/>
                    </a:prstGeom>
                    <a:noFill/>
                    <a:ln>
                      <a:noFill/>
                    </a:ln>
                  </pic:spPr>
                </pic:pic>
              </a:graphicData>
            </a:graphic>
          </wp:inline>
        </w:drawing>
      </w:r>
    </w:p>
    <w:p w14:paraId="7807EFFE" w14:textId="77777777" w:rsidR="00D9199E" w:rsidRDefault="00D9199E" w:rsidP="00E90F26">
      <w:pPr>
        <w:pStyle w:val="BayerBodyTextFull"/>
      </w:pPr>
      <w:r>
        <w:br w:type="page"/>
      </w:r>
    </w:p>
    <w:p w14:paraId="638ED024" w14:textId="77777777" w:rsidR="000E1128" w:rsidRPr="000E1128" w:rsidRDefault="000E1128" w:rsidP="00E90F26">
      <w:pPr>
        <w:pStyle w:val="BayerBodyTextFull"/>
      </w:pPr>
    </w:p>
    <w:p w14:paraId="78D3F26E" w14:textId="77777777" w:rsidR="007F08E4" w:rsidRPr="000202B5" w:rsidRDefault="00A00156" w:rsidP="000202B5">
      <w:pPr>
        <w:pStyle w:val="Heading2"/>
      </w:pPr>
      <w:r w:rsidRPr="000202B5">
        <w:t>Preclinical Safety D</w:t>
      </w:r>
      <w:r w:rsidR="007F08E4" w:rsidRPr="000202B5">
        <w:t>ata</w:t>
      </w:r>
    </w:p>
    <w:p w14:paraId="760861BD" w14:textId="77777777" w:rsidR="00460B74" w:rsidRPr="000202B5" w:rsidRDefault="003B25EB" w:rsidP="000202B5">
      <w:pPr>
        <w:pStyle w:val="Heading3"/>
      </w:pPr>
      <w:r w:rsidRPr="000202B5">
        <w:t>Genotoxicity</w:t>
      </w:r>
    </w:p>
    <w:p w14:paraId="3A9A928F" w14:textId="77777777" w:rsidR="004C2A46" w:rsidRPr="008B5BCF" w:rsidRDefault="004C2A46" w:rsidP="00E90F26">
      <w:pPr>
        <w:pStyle w:val="BayerBodyTextFull"/>
      </w:pPr>
      <w:r w:rsidRPr="008B5BCF">
        <w:t>Rivaroxaban showed no genotoxicity potential in bacterial mutagenicity tests, chromosomal aberration assays in Chinese hamster cells or in an in vivo mouse micronucleus assay.</w:t>
      </w:r>
    </w:p>
    <w:p w14:paraId="56F55E60" w14:textId="77777777" w:rsidR="00460B74" w:rsidRPr="000202B5" w:rsidRDefault="003B25EB" w:rsidP="000202B5">
      <w:pPr>
        <w:pStyle w:val="Heading3"/>
      </w:pPr>
      <w:r w:rsidRPr="000202B5">
        <w:t>Carcinogenicity</w:t>
      </w:r>
    </w:p>
    <w:p w14:paraId="1E326E55" w14:textId="77777777" w:rsidR="004C2A46" w:rsidRPr="002742BE" w:rsidRDefault="004C2A46" w:rsidP="00DC2E51">
      <w:pPr>
        <w:spacing w:before="120" w:after="120"/>
        <w:ind w:left="630" w:right="45"/>
        <w:rPr>
          <w:rFonts w:cs="Arial"/>
          <w:szCs w:val="22"/>
        </w:rPr>
      </w:pPr>
      <w:r w:rsidRPr="002742BE">
        <w:rPr>
          <w:rFonts w:cs="Arial"/>
          <w:szCs w:val="22"/>
        </w:rPr>
        <w:t>Testing was performed by oral</w:t>
      </w:r>
      <w:r w:rsidR="00842BB0">
        <w:rPr>
          <w:rFonts w:cs="Arial"/>
          <w:szCs w:val="22"/>
        </w:rPr>
        <w:t xml:space="preserve"> dosing for 2 years at up to 60 </w:t>
      </w:r>
      <w:r w:rsidRPr="002742BE">
        <w:rPr>
          <w:rFonts w:cs="Arial"/>
          <w:szCs w:val="22"/>
        </w:rPr>
        <w:t>mg/kg/day reaching unbound plasma rivaroxaban exposure levels similar to humans (mice) or up to 3.6</w:t>
      </w:r>
      <w:r w:rsidR="001B52B5">
        <w:rPr>
          <w:rFonts w:cs="Arial"/>
          <w:szCs w:val="22"/>
        </w:rPr>
        <w:t>-</w:t>
      </w:r>
      <w:r w:rsidRPr="002742BE">
        <w:rPr>
          <w:rFonts w:cs="Arial"/>
          <w:szCs w:val="22"/>
        </w:rPr>
        <w:t>fol</w:t>
      </w:r>
      <w:r w:rsidR="00876515">
        <w:rPr>
          <w:rFonts w:cs="Arial"/>
          <w:szCs w:val="22"/>
        </w:rPr>
        <w:t>d higher (rats) than in humans.</w:t>
      </w:r>
    </w:p>
    <w:p w14:paraId="0FBF641C" w14:textId="77777777" w:rsidR="004C2A46" w:rsidRPr="002742BE" w:rsidDel="00E95B4B" w:rsidRDefault="004C2A46" w:rsidP="00DC2E51">
      <w:pPr>
        <w:spacing w:before="120" w:after="120"/>
        <w:ind w:right="45" w:firstLine="630"/>
        <w:rPr>
          <w:rFonts w:cs="Arial"/>
          <w:szCs w:val="22"/>
        </w:rPr>
      </w:pPr>
      <w:r w:rsidRPr="002742BE">
        <w:rPr>
          <w:rFonts w:cs="Arial"/>
          <w:szCs w:val="22"/>
        </w:rPr>
        <w:t>Rivaroxaban showed no carcinogen</w:t>
      </w:r>
      <w:r w:rsidR="004A6231">
        <w:rPr>
          <w:rFonts w:cs="Arial"/>
          <w:szCs w:val="22"/>
        </w:rPr>
        <w:t>ic potential in either species.</w:t>
      </w:r>
    </w:p>
    <w:p w14:paraId="3C70469C" w14:textId="77777777" w:rsidR="004C2A46" w:rsidRPr="004C2A46" w:rsidRDefault="004C2A46" w:rsidP="00E90F26">
      <w:pPr>
        <w:pStyle w:val="BayerBodyTextFull"/>
      </w:pPr>
    </w:p>
    <w:p w14:paraId="3A51B09B" w14:textId="77777777" w:rsidR="007F08E4" w:rsidRPr="000202B5" w:rsidRDefault="007F08E4" w:rsidP="000202B5">
      <w:pPr>
        <w:pStyle w:val="Heading1"/>
      </w:pPr>
      <w:r w:rsidRPr="000202B5">
        <w:t>PHARMACEUTICAL PARTICULARS</w:t>
      </w:r>
    </w:p>
    <w:p w14:paraId="6AF0ED4B" w14:textId="77777777" w:rsidR="007F08E4" w:rsidRPr="000202B5" w:rsidRDefault="00A00156" w:rsidP="000202B5">
      <w:pPr>
        <w:pStyle w:val="Heading2"/>
      </w:pPr>
      <w:bookmarkStart w:id="70" w:name="_Ref522882032"/>
      <w:r w:rsidRPr="000202B5">
        <w:t>List of E</w:t>
      </w:r>
      <w:r w:rsidR="007F08E4" w:rsidRPr="000202B5">
        <w:t>xcipients</w:t>
      </w:r>
      <w:bookmarkEnd w:id="70"/>
    </w:p>
    <w:p w14:paraId="37CC3EEC" w14:textId="77777777" w:rsidR="00AD3584" w:rsidRPr="00AD3584" w:rsidRDefault="00AD3584" w:rsidP="00DC2E51">
      <w:pPr>
        <w:keepNext/>
        <w:spacing w:before="120" w:after="240"/>
        <w:ind w:left="630" w:right="46"/>
        <w:rPr>
          <w:rFonts w:cs="Arial"/>
          <w:iCs/>
          <w:noProof/>
          <w:szCs w:val="22"/>
          <w:lang w:eastAsia="en-US"/>
        </w:rPr>
      </w:pPr>
      <w:r w:rsidRPr="00A829B6">
        <w:rPr>
          <w:rFonts w:cs="Arial"/>
          <w:i/>
          <w:iCs/>
          <w:noProof/>
          <w:szCs w:val="22"/>
          <w:lang w:eastAsia="en-US"/>
        </w:rPr>
        <w:t>Tablet core:</w:t>
      </w:r>
      <w:r w:rsidRPr="00A829B6">
        <w:rPr>
          <w:rFonts w:cs="Arial"/>
          <w:iCs/>
          <w:noProof/>
          <w:szCs w:val="22"/>
          <w:lang w:eastAsia="en-US"/>
        </w:rPr>
        <w:t xml:space="preserve"> Microcrystalline cellulose, croscarmellose sodium, lactose</w:t>
      </w:r>
      <w:r w:rsidR="007D7E75">
        <w:rPr>
          <w:rFonts w:cs="Arial"/>
          <w:iCs/>
          <w:noProof/>
          <w:szCs w:val="22"/>
          <w:lang w:eastAsia="en-US"/>
        </w:rPr>
        <w:t xml:space="preserve"> monohydrate</w:t>
      </w:r>
      <w:r w:rsidRPr="00A829B6">
        <w:rPr>
          <w:rFonts w:cs="Arial"/>
          <w:iCs/>
          <w:noProof/>
          <w:szCs w:val="22"/>
          <w:lang w:eastAsia="en-US"/>
        </w:rPr>
        <w:t>,</w:t>
      </w:r>
      <w:r w:rsidRPr="00AD3584">
        <w:rPr>
          <w:rFonts w:cs="Arial"/>
          <w:iCs/>
          <w:noProof/>
          <w:szCs w:val="22"/>
          <w:lang w:eastAsia="en-US"/>
        </w:rPr>
        <w:t xml:space="preserve"> hypromellose, sodium lauryl sulfate, magnesium stearate.</w:t>
      </w:r>
    </w:p>
    <w:p w14:paraId="3196B422" w14:textId="77777777" w:rsidR="00AD3584" w:rsidRDefault="00AD3584" w:rsidP="00E90F26">
      <w:pPr>
        <w:pStyle w:val="BayerBodyTextFull"/>
        <w:rPr>
          <w:noProof/>
          <w:lang w:eastAsia="en-US"/>
        </w:rPr>
      </w:pPr>
      <w:r w:rsidRPr="00AD3584">
        <w:rPr>
          <w:i/>
          <w:noProof/>
          <w:lang w:eastAsia="en-US"/>
        </w:rPr>
        <w:t xml:space="preserve">Filmcoat: </w:t>
      </w:r>
      <w:r w:rsidRPr="00AD3584">
        <w:rPr>
          <w:noProof/>
          <w:lang w:eastAsia="en-US"/>
        </w:rPr>
        <w:t>Macrogol 3350, hypromellose, titanium dioxide, iron oxide red</w:t>
      </w:r>
      <w:r w:rsidR="007D7E75">
        <w:rPr>
          <w:noProof/>
          <w:lang w:eastAsia="en-US"/>
        </w:rPr>
        <w:t xml:space="preserve"> (10 mg, 15 mg and 20 mg), iron oxide yellow (2.5 mg)</w:t>
      </w:r>
      <w:r w:rsidR="00A654D9">
        <w:rPr>
          <w:noProof/>
          <w:lang w:eastAsia="en-US"/>
        </w:rPr>
        <w:t>.</w:t>
      </w:r>
    </w:p>
    <w:p w14:paraId="7D89525E" w14:textId="77777777" w:rsidR="00A654D9" w:rsidRPr="00AD3584" w:rsidRDefault="00A654D9" w:rsidP="00E90F26">
      <w:pPr>
        <w:pStyle w:val="BayerBodyTextFull"/>
        <w:rPr>
          <w:highlight w:val="lightGray"/>
        </w:rPr>
      </w:pPr>
    </w:p>
    <w:p w14:paraId="1829CE12" w14:textId="77777777" w:rsidR="007F08E4" w:rsidRPr="000202B5" w:rsidRDefault="007F08E4" w:rsidP="000202B5">
      <w:pPr>
        <w:pStyle w:val="Heading2"/>
      </w:pPr>
      <w:r w:rsidRPr="000202B5">
        <w:t>Incompatibilities</w:t>
      </w:r>
    </w:p>
    <w:p w14:paraId="16D34E00" w14:textId="77777777" w:rsidR="00CE2E07" w:rsidRDefault="00CE2E07" w:rsidP="00E90F26">
      <w:pPr>
        <w:pStyle w:val="BayerBodyTextFull"/>
        <w:rPr>
          <w:lang w:eastAsia="en-US"/>
        </w:rPr>
      </w:pPr>
      <w:r>
        <w:rPr>
          <w:lang w:eastAsia="en-US"/>
        </w:rPr>
        <w:t>Incompatibilities were either not assessed or not identified as part of the registration of this medicine.</w:t>
      </w:r>
    </w:p>
    <w:p w14:paraId="43641816" w14:textId="77777777" w:rsidR="00AD3584" w:rsidRPr="00A90FAB" w:rsidRDefault="00AD3584" w:rsidP="00E90F26">
      <w:pPr>
        <w:pStyle w:val="BayerBodyTextFull"/>
      </w:pPr>
    </w:p>
    <w:p w14:paraId="71FCE5C5" w14:textId="77777777" w:rsidR="007F08E4" w:rsidRPr="000202B5" w:rsidRDefault="00A00156" w:rsidP="000202B5">
      <w:pPr>
        <w:pStyle w:val="Heading2"/>
      </w:pPr>
      <w:r w:rsidRPr="000202B5">
        <w:t>Shelf L</w:t>
      </w:r>
      <w:r w:rsidR="007F08E4" w:rsidRPr="000202B5">
        <w:t>ife</w:t>
      </w:r>
    </w:p>
    <w:p w14:paraId="0E07B858" w14:textId="77777777" w:rsidR="00B73B79" w:rsidRDefault="00705789" w:rsidP="00E90F26">
      <w:pPr>
        <w:pStyle w:val="BayerBodyTextFull"/>
      </w:pPr>
      <w:r w:rsidRPr="00705789">
        <w:t xml:space="preserve">In Australia, information on the shelf life can be found on the public summary of the Australian Register of Therapeutic Goods (ARTG). The expiry date can be found on the packaging. </w:t>
      </w:r>
    </w:p>
    <w:p w14:paraId="4D942E41" w14:textId="77777777" w:rsidR="00BE783A" w:rsidRPr="00A90FAB" w:rsidRDefault="00BE783A" w:rsidP="00E90F26">
      <w:pPr>
        <w:pStyle w:val="BayerBodyTextFull"/>
      </w:pPr>
    </w:p>
    <w:p w14:paraId="48BF49B5" w14:textId="77777777" w:rsidR="007F08E4" w:rsidRPr="000202B5" w:rsidRDefault="00A00156" w:rsidP="000202B5">
      <w:pPr>
        <w:pStyle w:val="Heading2"/>
      </w:pPr>
      <w:r w:rsidRPr="000202B5">
        <w:t>Special Precautions for S</w:t>
      </w:r>
      <w:r w:rsidR="00AD3584" w:rsidRPr="000202B5">
        <w:t>torage</w:t>
      </w:r>
    </w:p>
    <w:p w14:paraId="6D7B7347" w14:textId="77777777" w:rsidR="00AD3584" w:rsidRDefault="00AD3584" w:rsidP="00E90F26">
      <w:pPr>
        <w:pStyle w:val="BayerBodyTextFull"/>
        <w:rPr>
          <w:highlight w:val="lightGray"/>
        </w:rPr>
      </w:pPr>
      <w:r w:rsidRPr="002742BE">
        <w:t>Store below 30°</w:t>
      </w:r>
      <w:r w:rsidR="00842BB0">
        <w:t>C.</w:t>
      </w:r>
      <w:r w:rsidR="002B12D5" w:rsidRPr="002B12D5">
        <w:t xml:space="preserve"> </w:t>
      </w:r>
      <w:r w:rsidR="002B12D5" w:rsidRPr="002B12D5">
        <w:rPr>
          <w:noProof/>
          <w:lang w:eastAsia="en-US"/>
        </w:rPr>
        <w:t>Store tablets in original pack until required</w:t>
      </w:r>
      <w:r w:rsidR="00B73B79">
        <w:rPr>
          <w:noProof/>
          <w:lang w:eastAsia="en-US"/>
        </w:rPr>
        <w:t>.</w:t>
      </w:r>
    </w:p>
    <w:p w14:paraId="3402526B" w14:textId="77777777" w:rsidR="00AD3584" w:rsidRPr="00AD3584" w:rsidRDefault="00AD3584" w:rsidP="00E90F26">
      <w:pPr>
        <w:pStyle w:val="BayerBodyTextFull"/>
        <w:rPr>
          <w:highlight w:val="lightGray"/>
        </w:rPr>
      </w:pPr>
    </w:p>
    <w:p w14:paraId="5820B4CD" w14:textId="77777777" w:rsidR="00A00156" w:rsidRPr="000202B5" w:rsidRDefault="000202B5" w:rsidP="000202B5">
      <w:pPr>
        <w:pStyle w:val="Heading2"/>
      </w:pPr>
      <w:r w:rsidRPr="000202B5">
        <w:t>Nature and Contents of Container</w:t>
      </w:r>
    </w:p>
    <w:p w14:paraId="79C505D2" w14:textId="77777777" w:rsidR="00A00156" w:rsidRDefault="00A00156" w:rsidP="00E90F26">
      <w:pPr>
        <w:pStyle w:val="BayerBodyTextFull"/>
        <w:rPr>
          <w:noProof/>
          <w:lang w:eastAsia="en-US"/>
        </w:rPr>
      </w:pPr>
      <w:r w:rsidRPr="00AD3584">
        <w:rPr>
          <w:noProof/>
          <w:lang w:eastAsia="en-US"/>
        </w:rPr>
        <w:t>The tablets are packed in thermoformed PP/Aluminium foil blisters or PVC/PVDC/Aluminium foil blisters</w:t>
      </w:r>
    </w:p>
    <w:p w14:paraId="167D31F7" w14:textId="77777777" w:rsidR="007D7E75" w:rsidRDefault="007D7E75" w:rsidP="00E90F26">
      <w:pPr>
        <w:pStyle w:val="BayerBodyTextFull"/>
        <w:rPr>
          <w:noProof/>
          <w:lang w:eastAsia="en-US"/>
        </w:rPr>
      </w:pPr>
      <w:r>
        <w:rPr>
          <w:noProof/>
          <w:lang w:eastAsia="en-US"/>
        </w:rPr>
        <w:t>The 2.5 mg tablets are supplied in packs of 14, 56, 60 and 100 tablets.</w:t>
      </w:r>
    </w:p>
    <w:p w14:paraId="5BF2A121" w14:textId="77777777" w:rsidR="00A00156" w:rsidRDefault="00A00156" w:rsidP="00DC2E51">
      <w:pPr>
        <w:spacing w:after="120"/>
        <w:ind w:left="630" w:right="43"/>
        <w:rPr>
          <w:rFonts w:cs="Arial"/>
          <w:szCs w:val="22"/>
        </w:rPr>
      </w:pPr>
      <w:r w:rsidRPr="002742BE">
        <w:rPr>
          <w:rFonts w:cs="Arial"/>
          <w:szCs w:val="22"/>
        </w:rPr>
        <w:t xml:space="preserve">The </w:t>
      </w:r>
      <w:r>
        <w:rPr>
          <w:rFonts w:cs="Arial"/>
          <w:szCs w:val="22"/>
        </w:rPr>
        <w:t xml:space="preserve">10 mg </w:t>
      </w:r>
      <w:r w:rsidRPr="002742BE">
        <w:rPr>
          <w:rFonts w:cs="Arial"/>
          <w:szCs w:val="22"/>
        </w:rPr>
        <w:t>tablets are supplied in packs</w:t>
      </w:r>
      <w:r>
        <w:rPr>
          <w:rFonts w:cs="Arial"/>
          <w:szCs w:val="22"/>
        </w:rPr>
        <w:t xml:space="preserve"> of 3, 10, 15, 30, 100 tablets.</w:t>
      </w:r>
    </w:p>
    <w:p w14:paraId="061C4503" w14:textId="77777777" w:rsidR="00A00156" w:rsidRPr="002742BE" w:rsidRDefault="00A00156" w:rsidP="00DC2E51">
      <w:pPr>
        <w:spacing w:after="120"/>
        <w:ind w:left="630" w:right="43"/>
        <w:rPr>
          <w:rFonts w:cs="Arial"/>
          <w:szCs w:val="22"/>
        </w:rPr>
      </w:pPr>
      <w:r>
        <w:rPr>
          <w:rFonts w:cs="Arial"/>
          <w:noProof/>
          <w:szCs w:val="22"/>
        </w:rPr>
        <w:t xml:space="preserve">The 15 mg tablets are supplied in packs of </w:t>
      </w:r>
      <w:r w:rsidRPr="002742BE">
        <w:rPr>
          <w:rFonts w:cs="Arial"/>
          <w:szCs w:val="22"/>
        </w:rPr>
        <w:t>7, 14, 28, 42, 84, 98, 100 tablets.</w:t>
      </w:r>
    </w:p>
    <w:p w14:paraId="05902549" w14:textId="77777777" w:rsidR="00A00156" w:rsidRPr="002742BE" w:rsidRDefault="00A00156" w:rsidP="00DC2E51">
      <w:pPr>
        <w:spacing w:after="120"/>
        <w:ind w:left="630" w:right="43"/>
        <w:rPr>
          <w:rFonts w:cs="Arial"/>
          <w:szCs w:val="22"/>
        </w:rPr>
      </w:pPr>
      <w:r>
        <w:rPr>
          <w:rFonts w:cs="Arial"/>
          <w:noProof/>
          <w:szCs w:val="22"/>
        </w:rPr>
        <w:t xml:space="preserve">The 20 mg tablets are supplied in packs of </w:t>
      </w:r>
      <w:r w:rsidRPr="002742BE">
        <w:rPr>
          <w:rFonts w:cs="Arial"/>
          <w:szCs w:val="22"/>
        </w:rPr>
        <w:t>7, 28, 84, 98, 100 tablets.</w:t>
      </w:r>
    </w:p>
    <w:p w14:paraId="05F326E8" w14:textId="77777777" w:rsidR="00A00156" w:rsidRDefault="00A00156" w:rsidP="00DC2E51">
      <w:pPr>
        <w:spacing w:after="120"/>
        <w:ind w:left="630" w:right="46"/>
        <w:rPr>
          <w:rFonts w:cs="Arial"/>
          <w:noProof/>
          <w:szCs w:val="22"/>
          <w:lang w:eastAsia="en-US"/>
        </w:rPr>
      </w:pPr>
      <w:r w:rsidRPr="00AD3584">
        <w:rPr>
          <w:rFonts w:cs="Arial"/>
          <w:noProof/>
          <w:szCs w:val="22"/>
          <w:lang w:eastAsia="en-US"/>
        </w:rPr>
        <w:t>Not all pack sizes may be marketed.</w:t>
      </w:r>
    </w:p>
    <w:p w14:paraId="5C284D66" w14:textId="77777777" w:rsidR="00AD3584" w:rsidRPr="00AD3584" w:rsidRDefault="00AD3584" w:rsidP="00E90F26">
      <w:pPr>
        <w:pStyle w:val="BayerBodyTextFull"/>
        <w:rPr>
          <w:highlight w:val="lightGray"/>
        </w:rPr>
      </w:pPr>
    </w:p>
    <w:p w14:paraId="112E27F6" w14:textId="77777777" w:rsidR="007F08E4" w:rsidRPr="000202B5" w:rsidRDefault="00A00156" w:rsidP="000202B5">
      <w:pPr>
        <w:pStyle w:val="Heading2"/>
      </w:pPr>
      <w:r w:rsidRPr="000202B5">
        <w:t>Special Precautions for Disposal</w:t>
      </w:r>
    </w:p>
    <w:p w14:paraId="00C41D13" w14:textId="5A0CC5CE" w:rsidR="00BE783A" w:rsidRDefault="007F136E" w:rsidP="00E90F26">
      <w:pPr>
        <w:pStyle w:val="BayerBodyTextFull"/>
        <w:rPr>
          <w:lang w:eastAsia="en-US"/>
        </w:rPr>
      </w:pPr>
      <w:r w:rsidRPr="007F136E">
        <w:rPr>
          <w:lang w:eastAsia="en-US"/>
        </w:rPr>
        <w:t>In Australia, any unused medicine or waste material should be disposed of in accordance with local requirements by taking to your local pharmacy</w:t>
      </w:r>
      <w:r w:rsidR="009D4E55">
        <w:rPr>
          <w:lang w:eastAsia="en-US"/>
        </w:rPr>
        <w:t>.</w:t>
      </w:r>
      <w:r w:rsidRPr="007F136E" w:rsidDel="007F136E">
        <w:rPr>
          <w:lang w:eastAsia="en-US"/>
        </w:rPr>
        <w:t xml:space="preserve"> </w:t>
      </w:r>
    </w:p>
    <w:p w14:paraId="7E9C1FB7" w14:textId="77777777" w:rsidR="00BE783A" w:rsidRPr="000202B5" w:rsidRDefault="00A00156" w:rsidP="000202B5">
      <w:pPr>
        <w:pStyle w:val="Heading2"/>
      </w:pPr>
      <w:r w:rsidRPr="000202B5">
        <w:t>Physicochemical Properties</w:t>
      </w:r>
    </w:p>
    <w:p w14:paraId="4679AA10" w14:textId="77777777" w:rsidR="00A00156" w:rsidRPr="000202B5" w:rsidRDefault="00A00156" w:rsidP="000202B5">
      <w:pPr>
        <w:pStyle w:val="Heading3"/>
      </w:pPr>
      <w:r w:rsidRPr="000202B5">
        <w:t>Chemical structure</w:t>
      </w:r>
    </w:p>
    <w:p w14:paraId="447E137C" w14:textId="77777777" w:rsidR="00D2311E" w:rsidRPr="002742BE" w:rsidRDefault="00D2311E" w:rsidP="00DC2E51">
      <w:pPr>
        <w:spacing w:before="120" w:after="240"/>
        <w:ind w:left="630" w:right="46"/>
        <w:rPr>
          <w:rFonts w:cs="Arial"/>
          <w:szCs w:val="22"/>
        </w:rPr>
      </w:pPr>
      <w:r w:rsidRPr="002742BE">
        <w:rPr>
          <w:rFonts w:cs="Arial"/>
          <w:szCs w:val="22"/>
        </w:rPr>
        <w:t>Rivaroxaban</w:t>
      </w:r>
      <w:r w:rsidRPr="002742BE">
        <w:rPr>
          <w:szCs w:val="22"/>
        </w:rPr>
        <w:t xml:space="preserve"> </w:t>
      </w:r>
      <w:r w:rsidRPr="002742BE">
        <w:rPr>
          <w:rFonts w:cs="Arial"/>
          <w:szCs w:val="22"/>
        </w:rPr>
        <w:t>is</w:t>
      </w:r>
      <w:r w:rsidRPr="002742BE">
        <w:rPr>
          <w:szCs w:val="22"/>
        </w:rPr>
        <w:t xml:space="preserve"> </w:t>
      </w:r>
      <w:r w:rsidRPr="002742BE">
        <w:rPr>
          <w:rFonts w:cs="Arial"/>
          <w:szCs w:val="22"/>
        </w:rPr>
        <w:t>5</w:t>
      </w:r>
      <w:r w:rsidRPr="002742BE">
        <w:rPr>
          <w:rFonts w:cs="Arial"/>
          <w:szCs w:val="22"/>
        </w:rPr>
        <w:noBreakHyphen/>
        <w:t>Chloro</w:t>
      </w:r>
      <w:r w:rsidRPr="002742BE">
        <w:rPr>
          <w:rFonts w:cs="Arial"/>
          <w:szCs w:val="22"/>
        </w:rPr>
        <w:noBreakHyphen/>
        <w:t>N</w:t>
      </w:r>
      <w:r w:rsidRPr="002742BE">
        <w:rPr>
          <w:rFonts w:cs="Arial"/>
          <w:szCs w:val="22"/>
        </w:rPr>
        <w:noBreakHyphen/>
        <w:t>({(5</w:t>
      </w:r>
      <w:r w:rsidRPr="002742BE">
        <w:rPr>
          <w:rFonts w:cs="Arial"/>
          <w:i/>
          <w:szCs w:val="22"/>
        </w:rPr>
        <w:t>S</w:t>
      </w:r>
      <w:r w:rsidRPr="002742BE">
        <w:rPr>
          <w:rFonts w:cs="Arial"/>
          <w:szCs w:val="22"/>
        </w:rPr>
        <w:t>)</w:t>
      </w:r>
      <w:r w:rsidRPr="002742BE">
        <w:rPr>
          <w:rFonts w:cs="Arial"/>
          <w:szCs w:val="22"/>
        </w:rPr>
        <w:noBreakHyphen/>
        <w:t>2</w:t>
      </w:r>
      <w:r w:rsidRPr="002742BE">
        <w:rPr>
          <w:rFonts w:cs="Arial"/>
          <w:szCs w:val="22"/>
        </w:rPr>
        <w:noBreakHyphen/>
        <w:t>oxo</w:t>
      </w:r>
      <w:r w:rsidRPr="002742BE">
        <w:rPr>
          <w:rFonts w:cs="Arial"/>
          <w:szCs w:val="22"/>
        </w:rPr>
        <w:noBreakHyphen/>
        <w:t>3</w:t>
      </w:r>
      <w:r w:rsidRPr="002742BE">
        <w:rPr>
          <w:rFonts w:cs="Arial"/>
          <w:szCs w:val="22"/>
        </w:rPr>
        <w:noBreakHyphen/>
        <w:t>[4</w:t>
      </w:r>
      <w:r w:rsidRPr="002742BE">
        <w:rPr>
          <w:rFonts w:cs="Arial"/>
          <w:szCs w:val="22"/>
        </w:rPr>
        <w:noBreakHyphen/>
        <w:t>(3</w:t>
      </w:r>
      <w:r w:rsidRPr="002742BE">
        <w:rPr>
          <w:rFonts w:cs="Arial"/>
          <w:szCs w:val="22"/>
        </w:rPr>
        <w:noBreakHyphen/>
        <w:t>oxo</w:t>
      </w:r>
      <w:r w:rsidRPr="002742BE">
        <w:rPr>
          <w:rFonts w:cs="Arial"/>
          <w:szCs w:val="22"/>
        </w:rPr>
        <w:noBreakHyphen/>
        <w:t>4</w:t>
      </w:r>
      <w:r w:rsidRPr="002742BE">
        <w:rPr>
          <w:rFonts w:cs="Arial"/>
          <w:szCs w:val="22"/>
        </w:rPr>
        <w:noBreakHyphen/>
        <w:t>morpholinyl)phenyl]-1,3-oxazolidin-5-yl}methyl)</w:t>
      </w:r>
      <w:r w:rsidRPr="002742BE">
        <w:rPr>
          <w:rFonts w:cs="Arial"/>
          <w:szCs w:val="22"/>
        </w:rPr>
        <w:noBreakHyphen/>
        <w:t>2</w:t>
      </w:r>
      <w:r w:rsidRPr="002742BE">
        <w:rPr>
          <w:rFonts w:cs="Arial"/>
          <w:szCs w:val="22"/>
        </w:rPr>
        <w:noBreakHyphen/>
        <w:t xml:space="preserve">thiophene-carboxamide. </w:t>
      </w:r>
      <w:r>
        <w:rPr>
          <w:rFonts w:cs="Arial"/>
          <w:szCs w:val="22"/>
        </w:rPr>
        <w:t xml:space="preserve"> </w:t>
      </w:r>
      <w:r w:rsidRPr="002742BE">
        <w:rPr>
          <w:rFonts w:cs="Arial"/>
          <w:szCs w:val="22"/>
        </w:rPr>
        <w:t>The empirical formula is C</w:t>
      </w:r>
      <w:r w:rsidRPr="002742BE">
        <w:rPr>
          <w:rStyle w:val="BayerSubscriptChar"/>
          <w:rFonts w:cs="Arial"/>
          <w:szCs w:val="22"/>
        </w:rPr>
        <w:t>19</w:t>
      </w:r>
      <w:r w:rsidRPr="002742BE">
        <w:rPr>
          <w:rFonts w:cs="Arial"/>
          <w:szCs w:val="22"/>
        </w:rPr>
        <w:t>H</w:t>
      </w:r>
      <w:r w:rsidRPr="002742BE">
        <w:rPr>
          <w:rStyle w:val="BayerSubscriptChar"/>
          <w:rFonts w:cs="Arial"/>
          <w:szCs w:val="22"/>
        </w:rPr>
        <w:t>18</w:t>
      </w:r>
      <w:r w:rsidRPr="002742BE">
        <w:rPr>
          <w:rFonts w:cs="Arial"/>
          <w:szCs w:val="22"/>
        </w:rPr>
        <w:t>ClN</w:t>
      </w:r>
      <w:r w:rsidRPr="002742BE">
        <w:rPr>
          <w:rStyle w:val="BayerSubscriptChar"/>
          <w:rFonts w:cs="Arial"/>
          <w:szCs w:val="22"/>
        </w:rPr>
        <w:t>3</w:t>
      </w:r>
      <w:r w:rsidRPr="002742BE">
        <w:rPr>
          <w:rFonts w:cs="Arial"/>
          <w:szCs w:val="22"/>
        </w:rPr>
        <w:t>O</w:t>
      </w:r>
      <w:r w:rsidRPr="002742BE">
        <w:rPr>
          <w:rStyle w:val="BayerSubscriptChar"/>
          <w:rFonts w:cs="Arial"/>
          <w:szCs w:val="22"/>
        </w:rPr>
        <w:t>5</w:t>
      </w:r>
      <w:r w:rsidRPr="002742BE">
        <w:rPr>
          <w:rFonts w:cs="Arial"/>
          <w:szCs w:val="22"/>
        </w:rPr>
        <w:t>S</w:t>
      </w:r>
      <w:r w:rsidR="00DC2E51">
        <w:rPr>
          <w:rFonts w:cs="Arial"/>
          <w:szCs w:val="22"/>
        </w:rPr>
        <w:t xml:space="preserve"> and </w:t>
      </w:r>
      <w:r w:rsidRPr="002742BE">
        <w:rPr>
          <w:rFonts w:cs="Arial"/>
          <w:szCs w:val="22"/>
        </w:rPr>
        <w:t xml:space="preserve">molecular weight is </w:t>
      </w:r>
      <w:r w:rsidRPr="002742BE">
        <w:rPr>
          <w:rFonts w:cs="Arial"/>
          <w:spacing w:val="-3"/>
          <w:szCs w:val="22"/>
        </w:rPr>
        <w:t>435.</w:t>
      </w:r>
      <w:r>
        <w:rPr>
          <w:rFonts w:cs="Arial"/>
          <w:spacing w:val="-3"/>
          <w:szCs w:val="22"/>
        </w:rPr>
        <w:t xml:space="preserve">89 g </w:t>
      </w:r>
      <w:r w:rsidRPr="002742BE">
        <w:rPr>
          <w:rFonts w:cs="Arial"/>
          <w:spacing w:val="-3"/>
          <w:szCs w:val="22"/>
        </w:rPr>
        <w:t>/</w:t>
      </w:r>
      <w:r>
        <w:rPr>
          <w:rFonts w:cs="Arial"/>
          <w:spacing w:val="-3"/>
          <w:szCs w:val="22"/>
        </w:rPr>
        <w:t xml:space="preserve"> </w:t>
      </w:r>
      <w:r w:rsidRPr="002742BE">
        <w:rPr>
          <w:rFonts w:cs="Arial"/>
          <w:spacing w:val="-3"/>
          <w:szCs w:val="22"/>
        </w:rPr>
        <w:t>mole</w:t>
      </w:r>
      <w:r w:rsidR="00DC2E51">
        <w:rPr>
          <w:rFonts w:cs="Arial"/>
          <w:spacing w:val="-3"/>
          <w:szCs w:val="22"/>
        </w:rPr>
        <w:t>.</w:t>
      </w:r>
    </w:p>
    <w:p w14:paraId="33BE5690" w14:textId="77777777" w:rsidR="00D2311E" w:rsidRPr="002742BE" w:rsidRDefault="00DC2E51" w:rsidP="008B5BCF">
      <w:pPr>
        <w:spacing w:before="120" w:after="240"/>
        <w:ind w:right="46"/>
        <w:rPr>
          <w:rFonts w:cs="Arial"/>
          <w:szCs w:val="22"/>
        </w:rPr>
      </w:pPr>
      <w:r>
        <w:rPr>
          <w:rFonts w:cs="Arial"/>
          <w:szCs w:val="22"/>
        </w:rPr>
        <w:tab/>
      </w:r>
      <w:r w:rsidR="00D2311E" w:rsidRPr="002742BE">
        <w:rPr>
          <w:rFonts w:cs="Arial"/>
          <w:szCs w:val="22"/>
        </w:rPr>
        <w:t>Rivaroxaban has the following structural formula:</w:t>
      </w:r>
    </w:p>
    <w:p w14:paraId="280B95F9" w14:textId="77777777" w:rsidR="00D2311E" w:rsidRPr="002742BE" w:rsidRDefault="00D2311E" w:rsidP="009D4E55">
      <w:pPr>
        <w:spacing w:before="120" w:after="240" w:line="300" w:lineRule="atLeast"/>
        <w:ind w:right="46" w:firstLine="630"/>
        <w:jc w:val="both"/>
      </w:pPr>
      <w:r w:rsidRPr="002742BE">
        <w:rPr>
          <w:rFonts w:cs="Arial"/>
          <w:szCs w:val="22"/>
        </w:rPr>
        <w:object w:dxaOrig="5730" w:dyaOrig="1965" w14:anchorId="26AE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9pt;height:82.65pt" o:ole="">
            <v:imagedata r:id="rId25" o:title=""/>
          </v:shape>
          <o:OLEObject Type="Embed" ProgID="ISISServer" ShapeID="_x0000_i1025" DrawAspect="Content" ObjectID="_1633947223" r:id="rId26"/>
        </w:object>
      </w:r>
    </w:p>
    <w:p w14:paraId="5F854C1E" w14:textId="77777777" w:rsidR="00D2311E" w:rsidRPr="00DC2E51" w:rsidRDefault="00D2311E" w:rsidP="00DC2E51">
      <w:pPr>
        <w:spacing w:before="120" w:after="240"/>
        <w:ind w:left="630" w:right="46"/>
        <w:rPr>
          <w:rFonts w:cs="Arial"/>
          <w:szCs w:val="22"/>
        </w:rPr>
      </w:pPr>
      <w:r w:rsidRPr="00DC2E51">
        <w:rPr>
          <w:rFonts w:cs="Arial"/>
          <w:szCs w:val="22"/>
        </w:rPr>
        <w:t>Rivaroxaban is an odourless, non-hygroscopic white to yellowish powder.  Rivaroxaban is practically insoluble in water and aqueous media in the pH range 1 to 9.  An amount of approximately 5 - 7 mg/L rivaroxaban is pH-independently soluble in aqueous media at 25ºC.  Rivaroxaban is only slightly soluble in organic solvents (e.g. acetone, polyethylene glycol 400).</w:t>
      </w:r>
    </w:p>
    <w:p w14:paraId="17C612DD" w14:textId="77777777" w:rsidR="000202B5" w:rsidRPr="000202B5" w:rsidRDefault="00D2311E" w:rsidP="000202B5">
      <w:pPr>
        <w:pStyle w:val="Heading3"/>
      </w:pPr>
      <w:r w:rsidRPr="000202B5">
        <w:t>CAS number</w:t>
      </w:r>
      <w:r w:rsidR="00841087" w:rsidRPr="000202B5">
        <w:t xml:space="preserve"> </w:t>
      </w:r>
    </w:p>
    <w:p w14:paraId="1A868651" w14:textId="370D4DDF" w:rsidR="00A00156" w:rsidRDefault="00841087" w:rsidP="00D9199E">
      <w:pPr>
        <w:pStyle w:val="BayerBodyText-left"/>
        <w:ind w:firstLine="630"/>
        <w:jc w:val="left"/>
        <w:rPr>
          <w:lang w:eastAsia="en-US"/>
        </w:rPr>
      </w:pPr>
      <w:r w:rsidRPr="00841087">
        <w:rPr>
          <w:lang w:eastAsia="en-US"/>
        </w:rPr>
        <w:t>366789-02-8</w:t>
      </w:r>
    </w:p>
    <w:p w14:paraId="35DB9CCE" w14:textId="77777777" w:rsidR="007F08E4" w:rsidRPr="000202B5" w:rsidRDefault="00E92041" w:rsidP="000202B5">
      <w:pPr>
        <w:pStyle w:val="Heading1"/>
      </w:pPr>
      <w:r w:rsidRPr="000202B5">
        <w:t>MEDICINE SCHEDULE (POISONS STANDARD)</w:t>
      </w:r>
    </w:p>
    <w:p w14:paraId="4565645E" w14:textId="14713C48" w:rsidR="001D5269" w:rsidRDefault="007F136E" w:rsidP="007A1789">
      <w:pPr>
        <w:spacing w:after="240"/>
        <w:ind w:left="630" w:right="43"/>
        <w:jc w:val="both"/>
      </w:pPr>
      <w:r>
        <w:rPr>
          <w:rFonts w:cs="Arial"/>
          <w:szCs w:val="22"/>
        </w:rPr>
        <w:t>S4-</w:t>
      </w:r>
      <w:r w:rsidR="00E92041" w:rsidRPr="002742BE">
        <w:rPr>
          <w:rFonts w:cs="Arial"/>
          <w:szCs w:val="22"/>
        </w:rPr>
        <w:t>PRESCRIPTION ONLY MEDICINE</w:t>
      </w:r>
    </w:p>
    <w:p w14:paraId="5DC83CCB" w14:textId="77777777" w:rsidR="001D5269" w:rsidRPr="000202B5" w:rsidRDefault="003B25EB" w:rsidP="000202B5">
      <w:pPr>
        <w:pStyle w:val="Heading1"/>
      </w:pPr>
      <w:r w:rsidRPr="000202B5">
        <w:t>SPONSOR</w:t>
      </w:r>
    </w:p>
    <w:p w14:paraId="65D11EFF" w14:textId="77777777" w:rsidR="00E92041" w:rsidRPr="002742BE" w:rsidRDefault="00E92041" w:rsidP="00DC2E51">
      <w:pPr>
        <w:ind w:left="630" w:right="45"/>
        <w:jc w:val="both"/>
        <w:rPr>
          <w:rFonts w:cs="Arial"/>
          <w:szCs w:val="22"/>
        </w:rPr>
      </w:pPr>
      <w:r w:rsidRPr="002742BE">
        <w:rPr>
          <w:rFonts w:cs="Arial"/>
          <w:szCs w:val="22"/>
        </w:rPr>
        <w:t>BAYER AUSTRALIA LTD</w:t>
      </w:r>
    </w:p>
    <w:p w14:paraId="229F0204" w14:textId="77777777" w:rsidR="00E92041" w:rsidRPr="002742BE" w:rsidRDefault="00E92041" w:rsidP="00DC2E51">
      <w:pPr>
        <w:ind w:left="630" w:right="45"/>
        <w:jc w:val="both"/>
        <w:rPr>
          <w:rFonts w:cs="Arial"/>
          <w:szCs w:val="22"/>
        </w:rPr>
      </w:pPr>
      <w:r w:rsidRPr="002742BE">
        <w:rPr>
          <w:rFonts w:cs="Arial"/>
          <w:szCs w:val="22"/>
        </w:rPr>
        <w:t>ABN 22 000 138 714</w:t>
      </w:r>
    </w:p>
    <w:p w14:paraId="491D2413" w14:textId="77777777" w:rsidR="00E92041" w:rsidRPr="002742BE" w:rsidRDefault="00E92041" w:rsidP="00DC2E51">
      <w:pPr>
        <w:ind w:left="630" w:right="45"/>
        <w:jc w:val="both"/>
        <w:rPr>
          <w:rFonts w:cs="Arial"/>
          <w:szCs w:val="22"/>
        </w:rPr>
      </w:pPr>
      <w:r w:rsidRPr="002742BE">
        <w:rPr>
          <w:rFonts w:cs="Arial"/>
          <w:szCs w:val="22"/>
        </w:rPr>
        <w:t>875 Pacific Highway</w:t>
      </w:r>
    </w:p>
    <w:p w14:paraId="7DFDD7D2" w14:textId="77777777" w:rsidR="00E92041" w:rsidRDefault="00E92041" w:rsidP="00DC2E51">
      <w:pPr>
        <w:spacing w:after="120"/>
        <w:ind w:left="630" w:right="45"/>
        <w:jc w:val="both"/>
        <w:rPr>
          <w:rFonts w:cs="Arial"/>
          <w:szCs w:val="22"/>
        </w:rPr>
      </w:pPr>
      <w:r w:rsidRPr="002742BE">
        <w:rPr>
          <w:rFonts w:cs="Arial"/>
          <w:szCs w:val="22"/>
        </w:rPr>
        <w:t>PYMBLE, NSW 2073</w:t>
      </w:r>
    </w:p>
    <w:p w14:paraId="52482D46" w14:textId="57224895" w:rsidR="001D5269" w:rsidRPr="001D5269" w:rsidRDefault="007F136E" w:rsidP="007A1789">
      <w:pPr>
        <w:pStyle w:val="BayerBodyTextFull"/>
        <w:ind w:left="0"/>
      </w:pPr>
      <w:r>
        <w:rPr>
          <w:color w:val="0000FF"/>
          <w:szCs w:val="22"/>
          <w:u w:val="single"/>
        </w:rPr>
        <w:t>www.bayer.com.au</w:t>
      </w:r>
    </w:p>
    <w:p w14:paraId="35FDBB49" w14:textId="77777777" w:rsidR="007F08E4" w:rsidRPr="000202B5" w:rsidRDefault="007F08E4" w:rsidP="000202B5">
      <w:pPr>
        <w:pStyle w:val="Heading1"/>
      </w:pPr>
      <w:r w:rsidRPr="000202B5">
        <w:t>DATE OF FIRST APPROVAL</w:t>
      </w:r>
    </w:p>
    <w:p w14:paraId="6206A5BA" w14:textId="77777777" w:rsidR="00E92041" w:rsidRDefault="00E92041" w:rsidP="00E90F26">
      <w:pPr>
        <w:pStyle w:val="BayerBodyTextFull"/>
        <w:rPr>
          <w:highlight w:val="lightGray"/>
        </w:rPr>
      </w:pPr>
      <w:r w:rsidRPr="002742BE">
        <w:rPr>
          <w:caps/>
          <w:lang w:eastAsia="en-US"/>
        </w:rPr>
        <w:t xml:space="preserve">24 </w:t>
      </w:r>
      <w:r w:rsidRPr="002742BE">
        <w:rPr>
          <w:lang w:eastAsia="en-US"/>
        </w:rPr>
        <w:t xml:space="preserve">November </w:t>
      </w:r>
      <w:r w:rsidRPr="002742BE">
        <w:rPr>
          <w:caps/>
          <w:lang w:eastAsia="en-US"/>
        </w:rPr>
        <w:t>2008</w:t>
      </w:r>
    </w:p>
    <w:p w14:paraId="3410B1FA" w14:textId="77777777" w:rsidR="00E92041" w:rsidRPr="00E92041" w:rsidRDefault="00E92041" w:rsidP="00E90F26">
      <w:pPr>
        <w:pStyle w:val="BayerBodyTextFull"/>
        <w:rPr>
          <w:highlight w:val="lightGray"/>
        </w:rPr>
      </w:pPr>
    </w:p>
    <w:p w14:paraId="7F88A2C0" w14:textId="77777777" w:rsidR="007F08E4" w:rsidRPr="000202B5" w:rsidRDefault="007F08E4" w:rsidP="000202B5">
      <w:pPr>
        <w:pStyle w:val="Heading1"/>
      </w:pPr>
      <w:r w:rsidRPr="000202B5">
        <w:t xml:space="preserve">DATE OF </w:t>
      </w:r>
      <w:r w:rsidR="00D2311E" w:rsidRPr="000202B5">
        <w:t>REVISION</w:t>
      </w:r>
    </w:p>
    <w:p w14:paraId="6E7C8C46" w14:textId="00BE72CA" w:rsidR="00581E42" w:rsidRDefault="00581E42" w:rsidP="00EC3C80">
      <w:pPr>
        <w:pStyle w:val="Heading1"/>
        <w:numPr>
          <w:ilvl w:val="0"/>
          <w:numId w:val="0"/>
        </w:numPr>
        <w:rPr>
          <w:rFonts w:cs="Arial"/>
          <w:b w:val="0"/>
          <w:sz w:val="22"/>
          <w:lang w:eastAsia="en-US"/>
        </w:rPr>
      </w:pPr>
      <w:r>
        <w:rPr>
          <w:rFonts w:cs="Arial"/>
          <w:b w:val="0"/>
          <w:sz w:val="22"/>
          <w:lang w:eastAsia="en-US"/>
        </w:rPr>
        <w:t xml:space="preserve">         </w:t>
      </w:r>
      <w:r w:rsidRPr="00581E42">
        <w:rPr>
          <w:rFonts w:cs="Arial"/>
          <w:b w:val="0"/>
          <w:sz w:val="22"/>
          <w:lang w:eastAsia="en-US"/>
        </w:rPr>
        <w:t xml:space="preserve">24 </w:t>
      </w:r>
      <w:r>
        <w:rPr>
          <w:rFonts w:cs="Arial"/>
          <w:b w:val="0"/>
          <w:sz w:val="22"/>
          <w:lang w:eastAsia="en-US"/>
        </w:rPr>
        <w:t xml:space="preserve">December </w:t>
      </w:r>
      <w:r w:rsidRPr="00581E42">
        <w:rPr>
          <w:rFonts w:cs="Arial"/>
          <w:b w:val="0"/>
          <w:sz w:val="22"/>
          <w:lang w:eastAsia="en-US"/>
        </w:rPr>
        <w:t>2018</w:t>
      </w:r>
    </w:p>
    <w:p w14:paraId="4D9A656E" w14:textId="3B1E44A7" w:rsidR="00D2311E" w:rsidRPr="00EC3C80" w:rsidRDefault="00D2311E" w:rsidP="00EC3C80">
      <w:pPr>
        <w:pStyle w:val="Heading1"/>
        <w:numPr>
          <w:ilvl w:val="0"/>
          <w:numId w:val="0"/>
        </w:numPr>
      </w:pPr>
      <w:r w:rsidRPr="00EC3C80">
        <w:t>Summary table of changes</w:t>
      </w:r>
    </w:p>
    <w:p w14:paraId="37320D8B" w14:textId="77777777" w:rsidR="00D2311E" w:rsidRPr="006D0BB4" w:rsidRDefault="00D2311E" w:rsidP="00D2311E">
      <w:pPr>
        <w:jc w:val="both"/>
        <w:rPr>
          <w:szCs w:val="22"/>
        </w:rPr>
      </w:pPr>
    </w:p>
    <w:tbl>
      <w:tblPr>
        <w:tblStyle w:val="TableGrid"/>
        <w:tblW w:w="0" w:type="auto"/>
        <w:tblLook w:val="04A0" w:firstRow="1" w:lastRow="0" w:firstColumn="1" w:lastColumn="0" w:noHBand="0" w:noVBand="1"/>
      </w:tblPr>
      <w:tblGrid>
        <w:gridCol w:w="2448"/>
        <w:gridCol w:w="6480"/>
      </w:tblGrid>
      <w:tr w:rsidR="00D2311E" w:rsidRPr="006D0BB4" w14:paraId="5F42B7DA" w14:textId="77777777" w:rsidTr="002B4B6D">
        <w:tc>
          <w:tcPr>
            <w:tcW w:w="2448" w:type="dxa"/>
          </w:tcPr>
          <w:p w14:paraId="163E6C82" w14:textId="77777777" w:rsidR="00D2311E" w:rsidRPr="006D0BB4" w:rsidRDefault="00D2311E" w:rsidP="002B4B6D">
            <w:pPr>
              <w:jc w:val="both"/>
              <w:rPr>
                <w:b/>
                <w:szCs w:val="22"/>
              </w:rPr>
            </w:pPr>
            <w:r w:rsidRPr="006D0BB4">
              <w:rPr>
                <w:b/>
                <w:szCs w:val="22"/>
              </w:rPr>
              <w:t>Section changed</w:t>
            </w:r>
          </w:p>
        </w:tc>
        <w:tc>
          <w:tcPr>
            <w:tcW w:w="6480" w:type="dxa"/>
          </w:tcPr>
          <w:p w14:paraId="73D576FD" w14:textId="77777777" w:rsidR="00D2311E" w:rsidRPr="006D0BB4" w:rsidRDefault="00D2311E" w:rsidP="002B4B6D">
            <w:pPr>
              <w:jc w:val="both"/>
              <w:rPr>
                <w:b/>
                <w:szCs w:val="22"/>
              </w:rPr>
            </w:pPr>
            <w:r w:rsidRPr="006D0BB4">
              <w:rPr>
                <w:b/>
                <w:szCs w:val="22"/>
              </w:rPr>
              <w:t>Summary of new information</w:t>
            </w:r>
          </w:p>
        </w:tc>
      </w:tr>
      <w:tr w:rsidR="00D2311E" w14:paraId="3B95A3F3" w14:textId="77777777" w:rsidTr="002B4B6D">
        <w:tc>
          <w:tcPr>
            <w:tcW w:w="2448" w:type="dxa"/>
          </w:tcPr>
          <w:p w14:paraId="1D940E6C" w14:textId="77777777" w:rsidR="00D2311E" w:rsidRDefault="00D2311E" w:rsidP="002B4B6D">
            <w:pPr>
              <w:jc w:val="both"/>
              <w:rPr>
                <w:szCs w:val="22"/>
              </w:rPr>
            </w:pPr>
            <w:r>
              <w:rPr>
                <w:szCs w:val="22"/>
              </w:rPr>
              <w:lastRenderedPageBreak/>
              <w:t>Whole document</w:t>
            </w:r>
          </w:p>
        </w:tc>
        <w:tc>
          <w:tcPr>
            <w:tcW w:w="6480" w:type="dxa"/>
          </w:tcPr>
          <w:p w14:paraId="53FA121C" w14:textId="77777777" w:rsidR="00D2311E" w:rsidRPr="006D0BB4" w:rsidRDefault="00D2311E" w:rsidP="002B4B6D">
            <w:pPr>
              <w:jc w:val="both"/>
              <w:rPr>
                <w:szCs w:val="22"/>
              </w:rPr>
            </w:pPr>
            <w:r>
              <w:rPr>
                <w:szCs w:val="22"/>
              </w:rPr>
              <w:t>Reformatted into SmPC format</w:t>
            </w:r>
          </w:p>
        </w:tc>
      </w:tr>
      <w:tr w:rsidR="00D2311E" w14:paraId="0B36C774" w14:textId="77777777" w:rsidTr="002B4B6D">
        <w:tc>
          <w:tcPr>
            <w:tcW w:w="2448" w:type="dxa"/>
          </w:tcPr>
          <w:p w14:paraId="76BF6AB4" w14:textId="77777777" w:rsidR="00D2311E" w:rsidRDefault="007D7E75" w:rsidP="002B4B6D">
            <w:pPr>
              <w:jc w:val="both"/>
              <w:rPr>
                <w:szCs w:val="22"/>
              </w:rPr>
            </w:pPr>
            <w:r>
              <w:rPr>
                <w:szCs w:val="22"/>
              </w:rPr>
              <w:t>Whole document</w:t>
            </w:r>
          </w:p>
        </w:tc>
        <w:tc>
          <w:tcPr>
            <w:tcW w:w="6480" w:type="dxa"/>
          </w:tcPr>
          <w:p w14:paraId="286D7BE5" w14:textId="77777777" w:rsidR="00D2311E" w:rsidRDefault="007D7E75" w:rsidP="007D7E75">
            <w:pPr>
              <w:jc w:val="both"/>
              <w:rPr>
                <w:szCs w:val="22"/>
              </w:rPr>
            </w:pPr>
            <w:r>
              <w:rPr>
                <w:szCs w:val="22"/>
              </w:rPr>
              <w:t>Addition of new 2.5 mg pack size and new CAD and/or PAD indications based on the clinical study 15786 (COMPASS)</w:t>
            </w:r>
          </w:p>
        </w:tc>
      </w:tr>
    </w:tbl>
    <w:p w14:paraId="4F8E56A6" w14:textId="77777777" w:rsidR="00D2311E" w:rsidRDefault="00D2311E" w:rsidP="00380D8E">
      <w:pPr>
        <w:jc w:val="both"/>
        <w:rPr>
          <w:szCs w:val="22"/>
        </w:rPr>
      </w:pPr>
    </w:p>
    <w:p w14:paraId="229F1046" w14:textId="77777777" w:rsidR="000C7BFB" w:rsidRPr="00A90FAB" w:rsidRDefault="000C7BFB" w:rsidP="00380D8E">
      <w:pPr>
        <w:jc w:val="both"/>
        <w:rPr>
          <w:szCs w:val="22"/>
        </w:rPr>
      </w:pPr>
      <w:r w:rsidRPr="000C7BFB">
        <w:rPr>
          <w:szCs w:val="22"/>
        </w:rPr>
        <w:t>® Registered Trademark of the Bayer Group, Germany</w:t>
      </w:r>
    </w:p>
    <w:sectPr w:rsidR="000C7BFB" w:rsidRPr="00A90FAB" w:rsidSect="00507AFA">
      <w:footerReference w:type="even" r:id="rId27"/>
      <w:footerReference w:type="first" r:id="rId28"/>
      <w:pgSz w:w="11906" w:h="16838"/>
      <w:pgMar w:top="1247" w:right="1418" w:bottom="124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3BBA3" w14:textId="77777777" w:rsidR="000E55D4" w:rsidRDefault="000E55D4">
      <w:r>
        <w:separator/>
      </w:r>
    </w:p>
  </w:endnote>
  <w:endnote w:type="continuationSeparator" w:id="0">
    <w:p w14:paraId="7A45B56A" w14:textId="77777777" w:rsidR="000E55D4" w:rsidRDefault="000E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S Monospace">
    <w:panose1 w:val="020B060902020202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imes New Roman Bold">
    <w:altName w:val="Tahoma"/>
    <w:panose1 w:val="02020803070505020304"/>
    <w:charset w:val="00"/>
    <w:family w:val="roman"/>
    <w:notTrueType/>
    <w:pitch w:val="default"/>
    <w:sig w:usb0="01002283" w:usb1="00000000" w:usb2="00000000" w:usb3="00000000" w:csb0="0061004D" w:csb1="006C0072"/>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A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68C0" w14:textId="77777777" w:rsidR="00222811" w:rsidRDefault="00222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59A86" w14:textId="035C92DC" w:rsidR="000E55D4" w:rsidRPr="00CB29CA" w:rsidRDefault="000E55D4" w:rsidP="00E92041">
    <w:pPr>
      <w:pStyle w:val="Footer"/>
      <w:tabs>
        <w:tab w:val="right" w:pos="9214"/>
      </w:tabs>
      <w:ind w:right="360"/>
      <w:rPr>
        <w:rFonts w:cs="Arial"/>
        <w:sz w:val="18"/>
        <w:szCs w:val="18"/>
      </w:rPr>
    </w:pPr>
    <w:r>
      <w:rPr>
        <w:rFonts w:cs="Arial"/>
        <w:sz w:val="18"/>
        <w:szCs w:val="18"/>
      </w:rPr>
      <w:t>18122</w:t>
    </w:r>
    <w:r w:rsidR="00692B95">
      <w:rPr>
        <w:rFonts w:cs="Arial"/>
        <w:sz w:val="18"/>
        <w:szCs w:val="18"/>
      </w:rPr>
      <w:t>4</w:t>
    </w:r>
    <w:r>
      <w:rPr>
        <w:rFonts w:cs="Arial"/>
        <w:sz w:val="18"/>
        <w:szCs w:val="18"/>
      </w:rPr>
      <w:t xml:space="preserve"> </w:t>
    </w:r>
    <w:r w:rsidRPr="007D0D8A">
      <w:rPr>
        <w:rFonts w:cs="Arial"/>
        <w:sz w:val="18"/>
        <w:szCs w:val="18"/>
      </w:rPr>
      <w:t xml:space="preserve">XARELTO </w:t>
    </w:r>
    <w:r>
      <w:rPr>
        <w:rFonts w:cs="Arial"/>
        <w:sz w:val="18"/>
        <w:szCs w:val="18"/>
      </w:rPr>
      <w:t>PI</w:t>
    </w:r>
    <w:r>
      <w:rPr>
        <w:rFonts w:cs="Arial"/>
        <w:sz w:val="18"/>
        <w:szCs w:val="18"/>
      </w:rPr>
      <w:tab/>
    </w:r>
    <w:r w:rsidR="00692B95">
      <w:rPr>
        <w:rFonts w:cs="Arial"/>
        <w:sz w:val="18"/>
        <w:szCs w:val="18"/>
      </w:rPr>
      <w:tab/>
    </w:r>
    <w:r w:rsidRPr="00CB29CA">
      <w:rPr>
        <w:rFonts w:cs="Arial"/>
        <w:sz w:val="18"/>
        <w:szCs w:val="18"/>
      </w:rPr>
      <w:t xml:space="preserve">Page </w:t>
    </w:r>
    <w:r w:rsidRPr="00CB29CA">
      <w:rPr>
        <w:rFonts w:cs="Arial"/>
        <w:bCs/>
        <w:sz w:val="18"/>
        <w:szCs w:val="18"/>
      </w:rPr>
      <w:fldChar w:fldCharType="begin"/>
    </w:r>
    <w:r w:rsidRPr="00CB29CA">
      <w:rPr>
        <w:rFonts w:cs="Arial"/>
        <w:bCs/>
        <w:sz w:val="18"/>
        <w:szCs w:val="18"/>
      </w:rPr>
      <w:instrText xml:space="preserve"> PAGE </w:instrText>
    </w:r>
    <w:r w:rsidRPr="00CB29CA">
      <w:rPr>
        <w:rFonts w:cs="Arial"/>
        <w:bCs/>
        <w:sz w:val="18"/>
        <w:szCs w:val="18"/>
      </w:rPr>
      <w:fldChar w:fldCharType="separate"/>
    </w:r>
    <w:r w:rsidR="005833E0">
      <w:rPr>
        <w:rFonts w:cs="Arial"/>
        <w:bCs/>
        <w:noProof/>
        <w:sz w:val="18"/>
        <w:szCs w:val="18"/>
      </w:rPr>
      <w:t>1</w:t>
    </w:r>
    <w:r w:rsidRPr="00CB29CA">
      <w:rPr>
        <w:rFonts w:cs="Arial"/>
        <w:bCs/>
        <w:sz w:val="18"/>
        <w:szCs w:val="18"/>
      </w:rPr>
      <w:fldChar w:fldCharType="end"/>
    </w:r>
    <w:r w:rsidRPr="00CB29CA">
      <w:rPr>
        <w:rFonts w:cs="Arial"/>
        <w:sz w:val="18"/>
        <w:szCs w:val="18"/>
      </w:rPr>
      <w:t xml:space="preserve"> of </w:t>
    </w:r>
    <w:r w:rsidRPr="00CB29CA">
      <w:rPr>
        <w:rFonts w:cs="Arial"/>
        <w:bCs/>
        <w:sz w:val="18"/>
        <w:szCs w:val="18"/>
      </w:rPr>
      <w:fldChar w:fldCharType="begin"/>
    </w:r>
    <w:r w:rsidRPr="00CB29CA">
      <w:rPr>
        <w:rFonts w:cs="Arial"/>
        <w:bCs/>
        <w:sz w:val="18"/>
        <w:szCs w:val="18"/>
      </w:rPr>
      <w:instrText xml:space="preserve"> NUMPAGES  </w:instrText>
    </w:r>
    <w:r w:rsidRPr="00CB29CA">
      <w:rPr>
        <w:rFonts w:cs="Arial"/>
        <w:bCs/>
        <w:sz w:val="18"/>
        <w:szCs w:val="18"/>
      </w:rPr>
      <w:fldChar w:fldCharType="separate"/>
    </w:r>
    <w:r w:rsidR="005833E0">
      <w:rPr>
        <w:rFonts w:cs="Arial"/>
        <w:bCs/>
        <w:noProof/>
        <w:sz w:val="18"/>
        <w:szCs w:val="18"/>
      </w:rPr>
      <w:t>65</w:t>
    </w:r>
    <w:r w:rsidRPr="00CB29CA">
      <w:rPr>
        <w:rFonts w:cs="Arial"/>
        <w:bCs/>
        <w:sz w:val="18"/>
        <w:szCs w:val="18"/>
      </w:rPr>
      <w:fldChar w:fldCharType="end"/>
    </w:r>
  </w:p>
  <w:p w14:paraId="03C5CF5D" w14:textId="77777777" w:rsidR="000E55D4" w:rsidRPr="006D4932" w:rsidRDefault="000E55D4" w:rsidP="00E92041">
    <w:pPr>
      <w:tabs>
        <w:tab w:val="center" w:pos="4607"/>
        <w:tab w:val="right" w:pos="9214"/>
      </w:tabs>
      <w:rPr>
        <w:rFonts w:cs="Arial"/>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7D87" w14:textId="77777777" w:rsidR="00222811" w:rsidRDefault="002228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4D56" w14:textId="77777777" w:rsidR="000E55D4" w:rsidRDefault="000E55D4" w:rsidP="007463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DC7C3" w14:textId="77777777" w:rsidR="000E55D4" w:rsidRDefault="000E55D4" w:rsidP="00867CE1">
    <w:pPr>
      <w:pStyle w:val="Footer"/>
      <w:ind w:right="360"/>
    </w:pPr>
  </w:p>
  <w:p w14:paraId="2F7576C8" w14:textId="77777777" w:rsidR="000E55D4" w:rsidRDefault="000E55D4"/>
  <w:p w14:paraId="485AA28F" w14:textId="77777777" w:rsidR="000E55D4" w:rsidRDefault="000E55D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F3ED" w14:textId="77777777" w:rsidR="000E55D4" w:rsidRDefault="000E55D4">
    <w:pPr>
      <w:jc w:val="center"/>
    </w:pPr>
    <w:r>
      <w:t xml:space="preserve">page </w:t>
    </w:r>
    <w:r>
      <w:fldChar w:fldCharType="begin"/>
    </w:r>
    <w:r>
      <w:instrText>PAGE</w:instrText>
    </w:r>
    <w:r>
      <w:fldChar w:fldCharType="separate"/>
    </w:r>
    <w:r>
      <w:rPr>
        <w:noProof/>
      </w:rPr>
      <w:t>1</w:t>
    </w:r>
    <w:r>
      <w:fldChar w:fldCharType="end"/>
    </w:r>
    <w:r>
      <w:t xml:space="preserve"> of 2 pages</w:t>
    </w:r>
  </w:p>
  <w:p w14:paraId="2110A05E" w14:textId="77777777" w:rsidR="000E55D4" w:rsidRDefault="000E55D4"/>
  <w:p w14:paraId="15E504C0" w14:textId="77777777" w:rsidR="000E55D4" w:rsidRDefault="000E55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28F3B" w14:textId="77777777" w:rsidR="000E55D4" w:rsidRDefault="000E55D4">
      <w:r>
        <w:separator/>
      </w:r>
    </w:p>
  </w:footnote>
  <w:footnote w:type="continuationSeparator" w:id="0">
    <w:p w14:paraId="188FE51E" w14:textId="77777777" w:rsidR="000E55D4" w:rsidRDefault="000E5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E162" w14:textId="77777777" w:rsidR="00222811" w:rsidRDefault="00222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DBC52" w14:textId="116F2F69" w:rsidR="00222811" w:rsidRDefault="00222811">
    <w:pPr>
      <w:pStyle w:val="Header"/>
    </w:pPr>
  </w:p>
  <w:tbl>
    <w:tblPr>
      <w:tblStyle w:val="TableGrid"/>
      <w:tblW w:w="0" w:type="auto"/>
      <w:shd w:val="clear" w:color="auto" w:fill="E4F2E0"/>
      <w:tblLook w:val="04A0" w:firstRow="1" w:lastRow="0" w:firstColumn="1" w:lastColumn="0" w:noHBand="0" w:noVBand="1"/>
    </w:tblPr>
    <w:tblGrid>
      <w:gridCol w:w="8720"/>
    </w:tblGrid>
    <w:tr w:rsidR="00222811" w:rsidRPr="002E7F61" w14:paraId="301DACBC" w14:textId="77777777" w:rsidTr="007117AB">
      <w:trPr>
        <w:trHeight w:val="590"/>
      </w:trPr>
      <w:tc>
        <w:tcPr>
          <w:tcW w:w="8720" w:type="dxa"/>
          <w:shd w:val="clear" w:color="auto" w:fill="E4F2E0"/>
        </w:tcPr>
        <w:p w14:paraId="5E7E58B3" w14:textId="77777777" w:rsidR="00222811" w:rsidRPr="002E7F61" w:rsidRDefault="00222811" w:rsidP="00222811">
          <w:pPr>
            <w:pStyle w:val="Footer"/>
            <w:rPr>
              <w:b/>
              <w:sz w:val="18"/>
              <w:szCs w:val="18"/>
            </w:rPr>
          </w:pPr>
          <w:r w:rsidRPr="002E7F61">
            <w:rPr>
              <w:b/>
              <w:sz w:val="18"/>
              <w:szCs w:val="18"/>
            </w:rPr>
            <w:t xml:space="preserve">Attachment 1: Product </w:t>
          </w:r>
          <w:r w:rsidRPr="0067265A">
            <w:rPr>
              <w:b/>
              <w:sz w:val="18"/>
              <w:szCs w:val="18"/>
            </w:rPr>
            <w:t>AusPAR XARELTO rivaroxaban Bayer Australia Pty Ltd PM-2017-04819-1-3 FINAL 22 October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0B8782C1" w14:textId="77777777" w:rsidR="00222811" w:rsidRDefault="00222811" w:rsidP="00222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03CF" w14:textId="77777777" w:rsidR="00222811" w:rsidRDefault="0022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A4A"/>
    <w:multiLevelType w:val="hybridMultilevel"/>
    <w:tmpl w:val="274025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 w15:restartNumberingAfterBreak="0">
    <w:nsid w:val="14BE6FA1"/>
    <w:multiLevelType w:val="hybridMultilevel"/>
    <w:tmpl w:val="1FE4B30A"/>
    <w:lvl w:ilvl="0" w:tplc="5BD8C7B2">
      <w:start w:val="1"/>
      <w:numFmt w:val="bullet"/>
      <w:pStyle w:val="BulletIndent4"/>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17B6E"/>
    <w:multiLevelType w:val="multilevel"/>
    <w:tmpl w:val="0C090023"/>
    <w:styleLink w:val="ArticleSection"/>
    <w:lvl w:ilvl="0">
      <w:start w:val="1"/>
      <w:numFmt w:val="upperRoman"/>
      <w:lvlText w:val="Article %1."/>
      <w:lvlJc w:val="left"/>
      <w:pPr>
        <w:ind w:left="0" w:firstLine="0"/>
      </w:pPr>
      <w:rPr>
        <w:rFonts w:ascii="Arial" w:hAnsi="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58B07C8"/>
    <w:multiLevelType w:val="hybridMultilevel"/>
    <w:tmpl w:val="0B0E84DC"/>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6" w15:restartNumberingAfterBreak="0">
    <w:nsid w:val="25AC7E1E"/>
    <w:multiLevelType w:val="hybridMultilevel"/>
    <w:tmpl w:val="46848B1C"/>
    <w:lvl w:ilvl="0" w:tplc="607E3D24">
      <w:start w:val="1"/>
      <w:numFmt w:val="bullet"/>
      <w:lvlText w:val="-"/>
      <w:lvlJc w:val="left"/>
      <w:pPr>
        <w:ind w:left="1080" w:hanging="360"/>
      </w:pPr>
      <w:rPr>
        <w:rFonts w:ascii="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2814C3A"/>
    <w:multiLevelType w:val="singleLevel"/>
    <w:tmpl w:val="164A6F20"/>
    <w:lvl w:ilvl="0">
      <w:start w:val="1"/>
      <w:numFmt w:val="bullet"/>
      <w:pStyle w:val="Bullet2BayerBodyText"/>
      <w:lvlText w:val=""/>
      <w:lvlJc w:val="left"/>
      <w:pPr>
        <w:tabs>
          <w:tab w:val="num" w:pos="1778"/>
        </w:tabs>
        <w:ind w:left="1778" w:hanging="360"/>
      </w:pPr>
      <w:rPr>
        <w:rFonts w:ascii="Symbol" w:hAnsi="Symbol" w:hint="default"/>
      </w:rPr>
    </w:lvl>
  </w:abstractNum>
  <w:abstractNum w:abstractNumId="8" w15:restartNumberingAfterBreak="0">
    <w:nsid w:val="344B6F44"/>
    <w:multiLevelType w:val="hybridMultilevel"/>
    <w:tmpl w:val="8FA89790"/>
    <w:lvl w:ilvl="0" w:tplc="A12C9112">
      <w:start w:val="14"/>
      <w:numFmt w:val="bullet"/>
      <w:lvlText w:val="-"/>
      <w:lvlJc w:val="left"/>
      <w:pPr>
        <w:ind w:left="1350" w:hanging="360"/>
      </w:pPr>
      <w:rPr>
        <w:rFonts w:ascii="Times New Roman" w:eastAsia="SimSun" w:hAnsi="Times New Roman" w:cs="Times New Roman" w:hint="default"/>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9" w15:restartNumberingAfterBreak="0">
    <w:nsid w:val="356D62B3"/>
    <w:multiLevelType w:val="hybridMultilevel"/>
    <w:tmpl w:val="F512355A"/>
    <w:lvl w:ilvl="0" w:tplc="635053BA">
      <w:start w:val="1"/>
      <w:numFmt w:val="bullet"/>
      <w:pStyle w:val="ListBullet"/>
      <w:lvlText w:val=""/>
      <w:lvlJc w:val="left"/>
      <w:pPr>
        <w:tabs>
          <w:tab w:val="num" w:pos="720"/>
        </w:tabs>
        <w:ind w:left="720" w:hanging="360"/>
      </w:pPr>
      <w:rPr>
        <w:rFonts w:ascii="Symbol" w:hAnsi="Symbol" w:hint="default"/>
      </w:rPr>
    </w:lvl>
    <w:lvl w:ilvl="1" w:tplc="548634C8">
      <w:start w:val="1"/>
      <w:numFmt w:val="bullet"/>
      <w:lvlText w:val=""/>
      <w:lvlJc w:val="left"/>
      <w:pPr>
        <w:tabs>
          <w:tab w:val="num" w:pos="1440"/>
        </w:tabs>
        <w:ind w:left="1440" w:hanging="360"/>
      </w:pPr>
      <w:rPr>
        <w:rFonts w:ascii="Symbol" w:hAnsi="Symbol" w:hint="default"/>
        <w:sz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24868"/>
    <w:multiLevelType w:val="hybridMultilevel"/>
    <w:tmpl w:val="0D78359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74AA1"/>
    <w:multiLevelType w:val="hybridMultilevel"/>
    <w:tmpl w:val="B082FDEC"/>
    <w:lvl w:ilvl="0" w:tplc="A12C9112">
      <w:start w:val="14"/>
      <w:numFmt w:val="bullet"/>
      <w:lvlText w:val="-"/>
      <w:lvlJc w:val="left"/>
      <w:pPr>
        <w:tabs>
          <w:tab w:val="num" w:pos="2763"/>
        </w:tabs>
        <w:ind w:left="2763" w:hanging="567"/>
      </w:pPr>
      <w:rPr>
        <w:rFonts w:ascii="Times New Roman" w:eastAsia="SimSun" w:hAnsi="Times New Roman" w:cs="Times New Roman" w:hint="default"/>
      </w:rPr>
    </w:lvl>
    <w:lvl w:ilvl="1" w:tplc="04090003">
      <w:start w:val="1"/>
      <w:numFmt w:val="bullet"/>
      <w:lvlText w:val="o"/>
      <w:lvlJc w:val="left"/>
      <w:pPr>
        <w:tabs>
          <w:tab w:val="num" w:pos="3636"/>
        </w:tabs>
        <w:ind w:left="3636" w:hanging="360"/>
      </w:pPr>
      <w:rPr>
        <w:rFonts w:ascii="Courier New" w:hAnsi="Courier New" w:cs="Courier New" w:hint="default"/>
      </w:rPr>
    </w:lvl>
    <w:lvl w:ilvl="2" w:tplc="04090005" w:tentative="1">
      <w:start w:val="1"/>
      <w:numFmt w:val="bullet"/>
      <w:lvlText w:val=""/>
      <w:lvlJc w:val="left"/>
      <w:pPr>
        <w:tabs>
          <w:tab w:val="num" w:pos="4356"/>
        </w:tabs>
        <w:ind w:left="4356" w:hanging="360"/>
      </w:pPr>
      <w:rPr>
        <w:rFonts w:ascii="Wingdings" w:hAnsi="Wingdings" w:hint="default"/>
      </w:rPr>
    </w:lvl>
    <w:lvl w:ilvl="3" w:tplc="04090001" w:tentative="1">
      <w:start w:val="1"/>
      <w:numFmt w:val="bullet"/>
      <w:lvlText w:val=""/>
      <w:lvlJc w:val="left"/>
      <w:pPr>
        <w:tabs>
          <w:tab w:val="num" w:pos="5076"/>
        </w:tabs>
        <w:ind w:left="5076" w:hanging="360"/>
      </w:pPr>
      <w:rPr>
        <w:rFonts w:ascii="Symbol" w:hAnsi="Symbol" w:hint="default"/>
      </w:rPr>
    </w:lvl>
    <w:lvl w:ilvl="4" w:tplc="04090003" w:tentative="1">
      <w:start w:val="1"/>
      <w:numFmt w:val="bullet"/>
      <w:lvlText w:val="o"/>
      <w:lvlJc w:val="left"/>
      <w:pPr>
        <w:tabs>
          <w:tab w:val="num" w:pos="5796"/>
        </w:tabs>
        <w:ind w:left="5796" w:hanging="360"/>
      </w:pPr>
      <w:rPr>
        <w:rFonts w:ascii="Courier New" w:hAnsi="Courier New" w:cs="Courier New" w:hint="default"/>
      </w:rPr>
    </w:lvl>
    <w:lvl w:ilvl="5" w:tplc="04090005" w:tentative="1">
      <w:start w:val="1"/>
      <w:numFmt w:val="bullet"/>
      <w:lvlText w:val=""/>
      <w:lvlJc w:val="left"/>
      <w:pPr>
        <w:tabs>
          <w:tab w:val="num" w:pos="6516"/>
        </w:tabs>
        <w:ind w:left="6516" w:hanging="360"/>
      </w:pPr>
      <w:rPr>
        <w:rFonts w:ascii="Wingdings" w:hAnsi="Wingdings" w:hint="default"/>
      </w:rPr>
    </w:lvl>
    <w:lvl w:ilvl="6" w:tplc="04090001" w:tentative="1">
      <w:start w:val="1"/>
      <w:numFmt w:val="bullet"/>
      <w:lvlText w:val=""/>
      <w:lvlJc w:val="left"/>
      <w:pPr>
        <w:tabs>
          <w:tab w:val="num" w:pos="7236"/>
        </w:tabs>
        <w:ind w:left="7236" w:hanging="360"/>
      </w:pPr>
      <w:rPr>
        <w:rFonts w:ascii="Symbol" w:hAnsi="Symbol" w:hint="default"/>
      </w:rPr>
    </w:lvl>
    <w:lvl w:ilvl="7" w:tplc="04090003" w:tentative="1">
      <w:start w:val="1"/>
      <w:numFmt w:val="bullet"/>
      <w:lvlText w:val="o"/>
      <w:lvlJc w:val="left"/>
      <w:pPr>
        <w:tabs>
          <w:tab w:val="num" w:pos="7956"/>
        </w:tabs>
        <w:ind w:left="7956" w:hanging="360"/>
      </w:pPr>
      <w:rPr>
        <w:rFonts w:ascii="Courier New" w:hAnsi="Courier New" w:cs="Courier New" w:hint="default"/>
      </w:rPr>
    </w:lvl>
    <w:lvl w:ilvl="8" w:tplc="04090005" w:tentative="1">
      <w:start w:val="1"/>
      <w:numFmt w:val="bullet"/>
      <w:lvlText w:val=""/>
      <w:lvlJc w:val="left"/>
      <w:pPr>
        <w:tabs>
          <w:tab w:val="num" w:pos="8676"/>
        </w:tabs>
        <w:ind w:left="8676" w:hanging="360"/>
      </w:pPr>
      <w:rPr>
        <w:rFonts w:ascii="Wingdings" w:hAnsi="Wingdings" w:hint="default"/>
      </w:rPr>
    </w:lvl>
  </w:abstractNum>
  <w:abstractNum w:abstractNumId="13" w15:restartNumberingAfterBreak="0">
    <w:nsid w:val="44E11CA9"/>
    <w:multiLevelType w:val="multilevel"/>
    <w:tmpl w:val="0C09001F"/>
    <w:styleLink w:val="111111"/>
    <w:lvl w:ilvl="0">
      <w:start w:val="1"/>
      <w:numFmt w:val="decimal"/>
      <w:lvlText w:val="%1."/>
      <w:lvlJc w:val="left"/>
      <w:pPr>
        <w:ind w:left="360" w:hanging="360"/>
      </w:pPr>
      <w:rPr>
        <w:rFonts w:ascii="Arial" w:hAnsi="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528CF"/>
    <w:multiLevelType w:val="hybridMultilevel"/>
    <w:tmpl w:val="22D4869A"/>
    <w:lvl w:ilvl="0" w:tplc="C92AC74A">
      <w:start w:val="1"/>
      <w:numFmt w:val="bullet"/>
      <w:pStyle w:val="BulletIndent1"/>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490633EB"/>
    <w:multiLevelType w:val="multilevel"/>
    <w:tmpl w:val="0C09001D"/>
    <w:styleLink w:val="1ai"/>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210306"/>
    <w:multiLevelType w:val="hybridMultilevel"/>
    <w:tmpl w:val="07B0235E"/>
    <w:lvl w:ilvl="0" w:tplc="7E527D58">
      <w:numFmt w:val="bullet"/>
      <w:lvlText w:val="-"/>
      <w:lvlJc w:val="left"/>
      <w:pPr>
        <w:ind w:left="1146" w:hanging="360"/>
      </w:pPr>
      <w:rPr>
        <w:rFonts w:ascii="Arial" w:eastAsia="TimesNewRoman" w:hAnsi="Arial" w:cs="Aria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52652EE7"/>
    <w:multiLevelType w:val="hybridMultilevel"/>
    <w:tmpl w:val="20523B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EE4A95"/>
    <w:multiLevelType w:val="hybridMultilevel"/>
    <w:tmpl w:val="032C0FF4"/>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9" w15:restartNumberingAfterBreak="0">
    <w:nsid w:val="578140FC"/>
    <w:multiLevelType w:val="hybridMultilevel"/>
    <w:tmpl w:val="682E08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AE83037"/>
    <w:multiLevelType w:val="multilevel"/>
    <w:tmpl w:val="870650BA"/>
    <w:lvl w:ilvl="0">
      <w:start w:val="1"/>
      <w:numFmt w:val="decimal"/>
      <w:pStyle w:val="Heading1"/>
      <w:lvlText w:val="%1."/>
      <w:lvlJc w:val="left"/>
      <w:pPr>
        <w:tabs>
          <w:tab w:val="num" w:pos="360"/>
        </w:tabs>
        <w:ind w:left="0" w:firstLine="0"/>
      </w:pPr>
      <w:rPr>
        <w:b/>
        <w:sz w:val="24"/>
      </w:rPr>
    </w:lvl>
    <w:lvl w:ilvl="1">
      <w:start w:val="1"/>
      <w:numFmt w:val="decimal"/>
      <w:pStyle w:val="Heading2"/>
      <w:lvlText w:val="%1.%2"/>
      <w:lvlJc w:val="left"/>
      <w:pPr>
        <w:tabs>
          <w:tab w:val="num" w:pos="-331"/>
        </w:tabs>
        <w:ind w:left="576" w:hanging="576"/>
      </w:pPr>
      <w:rPr>
        <w:b/>
      </w:rPr>
    </w:lvl>
    <w:lvl w:ilvl="2">
      <w:start w:val="1"/>
      <w:numFmt w:val="decimal"/>
      <w:lvlText w:val="%1.%2.%3"/>
      <w:lvlJc w:val="left"/>
      <w:pPr>
        <w:tabs>
          <w:tab w:val="num" w:pos="0"/>
        </w:tabs>
        <w:ind w:left="907" w:hanging="720"/>
      </w:pPr>
      <w:rPr>
        <w:b/>
      </w:rPr>
    </w:lvl>
    <w:lvl w:ilvl="3">
      <w:start w:val="1"/>
      <w:numFmt w:val="decimal"/>
      <w:lvlText w:val="%1.%2.%3.%4"/>
      <w:lvlJc w:val="left"/>
      <w:pPr>
        <w:tabs>
          <w:tab w:val="num" w:pos="0"/>
        </w:tabs>
        <w:ind w:left="907" w:hanging="864"/>
      </w:pPr>
    </w:lvl>
    <w:lvl w:ilvl="4">
      <w:start w:val="1"/>
      <w:numFmt w:val="decimal"/>
      <w:pStyle w:val="Heading5"/>
      <w:lvlText w:val="%1.%2.%3.%4.%5"/>
      <w:lvlJc w:val="left"/>
      <w:pPr>
        <w:tabs>
          <w:tab w:val="num" w:pos="0"/>
        </w:tabs>
        <w:ind w:left="907"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1" w15:restartNumberingAfterBreak="0">
    <w:nsid w:val="5DC352ED"/>
    <w:multiLevelType w:val="hybridMultilevel"/>
    <w:tmpl w:val="E69EC932"/>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2" w15:restartNumberingAfterBreak="0">
    <w:nsid w:val="5FC8464B"/>
    <w:multiLevelType w:val="hybridMultilevel"/>
    <w:tmpl w:val="C91605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C1F76E7"/>
    <w:multiLevelType w:val="hybridMultilevel"/>
    <w:tmpl w:val="A8B80DB2"/>
    <w:lvl w:ilvl="0" w:tplc="0C090001">
      <w:start w:val="1"/>
      <w:numFmt w:val="bullet"/>
      <w:lvlText w:val=""/>
      <w:lvlJc w:val="left"/>
      <w:pPr>
        <w:ind w:left="990" w:hanging="360"/>
      </w:pPr>
      <w:rPr>
        <w:rFonts w:ascii="Symbol" w:hAnsi="Symbol" w:hint="default"/>
      </w:rPr>
    </w:lvl>
    <w:lvl w:ilvl="1" w:tplc="0C090003">
      <w:start w:val="1"/>
      <w:numFmt w:val="bullet"/>
      <w:lvlText w:val="o"/>
      <w:lvlJc w:val="left"/>
      <w:pPr>
        <w:ind w:left="1710" w:hanging="360"/>
      </w:pPr>
      <w:rPr>
        <w:rFonts w:ascii="Courier New" w:hAnsi="Courier New" w:cs="Courier New" w:hint="default"/>
      </w:rPr>
    </w:lvl>
    <w:lvl w:ilvl="2" w:tplc="0C090005">
      <w:start w:val="1"/>
      <w:numFmt w:val="bullet"/>
      <w:lvlText w:val=""/>
      <w:lvlJc w:val="left"/>
      <w:pPr>
        <w:ind w:left="2430" w:hanging="360"/>
      </w:pPr>
      <w:rPr>
        <w:rFonts w:ascii="Wingdings" w:hAnsi="Wingdings" w:hint="default"/>
      </w:rPr>
    </w:lvl>
    <w:lvl w:ilvl="3" w:tplc="0C09000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num w:numId="1">
    <w:abstractNumId w:val="9"/>
  </w:num>
  <w:num w:numId="2">
    <w:abstractNumId w:val="13"/>
  </w:num>
  <w:num w:numId="3">
    <w:abstractNumId w:val="15"/>
  </w:num>
  <w:num w:numId="4">
    <w:abstractNumId w:val="4"/>
  </w:num>
  <w:num w:numId="5">
    <w:abstractNumId w:val="11"/>
  </w:num>
  <w:num w:numId="6">
    <w:abstractNumId w:val="7"/>
  </w:num>
  <w:num w:numId="7">
    <w:abstractNumId w:val="20"/>
  </w:num>
  <w:num w:numId="8">
    <w:abstractNumId w:val="14"/>
  </w:num>
  <w:num w:numId="9">
    <w:abstractNumId w:val="23"/>
  </w:num>
  <w:num w:numId="10">
    <w:abstractNumId w:val="0"/>
  </w:num>
  <w:num w:numId="11">
    <w:abstractNumId w:val="21"/>
  </w:num>
  <w:num w:numId="12">
    <w:abstractNumId w:val="3"/>
  </w:num>
  <w:num w:numId="13">
    <w:abstractNumId w:val="16"/>
  </w:num>
  <w:num w:numId="14">
    <w:abstractNumId w:val="2"/>
  </w:num>
  <w:num w:numId="15">
    <w:abstractNumId w:val="1"/>
  </w:num>
  <w:num w:numId="16">
    <w:abstractNumId w:val="19"/>
  </w:num>
  <w:num w:numId="17">
    <w:abstractNumId w:val="5"/>
  </w:num>
  <w:num w:numId="18">
    <w:abstractNumId w:val="18"/>
  </w:num>
  <w:num w:numId="19">
    <w:abstractNumId w:val="10"/>
  </w:num>
  <w:num w:numId="20">
    <w:abstractNumId w:val="22"/>
  </w:num>
  <w:num w:numId="21">
    <w:abstractNumId w:val="6"/>
  </w:num>
  <w:num w:numId="22">
    <w:abstractNumId w:val="12"/>
  </w:num>
  <w:num w:numId="23">
    <w:abstractNumId w:val="17"/>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D8"/>
    <w:rsid w:val="00001D5F"/>
    <w:rsid w:val="00004191"/>
    <w:rsid w:val="00013587"/>
    <w:rsid w:val="00015917"/>
    <w:rsid w:val="0001707B"/>
    <w:rsid w:val="00020071"/>
    <w:rsid w:val="000202B5"/>
    <w:rsid w:val="00020812"/>
    <w:rsid w:val="00021043"/>
    <w:rsid w:val="00022406"/>
    <w:rsid w:val="00022657"/>
    <w:rsid w:val="00023B1E"/>
    <w:rsid w:val="000301D2"/>
    <w:rsid w:val="000316DD"/>
    <w:rsid w:val="0003579B"/>
    <w:rsid w:val="000376EA"/>
    <w:rsid w:val="00042F0F"/>
    <w:rsid w:val="0004517B"/>
    <w:rsid w:val="0005017C"/>
    <w:rsid w:val="00052F2C"/>
    <w:rsid w:val="000534F5"/>
    <w:rsid w:val="000539A1"/>
    <w:rsid w:val="000548F3"/>
    <w:rsid w:val="00054FAB"/>
    <w:rsid w:val="000550EB"/>
    <w:rsid w:val="00062911"/>
    <w:rsid w:val="00064003"/>
    <w:rsid w:val="00065C4D"/>
    <w:rsid w:val="000729F7"/>
    <w:rsid w:val="00072E22"/>
    <w:rsid w:val="000751E3"/>
    <w:rsid w:val="00077AB2"/>
    <w:rsid w:val="00077AF9"/>
    <w:rsid w:val="0008091C"/>
    <w:rsid w:val="00083132"/>
    <w:rsid w:val="00084F46"/>
    <w:rsid w:val="00091A0F"/>
    <w:rsid w:val="00096C36"/>
    <w:rsid w:val="000A4718"/>
    <w:rsid w:val="000B038A"/>
    <w:rsid w:val="000B24A5"/>
    <w:rsid w:val="000B4268"/>
    <w:rsid w:val="000B75A2"/>
    <w:rsid w:val="000C13DA"/>
    <w:rsid w:val="000C20D1"/>
    <w:rsid w:val="000C414C"/>
    <w:rsid w:val="000C46A2"/>
    <w:rsid w:val="000C7BFB"/>
    <w:rsid w:val="000D263B"/>
    <w:rsid w:val="000D4750"/>
    <w:rsid w:val="000D48EC"/>
    <w:rsid w:val="000D58E1"/>
    <w:rsid w:val="000D59B4"/>
    <w:rsid w:val="000D727D"/>
    <w:rsid w:val="000D76B8"/>
    <w:rsid w:val="000D7B22"/>
    <w:rsid w:val="000E0476"/>
    <w:rsid w:val="000E0CBB"/>
    <w:rsid w:val="000E0D8F"/>
    <w:rsid w:val="000E1128"/>
    <w:rsid w:val="000E4337"/>
    <w:rsid w:val="000E55D4"/>
    <w:rsid w:val="000E5898"/>
    <w:rsid w:val="000E6B11"/>
    <w:rsid w:val="000E6CB1"/>
    <w:rsid w:val="000F03B3"/>
    <w:rsid w:val="000F2FDC"/>
    <w:rsid w:val="000F4CD9"/>
    <w:rsid w:val="00100151"/>
    <w:rsid w:val="0010528D"/>
    <w:rsid w:val="00106E58"/>
    <w:rsid w:val="00110F36"/>
    <w:rsid w:val="001128FD"/>
    <w:rsid w:val="00113EE0"/>
    <w:rsid w:val="0011721C"/>
    <w:rsid w:val="001202C5"/>
    <w:rsid w:val="00120D4F"/>
    <w:rsid w:val="0012187B"/>
    <w:rsid w:val="00124B07"/>
    <w:rsid w:val="0012589D"/>
    <w:rsid w:val="0013487C"/>
    <w:rsid w:val="0013650F"/>
    <w:rsid w:val="00142970"/>
    <w:rsid w:val="001434A4"/>
    <w:rsid w:val="001437E3"/>
    <w:rsid w:val="00144771"/>
    <w:rsid w:val="001467D3"/>
    <w:rsid w:val="00147ABE"/>
    <w:rsid w:val="001507D3"/>
    <w:rsid w:val="001510FF"/>
    <w:rsid w:val="001515C3"/>
    <w:rsid w:val="001518CF"/>
    <w:rsid w:val="00153ECD"/>
    <w:rsid w:val="001544AF"/>
    <w:rsid w:val="00155CCD"/>
    <w:rsid w:val="001572B6"/>
    <w:rsid w:val="00161519"/>
    <w:rsid w:val="001619AA"/>
    <w:rsid w:val="00162518"/>
    <w:rsid w:val="001628D4"/>
    <w:rsid w:val="00165A63"/>
    <w:rsid w:val="0017056E"/>
    <w:rsid w:val="00171A69"/>
    <w:rsid w:val="00172C25"/>
    <w:rsid w:val="00172FF9"/>
    <w:rsid w:val="00173B57"/>
    <w:rsid w:val="00183257"/>
    <w:rsid w:val="00184184"/>
    <w:rsid w:val="00185E84"/>
    <w:rsid w:val="0018655F"/>
    <w:rsid w:val="001868ED"/>
    <w:rsid w:val="0018740D"/>
    <w:rsid w:val="001875E4"/>
    <w:rsid w:val="00190E03"/>
    <w:rsid w:val="00192704"/>
    <w:rsid w:val="00193628"/>
    <w:rsid w:val="001962F3"/>
    <w:rsid w:val="001A6A51"/>
    <w:rsid w:val="001B0AD3"/>
    <w:rsid w:val="001B0DB2"/>
    <w:rsid w:val="001B1A39"/>
    <w:rsid w:val="001B52B5"/>
    <w:rsid w:val="001B6FC8"/>
    <w:rsid w:val="001B719F"/>
    <w:rsid w:val="001C73FD"/>
    <w:rsid w:val="001C7D67"/>
    <w:rsid w:val="001C7E22"/>
    <w:rsid w:val="001D0644"/>
    <w:rsid w:val="001D3F57"/>
    <w:rsid w:val="001D5269"/>
    <w:rsid w:val="001D736F"/>
    <w:rsid w:val="001E041E"/>
    <w:rsid w:val="001E0BB9"/>
    <w:rsid w:val="001E4CA1"/>
    <w:rsid w:val="001E722F"/>
    <w:rsid w:val="001F081C"/>
    <w:rsid w:val="001F1221"/>
    <w:rsid w:val="001F4D29"/>
    <w:rsid w:val="001F5409"/>
    <w:rsid w:val="001F612E"/>
    <w:rsid w:val="001F6325"/>
    <w:rsid w:val="002008B4"/>
    <w:rsid w:val="0020519E"/>
    <w:rsid w:val="0020552D"/>
    <w:rsid w:val="00210E53"/>
    <w:rsid w:val="00212AB9"/>
    <w:rsid w:val="0021484F"/>
    <w:rsid w:val="00221AF8"/>
    <w:rsid w:val="00222811"/>
    <w:rsid w:val="00223A69"/>
    <w:rsid w:val="00226858"/>
    <w:rsid w:val="00227798"/>
    <w:rsid w:val="0023107C"/>
    <w:rsid w:val="00231606"/>
    <w:rsid w:val="00232963"/>
    <w:rsid w:val="00234576"/>
    <w:rsid w:val="0023493A"/>
    <w:rsid w:val="002379B9"/>
    <w:rsid w:val="00243CA3"/>
    <w:rsid w:val="00245176"/>
    <w:rsid w:val="00246DFF"/>
    <w:rsid w:val="00246FD0"/>
    <w:rsid w:val="00247794"/>
    <w:rsid w:val="00250BEE"/>
    <w:rsid w:val="002513C1"/>
    <w:rsid w:val="00251AF6"/>
    <w:rsid w:val="00255A3D"/>
    <w:rsid w:val="0025642F"/>
    <w:rsid w:val="00256606"/>
    <w:rsid w:val="00257014"/>
    <w:rsid w:val="0026296C"/>
    <w:rsid w:val="0026380E"/>
    <w:rsid w:val="00264300"/>
    <w:rsid w:val="00265264"/>
    <w:rsid w:val="00271389"/>
    <w:rsid w:val="00274999"/>
    <w:rsid w:val="00277068"/>
    <w:rsid w:val="002805EB"/>
    <w:rsid w:val="002811C3"/>
    <w:rsid w:val="002823C6"/>
    <w:rsid w:val="00282E94"/>
    <w:rsid w:val="0028312A"/>
    <w:rsid w:val="00283E9A"/>
    <w:rsid w:val="0028537B"/>
    <w:rsid w:val="00285952"/>
    <w:rsid w:val="00292C47"/>
    <w:rsid w:val="00293B91"/>
    <w:rsid w:val="00294A91"/>
    <w:rsid w:val="002A0942"/>
    <w:rsid w:val="002A1652"/>
    <w:rsid w:val="002A19F4"/>
    <w:rsid w:val="002A491E"/>
    <w:rsid w:val="002A6545"/>
    <w:rsid w:val="002A66BC"/>
    <w:rsid w:val="002A710B"/>
    <w:rsid w:val="002B0B27"/>
    <w:rsid w:val="002B12D5"/>
    <w:rsid w:val="002B18D4"/>
    <w:rsid w:val="002B18D9"/>
    <w:rsid w:val="002B4B6D"/>
    <w:rsid w:val="002D0FEA"/>
    <w:rsid w:val="002D1F8F"/>
    <w:rsid w:val="002D2789"/>
    <w:rsid w:val="002D3533"/>
    <w:rsid w:val="002D460C"/>
    <w:rsid w:val="002D6AAD"/>
    <w:rsid w:val="002D6D98"/>
    <w:rsid w:val="002D7BA5"/>
    <w:rsid w:val="002E377E"/>
    <w:rsid w:val="002E6980"/>
    <w:rsid w:val="002E6A42"/>
    <w:rsid w:val="002F090B"/>
    <w:rsid w:val="002F26A5"/>
    <w:rsid w:val="002F386F"/>
    <w:rsid w:val="002F4DD2"/>
    <w:rsid w:val="002F5F7C"/>
    <w:rsid w:val="002F6697"/>
    <w:rsid w:val="003008BD"/>
    <w:rsid w:val="00301499"/>
    <w:rsid w:val="0030187D"/>
    <w:rsid w:val="00301977"/>
    <w:rsid w:val="00306A3D"/>
    <w:rsid w:val="00307980"/>
    <w:rsid w:val="0031001F"/>
    <w:rsid w:val="00312A7F"/>
    <w:rsid w:val="00315952"/>
    <w:rsid w:val="00316EE1"/>
    <w:rsid w:val="003209BC"/>
    <w:rsid w:val="00321F19"/>
    <w:rsid w:val="00322B13"/>
    <w:rsid w:val="00322EA1"/>
    <w:rsid w:val="00323ED1"/>
    <w:rsid w:val="0032573B"/>
    <w:rsid w:val="0032581E"/>
    <w:rsid w:val="00326EA4"/>
    <w:rsid w:val="00327179"/>
    <w:rsid w:val="0032755D"/>
    <w:rsid w:val="00330AF5"/>
    <w:rsid w:val="003344B7"/>
    <w:rsid w:val="003362EF"/>
    <w:rsid w:val="003364D1"/>
    <w:rsid w:val="00336C90"/>
    <w:rsid w:val="00340D1D"/>
    <w:rsid w:val="00341D61"/>
    <w:rsid w:val="0034616E"/>
    <w:rsid w:val="0035025F"/>
    <w:rsid w:val="003554CC"/>
    <w:rsid w:val="00355FE6"/>
    <w:rsid w:val="00362870"/>
    <w:rsid w:val="0036405E"/>
    <w:rsid w:val="00364FC7"/>
    <w:rsid w:val="00366751"/>
    <w:rsid w:val="00366E11"/>
    <w:rsid w:val="00371E70"/>
    <w:rsid w:val="00377616"/>
    <w:rsid w:val="00380D8E"/>
    <w:rsid w:val="0038203F"/>
    <w:rsid w:val="00383365"/>
    <w:rsid w:val="00384839"/>
    <w:rsid w:val="003860D3"/>
    <w:rsid w:val="003904E4"/>
    <w:rsid w:val="00392EBA"/>
    <w:rsid w:val="0039579D"/>
    <w:rsid w:val="003A265C"/>
    <w:rsid w:val="003A397B"/>
    <w:rsid w:val="003A7DDE"/>
    <w:rsid w:val="003B0072"/>
    <w:rsid w:val="003B18E3"/>
    <w:rsid w:val="003B25EB"/>
    <w:rsid w:val="003B6960"/>
    <w:rsid w:val="003B731D"/>
    <w:rsid w:val="003C112D"/>
    <w:rsid w:val="003C49A5"/>
    <w:rsid w:val="003D044D"/>
    <w:rsid w:val="003D05D7"/>
    <w:rsid w:val="003D3CF3"/>
    <w:rsid w:val="003D4E43"/>
    <w:rsid w:val="003D5B39"/>
    <w:rsid w:val="003E1114"/>
    <w:rsid w:val="003F10C2"/>
    <w:rsid w:val="003F1D52"/>
    <w:rsid w:val="003F3804"/>
    <w:rsid w:val="003F41E6"/>
    <w:rsid w:val="003F421B"/>
    <w:rsid w:val="003F4F17"/>
    <w:rsid w:val="003F58A3"/>
    <w:rsid w:val="003F5E3B"/>
    <w:rsid w:val="003F6639"/>
    <w:rsid w:val="003F6BA2"/>
    <w:rsid w:val="003F771D"/>
    <w:rsid w:val="00403B90"/>
    <w:rsid w:val="00404186"/>
    <w:rsid w:val="004145DC"/>
    <w:rsid w:val="00414BFC"/>
    <w:rsid w:val="00414FA5"/>
    <w:rsid w:val="004162CE"/>
    <w:rsid w:val="0041672E"/>
    <w:rsid w:val="00417233"/>
    <w:rsid w:val="0042031A"/>
    <w:rsid w:val="004210CB"/>
    <w:rsid w:val="004230EB"/>
    <w:rsid w:val="004244BC"/>
    <w:rsid w:val="0042483C"/>
    <w:rsid w:val="0042565C"/>
    <w:rsid w:val="00425760"/>
    <w:rsid w:val="00425EC1"/>
    <w:rsid w:val="004264D1"/>
    <w:rsid w:val="00430D86"/>
    <w:rsid w:val="0043158B"/>
    <w:rsid w:val="00432479"/>
    <w:rsid w:val="00432E06"/>
    <w:rsid w:val="00434F35"/>
    <w:rsid w:val="00436089"/>
    <w:rsid w:val="00436447"/>
    <w:rsid w:val="004426A7"/>
    <w:rsid w:val="00445EB9"/>
    <w:rsid w:val="0044615C"/>
    <w:rsid w:val="00450684"/>
    <w:rsid w:val="004562E7"/>
    <w:rsid w:val="00460B74"/>
    <w:rsid w:val="00461D5D"/>
    <w:rsid w:val="00471358"/>
    <w:rsid w:val="00471BFB"/>
    <w:rsid w:val="00473172"/>
    <w:rsid w:val="00475F63"/>
    <w:rsid w:val="00476145"/>
    <w:rsid w:val="00476AAC"/>
    <w:rsid w:val="00476D1B"/>
    <w:rsid w:val="0048170F"/>
    <w:rsid w:val="0048401B"/>
    <w:rsid w:val="004852A1"/>
    <w:rsid w:val="00487510"/>
    <w:rsid w:val="00492774"/>
    <w:rsid w:val="00495E12"/>
    <w:rsid w:val="0049619F"/>
    <w:rsid w:val="004A0647"/>
    <w:rsid w:val="004A20BB"/>
    <w:rsid w:val="004A2647"/>
    <w:rsid w:val="004A27A4"/>
    <w:rsid w:val="004A4926"/>
    <w:rsid w:val="004A4FD1"/>
    <w:rsid w:val="004A6231"/>
    <w:rsid w:val="004A6CAE"/>
    <w:rsid w:val="004B16B7"/>
    <w:rsid w:val="004B3379"/>
    <w:rsid w:val="004B3A6A"/>
    <w:rsid w:val="004B55D5"/>
    <w:rsid w:val="004B7F68"/>
    <w:rsid w:val="004C2A46"/>
    <w:rsid w:val="004C3560"/>
    <w:rsid w:val="004C64D4"/>
    <w:rsid w:val="004D59C1"/>
    <w:rsid w:val="004D7847"/>
    <w:rsid w:val="004E0841"/>
    <w:rsid w:val="004E6A80"/>
    <w:rsid w:val="004F7B00"/>
    <w:rsid w:val="0050491F"/>
    <w:rsid w:val="00505B34"/>
    <w:rsid w:val="00506723"/>
    <w:rsid w:val="00507AFA"/>
    <w:rsid w:val="00511AB1"/>
    <w:rsid w:val="00511B0E"/>
    <w:rsid w:val="00514CD7"/>
    <w:rsid w:val="00515F3F"/>
    <w:rsid w:val="00516902"/>
    <w:rsid w:val="005223D1"/>
    <w:rsid w:val="005243CE"/>
    <w:rsid w:val="00524AEF"/>
    <w:rsid w:val="005403C3"/>
    <w:rsid w:val="00543868"/>
    <w:rsid w:val="00544098"/>
    <w:rsid w:val="0054519F"/>
    <w:rsid w:val="00546F2F"/>
    <w:rsid w:val="00547AD3"/>
    <w:rsid w:val="005506A5"/>
    <w:rsid w:val="0055097D"/>
    <w:rsid w:val="00551C69"/>
    <w:rsid w:val="00551C86"/>
    <w:rsid w:val="005529A0"/>
    <w:rsid w:val="00553E64"/>
    <w:rsid w:val="00555BBB"/>
    <w:rsid w:val="00561F93"/>
    <w:rsid w:val="00563948"/>
    <w:rsid w:val="005654F7"/>
    <w:rsid w:val="0057419A"/>
    <w:rsid w:val="00581E42"/>
    <w:rsid w:val="005826A3"/>
    <w:rsid w:val="00582E83"/>
    <w:rsid w:val="005833E0"/>
    <w:rsid w:val="005846EC"/>
    <w:rsid w:val="00585072"/>
    <w:rsid w:val="00586989"/>
    <w:rsid w:val="005920A5"/>
    <w:rsid w:val="00593912"/>
    <w:rsid w:val="00594D6E"/>
    <w:rsid w:val="00595AC9"/>
    <w:rsid w:val="00596686"/>
    <w:rsid w:val="005A232C"/>
    <w:rsid w:val="005A7409"/>
    <w:rsid w:val="005B21EB"/>
    <w:rsid w:val="005C1099"/>
    <w:rsid w:val="005C21DA"/>
    <w:rsid w:val="005C2352"/>
    <w:rsid w:val="005C288D"/>
    <w:rsid w:val="005C4C25"/>
    <w:rsid w:val="005C669E"/>
    <w:rsid w:val="005D025F"/>
    <w:rsid w:val="005D165F"/>
    <w:rsid w:val="005D382C"/>
    <w:rsid w:val="005D4DAE"/>
    <w:rsid w:val="005D5622"/>
    <w:rsid w:val="005E0286"/>
    <w:rsid w:val="005E2435"/>
    <w:rsid w:val="005E3B11"/>
    <w:rsid w:val="005E40C0"/>
    <w:rsid w:val="005E40FB"/>
    <w:rsid w:val="005F08F0"/>
    <w:rsid w:val="005F28F4"/>
    <w:rsid w:val="005F3858"/>
    <w:rsid w:val="005F4060"/>
    <w:rsid w:val="005F6704"/>
    <w:rsid w:val="005F7173"/>
    <w:rsid w:val="0060198A"/>
    <w:rsid w:val="006027A5"/>
    <w:rsid w:val="00602CF0"/>
    <w:rsid w:val="00604558"/>
    <w:rsid w:val="00604631"/>
    <w:rsid w:val="0060581A"/>
    <w:rsid w:val="00605C65"/>
    <w:rsid w:val="0060743A"/>
    <w:rsid w:val="006118BC"/>
    <w:rsid w:val="0061235A"/>
    <w:rsid w:val="006127EA"/>
    <w:rsid w:val="00616507"/>
    <w:rsid w:val="006174BD"/>
    <w:rsid w:val="006208FE"/>
    <w:rsid w:val="0062108D"/>
    <w:rsid w:val="006214F4"/>
    <w:rsid w:val="00624350"/>
    <w:rsid w:val="00625AFD"/>
    <w:rsid w:val="0062633B"/>
    <w:rsid w:val="00631ACE"/>
    <w:rsid w:val="0063212B"/>
    <w:rsid w:val="006330F6"/>
    <w:rsid w:val="00634FFD"/>
    <w:rsid w:val="00635EED"/>
    <w:rsid w:val="00636570"/>
    <w:rsid w:val="006426FD"/>
    <w:rsid w:val="0064304F"/>
    <w:rsid w:val="006431CF"/>
    <w:rsid w:val="0064423B"/>
    <w:rsid w:val="00644E89"/>
    <w:rsid w:val="00651F16"/>
    <w:rsid w:val="00654C4C"/>
    <w:rsid w:val="00656FA2"/>
    <w:rsid w:val="0065711C"/>
    <w:rsid w:val="00662BE9"/>
    <w:rsid w:val="00663455"/>
    <w:rsid w:val="00663695"/>
    <w:rsid w:val="00663FCF"/>
    <w:rsid w:val="006644D3"/>
    <w:rsid w:val="00665B04"/>
    <w:rsid w:val="00667F64"/>
    <w:rsid w:val="006741B6"/>
    <w:rsid w:val="0067576F"/>
    <w:rsid w:val="00680889"/>
    <w:rsid w:val="00684E22"/>
    <w:rsid w:val="00684E78"/>
    <w:rsid w:val="00685575"/>
    <w:rsid w:val="0068602B"/>
    <w:rsid w:val="00686604"/>
    <w:rsid w:val="006866BA"/>
    <w:rsid w:val="0068724E"/>
    <w:rsid w:val="006875BE"/>
    <w:rsid w:val="00691C99"/>
    <w:rsid w:val="00692B95"/>
    <w:rsid w:val="006946BB"/>
    <w:rsid w:val="006947FA"/>
    <w:rsid w:val="006A0BDA"/>
    <w:rsid w:val="006A2614"/>
    <w:rsid w:val="006A4BA0"/>
    <w:rsid w:val="006A5A7F"/>
    <w:rsid w:val="006A6238"/>
    <w:rsid w:val="006B34C9"/>
    <w:rsid w:val="006B3CDC"/>
    <w:rsid w:val="006B470F"/>
    <w:rsid w:val="006B6272"/>
    <w:rsid w:val="006C0D5F"/>
    <w:rsid w:val="006C1DCE"/>
    <w:rsid w:val="006C5B32"/>
    <w:rsid w:val="006D168F"/>
    <w:rsid w:val="006D6BB6"/>
    <w:rsid w:val="006D73E1"/>
    <w:rsid w:val="006E0DAD"/>
    <w:rsid w:val="006E132F"/>
    <w:rsid w:val="006E3392"/>
    <w:rsid w:val="006E368E"/>
    <w:rsid w:val="006E3945"/>
    <w:rsid w:val="006E7377"/>
    <w:rsid w:val="006E7B40"/>
    <w:rsid w:val="006F1102"/>
    <w:rsid w:val="006F1E44"/>
    <w:rsid w:val="006F2739"/>
    <w:rsid w:val="006F3C1A"/>
    <w:rsid w:val="006F62A1"/>
    <w:rsid w:val="006F73A7"/>
    <w:rsid w:val="006F7C22"/>
    <w:rsid w:val="007004F9"/>
    <w:rsid w:val="00700D37"/>
    <w:rsid w:val="00702958"/>
    <w:rsid w:val="007041E2"/>
    <w:rsid w:val="00705789"/>
    <w:rsid w:val="007104A6"/>
    <w:rsid w:val="007139AE"/>
    <w:rsid w:val="00715038"/>
    <w:rsid w:val="007203F0"/>
    <w:rsid w:val="00720871"/>
    <w:rsid w:val="007247B6"/>
    <w:rsid w:val="00727A8C"/>
    <w:rsid w:val="00732DE1"/>
    <w:rsid w:val="00735EEB"/>
    <w:rsid w:val="007361CE"/>
    <w:rsid w:val="00737211"/>
    <w:rsid w:val="007401DC"/>
    <w:rsid w:val="007423A3"/>
    <w:rsid w:val="00744814"/>
    <w:rsid w:val="00745A14"/>
    <w:rsid w:val="007463AA"/>
    <w:rsid w:val="00750FEF"/>
    <w:rsid w:val="00753BDD"/>
    <w:rsid w:val="007621ED"/>
    <w:rsid w:val="0076435D"/>
    <w:rsid w:val="00775095"/>
    <w:rsid w:val="00776D17"/>
    <w:rsid w:val="00776DBF"/>
    <w:rsid w:val="007801D8"/>
    <w:rsid w:val="00782548"/>
    <w:rsid w:val="00782E93"/>
    <w:rsid w:val="00782F2E"/>
    <w:rsid w:val="00784BC7"/>
    <w:rsid w:val="00785E07"/>
    <w:rsid w:val="00785EB0"/>
    <w:rsid w:val="00787328"/>
    <w:rsid w:val="00791CB5"/>
    <w:rsid w:val="007929F3"/>
    <w:rsid w:val="00792CC7"/>
    <w:rsid w:val="00792DB3"/>
    <w:rsid w:val="00793D08"/>
    <w:rsid w:val="00794334"/>
    <w:rsid w:val="00794B63"/>
    <w:rsid w:val="00796189"/>
    <w:rsid w:val="00796F0C"/>
    <w:rsid w:val="007A027E"/>
    <w:rsid w:val="007A1789"/>
    <w:rsid w:val="007A4842"/>
    <w:rsid w:val="007A589E"/>
    <w:rsid w:val="007A66AD"/>
    <w:rsid w:val="007A7BFE"/>
    <w:rsid w:val="007B0012"/>
    <w:rsid w:val="007B109A"/>
    <w:rsid w:val="007B1514"/>
    <w:rsid w:val="007B60D4"/>
    <w:rsid w:val="007B68C6"/>
    <w:rsid w:val="007C13DF"/>
    <w:rsid w:val="007C1EC0"/>
    <w:rsid w:val="007C3A03"/>
    <w:rsid w:val="007C61C6"/>
    <w:rsid w:val="007C6258"/>
    <w:rsid w:val="007D0D8A"/>
    <w:rsid w:val="007D2437"/>
    <w:rsid w:val="007D27E9"/>
    <w:rsid w:val="007D40D2"/>
    <w:rsid w:val="007D43FF"/>
    <w:rsid w:val="007D7400"/>
    <w:rsid w:val="007D77A1"/>
    <w:rsid w:val="007D79EA"/>
    <w:rsid w:val="007D7E75"/>
    <w:rsid w:val="007E3109"/>
    <w:rsid w:val="007E36C7"/>
    <w:rsid w:val="007E55C8"/>
    <w:rsid w:val="007E7707"/>
    <w:rsid w:val="007F08E4"/>
    <w:rsid w:val="007F0DD9"/>
    <w:rsid w:val="007F1330"/>
    <w:rsid w:val="007F136E"/>
    <w:rsid w:val="007F2623"/>
    <w:rsid w:val="007F5804"/>
    <w:rsid w:val="007F63BA"/>
    <w:rsid w:val="00800656"/>
    <w:rsid w:val="008023A7"/>
    <w:rsid w:val="0080392D"/>
    <w:rsid w:val="00803B2B"/>
    <w:rsid w:val="00805A64"/>
    <w:rsid w:val="008116CF"/>
    <w:rsid w:val="0081216D"/>
    <w:rsid w:val="008140F9"/>
    <w:rsid w:val="00814B3B"/>
    <w:rsid w:val="00815CF0"/>
    <w:rsid w:val="0081696B"/>
    <w:rsid w:val="00821C7F"/>
    <w:rsid w:val="008221C3"/>
    <w:rsid w:val="00822C30"/>
    <w:rsid w:val="008233C2"/>
    <w:rsid w:val="008235E6"/>
    <w:rsid w:val="0082542C"/>
    <w:rsid w:val="00827EAE"/>
    <w:rsid w:val="00830A86"/>
    <w:rsid w:val="00833365"/>
    <w:rsid w:val="00833827"/>
    <w:rsid w:val="00834341"/>
    <w:rsid w:val="0083716A"/>
    <w:rsid w:val="00841087"/>
    <w:rsid w:val="00841C8A"/>
    <w:rsid w:val="00842BB0"/>
    <w:rsid w:val="00842BB3"/>
    <w:rsid w:val="00851A01"/>
    <w:rsid w:val="00852539"/>
    <w:rsid w:val="00853AED"/>
    <w:rsid w:val="00854BC5"/>
    <w:rsid w:val="00854FAB"/>
    <w:rsid w:val="0085676F"/>
    <w:rsid w:val="00860D1D"/>
    <w:rsid w:val="00864B4A"/>
    <w:rsid w:val="00865AC5"/>
    <w:rsid w:val="00867CE1"/>
    <w:rsid w:val="00870A72"/>
    <w:rsid w:val="00870AC6"/>
    <w:rsid w:val="008713E2"/>
    <w:rsid w:val="00873724"/>
    <w:rsid w:val="008759B6"/>
    <w:rsid w:val="00876515"/>
    <w:rsid w:val="00877A61"/>
    <w:rsid w:val="008809EF"/>
    <w:rsid w:val="00882EBB"/>
    <w:rsid w:val="0088352B"/>
    <w:rsid w:val="00885D3F"/>
    <w:rsid w:val="008938C0"/>
    <w:rsid w:val="008946EE"/>
    <w:rsid w:val="00895534"/>
    <w:rsid w:val="008A0614"/>
    <w:rsid w:val="008A28AD"/>
    <w:rsid w:val="008A2D92"/>
    <w:rsid w:val="008A5C79"/>
    <w:rsid w:val="008A6250"/>
    <w:rsid w:val="008B106A"/>
    <w:rsid w:val="008B1EA7"/>
    <w:rsid w:val="008B45BA"/>
    <w:rsid w:val="008B47B8"/>
    <w:rsid w:val="008B487B"/>
    <w:rsid w:val="008B5BCF"/>
    <w:rsid w:val="008B612E"/>
    <w:rsid w:val="008B7004"/>
    <w:rsid w:val="008C306B"/>
    <w:rsid w:val="008C512C"/>
    <w:rsid w:val="008C592B"/>
    <w:rsid w:val="008C6D9A"/>
    <w:rsid w:val="008C7A30"/>
    <w:rsid w:val="008D1C72"/>
    <w:rsid w:val="008E33FA"/>
    <w:rsid w:val="008E35CC"/>
    <w:rsid w:val="008E36A1"/>
    <w:rsid w:val="008E63DF"/>
    <w:rsid w:val="008E7159"/>
    <w:rsid w:val="008F0EB7"/>
    <w:rsid w:val="008F2FF2"/>
    <w:rsid w:val="008F437A"/>
    <w:rsid w:val="008F4402"/>
    <w:rsid w:val="008F47DC"/>
    <w:rsid w:val="008F57E1"/>
    <w:rsid w:val="008F643B"/>
    <w:rsid w:val="008F6662"/>
    <w:rsid w:val="008F693F"/>
    <w:rsid w:val="008F7C7E"/>
    <w:rsid w:val="008F7EDD"/>
    <w:rsid w:val="00900E05"/>
    <w:rsid w:val="00903B05"/>
    <w:rsid w:val="00916E3E"/>
    <w:rsid w:val="00917F28"/>
    <w:rsid w:val="0092043F"/>
    <w:rsid w:val="00920848"/>
    <w:rsid w:val="00921056"/>
    <w:rsid w:val="0092119F"/>
    <w:rsid w:val="00922AFA"/>
    <w:rsid w:val="00923BCC"/>
    <w:rsid w:val="00924184"/>
    <w:rsid w:val="0092797A"/>
    <w:rsid w:val="009308EB"/>
    <w:rsid w:val="00931735"/>
    <w:rsid w:val="0093325F"/>
    <w:rsid w:val="00933E06"/>
    <w:rsid w:val="009378EE"/>
    <w:rsid w:val="00940DAF"/>
    <w:rsid w:val="009454E4"/>
    <w:rsid w:val="00951DF8"/>
    <w:rsid w:val="0095437C"/>
    <w:rsid w:val="0095564D"/>
    <w:rsid w:val="009572AF"/>
    <w:rsid w:val="009675FA"/>
    <w:rsid w:val="00970D07"/>
    <w:rsid w:val="009824DF"/>
    <w:rsid w:val="00982A25"/>
    <w:rsid w:val="00983499"/>
    <w:rsid w:val="009841A5"/>
    <w:rsid w:val="009965EE"/>
    <w:rsid w:val="00996B97"/>
    <w:rsid w:val="00996C54"/>
    <w:rsid w:val="009977E1"/>
    <w:rsid w:val="009A0B93"/>
    <w:rsid w:val="009A24E0"/>
    <w:rsid w:val="009A2EDE"/>
    <w:rsid w:val="009A6D73"/>
    <w:rsid w:val="009A79DD"/>
    <w:rsid w:val="009B1B6E"/>
    <w:rsid w:val="009B25E5"/>
    <w:rsid w:val="009C3810"/>
    <w:rsid w:val="009C3922"/>
    <w:rsid w:val="009C3DBE"/>
    <w:rsid w:val="009C4604"/>
    <w:rsid w:val="009C5E1B"/>
    <w:rsid w:val="009C6432"/>
    <w:rsid w:val="009C7504"/>
    <w:rsid w:val="009D4E55"/>
    <w:rsid w:val="009D7E0E"/>
    <w:rsid w:val="009E0502"/>
    <w:rsid w:val="009E14B2"/>
    <w:rsid w:val="009E2AFE"/>
    <w:rsid w:val="009E5CA7"/>
    <w:rsid w:val="009F0847"/>
    <w:rsid w:val="009F0D79"/>
    <w:rsid w:val="009F2B0B"/>
    <w:rsid w:val="009F6B61"/>
    <w:rsid w:val="00A00156"/>
    <w:rsid w:val="00A00F29"/>
    <w:rsid w:val="00A01533"/>
    <w:rsid w:val="00A019A2"/>
    <w:rsid w:val="00A0510D"/>
    <w:rsid w:val="00A10DD2"/>
    <w:rsid w:val="00A11817"/>
    <w:rsid w:val="00A11A0D"/>
    <w:rsid w:val="00A146E1"/>
    <w:rsid w:val="00A15D15"/>
    <w:rsid w:val="00A17A35"/>
    <w:rsid w:val="00A20A22"/>
    <w:rsid w:val="00A2149F"/>
    <w:rsid w:val="00A21AFF"/>
    <w:rsid w:val="00A21C69"/>
    <w:rsid w:val="00A21F84"/>
    <w:rsid w:val="00A25DF7"/>
    <w:rsid w:val="00A3254E"/>
    <w:rsid w:val="00A33168"/>
    <w:rsid w:val="00A33588"/>
    <w:rsid w:val="00A35E39"/>
    <w:rsid w:val="00A3740F"/>
    <w:rsid w:val="00A40BCE"/>
    <w:rsid w:val="00A4362F"/>
    <w:rsid w:val="00A4616F"/>
    <w:rsid w:val="00A47D38"/>
    <w:rsid w:val="00A51059"/>
    <w:rsid w:val="00A52884"/>
    <w:rsid w:val="00A55575"/>
    <w:rsid w:val="00A556C6"/>
    <w:rsid w:val="00A5688E"/>
    <w:rsid w:val="00A56EB8"/>
    <w:rsid w:val="00A57471"/>
    <w:rsid w:val="00A605B5"/>
    <w:rsid w:val="00A6533B"/>
    <w:rsid w:val="00A654D9"/>
    <w:rsid w:val="00A65B84"/>
    <w:rsid w:val="00A72D64"/>
    <w:rsid w:val="00A73571"/>
    <w:rsid w:val="00A73BB1"/>
    <w:rsid w:val="00A75AB7"/>
    <w:rsid w:val="00A77843"/>
    <w:rsid w:val="00A7788F"/>
    <w:rsid w:val="00A810D1"/>
    <w:rsid w:val="00A829B6"/>
    <w:rsid w:val="00A84E3E"/>
    <w:rsid w:val="00A84FCE"/>
    <w:rsid w:val="00A87E88"/>
    <w:rsid w:val="00A90FAB"/>
    <w:rsid w:val="00A91D83"/>
    <w:rsid w:val="00A93EB2"/>
    <w:rsid w:val="00A94A18"/>
    <w:rsid w:val="00A9503A"/>
    <w:rsid w:val="00AA106A"/>
    <w:rsid w:val="00AA3073"/>
    <w:rsid w:val="00AA3127"/>
    <w:rsid w:val="00AA4337"/>
    <w:rsid w:val="00AA4C28"/>
    <w:rsid w:val="00AA5C0C"/>
    <w:rsid w:val="00AA7872"/>
    <w:rsid w:val="00AB3AD6"/>
    <w:rsid w:val="00AB4C9B"/>
    <w:rsid w:val="00AB55FF"/>
    <w:rsid w:val="00AB7C1A"/>
    <w:rsid w:val="00AC1AFF"/>
    <w:rsid w:val="00AC3BC5"/>
    <w:rsid w:val="00AC4623"/>
    <w:rsid w:val="00AC51A2"/>
    <w:rsid w:val="00AC7F7E"/>
    <w:rsid w:val="00AD243B"/>
    <w:rsid w:val="00AD2A72"/>
    <w:rsid w:val="00AD3584"/>
    <w:rsid w:val="00AE2E17"/>
    <w:rsid w:val="00AE506D"/>
    <w:rsid w:val="00AE73EE"/>
    <w:rsid w:val="00AF259E"/>
    <w:rsid w:val="00AF456B"/>
    <w:rsid w:val="00B03445"/>
    <w:rsid w:val="00B0715C"/>
    <w:rsid w:val="00B10D10"/>
    <w:rsid w:val="00B15911"/>
    <w:rsid w:val="00B161D7"/>
    <w:rsid w:val="00B23C42"/>
    <w:rsid w:val="00B2449E"/>
    <w:rsid w:val="00B2655B"/>
    <w:rsid w:val="00B30379"/>
    <w:rsid w:val="00B31095"/>
    <w:rsid w:val="00B3208D"/>
    <w:rsid w:val="00B32D2F"/>
    <w:rsid w:val="00B37C21"/>
    <w:rsid w:val="00B40A29"/>
    <w:rsid w:val="00B41660"/>
    <w:rsid w:val="00B42B14"/>
    <w:rsid w:val="00B438BB"/>
    <w:rsid w:val="00B43C8C"/>
    <w:rsid w:val="00B444BE"/>
    <w:rsid w:val="00B50AA4"/>
    <w:rsid w:val="00B51875"/>
    <w:rsid w:val="00B527C1"/>
    <w:rsid w:val="00B52BE7"/>
    <w:rsid w:val="00B57F72"/>
    <w:rsid w:val="00B6271C"/>
    <w:rsid w:val="00B633F4"/>
    <w:rsid w:val="00B66E6D"/>
    <w:rsid w:val="00B710B6"/>
    <w:rsid w:val="00B71154"/>
    <w:rsid w:val="00B714BB"/>
    <w:rsid w:val="00B717CF"/>
    <w:rsid w:val="00B73B79"/>
    <w:rsid w:val="00B770FA"/>
    <w:rsid w:val="00B807C7"/>
    <w:rsid w:val="00B82299"/>
    <w:rsid w:val="00B8762E"/>
    <w:rsid w:val="00B907EE"/>
    <w:rsid w:val="00B93713"/>
    <w:rsid w:val="00B9517B"/>
    <w:rsid w:val="00B9620D"/>
    <w:rsid w:val="00BA01EB"/>
    <w:rsid w:val="00BA0B9A"/>
    <w:rsid w:val="00BA0BCB"/>
    <w:rsid w:val="00BA1597"/>
    <w:rsid w:val="00BA4C4C"/>
    <w:rsid w:val="00BA6990"/>
    <w:rsid w:val="00BA7333"/>
    <w:rsid w:val="00BA7FF7"/>
    <w:rsid w:val="00BB10F5"/>
    <w:rsid w:val="00BB119C"/>
    <w:rsid w:val="00BB3EF4"/>
    <w:rsid w:val="00BB619B"/>
    <w:rsid w:val="00BB7A5E"/>
    <w:rsid w:val="00BC0423"/>
    <w:rsid w:val="00BC2311"/>
    <w:rsid w:val="00BC2DC9"/>
    <w:rsid w:val="00BC31F9"/>
    <w:rsid w:val="00BC600F"/>
    <w:rsid w:val="00BC79DA"/>
    <w:rsid w:val="00BE088A"/>
    <w:rsid w:val="00BE2755"/>
    <w:rsid w:val="00BE2A4A"/>
    <w:rsid w:val="00BE31A8"/>
    <w:rsid w:val="00BE3C8A"/>
    <w:rsid w:val="00BE4421"/>
    <w:rsid w:val="00BE5AB5"/>
    <w:rsid w:val="00BE6994"/>
    <w:rsid w:val="00BE7459"/>
    <w:rsid w:val="00BE783A"/>
    <w:rsid w:val="00BF11D7"/>
    <w:rsid w:val="00BF48A3"/>
    <w:rsid w:val="00BF6A08"/>
    <w:rsid w:val="00C004D7"/>
    <w:rsid w:val="00C01E61"/>
    <w:rsid w:val="00C0460F"/>
    <w:rsid w:val="00C0749F"/>
    <w:rsid w:val="00C10A5E"/>
    <w:rsid w:val="00C1369F"/>
    <w:rsid w:val="00C21160"/>
    <w:rsid w:val="00C229A3"/>
    <w:rsid w:val="00C23274"/>
    <w:rsid w:val="00C239FB"/>
    <w:rsid w:val="00C24974"/>
    <w:rsid w:val="00C262AC"/>
    <w:rsid w:val="00C265DC"/>
    <w:rsid w:val="00C30087"/>
    <w:rsid w:val="00C34474"/>
    <w:rsid w:val="00C36A19"/>
    <w:rsid w:val="00C40275"/>
    <w:rsid w:val="00C4640C"/>
    <w:rsid w:val="00C50387"/>
    <w:rsid w:val="00C50B2C"/>
    <w:rsid w:val="00C51DA4"/>
    <w:rsid w:val="00C52B91"/>
    <w:rsid w:val="00C53BA1"/>
    <w:rsid w:val="00C55903"/>
    <w:rsid w:val="00C56BDD"/>
    <w:rsid w:val="00C7144C"/>
    <w:rsid w:val="00C739F9"/>
    <w:rsid w:val="00C74555"/>
    <w:rsid w:val="00C74D59"/>
    <w:rsid w:val="00C76EBE"/>
    <w:rsid w:val="00C7746E"/>
    <w:rsid w:val="00C8245E"/>
    <w:rsid w:val="00C86C40"/>
    <w:rsid w:val="00C91352"/>
    <w:rsid w:val="00C921B0"/>
    <w:rsid w:val="00C93A78"/>
    <w:rsid w:val="00CA1FA6"/>
    <w:rsid w:val="00CA66F0"/>
    <w:rsid w:val="00CA7BED"/>
    <w:rsid w:val="00CB2F55"/>
    <w:rsid w:val="00CB56E9"/>
    <w:rsid w:val="00CB6589"/>
    <w:rsid w:val="00CB66DC"/>
    <w:rsid w:val="00CB7F5F"/>
    <w:rsid w:val="00CC168D"/>
    <w:rsid w:val="00CC30C4"/>
    <w:rsid w:val="00CC394F"/>
    <w:rsid w:val="00CD1518"/>
    <w:rsid w:val="00CD1EB4"/>
    <w:rsid w:val="00CD2E38"/>
    <w:rsid w:val="00CD3005"/>
    <w:rsid w:val="00CD32E7"/>
    <w:rsid w:val="00CD36D5"/>
    <w:rsid w:val="00CD3873"/>
    <w:rsid w:val="00CD3C0D"/>
    <w:rsid w:val="00CD7C9F"/>
    <w:rsid w:val="00CE2271"/>
    <w:rsid w:val="00CE2667"/>
    <w:rsid w:val="00CE2E07"/>
    <w:rsid w:val="00CE2FC2"/>
    <w:rsid w:val="00CE3761"/>
    <w:rsid w:val="00CE41B1"/>
    <w:rsid w:val="00CE6BEB"/>
    <w:rsid w:val="00CE71CC"/>
    <w:rsid w:val="00CF1D90"/>
    <w:rsid w:val="00CF2D2A"/>
    <w:rsid w:val="00CF6487"/>
    <w:rsid w:val="00D02D19"/>
    <w:rsid w:val="00D0333D"/>
    <w:rsid w:val="00D03E8A"/>
    <w:rsid w:val="00D04E73"/>
    <w:rsid w:val="00D142AF"/>
    <w:rsid w:val="00D14BEC"/>
    <w:rsid w:val="00D15758"/>
    <w:rsid w:val="00D15987"/>
    <w:rsid w:val="00D21E8C"/>
    <w:rsid w:val="00D22CB6"/>
    <w:rsid w:val="00D2311E"/>
    <w:rsid w:val="00D2569F"/>
    <w:rsid w:val="00D25E75"/>
    <w:rsid w:val="00D33EC5"/>
    <w:rsid w:val="00D345D9"/>
    <w:rsid w:val="00D3465F"/>
    <w:rsid w:val="00D376D7"/>
    <w:rsid w:val="00D4100E"/>
    <w:rsid w:val="00D41761"/>
    <w:rsid w:val="00D43E5B"/>
    <w:rsid w:val="00D4474A"/>
    <w:rsid w:val="00D502C0"/>
    <w:rsid w:val="00D50492"/>
    <w:rsid w:val="00D55A6D"/>
    <w:rsid w:val="00D56D3D"/>
    <w:rsid w:val="00D57727"/>
    <w:rsid w:val="00D607DA"/>
    <w:rsid w:val="00D70B03"/>
    <w:rsid w:val="00D726E6"/>
    <w:rsid w:val="00D72E1F"/>
    <w:rsid w:val="00D731AD"/>
    <w:rsid w:val="00D7614D"/>
    <w:rsid w:val="00D77253"/>
    <w:rsid w:val="00D81B44"/>
    <w:rsid w:val="00D847B9"/>
    <w:rsid w:val="00D852B8"/>
    <w:rsid w:val="00D86822"/>
    <w:rsid w:val="00D90C54"/>
    <w:rsid w:val="00D915BE"/>
    <w:rsid w:val="00D9199E"/>
    <w:rsid w:val="00D91CDC"/>
    <w:rsid w:val="00D94838"/>
    <w:rsid w:val="00D95ADF"/>
    <w:rsid w:val="00D964CB"/>
    <w:rsid w:val="00DA06A1"/>
    <w:rsid w:val="00DA1439"/>
    <w:rsid w:val="00DA15B4"/>
    <w:rsid w:val="00DA2C9A"/>
    <w:rsid w:val="00DA2FE4"/>
    <w:rsid w:val="00DA40EE"/>
    <w:rsid w:val="00DA4E32"/>
    <w:rsid w:val="00DA50C6"/>
    <w:rsid w:val="00DA6D02"/>
    <w:rsid w:val="00DB03E9"/>
    <w:rsid w:val="00DB238B"/>
    <w:rsid w:val="00DB43B8"/>
    <w:rsid w:val="00DB5A3D"/>
    <w:rsid w:val="00DB7719"/>
    <w:rsid w:val="00DB7B39"/>
    <w:rsid w:val="00DC0AA0"/>
    <w:rsid w:val="00DC150F"/>
    <w:rsid w:val="00DC2E51"/>
    <w:rsid w:val="00DC5AD9"/>
    <w:rsid w:val="00DC5C1C"/>
    <w:rsid w:val="00DC7CD4"/>
    <w:rsid w:val="00DD103F"/>
    <w:rsid w:val="00DD10D7"/>
    <w:rsid w:val="00DD655E"/>
    <w:rsid w:val="00DE77A2"/>
    <w:rsid w:val="00DF0AF8"/>
    <w:rsid w:val="00DF4263"/>
    <w:rsid w:val="00DF6C29"/>
    <w:rsid w:val="00DF7155"/>
    <w:rsid w:val="00E02323"/>
    <w:rsid w:val="00E02D8A"/>
    <w:rsid w:val="00E0302A"/>
    <w:rsid w:val="00E03B43"/>
    <w:rsid w:val="00E04F76"/>
    <w:rsid w:val="00E060BF"/>
    <w:rsid w:val="00E06FBA"/>
    <w:rsid w:val="00E07336"/>
    <w:rsid w:val="00E1631A"/>
    <w:rsid w:val="00E16854"/>
    <w:rsid w:val="00E1748A"/>
    <w:rsid w:val="00E21357"/>
    <w:rsid w:val="00E22463"/>
    <w:rsid w:val="00E23E75"/>
    <w:rsid w:val="00E2603F"/>
    <w:rsid w:val="00E26782"/>
    <w:rsid w:val="00E26F33"/>
    <w:rsid w:val="00E2708F"/>
    <w:rsid w:val="00E343FD"/>
    <w:rsid w:val="00E3704C"/>
    <w:rsid w:val="00E43722"/>
    <w:rsid w:val="00E46321"/>
    <w:rsid w:val="00E47F20"/>
    <w:rsid w:val="00E52231"/>
    <w:rsid w:val="00E54340"/>
    <w:rsid w:val="00E5739F"/>
    <w:rsid w:val="00E62DBC"/>
    <w:rsid w:val="00E6407A"/>
    <w:rsid w:val="00E67857"/>
    <w:rsid w:val="00E67D80"/>
    <w:rsid w:val="00E753AC"/>
    <w:rsid w:val="00E80932"/>
    <w:rsid w:val="00E8187A"/>
    <w:rsid w:val="00E856B1"/>
    <w:rsid w:val="00E85AF6"/>
    <w:rsid w:val="00E90F26"/>
    <w:rsid w:val="00E92041"/>
    <w:rsid w:val="00E92A3B"/>
    <w:rsid w:val="00E93242"/>
    <w:rsid w:val="00E96B36"/>
    <w:rsid w:val="00EA1B55"/>
    <w:rsid w:val="00EA6A56"/>
    <w:rsid w:val="00EB235D"/>
    <w:rsid w:val="00EB43D5"/>
    <w:rsid w:val="00EB44CB"/>
    <w:rsid w:val="00EC02CA"/>
    <w:rsid w:val="00EC071D"/>
    <w:rsid w:val="00EC1B41"/>
    <w:rsid w:val="00EC1F30"/>
    <w:rsid w:val="00EC3C80"/>
    <w:rsid w:val="00EC4D1B"/>
    <w:rsid w:val="00ED06B7"/>
    <w:rsid w:val="00ED1796"/>
    <w:rsid w:val="00ED2099"/>
    <w:rsid w:val="00ED2379"/>
    <w:rsid w:val="00ED2EC5"/>
    <w:rsid w:val="00EE119B"/>
    <w:rsid w:val="00EE50FA"/>
    <w:rsid w:val="00EE5977"/>
    <w:rsid w:val="00EF5C08"/>
    <w:rsid w:val="00F06607"/>
    <w:rsid w:val="00F06C36"/>
    <w:rsid w:val="00F0713C"/>
    <w:rsid w:val="00F0746C"/>
    <w:rsid w:val="00F1048D"/>
    <w:rsid w:val="00F1243F"/>
    <w:rsid w:val="00F13346"/>
    <w:rsid w:val="00F140EE"/>
    <w:rsid w:val="00F178A7"/>
    <w:rsid w:val="00F2131B"/>
    <w:rsid w:val="00F24286"/>
    <w:rsid w:val="00F32837"/>
    <w:rsid w:val="00F35309"/>
    <w:rsid w:val="00F40197"/>
    <w:rsid w:val="00F423C2"/>
    <w:rsid w:val="00F4302B"/>
    <w:rsid w:val="00F430F7"/>
    <w:rsid w:val="00F44301"/>
    <w:rsid w:val="00F446ED"/>
    <w:rsid w:val="00F449C9"/>
    <w:rsid w:val="00F45686"/>
    <w:rsid w:val="00F457B7"/>
    <w:rsid w:val="00F45937"/>
    <w:rsid w:val="00F50645"/>
    <w:rsid w:val="00F52B59"/>
    <w:rsid w:val="00F55793"/>
    <w:rsid w:val="00F56332"/>
    <w:rsid w:val="00F571E9"/>
    <w:rsid w:val="00F63D33"/>
    <w:rsid w:val="00F63FC3"/>
    <w:rsid w:val="00F66998"/>
    <w:rsid w:val="00F677A6"/>
    <w:rsid w:val="00F707CB"/>
    <w:rsid w:val="00F70DFD"/>
    <w:rsid w:val="00F71407"/>
    <w:rsid w:val="00F75985"/>
    <w:rsid w:val="00F76727"/>
    <w:rsid w:val="00F76CE9"/>
    <w:rsid w:val="00F80B36"/>
    <w:rsid w:val="00F81CF0"/>
    <w:rsid w:val="00F823CF"/>
    <w:rsid w:val="00F83EB7"/>
    <w:rsid w:val="00F84901"/>
    <w:rsid w:val="00F8697B"/>
    <w:rsid w:val="00F92843"/>
    <w:rsid w:val="00F928D8"/>
    <w:rsid w:val="00F947BA"/>
    <w:rsid w:val="00FA04BF"/>
    <w:rsid w:val="00FA0A16"/>
    <w:rsid w:val="00FA19CD"/>
    <w:rsid w:val="00FA64D7"/>
    <w:rsid w:val="00FA665B"/>
    <w:rsid w:val="00FB025B"/>
    <w:rsid w:val="00FB0882"/>
    <w:rsid w:val="00FB3EF5"/>
    <w:rsid w:val="00FB47C2"/>
    <w:rsid w:val="00FB4EA8"/>
    <w:rsid w:val="00FB6164"/>
    <w:rsid w:val="00FB654C"/>
    <w:rsid w:val="00FB78D1"/>
    <w:rsid w:val="00FB7F24"/>
    <w:rsid w:val="00FC4228"/>
    <w:rsid w:val="00FC62DF"/>
    <w:rsid w:val="00FC70E2"/>
    <w:rsid w:val="00FD060F"/>
    <w:rsid w:val="00FD0B2E"/>
    <w:rsid w:val="00FD1BF4"/>
    <w:rsid w:val="00FD1EBB"/>
    <w:rsid w:val="00FD372C"/>
    <w:rsid w:val="00FD39D3"/>
    <w:rsid w:val="00FD3CDC"/>
    <w:rsid w:val="00FE37A1"/>
    <w:rsid w:val="00FE4906"/>
    <w:rsid w:val="00FE52A9"/>
    <w:rsid w:val="00FE53B0"/>
    <w:rsid w:val="00FE6E8F"/>
    <w:rsid w:val="00FF2341"/>
    <w:rsid w:val="00FF6067"/>
    <w:rsid w:val="00FF7C55"/>
    <w:rsid w:val="00FF7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DFA3DB1"/>
  <w15:docId w15:val="{07FF14AD-2616-4263-9B65-CDD3FE53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ayer Normal"/>
    <w:qFormat/>
    <w:rsid w:val="00A810D1"/>
    <w:rPr>
      <w:rFonts w:ascii="Arial" w:hAnsi="Arial"/>
      <w:sz w:val="22"/>
    </w:rPr>
  </w:style>
  <w:style w:type="paragraph" w:styleId="Heading1">
    <w:name w:val="heading 1"/>
    <w:aliases w:val="Bayer-Heading 1"/>
    <w:basedOn w:val="Normal"/>
    <w:next w:val="BayerBodyTextFull"/>
    <w:qFormat/>
    <w:rsid w:val="00DA1439"/>
    <w:pPr>
      <w:keepNext/>
      <w:numPr>
        <w:numId w:val="7"/>
      </w:numPr>
      <w:tabs>
        <w:tab w:val="left" w:pos="1134"/>
      </w:tabs>
      <w:spacing w:before="120" w:after="120"/>
      <w:outlineLvl w:val="0"/>
    </w:pPr>
    <w:rPr>
      <w:b/>
      <w:kern w:val="28"/>
      <w:sz w:val="24"/>
    </w:rPr>
  </w:style>
  <w:style w:type="paragraph" w:styleId="Heading2">
    <w:name w:val="heading 2"/>
    <w:aliases w:val="Bayer-Heading 2"/>
    <w:basedOn w:val="Heading1"/>
    <w:next w:val="BayerBodyTextFull"/>
    <w:link w:val="Heading2Char"/>
    <w:qFormat/>
    <w:rsid w:val="00321F19"/>
    <w:pPr>
      <w:numPr>
        <w:ilvl w:val="1"/>
      </w:numPr>
      <w:outlineLvl w:val="1"/>
    </w:pPr>
    <w:rPr>
      <w:caps/>
    </w:rPr>
  </w:style>
  <w:style w:type="paragraph" w:styleId="Heading3">
    <w:name w:val="heading 3"/>
    <w:aliases w:val="Bayer-Heading 3"/>
    <w:basedOn w:val="Heading1"/>
    <w:next w:val="BayerBodyTextFull"/>
    <w:link w:val="Heading3Char"/>
    <w:qFormat/>
    <w:rsid w:val="00AC51A2"/>
    <w:pPr>
      <w:numPr>
        <w:numId w:val="0"/>
      </w:numPr>
      <w:tabs>
        <w:tab w:val="clear" w:pos="1134"/>
        <w:tab w:val="left" w:pos="630"/>
      </w:tabs>
      <w:ind w:left="630"/>
      <w:outlineLvl w:val="2"/>
    </w:pPr>
    <w:rPr>
      <w:sz w:val="22"/>
    </w:rPr>
  </w:style>
  <w:style w:type="paragraph" w:styleId="Heading4">
    <w:name w:val="heading 4"/>
    <w:aliases w:val="Bayer-Heading 4"/>
    <w:basedOn w:val="Heading5"/>
    <w:next w:val="BayerBodyTextFull"/>
    <w:link w:val="Heading4Char"/>
    <w:qFormat/>
    <w:rsid w:val="00AC51A2"/>
    <w:pPr>
      <w:numPr>
        <w:ilvl w:val="0"/>
        <w:numId w:val="0"/>
      </w:numPr>
      <w:tabs>
        <w:tab w:val="left" w:pos="630"/>
      </w:tabs>
      <w:spacing w:before="240"/>
      <w:ind w:left="630"/>
      <w:outlineLvl w:val="3"/>
    </w:pPr>
    <w:rPr>
      <w:b w:val="0"/>
      <w:i/>
    </w:rPr>
  </w:style>
  <w:style w:type="paragraph" w:styleId="Heading5">
    <w:name w:val="heading 5"/>
    <w:aliases w:val="Bayer-Heading 5"/>
    <w:basedOn w:val="Heading1"/>
    <w:next w:val="BayerBodyTextFull"/>
    <w:qFormat/>
    <w:rsid w:val="00DA1439"/>
    <w:pPr>
      <w:numPr>
        <w:ilvl w:val="4"/>
      </w:numPr>
      <w:tabs>
        <w:tab w:val="clear" w:pos="0"/>
      </w:tabs>
      <w:ind w:left="851" w:hanging="851"/>
      <w:outlineLvl w:val="4"/>
    </w:pPr>
    <w:rPr>
      <w:sz w:val="22"/>
    </w:rPr>
  </w:style>
  <w:style w:type="paragraph" w:styleId="Heading6">
    <w:name w:val="heading 6"/>
    <w:aliases w:val="Bayer-Heading 6"/>
    <w:basedOn w:val="Heading1"/>
    <w:next w:val="BayerBodyTextFull"/>
    <w:qFormat/>
    <w:rsid w:val="00450684"/>
    <w:pPr>
      <w:numPr>
        <w:ilvl w:val="5"/>
      </w:numPr>
      <w:outlineLvl w:val="5"/>
    </w:pPr>
    <w:rPr>
      <w:sz w:val="26"/>
    </w:rPr>
  </w:style>
  <w:style w:type="paragraph" w:styleId="Heading7">
    <w:name w:val="heading 7"/>
    <w:aliases w:val="Bayer-Heading 7"/>
    <w:basedOn w:val="Heading1"/>
    <w:next w:val="BayerBodyTextFull"/>
    <w:link w:val="Heading7Char"/>
    <w:qFormat/>
    <w:rsid w:val="00450684"/>
    <w:pPr>
      <w:numPr>
        <w:ilvl w:val="6"/>
      </w:numPr>
      <w:outlineLvl w:val="6"/>
    </w:pPr>
    <w:rPr>
      <w:sz w:val="26"/>
    </w:rPr>
  </w:style>
  <w:style w:type="paragraph" w:styleId="Heading8">
    <w:name w:val="heading 8"/>
    <w:aliases w:val="Bayer-Heading 8"/>
    <w:basedOn w:val="Heading1"/>
    <w:next w:val="BayerBodyTextFull"/>
    <w:link w:val="Heading8Char"/>
    <w:qFormat/>
    <w:rsid w:val="00450684"/>
    <w:pPr>
      <w:numPr>
        <w:ilvl w:val="7"/>
      </w:numPr>
      <w:spacing w:after="60"/>
      <w:outlineLvl w:val="7"/>
    </w:pPr>
    <w:rPr>
      <w:sz w:val="26"/>
    </w:rPr>
  </w:style>
  <w:style w:type="paragraph" w:styleId="Heading9">
    <w:name w:val="heading 9"/>
    <w:aliases w:val="Bayer-Heading 9"/>
    <w:basedOn w:val="Heading1"/>
    <w:next w:val="BayerBodyTextFull"/>
    <w:link w:val="Heading9Char"/>
    <w:qFormat/>
    <w:rsid w:val="00450684"/>
    <w:pPr>
      <w:numPr>
        <w:ilvl w:val="8"/>
      </w:numPr>
      <w:spacing w:after="60"/>
      <w:outlineLvl w:val="8"/>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0684"/>
    <w:pPr>
      <w:tabs>
        <w:tab w:val="center" w:pos="4536"/>
        <w:tab w:val="right" w:pos="9072"/>
      </w:tabs>
    </w:pPr>
  </w:style>
  <w:style w:type="paragraph" w:styleId="Footer">
    <w:name w:val="footer"/>
    <w:basedOn w:val="Normal"/>
    <w:link w:val="FooterChar"/>
    <w:rsid w:val="00450684"/>
    <w:pPr>
      <w:tabs>
        <w:tab w:val="center" w:pos="4536"/>
        <w:tab w:val="right" w:pos="9072"/>
      </w:tabs>
    </w:pPr>
  </w:style>
  <w:style w:type="paragraph" w:customStyle="1" w:styleId="GenericName">
    <w:name w:val="Generic Name"/>
    <w:basedOn w:val="Normal"/>
    <w:rsid w:val="00654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G Times" w:hAnsi="CG Times"/>
      <w:sz w:val="24"/>
      <w:lang w:val="en-GB"/>
    </w:rPr>
  </w:style>
  <w:style w:type="paragraph" w:customStyle="1" w:styleId="Text">
    <w:name w:val="Text"/>
    <w:basedOn w:val="Normal"/>
    <w:rsid w:val="00654C4C"/>
    <w:rPr>
      <w:rFonts w:ascii="Courier New" w:hAnsi="Courier New"/>
      <w:lang w:val="en-GB"/>
    </w:rPr>
  </w:style>
  <w:style w:type="paragraph" w:styleId="ListBullet">
    <w:name w:val="List Bullet"/>
    <w:basedOn w:val="Normal"/>
    <w:link w:val="ListBulletChar"/>
    <w:rsid w:val="002805EB"/>
    <w:pPr>
      <w:numPr>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odyText2">
    <w:name w:val="Body Text 2"/>
    <w:basedOn w:val="Normal"/>
    <w:link w:val="BodyText2Char"/>
    <w:rsid w:val="00450684"/>
    <w:pPr>
      <w:spacing w:after="120" w:line="480" w:lineRule="auto"/>
    </w:pPr>
  </w:style>
  <w:style w:type="paragraph" w:styleId="ListNumber">
    <w:name w:val="List Number"/>
    <w:basedOn w:val="Normal"/>
    <w:pPr>
      <w:ind w:left="283" w:hanging="283"/>
    </w:pPr>
  </w:style>
  <w:style w:type="paragraph" w:styleId="NormalIndent">
    <w:name w:val="Normal Indent"/>
    <w:basedOn w:val="Normal"/>
    <w:pPr>
      <w:ind w:left="720"/>
    </w:pPr>
  </w:style>
  <w:style w:type="paragraph" w:styleId="Title">
    <w:name w:val="Title"/>
    <w:basedOn w:val="Normal"/>
    <w:qFormat/>
    <w:pPr>
      <w:spacing w:before="240" w:after="60"/>
    </w:pPr>
    <w:rPr>
      <w:b/>
      <w:kern w:val="28"/>
      <w:sz w:val="32"/>
    </w:rPr>
  </w:style>
  <w:style w:type="paragraph" w:styleId="Subtitle">
    <w:name w:val="Subtitle"/>
    <w:basedOn w:val="Normal"/>
    <w:qFormat/>
    <w:pPr>
      <w:spacing w:after="60"/>
    </w:pPr>
    <w:rPr>
      <w:b/>
      <w:sz w:val="24"/>
    </w:rPr>
  </w:style>
  <w:style w:type="table" w:styleId="TableGrid">
    <w:name w:val="Table Grid"/>
    <w:basedOn w:val="TableNormal"/>
    <w:uiPriority w:val="59"/>
    <w:rsid w:val="0045068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rsid w:val="005846EC"/>
    <w:rPr>
      <w:rFonts w:ascii="Arial" w:hAnsi="Arial"/>
      <w:sz w:val="22"/>
    </w:rPr>
  </w:style>
  <w:style w:type="paragraph" w:styleId="BalloonText">
    <w:name w:val="Balloon Text"/>
    <w:basedOn w:val="Normal"/>
    <w:rsid w:val="00450684"/>
    <w:rPr>
      <w:rFonts w:ascii="Tahoma" w:hAnsi="Tahoma" w:cs="Tahoma"/>
      <w:sz w:val="16"/>
      <w:szCs w:val="16"/>
    </w:rPr>
  </w:style>
  <w:style w:type="paragraph" w:customStyle="1" w:styleId="Style1">
    <w:name w:val="Style1"/>
    <w:basedOn w:val="Heading4"/>
    <w:rsid w:val="007E36C7"/>
    <w:rPr>
      <w:sz w:val="20"/>
    </w:rPr>
  </w:style>
  <w:style w:type="character" w:styleId="CommentReference">
    <w:name w:val="annotation reference"/>
    <w:rsid w:val="00450684"/>
    <w:rPr>
      <w:rFonts w:ascii="Arial" w:hAnsi="Arial"/>
      <w:sz w:val="16"/>
      <w:szCs w:val="16"/>
    </w:rPr>
  </w:style>
  <w:style w:type="paragraph" w:styleId="CommentText">
    <w:name w:val="annotation text"/>
    <w:basedOn w:val="Normal"/>
    <w:link w:val="CommentTextChar"/>
    <w:rsid w:val="00450684"/>
  </w:style>
  <w:style w:type="paragraph" w:styleId="CommentSubject">
    <w:name w:val="annotation subject"/>
    <w:basedOn w:val="CommentText"/>
    <w:next w:val="CommentText"/>
    <w:rsid w:val="00450684"/>
    <w:rPr>
      <w:b/>
      <w:bCs/>
    </w:rPr>
  </w:style>
  <w:style w:type="character" w:styleId="PageNumber">
    <w:name w:val="page number"/>
    <w:rsid w:val="00450684"/>
  </w:style>
  <w:style w:type="paragraph" w:styleId="BodyText3">
    <w:name w:val="Body Text 3"/>
    <w:basedOn w:val="Normal"/>
    <w:link w:val="BodyText3Char"/>
    <w:rsid w:val="00450684"/>
    <w:pPr>
      <w:spacing w:after="120"/>
    </w:pPr>
    <w:rPr>
      <w:sz w:val="16"/>
      <w:szCs w:val="16"/>
    </w:rPr>
  </w:style>
  <w:style w:type="character" w:customStyle="1" w:styleId="BodyText3Char">
    <w:name w:val="Body Text 3 Char"/>
    <w:link w:val="BodyText3"/>
    <w:rsid w:val="00450684"/>
    <w:rPr>
      <w:rFonts w:ascii="Arial" w:hAnsi="Arial"/>
      <w:sz w:val="16"/>
      <w:szCs w:val="16"/>
    </w:rPr>
  </w:style>
  <w:style w:type="character" w:customStyle="1" w:styleId="Heading3Char">
    <w:name w:val="Heading 3 Char"/>
    <w:aliases w:val="Bayer-Heading 3 Char"/>
    <w:link w:val="Heading3"/>
    <w:rsid w:val="00AC51A2"/>
    <w:rPr>
      <w:rFonts w:ascii="Arial" w:hAnsi="Arial"/>
      <w:b/>
      <w:kern w:val="28"/>
      <w:sz w:val="22"/>
    </w:rPr>
  </w:style>
  <w:style w:type="paragraph" w:customStyle="1" w:styleId="Default">
    <w:name w:val="Default"/>
    <w:rsid w:val="00CE2271"/>
    <w:pPr>
      <w:autoSpaceDE w:val="0"/>
      <w:autoSpaceDN w:val="0"/>
      <w:adjustRightInd w:val="0"/>
    </w:pPr>
    <w:rPr>
      <w:color w:val="000000"/>
      <w:sz w:val="24"/>
      <w:szCs w:val="24"/>
    </w:rPr>
  </w:style>
  <w:style w:type="numbering" w:styleId="111111">
    <w:name w:val="Outline List 2"/>
    <w:basedOn w:val="NoList"/>
    <w:rsid w:val="00450684"/>
    <w:pPr>
      <w:numPr>
        <w:numId w:val="2"/>
      </w:numPr>
    </w:pPr>
  </w:style>
  <w:style w:type="numbering" w:styleId="1ai">
    <w:name w:val="Outline List 1"/>
    <w:basedOn w:val="NoList"/>
    <w:rsid w:val="00450684"/>
    <w:pPr>
      <w:numPr>
        <w:numId w:val="3"/>
      </w:numPr>
    </w:pPr>
  </w:style>
  <w:style w:type="character" w:customStyle="1" w:styleId="Heading7Char">
    <w:name w:val="Heading 7 Char"/>
    <w:aliases w:val="Bayer-Heading 7 Char"/>
    <w:link w:val="Heading7"/>
    <w:rsid w:val="00450684"/>
    <w:rPr>
      <w:rFonts w:ascii="Arial" w:hAnsi="Arial"/>
      <w:b/>
      <w:kern w:val="28"/>
      <w:sz w:val="26"/>
    </w:rPr>
  </w:style>
  <w:style w:type="character" w:customStyle="1" w:styleId="Heading8Char">
    <w:name w:val="Heading 8 Char"/>
    <w:aliases w:val="Bayer-Heading 8 Char"/>
    <w:link w:val="Heading8"/>
    <w:rsid w:val="00450684"/>
    <w:rPr>
      <w:rFonts w:ascii="Arial" w:hAnsi="Arial"/>
      <w:b/>
      <w:kern w:val="28"/>
      <w:sz w:val="26"/>
    </w:rPr>
  </w:style>
  <w:style w:type="character" w:customStyle="1" w:styleId="Heading9Char">
    <w:name w:val="Heading 9 Char"/>
    <w:aliases w:val="Bayer-Heading 9 Char"/>
    <w:link w:val="Heading9"/>
    <w:rsid w:val="00450684"/>
    <w:rPr>
      <w:rFonts w:ascii="Arial" w:hAnsi="Arial"/>
      <w:b/>
      <w:kern w:val="28"/>
      <w:sz w:val="26"/>
    </w:rPr>
  </w:style>
  <w:style w:type="numbering" w:styleId="ArticleSection">
    <w:name w:val="Outline List 3"/>
    <w:basedOn w:val="NoList"/>
    <w:rsid w:val="00450684"/>
    <w:pPr>
      <w:numPr>
        <w:numId w:val="4"/>
      </w:numPr>
    </w:pPr>
  </w:style>
  <w:style w:type="paragraph" w:customStyle="1" w:styleId="BayerBibliography">
    <w:name w:val="Bayer Bibliography"/>
    <w:basedOn w:val="Normal"/>
    <w:link w:val="BayerBibliographyZchn"/>
    <w:rsid w:val="00450684"/>
    <w:pPr>
      <w:spacing w:after="120"/>
      <w:ind w:left="1627" w:hanging="720"/>
    </w:pPr>
  </w:style>
  <w:style w:type="character" w:customStyle="1" w:styleId="BayerBibliographyZchn">
    <w:name w:val="Bayer Bibliography Zchn"/>
    <w:link w:val="BayerBibliography"/>
    <w:rsid w:val="00450684"/>
    <w:rPr>
      <w:rFonts w:ascii="Arial" w:hAnsi="Arial"/>
    </w:rPr>
  </w:style>
  <w:style w:type="paragraph" w:customStyle="1" w:styleId="BayerBodyTextFull">
    <w:name w:val="Bayer Body Text Full"/>
    <w:basedOn w:val="Normal"/>
    <w:link w:val="BayerBodyTextFullZchn"/>
    <w:autoRedefine/>
    <w:qFormat/>
    <w:rsid w:val="00E90F26"/>
    <w:pPr>
      <w:spacing w:before="120" w:after="120"/>
      <w:ind w:left="630"/>
    </w:pPr>
    <w:rPr>
      <w:lang w:val="en-GB"/>
    </w:rPr>
  </w:style>
  <w:style w:type="character" w:customStyle="1" w:styleId="BayerBodyTextFullZchn">
    <w:name w:val="Bayer Body Text Full Zchn"/>
    <w:link w:val="BayerBodyTextFull"/>
    <w:rsid w:val="00E90F26"/>
    <w:rPr>
      <w:rFonts w:ascii="Arial" w:hAnsi="Arial"/>
      <w:sz w:val="22"/>
      <w:lang w:val="en-GB"/>
    </w:rPr>
  </w:style>
  <w:style w:type="paragraph" w:customStyle="1" w:styleId="BayerBodyText-left">
    <w:name w:val="Bayer Body Text - left"/>
    <w:basedOn w:val="BayerBodyTextFull"/>
    <w:qFormat/>
    <w:rsid w:val="005F08F0"/>
    <w:pPr>
      <w:ind w:left="0"/>
      <w:jc w:val="center"/>
    </w:pPr>
  </w:style>
  <w:style w:type="paragraph" w:customStyle="1" w:styleId="BayerFootnote">
    <w:name w:val="Bayer Footnote"/>
    <w:basedOn w:val="Normal"/>
    <w:rsid w:val="00450684"/>
    <w:pPr>
      <w:tabs>
        <w:tab w:val="left" w:pos="907"/>
      </w:tabs>
      <w:spacing w:after="60"/>
      <w:ind w:left="907"/>
    </w:pPr>
  </w:style>
  <w:style w:type="paragraph" w:customStyle="1" w:styleId="BayerGuidanceNotes">
    <w:name w:val="Bayer Guidance Notes"/>
    <w:basedOn w:val="Normal"/>
    <w:rsid w:val="00450684"/>
    <w:rPr>
      <w:i/>
      <w:color w:val="0000FF"/>
    </w:rPr>
  </w:style>
  <w:style w:type="paragraph" w:styleId="Caption">
    <w:name w:val="caption"/>
    <w:aliases w:val="Bayer Caption,Bayer Normal Zchn Zchn,NDA,IB Caption,Medical Caption,NDA Char,Bayer Normal Char,Bayer Normal Char Char,Table Caption,Caption-FUSA,Légende eCTD"/>
    <w:basedOn w:val="Normal"/>
    <w:next w:val="Normal"/>
    <w:link w:val="CaptionChar"/>
    <w:qFormat/>
    <w:rsid w:val="00476145"/>
    <w:pPr>
      <w:keepNext/>
      <w:spacing w:before="120" w:after="120"/>
      <w:jc w:val="both"/>
    </w:pPr>
    <w:rPr>
      <w:b/>
      <w:szCs w:val="22"/>
    </w:rPr>
  </w:style>
  <w:style w:type="character" w:customStyle="1" w:styleId="CaptionChar">
    <w:name w:val="Caption Char"/>
    <w:aliases w:val="Bayer Caption Char,Bayer Normal Zchn Zchn Char,NDA Char1,IB Caption Char,Medical Caption Char,NDA Char Char,Bayer Normal Char Char1,Bayer Normal Char Char Char,Table Caption Char,Caption-FUSA Char,Légende eCTD Char"/>
    <w:link w:val="Caption"/>
    <w:locked/>
    <w:rsid w:val="00476145"/>
    <w:rPr>
      <w:rFonts w:ascii="Arial" w:hAnsi="Arial"/>
      <w:b/>
      <w:sz w:val="22"/>
      <w:szCs w:val="22"/>
    </w:rPr>
  </w:style>
  <w:style w:type="paragraph" w:customStyle="1" w:styleId="BayerSASCaption">
    <w:name w:val="Bayer SAS Caption"/>
    <w:basedOn w:val="Caption"/>
    <w:next w:val="Normal"/>
    <w:rsid w:val="00450684"/>
    <w:pPr>
      <w:spacing w:before="0" w:after="0"/>
      <w:ind w:left="1814" w:hanging="907"/>
    </w:pPr>
    <w:rPr>
      <w:rFonts w:ascii="SAS Monospace" w:hAnsi="SAS Monospace"/>
      <w:sz w:val="16"/>
    </w:rPr>
  </w:style>
  <w:style w:type="paragraph" w:customStyle="1" w:styleId="BayerSASMono">
    <w:name w:val="Bayer SAS Mono"/>
    <w:basedOn w:val="Normal"/>
    <w:rsid w:val="00450684"/>
    <w:rPr>
      <w:rFonts w:ascii="SAS Monospace" w:hAnsi="SAS Monospace"/>
      <w:sz w:val="16"/>
      <w:szCs w:val="16"/>
    </w:rPr>
  </w:style>
  <w:style w:type="paragraph" w:customStyle="1" w:styleId="BayerSectionHeading">
    <w:name w:val="Bayer Section Heading"/>
    <w:basedOn w:val="Normal"/>
    <w:next w:val="Normal"/>
    <w:rsid w:val="00450684"/>
    <w:rPr>
      <w:b/>
      <w:sz w:val="28"/>
    </w:rPr>
  </w:style>
  <w:style w:type="paragraph" w:customStyle="1" w:styleId="BayerSubscript">
    <w:name w:val="Bayer Subscript"/>
    <w:basedOn w:val="Normal"/>
    <w:link w:val="BayerSubscriptChar"/>
    <w:rsid w:val="00450684"/>
    <w:rPr>
      <w:vertAlign w:val="subscript"/>
    </w:rPr>
  </w:style>
  <w:style w:type="paragraph" w:customStyle="1" w:styleId="BayerSuperscript">
    <w:name w:val="Bayer Superscript"/>
    <w:basedOn w:val="Normal"/>
    <w:rsid w:val="00450684"/>
    <w:rPr>
      <w:vertAlign w:val="superscript"/>
    </w:rPr>
  </w:style>
  <w:style w:type="paragraph" w:customStyle="1" w:styleId="BayerTableColumnHeadings">
    <w:name w:val="Bayer Table Column Headings"/>
    <w:basedOn w:val="Normal"/>
    <w:rsid w:val="00450684"/>
    <w:pPr>
      <w:jc w:val="center"/>
    </w:pPr>
    <w:rPr>
      <w:b/>
    </w:rPr>
  </w:style>
  <w:style w:type="paragraph" w:customStyle="1" w:styleId="BayerTableStyleRightJustified">
    <w:name w:val="Bayer TableStyle Right Justified"/>
    <w:rsid w:val="00450684"/>
    <w:pPr>
      <w:keepNext/>
      <w:widowControl w:val="0"/>
      <w:jc w:val="right"/>
    </w:pPr>
    <w:rPr>
      <w:rFonts w:ascii="Arial" w:hAnsi="Arial"/>
      <w:lang w:val="en-US" w:eastAsia="en-US"/>
    </w:rPr>
  </w:style>
  <w:style w:type="paragraph" w:customStyle="1" w:styleId="BayerTableFootnote">
    <w:name w:val="Bayer Table Footnote"/>
    <w:basedOn w:val="BayerTableStyleRightJustified"/>
    <w:link w:val="BayerTableFootnoteZchn"/>
    <w:rsid w:val="00450684"/>
    <w:pPr>
      <w:ind w:left="360" w:hanging="360"/>
      <w:jc w:val="left"/>
    </w:pPr>
  </w:style>
  <w:style w:type="character" w:customStyle="1" w:styleId="BayerTableFootnoteZchn">
    <w:name w:val="Bayer Table Footnote Zchn"/>
    <w:link w:val="BayerTableFootnote"/>
    <w:locked/>
    <w:rsid w:val="00450684"/>
    <w:rPr>
      <w:rFonts w:ascii="Arial" w:hAnsi="Arial"/>
      <w:lang w:val="en-US" w:eastAsia="en-US"/>
    </w:rPr>
  </w:style>
  <w:style w:type="paragraph" w:customStyle="1" w:styleId="BayerTableRowHeadings">
    <w:name w:val="Bayer Table Row Headings"/>
    <w:basedOn w:val="BayerTableStyleRightJustified"/>
    <w:rsid w:val="00450684"/>
    <w:pPr>
      <w:jc w:val="left"/>
    </w:pPr>
  </w:style>
  <w:style w:type="table" w:customStyle="1" w:styleId="BayerTableStyle">
    <w:name w:val="Bayer Table Style"/>
    <w:basedOn w:val="TableNormal"/>
    <w:rsid w:val="00450684"/>
    <w:rPr>
      <w:rFonts w:ascii="Arial" w:hAnsi="Arial"/>
    </w:rPr>
    <w:tblPr>
      <w:tblBorders>
        <w:top w:val="single" w:sz="12" w:space="0" w:color="auto"/>
        <w:bottom w:val="single" w:sz="12" w:space="0" w:color="auto"/>
      </w:tblBorders>
    </w:tblPr>
    <w:tblStylePr w:type="firstRow">
      <w:rPr>
        <w:rFonts w:ascii="Arial" w:hAnsi="Arial"/>
        <w:sz w:val="20"/>
      </w:rPr>
      <w:tblPr/>
      <w:tcPr>
        <w:tcBorders>
          <w:top w:val="single" w:sz="12" w:space="0" w:color="auto"/>
          <w:left w:val="nil"/>
          <w:bottom w:val="single" w:sz="6" w:space="0" w:color="auto"/>
          <w:right w:val="nil"/>
          <w:insideH w:val="nil"/>
          <w:insideV w:val="nil"/>
          <w:tl2br w:val="nil"/>
          <w:tr2bl w:val="nil"/>
        </w:tcBorders>
      </w:tcPr>
    </w:tblStylePr>
    <w:tblStylePr w:type="firstCol">
      <w:pPr>
        <w:jc w:val="left"/>
      </w:pPr>
      <w:rPr>
        <w:rFonts w:ascii="Arial" w:hAnsi="Arial"/>
        <w:sz w:val="20"/>
      </w:rPr>
    </w:tblStylePr>
  </w:style>
  <w:style w:type="paragraph" w:customStyle="1" w:styleId="BayerTableStyleCentered">
    <w:name w:val="Bayer TableStyle Centered"/>
    <w:basedOn w:val="Normal"/>
    <w:rsid w:val="00450684"/>
    <w:pPr>
      <w:keepNext/>
      <w:widowControl w:val="0"/>
      <w:jc w:val="center"/>
    </w:pPr>
  </w:style>
  <w:style w:type="paragraph" w:customStyle="1" w:styleId="BayerTableStyleLeftJustified">
    <w:name w:val="Bayer TableStyle Left Justified"/>
    <w:basedOn w:val="Normal"/>
    <w:rsid w:val="00450684"/>
    <w:pPr>
      <w:keepNext/>
      <w:widowControl w:val="0"/>
    </w:pPr>
  </w:style>
  <w:style w:type="paragraph" w:customStyle="1" w:styleId="BayerTRDSource">
    <w:name w:val="Bayer TRD Source"/>
    <w:basedOn w:val="Normal"/>
    <w:next w:val="BayerBodyTextFull"/>
    <w:rsid w:val="00450684"/>
    <w:pPr>
      <w:spacing w:after="120"/>
      <w:ind w:left="1417" w:hanging="992"/>
    </w:pPr>
    <w:rPr>
      <w:i/>
      <w:szCs w:val="22"/>
    </w:rPr>
  </w:style>
  <w:style w:type="paragraph" w:customStyle="1" w:styleId="BayerTRDASectionHeading1">
    <w:name w:val="Bayer TRD_A_Section Heading 1"/>
    <w:basedOn w:val="Heading1"/>
    <w:next w:val="BayerBodyTextFull"/>
    <w:rsid w:val="00450684"/>
    <w:pPr>
      <w:numPr>
        <w:numId w:val="0"/>
      </w:numPr>
      <w:spacing w:before="60" w:after="60"/>
      <w:ind w:left="1134" w:hanging="1134"/>
    </w:pPr>
  </w:style>
  <w:style w:type="paragraph" w:customStyle="1" w:styleId="BayerTRDASectionHeading2">
    <w:name w:val="Bayer TRD_A_Section Heading 2"/>
    <w:basedOn w:val="BayerTRDASectionHeading1"/>
    <w:next w:val="BayerBodyTextFull"/>
    <w:rsid w:val="00450684"/>
    <w:pPr>
      <w:ind w:left="1418"/>
      <w:outlineLvl w:val="1"/>
    </w:pPr>
    <w:rPr>
      <w:b w:val="0"/>
      <w:szCs w:val="24"/>
    </w:rPr>
  </w:style>
  <w:style w:type="paragraph" w:customStyle="1" w:styleId="BayerTRDASectionHeading3">
    <w:name w:val="Bayer TRD_A_Section Heading 3"/>
    <w:basedOn w:val="BayerTRDASectionHeading1"/>
    <w:next w:val="BayerBodyTextFull"/>
    <w:rsid w:val="00450684"/>
    <w:pPr>
      <w:ind w:left="1559"/>
      <w:outlineLvl w:val="2"/>
    </w:pPr>
    <w:rPr>
      <w:b w:val="0"/>
      <w:szCs w:val="24"/>
    </w:rPr>
  </w:style>
  <w:style w:type="paragraph" w:customStyle="1" w:styleId="BayerTRDASectionHeading4">
    <w:name w:val="Bayer TRD_A_Section Heading 4"/>
    <w:basedOn w:val="BayerTRDASectionHeading1"/>
    <w:next w:val="BayerBodyTextFull"/>
    <w:rsid w:val="00450684"/>
    <w:pPr>
      <w:ind w:left="1701"/>
      <w:outlineLvl w:val="3"/>
    </w:pPr>
    <w:rPr>
      <w:b w:val="0"/>
    </w:rPr>
  </w:style>
  <w:style w:type="paragraph" w:customStyle="1" w:styleId="BayerTRDASectionHeading5">
    <w:name w:val="Bayer TRD_A_Section Heading 5"/>
    <w:basedOn w:val="BayerTRDASectionHeading1"/>
    <w:next w:val="BayerBodyTextFull"/>
    <w:rsid w:val="00450684"/>
    <w:pPr>
      <w:ind w:left="1701"/>
      <w:outlineLvl w:val="4"/>
    </w:pPr>
    <w:rPr>
      <w:b w:val="0"/>
    </w:rPr>
  </w:style>
  <w:style w:type="paragraph" w:customStyle="1" w:styleId="BayerXspace">
    <w:name w:val="Bayer Xspace"/>
    <w:basedOn w:val="Normal"/>
    <w:next w:val="BayerBodyTextFull"/>
    <w:rsid w:val="00450684"/>
    <w:rPr>
      <w:sz w:val="8"/>
    </w:rPr>
  </w:style>
  <w:style w:type="paragraph" w:styleId="BlockText">
    <w:name w:val="Block Text"/>
    <w:basedOn w:val="Normal"/>
    <w:rsid w:val="00450684"/>
    <w:pPr>
      <w:spacing w:after="120"/>
      <w:ind w:left="1440" w:right="1440"/>
    </w:pPr>
  </w:style>
  <w:style w:type="paragraph" w:customStyle="1" w:styleId="Body">
    <w:name w:val="Body"/>
    <w:basedOn w:val="Normal"/>
    <w:rsid w:val="00450684"/>
    <w:pPr>
      <w:spacing w:after="110"/>
    </w:pPr>
    <w:rPr>
      <w:rFonts w:ascii="Times New Roman" w:eastAsia="Calibri" w:hAnsi="Times New Roman"/>
      <w:szCs w:val="22"/>
      <w:lang w:val="en-US" w:eastAsia="ja-JP"/>
    </w:rPr>
  </w:style>
  <w:style w:type="paragraph" w:styleId="BodyText">
    <w:name w:val="Body Text"/>
    <w:basedOn w:val="Normal"/>
    <w:link w:val="BodyTextChar"/>
    <w:rsid w:val="00450684"/>
    <w:pPr>
      <w:spacing w:after="120"/>
    </w:pPr>
  </w:style>
  <w:style w:type="character" w:customStyle="1" w:styleId="BodyTextChar">
    <w:name w:val="Body Text Char"/>
    <w:link w:val="BodyText"/>
    <w:rsid w:val="00450684"/>
    <w:rPr>
      <w:rFonts w:ascii="Arial" w:hAnsi="Arial"/>
    </w:rPr>
  </w:style>
  <w:style w:type="character" w:customStyle="1" w:styleId="BodyText2Char">
    <w:name w:val="Body Text 2 Char"/>
    <w:link w:val="BodyText2"/>
    <w:rsid w:val="00450684"/>
    <w:rPr>
      <w:rFonts w:ascii="Arial" w:hAnsi="Arial"/>
    </w:rPr>
  </w:style>
  <w:style w:type="paragraph" w:styleId="BodyTextFirstIndent">
    <w:name w:val="Body Text First Indent"/>
    <w:basedOn w:val="BodyText"/>
    <w:link w:val="BodyTextFirstIndentChar"/>
    <w:rsid w:val="00450684"/>
    <w:pPr>
      <w:ind w:firstLine="210"/>
    </w:pPr>
  </w:style>
  <w:style w:type="character" w:customStyle="1" w:styleId="BodyTextFirstIndentChar">
    <w:name w:val="Body Text First Indent Char"/>
    <w:link w:val="BodyTextFirstIndent"/>
    <w:rsid w:val="00450684"/>
    <w:rPr>
      <w:rFonts w:ascii="Arial" w:hAnsi="Arial"/>
    </w:rPr>
  </w:style>
  <w:style w:type="paragraph" w:styleId="BodyTextIndent">
    <w:name w:val="Body Text Indent"/>
    <w:basedOn w:val="Normal"/>
    <w:link w:val="BodyTextIndentChar"/>
    <w:rsid w:val="00450684"/>
    <w:pPr>
      <w:spacing w:after="120"/>
      <w:ind w:left="283"/>
    </w:pPr>
  </w:style>
  <w:style w:type="character" w:customStyle="1" w:styleId="BodyTextIndentChar">
    <w:name w:val="Body Text Indent Char"/>
    <w:link w:val="BodyTextIndent"/>
    <w:rsid w:val="00450684"/>
    <w:rPr>
      <w:rFonts w:ascii="Arial" w:hAnsi="Arial"/>
    </w:rPr>
  </w:style>
  <w:style w:type="paragraph" w:styleId="BodyTextFirstIndent2">
    <w:name w:val="Body Text First Indent 2"/>
    <w:basedOn w:val="BodyTextIndent"/>
    <w:link w:val="BodyTextFirstIndent2Char"/>
    <w:rsid w:val="00450684"/>
    <w:pPr>
      <w:ind w:firstLine="210"/>
    </w:pPr>
  </w:style>
  <w:style w:type="character" w:customStyle="1" w:styleId="BodyTextFirstIndent2Char">
    <w:name w:val="Body Text First Indent 2 Char"/>
    <w:link w:val="BodyTextFirstIndent2"/>
    <w:rsid w:val="00450684"/>
    <w:rPr>
      <w:rFonts w:ascii="Arial" w:hAnsi="Arial"/>
    </w:rPr>
  </w:style>
  <w:style w:type="paragraph" w:styleId="BodyTextIndent2">
    <w:name w:val="Body Text Indent 2"/>
    <w:basedOn w:val="Normal"/>
    <w:link w:val="BodyTextIndent2Char"/>
    <w:rsid w:val="00450684"/>
    <w:pPr>
      <w:spacing w:after="120" w:line="480" w:lineRule="auto"/>
      <w:ind w:left="283"/>
    </w:pPr>
  </w:style>
  <w:style w:type="character" w:customStyle="1" w:styleId="BodyTextIndent2Char">
    <w:name w:val="Body Text Indent 2 Char"/>
    <w:link w:val="BodyTextIndent2"/>
    <w:rsid w:val="00450684"/>
    <w:rPr>
      <w:rFonts w:ascii="Arial" w:hAnsi="Arial"/>
    </w:rPr>
  </w:style>
  <w:style w:type="paragraph" w:styleId="BodyTextIndent3">
    <w:name w:val="Body Text Indent 3"/>
    <w:basedOn w:val="Normal"/>
    <w:link w:val="BodyTextIndent3Char"/>
    <w:rsid w:val="00450684"/>
    <w:pPr>
      <w:spacing w:after="120"/>
      <w:ind w:left="283"/>
    </w:pPr>
    <w:rPr>
      <w:sz w:val="16"/>
      <w:szCs w:val="16"/>
    </w:rPr>
  </w:style>
  <w:style w:type="character" w:customStyle="1" w:styleId="BodyTextIndent3Char">
    <w:name w:val="Body Text Indent 3 Char"/>
    <w:link w:val="BodyTextIndent3"/>
    <w:rsid w:val="00450684"/>
    <w:rPr>
      <w:rFonts w:ascii="Arial" w:hAnsi="Arial"/>
      <w:sz w:val="16"/>
      <w:szCs w:val="16"/>
    </w:rPr>
  </w:style>
  <w:style w:type="paragraph" w:customStyle="1" w:styleId="BulletBayerBodyText">
    <w:name w:val="Bullet Bayer Body Text"/>
    <w:basedOn w:val="Normal"/>
    <w:rsid w:val="00450684"/>
    <w:pPr>
      <w:numPr>
        <w:numId w:val="5"/>
      </w:numPr>
      <w:tabs>
        <w:tab w:val="left" w:pos="1264"/>
      </w:tabs>
      <w:spacing w:after="120"/>
    </w:pPr>
  </w:style>
  <w:style w:type="paragraph" w:customStyle="1" w:styleId="Bullet2BayerBodyText">
    <w:name w:val="Bullet_2 Bayer Body Text"/>
    <w:basedOn w:val="BulletBayerBodyText"/>
    <w:next w:val="BayerBodyTextFull"/>
    <w:rsid w:val="00450684"/>
    <w:pPr>
      <w:numPr>
        <w:numId w:val="6"/>
      </w:numPr>
      <w:tabs>
        <w:tab w:val="clear" w:pos="1264"/>
      </w:tabs>
    </w:pPr>
  </w:style>
  <w:style w:type="paragraph" w:styleId="Closing">
    <w:name w:val="Closing"/>
    <w:basedOn w:val="Normal"/>
    <w:link w:val="ClosingChar"/>
    <w:rsid w:val="00450684"/>
    <w:pPr>
      <w:ind w:left="4252"/>
    </w:pPr>
  </w:style>
  <w:style w:type="character" w:customStyle="1" w:styleId="ClosingChar">
    <w:name w:val="Closing Char"/>
    <w:link w:val="Closing"/>
    <w:rsid w:val="00450684"/>
    <w:rPr>
      <w:rFonts w:ascii="Arial" w:hAnsi="Arial"/>
    </w:rPr>
  </w:style>
  <w:style w:type="paragraph" w:styleId="Date">
    <w:name w:val="Date"/>
    <w:basedOn w:val="Normal"/>
    <w:next w:val="Normal"/>
    <w:link w:val="DateChar"/>
    <w:rsid w:val="00450684"/>
  </w:style>
  <w:style w:type="character" w:customStyle="1" w:styleId="DateChar">
    <w:name w:val="Date Char"/>
    <w:link w:val="Date"/>
    <w:rsid w:val="00450684"/>
    <w:rPr>
      <w:rFonts w:ascii="Arial" w:hAnsi="Arial"/>
    </w:rPr>
  </w:style>
  <w:style w:type="paragraph" w:styleId="DocumentMap">
    <w:name w:val="Document Map"/>
    <w:basedOn w:val="Normal"/>
    <w:link w:val="DocumentMapChar"/>
    <w:rsid w:val="00450684"/>
    <w:pPr>
      <w:shd w:val="clear" w:color="auto" w:fill="000080"/>
    </w:pPr>
    <w:rPr>
      <w:rFonts w:ascii="Tahoma" w:hAnsi="Tahoma"/>
    </w:rPr>
  </w:style>
  <w:style w:type="character" w:customStyle="1" w:styleId="DocumentMapChar">
    <w:name w:val="Document Map Char"/>
    <w:link w:val="DocumentMap"/>
    <w:rsid w:val="00450684"/>
    <w:rPr>
      <w:rFonts w:ascii="Tahoma" w:hAnsi="Tahoma"/>
      <w:shd w:val="clear" w:color="auto" w:fill="000080"/>
    </w:rPr>
  </w:style>
  <w:style w:type="paragraph" w:styleId="E-mailSignature">
    <w:name w:val="E-mail Signature"/>
    <w:basedOn w:val="Normal"/>
    <w:link w:val="E-mailSignatureChar"/>
    <w:rsid w:val="00450684"/>
  </w:style>
  <w:style w:type="character" w:customStyle="1" w:styleId="E-mailSignatureChar">
    <w:name w:val="E-mail Signature Char"/>
    <w:link w:val="E-mailSignature"/>
    <w:rsid w:val="00450684"/>
    <w:rPr>
      <w:rFonts w:ascii="Arial" w:hAnsi="Arial"/>
    </w:rPr>
  </w:style>
  <w:style w:type="character" w:styleId="Emphasis">
    <w:name w:val="Emphasis"/>
    <w:rsid w:val="00450684"/>
    <w:rPr>
      <w:rFonts w:ascii="Arial" w:hAnsi="Arial"/>
      <w:i/>
      <w:iCs/>
    </w:rPr>
  </w:style>
  <w:style w:type="character" w:styleId="EndnoteReference">
    <w:name w:val="endnote reference"/>
    <w:rsid w:val="00450684"/>
    <w:rPr>
      <w:rFonts w:ascii="Arial" w:hAnsi="Arial"/>
      <w:vertAlign w:val="superscript"/>
    </w:rPr>
  </w:style>
  <w:style w:type="paragraph" w:styleId="EndnoteText">
    <w:name w:val="endnote text"/>
    <w:basedOn w:val="Normal"/>
    <w:link w:val="EndnoteTextChar"/>
    <w:rsid w:val="00450684"/>
  </w:style>
  <w:style w:type="character" w:customStyle="1" w:styleId="EndnoteTextChar">
    <w:name w:val="Endnote Text Char"/>
    <w:link w:val="EndnoteText"/>
    <w:rsid w:val="00450684"/>
    <w:rPr>
      <w:rFonts w:ascii="Arial" w:hAnsi="Arial"/>
    </w:rPr>
  </w:style>
  <w:style w:type="paragraph" w:styleId="EnvelopeAddress">
    <w:name w:val="envelope address"/>
    <w:basedOn w:val="Normal"/>
    <w:rsid w:val="00450684"/>
    <w:pPr>
      <w:framePr w:w="7920" w:h="1980" w:hRule="exact" w:hSpace="180" w:wrap="auto" w:hAnchor="page" w:xAlign="center" w:yAlign="bottom"/>
      <w:ind w:left="2880"/>
    </w:pPr>
    <w:rPr>
      <w:rFonts w:ascii="Cambria" w:hAnsi="Cambria"/>
      <w:szCs w:val="24"/>
    </w:rPr>
  </w:style>
  <w:style w:type="character" w:styleId="FollowedHyperlink">
    <w:name w:val="FollowedHyperlink"/>
    <w:rsid w:val="00450684"/>
    <w:rPr>
      <w:rFonts w:ascii="Arial" w:hAnsi="Arial"/>
      <w:color w:val="800080"/>
      <w:u w:val="single"/>
    </w:rPr>
  </w:style>
  <w:style w:type="character" w:customStyle="1" w:styleId="FooterChar">
    <w:name w:val="Footer Char"/>
    <w:link w:val="Footer"/>
    <w:rsid w:val="00450684"/>
    <w:rPr>
      <w:rFonts w:ascii="Arial" w:hAnsi="Arial"/>
    </w:rPr>
  </w:style>
  <w:style w:type="character" w:styleId="FootnoteReference">
    <w:name w:val="footnote reference"/>
    <w:uiPriority w:val="99"/>
    <w:rsid w:val="00450684"/>
    <w:rPr>
      <w:rFonts w:ascii="Arial" w:hAnsi="Arial"/>
      <w:vertAlign w:val="superscript"/>
    </w:rPr>
  </w:style>
  <w:style w:type="paragraph" w:styleId="FootnoteText">
    <w:name w:val="footnote text"/>
    <w:basedOn w:val="Normal"/>
    <w:link w:val="FootnoteTextChar"/>
    <w:uiPriority w:val="99"/>
    <w:rsid w:val="00450684"/>
  </w:style>
  <w:style w:type="character" w:customStyle="1" w:styleId="FootnoteTextChar">
    <w:name w:val="Footnote Text Char"/>
    <w:link w:val="FootnoteText"/>
    <w:uiPriority w:val="99"/>
    <w:rsid w:val="00450684"/>
    <w:rPr>
      <w:rFonts w:ascii="Arial" w:hAnsi="Arial"/>
    </w:rPr>
  </w:style>
  <w:style w:type="character" w:customStyle="1" w:styleId="Heading4Char">
    <w:name w:val="Heading 4 Char"/>
    <w:aliases w:val="Bayer-Heading 4 Char"/>
    <w:link w:val="Heading4"/>
    <w:rsid w:val="00AC51A2"/>
    <w:rPr>
      <w:rFonts w:ascii="Arial" w:hAnsi="Arial"/>
      <w:i/>
      <w:kern w:val="28"/>
      <w:sz w:val="22"/>
    </w:rPr>
  </w:style>
  <w:style w:type="character" w:styleId="HTMLAcronym">
    <w:name w:val="HTML Acronym"/>
    <w:rsid w:val="00450684"/>
    <w:rPr>
      <w:rFonts w:ascii="Arial" w:hAnsi="Arial"/>
    </w:rPr>
  </w:style>
  <w:style w:type="paragraph" w:styleId="HTMLAddress">
    <w:name w:val="HTML Address"/>
    <w:basedOn w:val="Normal"/>
    <w:link w:val="HTMLAddressChar"/>
    <w:rsid w:val="00450684"/>
    <w:rPr>
      <w:i/>
      <w:iCs/>
    </w:rPr>
  </w:style>
  <w:style w:type="character" w:customStyle="1" w:styleId="HTMLAddressChar">
    <w:name w:val="HTML Address Char"/>
    <w:link w:val="HTMLAddress"/>
    <w:rsid w:val="00450684"/>
    <w:rPr>
      <w:rFonts w:ascii="Arial" w:hAnsi="Arial"/>
      <w:i/>
      <w:iCs/>
    </w:rPr>
  </w:style>
  <w:style w:type="character" w:styleId="HTMLCite">
    <w:name w:val="HTML Cite"/>
    <w:rsid w:val="00450684"/>
    <w:rPr>
      <w:rFonts w:ascii="Arial" w:hAnsi="Arial"/>
      <w:i/>
      <w:iCs/>
    </w:rPr>
  </w:style>
  <w:style w:type="character" w:styleId="HTMLDefinition">
    <w:name w:val="HTML Definition"/>
    <w:rsid w:val="00450684"/>
    <w:rPr>
      <w:rFonts w:ascii="Arial" w:hAnsi="Arial"/>
      <w:i/>
      <w:iCs/>
    </w:rPr>
  </w:style>
  <w:style w:type="character" w:styleId="Hyperlink">
    <w:name w:val="Hyperlink"/>
    <w:uiPriority w:val="99"/>
    <w:rsid w:val="00450684"/>
    <w:rPr>
      <w:rFonts w:ascii="Arial" w:hAnsi="Arial"/>
      <w:color w:val="0000FF"/>
      <w:u w:val="single"/>
    </w:rPr>
  </w:style>
  <w:style w:type="paragraph" w:styleId="Index1">
    <w:name w:val="index 1"/>
    <w:basedOn w:val="Normal"/>
    <w:next w:val="Normal"/>
    <w:autoRedefine/>
    <w:rsid w:val="00450684"/>
    <w:pPr>
      <w:ind w:left="240" w:hanging="240"/>
    </w:pPr>
  </w:style>
  <w:style w:type="paragraph" w:styleId="Index2">
    <w:name w:val="index 2"/>
    <w:basedOn w:val="Normal"/>
    <w:next w:val="Normal"/>
    <w:autoRedefine/>
    <w:rsid w:val="00450684"/>
    <w:pPr>
      <w:ind w:left="480" w:hanging="240"/>
    </w:pPr>
  </w:style>
  <w:style w:type="paragraph" w:styleId="NormalWeb">
    <w:name w:val="Normal (Web)"/>
    <w:basedOn w:val="Normal"/>
    <w:uiPriority w:val="99"/>
    <w:unhideWhenUsed/>
    <w:rsid w:val="00450684"/>
    <w:pPr>
      <w:spacing w:before="100" w:beforeAutospacing="1" w:after="100" w:afterAutospacing="1"/>
    </w:pPr>
    <w:rPr>
      <w:rFonts w:ascii="Times New Roman" w:hAnsi="Times New Roman"/>
      <w:sz w:val="24"/>
      <w:szCs w:val="24"/>
      <w:lang w:val="de-DE" w:eastAsia="de-DE"/>
    </w:rPr>
  </w:style>
  <w:style w:type="paragraph" w:customStyle="1" w:styleId="StyleBayerBodyTextFull105pt">
    <w:name w:val="Style Bayer Body Text Full + 10.5 pt"/>
    <w:basedOn w:val="BayerBodyTextFull"/>
    <w:rsid w:val="00450684"/>
  </w:style>
  <w:style w:type="paragraph" w:customStyle="1" w:styleId="SynopsisLeftColumn">
    <w:name w:val="Synopsis Left Column"/>
    <w:basedOn w:val="Normal"/>
    <w:rsid w:val="00450684"/>
    <w:pPr>
      <w:spacing w:before="120" w:after="120"/>
      <w:jc w:val="right"/>
    </w:pPr>
    <w:rPr>
      <w:b/>
    </w:rPr>
  </w:style>
  <w:style w:type="paragraph" w:customStyle="1" w:styleId="SynopsisRightColumn">
    <w:name w:val="Synopsis Right Column"/>
    <w:basedOn w:val="Normal"/>
    <w:rsid w:val="00450684"/>
    <w:pPr>
      <w:spacing w:before="120" w:after="120"/>
    </w:pPr>
  </w:style>
  <w:style w:type="paragraph" w:customStyle="1" w:styleId="TableColumnHeadingCentre">
    <w:name w:val="Table Column Heading Centre"/>
    <w:basedOn w:val="Normal"/>
    <w:rsid w:val="00450684"/>
    <w:pPr>
      <w:jc w:val="center"/>
    </w:pPr>
    <w:rPr>
      <w:rFonts w:ascii="Times New Roman" w:hAnsi="Times New Roman"/>
      <w:b/>
      <w:szCs w:val="24"/>
      <w:lang w:val="en-CA" w:eastAsia="en-US"/>
    </w:rPr>
  </w:style>
  <w:style w:type="paragraph" w:customStyle="1" w:styleId="TableRowHeadingLeft">
    <w:name w:val="Table Row Heading Left"/>
    <w:basedOn w:val="Normal"/>
    <w:rsid w:val="00450684"/>
    <w:rPr>
      <w:rFonts w:ascii="Times New Roman" w:hAnsi="Times New Roman"/>
      <w:szCs w:val="24"/>
      <w:lang w:val="en-CA" w:eastAsia="en-US"/>
    </w:rPr>
  </w:style>
  <w:style w:type="paragraph" w:customStyle="1" w:styleId="TableDataCentre">
    <w:name w:val="Table Data Centre"/>
    <w:basedOn w:val="TableRowHeadingLeft"/>
    <w:rsid w:val="00450684"/>
    <w:pPr>
      <w:jc w:val="center"/>
    </w:pPr>
  </w:style>
  <w:style w:type="paragraph" w:customStyle="1" w:styleId="TableStyleColumnHeadings">
    <w:name w:val="Table Style Column Headings"/>
    <w:basedOn w:val="Normal"/>
    <w:rsid w:val="00450684"/>
    <w:pPr>
      <w:jc w:val="center"/>
    </w:pPr>
    <w:rPr>
      <w:rFonts w:ascii="Times New Roman Bold" w:hAnsi="Times New Roman Bold"/>
      <w:b/>
      <w:lang w:val="en-US" w:eastAsia="en-US"/>
    </w:rPr>
  </w:style>
  <w:style w:type="paragraph" w:customStyle="1" w:styleId="TableStyleFootnote">
    <w:name w:val="Table Style Footnote"/>
    <w:basedOn w:val="Normal"/>
    <w:rsid w:val="00450684"/>
    <w:pPr>
      <w:keepNext/>
      <w:widowControl w:val="0"/>
      <w:ind w:left="360" w:hanging="360"/>
    </w:pPr>
    <w:rPr>
      <w:rFonts w:ascii="Times New Roman" w:hAnsi="Times New Roman"/>
      <w:lang w:val="en-US" w:eastAsia="en-US"/>
    </w:rPr>
  </w:style>
  <w:style w:type="paragraph" w:styleId="TOC1">
    <w:name w:val="toc 1"/>
    <w:basedOn w:val="Normal"/>
    <w:next w:val="Normal"/>
    <w:autoRedefine/>
    <w:rsid w:val="00450684"/>
    <w:pPr>
      <w:tabs>
        <w:tab w:val="right" w:leader="dot" w:pos="9356"/>
      </w:tabs>
      <w:ind w:left="425" w:hanging="425"/>
    </w:pPr>
  </w:style>
  <w:style w:type="paragraph" w:styleId="TOC2">
    <w:name w:val="toc 2"/>
    <w:basedOn w:val="TOC1"/>
    <w:next w:val="Normal"/>
    <w:autoRedefine/>
    <w:rsid w:val="00450684"/>
    <w:pPr>
      <w:ind w:left="879" w:hanging="652"/>
    </w:pPr>
  </w:style>
  <w:style w:type="paragraph" w:styleId="TOC3">
    <w:name w:val="toc 3"/>
    <w:basedOn w:val="TOC1"/>
    <w:next w:val="Normal"/>
    <w:autoRedefine/>
    <w:rsid w:val="00450684"/>
    <w:pPr>
      <w:ind w:left="1333" w:hanging="879"/>
    </w:pPr>
  </w:style>
  <w:style w:type="paragraph" w:styleId="TOC4">
    <w:name w:val="toc 4"/>
    <w:basedOn w:val="TOC1"/>
    <w:next w:val="Normal"/>
    <w:autoRedefine/>
    <w:rsid w:val="00450684"/>
    <w:pPr>
      <w:ind w:left="1786" w:hanging="1106"/>
    </w:pPr>
  </w:style>
  <w:style w:type="paragraph" w:styleId="TOC5">
    <w:name w:val="toc 5"/>
    <w:basedOn w:val="TOC1"/>
    <w:next w:val="Normal"/>
    <w:autoRedefine/>
    <w:rsid w:val="00450684"/>
    <w:pPr>
      <w:ind w:left="2239" w:hanging="1332"/>
    </w:pPr>
  </w:style>
  <w:style w:type="paragraph" w:styleId="TOC6">
    <w:name w:val="toc 6"/>
    <w:basedOn w:val="Normal"/>
    <w:next w:val="Normal"/>
    <w:autoRedefine/>
    <w:rsid w:val="00450684"/>
    <w:pPr>
      <w:tabs>
        <w:tab w:val="left" w:pos="2520"/>
        <w:tab w:val="right" w:leader="dot" w:pos="9029"/>
      </w:tabs>
      <w:ind w:left="878"/>
    </w:pPr>
  </w:style>
  <w:style w:type="paragraph" w:styleId="TOC7">
    <w:name w:val="toc 7"/>
    <w:basedOn w:val="Normal"/>
    <w:next w:val="Normal"/>
    <w:autoRedefine/>
    <w:rsid w:val="00450684"/>
    <w:pPr>
      <w:tabs>
        <w:tab w:val="left" w:pos="3067"/>
        <w:tab w:val="right" w:leader="dot" w:pos="9029"/>
      </w:tabs>
      <w:ind w:left="878"/>
    </w:pPr>
  </w:style>
  <w:style w:type="character" w:customStyle="1" w:styleId="CommentTextChar">
    <w:name w:val="Comment Text Char"/>
    <w:link w:val="CommentText"/>
    <w:rsid w:val="003B731D"/>
    <w:rPr>
      <w:rFonts w:ascii="Arial" w:hAnsi="Arial"/>
    </w:rPr>
  </w:style>
  <w:style w:type="character" w:customStyle="1" w:styleId="BayerBodyTextFullChar">
    <w:name w:val="Bayer Body Text Full Char"/>
    <w:rsid w:val="00DB7719"/>
    <w:rPr>
      <w:sz w:val="24"/>
      <w:lang w:val="en-US" w:eastAsia="en-US" w:bidi="ar-SA"/>
    </w:rPr>
  </w:style>
  <w:style w:type="paragraph" w:customStyle="1" w:styleId="BulletIndent1">
    <w:name w:val="Bullet Indent 1"/>
    <w:basedOn w:val="Normal"/>
    <w:rsid w:val="00DB7719"/>
    <w:pPr>
      <w:numPr>
        <w:numId w:val="8"/>
      </w:numPr>
      <w:spacing w:line="260" w:lineRule="exact"/>
    </w:pPr>
    <w:rPr>
      <w:rFonts w:ascii="Times New Roman" w:hAnsi="Times New Roman"/>
      <w:lang w:val="en-GB" w:eastAsia="en-US"/>
    </w:rPr>
  </w:style>
  <w:style w:type="paragraph" w:styleId="Quote">
    <w:name w:val="Quote"/>
    <w:basedOn w:val="Normal"/>
    <w:next w:val="Normal"/>
    <w:link w:val="QuoteChar"/>
    <w:uiPriority w:val="29"/>
    <w:qFormat/>
    <w:rsid w:val="00DB7719"/>
    <w:rPr>
      <w:i/>
      <w:iCs/>
      <w:color w:val="000000"/>
    </w:rPr>
  </w:style>
  <w:style w:type="character" w:customStyle="1" w:styleId="QuoteChar">
    <w:name w:val="Quote Char"/>
    <w:link w:val="Quote"/>
    <w:uiPriority w:val="29"/>
    <w:rsid w:val="00DB7719"/>
    <w:rPr>
      <w:rFonts w:ascii="Arial" w:hAnsi="Arial"/>
      <w:i/>
      <w:iCs/>
      <w:color w:val="000000"/>
    </w:rPr>
  </w:style>
  <w:style w:type="paragraph" w:customStyle="1" w:styleId="BayerBodytext">
    <w:name w:val="Bayer Body text"/>
    <w:basedOn w:val="Normal"/>
    <w:rsid w:val="004C2A46"/>
    <w:pPr>
      <w:widowControl w:val="0"/>
      <w:adjustRightInd w:val="0"/>
      <w:spacing w:after="240" w:line="360" w:lineRule="auto"/>
      <w:ind w:left="907"/>
      <w:jc w:val="both"/>
      <w:textAlignment w:val="baseline"/>
    </w:pPr>
    <w:rPr>
      <w:rFonts w:ascii="Times New Roman" w:hAnsi="Times New Roman"/>
      <w:sz w:val="24"/>
      <w:lang w:val="en-US" w:eastAsia="de-DE"/>
    </w:rPr>
  </w:style>
  <w:style w:type="character" w:customStyle="1" w:styleId="Heading2Char">
    <w:name w:val="Heading 2 Char"/>
    <w:aliases w:val="Bayer-Heading 2 Char"/>
    <w:link w:val="Heading2"/>
    <w:rsid w:val="00321F19"/>
    <w:rPr>
      <w:rFonts w:ascii="Arial" w:hAnsi="Arial"/>
      <w:b/>
      <w:caps/>
      <w:kern w:val="28"/>
      <w:sz w:val="24"/>
    </w:rPr>
  </w:style>
  <w:style w:type="character" w:customStyle="1" w:styleId="txtnrm1">
    <w:name w:val="txtnrm1"/>
    <w:rsid w:val="004C2A46"/>
    <w:rPr>
      <w:rFonts w:ascii="Arial" w:hAnsi="Arial" w:cs="Arial" w:hint="default"/>
      <w:sz w:val="18"/>
      <w:szCs w:val="18"/>
    </w:rPr>
  </w:style>
  <w:style w:type="character" w:customStyle="1" w:styleId="BayerSubscriptChar">
    <w:name w:val="Bayer Subscript Char"/>
    <w:link w:val="BayerSubscript"/>
    <w:rsid w:val="004C2A46"/>
    <w:rPr>
      <w:rFonts w:ascii="Arial" w:hAnsi="Arial"/>
      <w:vertAlign w:val="subscript"/>
    </w:rPr>
  </w:style>
  <w:style w:type="table" w:customStyle="1" w:styleId="TableGrid1">
    <w:name w:val="Table Grid1"/>
    <w:basedOn w:val="TableNormal"/>
    <w:next w:val="TableGrid"/>
    <w:rsid w:val="004C2A4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dyTextChar">
    <w:name w:val="Normal Body Text Char"/>
    <w:link w:val="NormalBodyText"/>
    <w:locked/>
    <w:rsid w:val="004C2A46"/>
  </w:style>
  <w:style w:type="paragraph" w:customStyle="1" w:styleId="NormalBodyText">
    <w:name w:val="Normal Body Text"/>
    <w:basedOn w:val="Normal"/>
    <w:link w:val="NormalBodyTextChar"/>
    <w:rsid w:val="004C2A46"/>
    <w:pPr>
      <w:spacing w:before="120" w:after="120"/>
    </w:pPr>
    <w:rPr>
      <w:rFonts w:ascii="Times New Roman" w:hAnsi="Times New Roman"/>
    </w:rPr>
  </w:style>
  <w:style w:type="paragraph" w:styleId="Revision">
    <w:name w:val="Revision"/>
    <w:hidden/>
    <w:uiPriority w:val="99"/>
    <w:semiHidden/>
    <w:rsid w:val="004C2A46"/>
    <w:rPr>
      <w:sz w:val="24"/>
      <w:szCs w:val="24"/>
      <w:lang w:val="en-GB" w:eastAsia="en-US"/>
    </w:rPr>
  </w:style>
  <w:style w:type="paragraph" w:customStyle="1" w:styleId="BulletIndent4">
    <w:name w:val="Bullet Indent 4 (•)"/>
    <w:rsid w:val="004C2A46"/>
    <w:pPr>
      <w:numPr>
        <w:numId w:val="12"/>
      </w:numPr>
      <w:spacing w:after="120"/>
      <w:jc w:val="both"/>
    </w:pPr>
    <w:rPr>
      <w:sz w:val="24"/>
      <w:lang w:val="en-US" w:eastAsia="en-US"/>
    </w:rPr>
  </w:style>
  <w:style w:type="paragraph" w:styleId="ListParagraph">
    <w:name w:val="List Paragraph"/>
    <w:basedOn w:val="Normal"/>
    <w:uiPriority w:val="34"/>
    <w:qFormat/>
    <w:rsid w:val="004C2A46"/>
    <w:pPr>
      <w:ind w:left="720"/>
    </w:pPr>
    <w:rPr>
      <w:rFonts w:ascii="Calibri" w:eastAsia="Calibri" w:hAnsi="Calibri" w:cs="Calibri"/>
      <w:szCs w:val="22"/>
      <w:lang w:eastAsia="en-US"/>
    </w:rPr>
  </w:style>
  <w:style w:type="paragraph" w:customStyle="1" w:styleId="TableParagraph">
    <w:name w:val="Table Paragraph"/>
    <w:basedOn w:val="Normal"/>
    <w:uiPriority w:val="1"/>
    <w:qFormat/>
    <w:rsid w:val="00FB47C2"/>
    <w:pPr>
      <w:widowControl w:val="0"/>
    </w:pPr>
    <w:rPr>
      <w:rFonts w:asciiTheme="minorHAnsi" w:eastAsiaTheme="minorHAnsi" w:hAnsiTheme="minorHAnsi" w:cstheme="minorBidi"/>
      <w:szCs w:val="22"/>
      <w:lang w:val="en-US" w:eastAsia="en-US"/>
    </w:rPr>
  </w:style>
  <w:style w:type="paragraph" w:styleId="TableofFigures">
    <w:name w:val="table of figures"/>
    <w:basedOn w:val="Normal"/>
    <w:next w:val="Normal"/>
    <w:uiPriority w:val="99"/>
    <w:rsid w:val="00326EA4"/>
  </w:style>
  <w:style w:type="character" w:customStyle="1" w:styleId="HeaderChar">
    <w:name w:val="Header Char"/>
    <w:basedOn w:val="DefaultParagraphFont"/>
    <w:link w:val="Header"/>
    <w:uiPriority w:val="99"/>
    <w:rsid w:val="0022281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658554">
      <w:bodyDiv w:val="1"/>
      <w:marLeft w:val="0"/>
      <w:marRight w:val="0"/>
      <w:marTop w:val="0"/>
      <w:marBottom w:val="0"/>
      <w:divBdr>
        <w:top w:val="none" w:sz="0" w:space="0" w:color="auto"/>
        <w:left w:val="none" w:sz="0" w:space="0" w:color="auto"/>
        <w:bottom w:val="none" w:sz="0" w:space="0" w:color="auto"/>
        <w:right w:val="none" w:sz="0" w:space="0" w:color="auto"/>
      </w:divBdr>
    </w:div>
    <w:div w:id="1056203212">
      <w:bodyDiv w:val="1"/>
      <w:marLeft w:val="0"/>
      <w:marRight w:val="0"/>
      <w:marTop w:val="0"/>
      <w:marBottom w:val="0"/>
      <w:divBdr>
        <w:top w:val="none" w:sz="0" w:space="0" w:color="auto"/>
        <w:left w:val="none" w:sz="0" w:space="0" w:color="auto"/>
        <w:bottom w:val="none" w:sz="0" w:space="0" w:color="auto"/>
        <w:right w:val="none" w:sz="0" w:space="0" w:color="auto"/>
      </w:divBdr>
    </w:div>
    <w:div w:id="19622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www.tga.gov.au/reporting-problems" TargetMode="External"/><Relationship Id="rId23" Type="http://schemas.openxmlformats.org/officeDocument/2006/relationships/image" Target="media/image2.wmf"/><Relationship Id="rId28" Type="http://schemas.openxmlformats.org/officeDocument/2006/relationships/footer" Target="footer5.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png"/><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SharedContentType xmlns="Microsoft.SharePoint.Taxonomy.ContentTypeSync" SourceId="7c593367-9bb5-4764-945e-f6a26d2260c4" ContentTypeId="0x0101" PreviousValue="fals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ort_x0020_Order xmlns="ebdafc89-06b6-430d-b972-b3767ba7874f">60</Sort_x0020_Order>
    <Doc_x0020_Purpose xmlns="ebdafc89-06b6-430d-b972-b3767ba7874f">Released</Doc_x0020_Purpose>
    <Quality_x0020_Type xmlns="ebdafc89-06b6-430d-b972-b3767ba7874f">BP</Quality_x0020_Type>
    <Comments xmlns="62a9a10a-3247-4c38-ade2-f656ad35cdfd" xsi:nil="true"/>
    <TaxCatchAll xmlns="e941b624-166c-4987-9ed6-d539972f16a8">
      <Value>1</Value>
    </TaxCatchAll>
    <Status xmlns="ebdafc89-06b6-430d-b972-b3767ba7874f">Effective</Status>
    <Reference_x0020_No_x002e__x0020__x002f__x0020_Identifier xmlns="ebdafc89-06b6-430d-b972-b3767ba7874f">ANZ-OI-003-BPD</Reference_x0020_No_x002e__x0020__x002f__x0020_Identifier>
    <QSD_x0020_Ver_x002e_ xmlns="62a9a10a-3247-4c38-ade2-f656ad35cdfd" xsi:nil="true"/>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Short-Term</TermName>
          <TermId xmlns="http://schemas.microsoft.com/office/infopath/2007/PartnerControls">6d967203-8346-4b9c-90f8-b3828a3fa508</TermId>
        </TermInfo>
      </Terms>
    </gbbd9102adcd43839cd73b51972a464c>
    <Review_x0020_Date xmlns="ebdafc89-06b6-430d-b972-b3767ba7874f">2017-08-31T14:00:00+00:00</Review_x0020_Date>
    <Effective_x0020_Date xmlns="62a9a10a-3247-4c38-ade2-f656ad35cdfd">2015-08-31T14:00:00+00:00</Effective_x0020_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2030142797C84E8776B2A12B80FA54" ma:contentTypeVersion="15" ma:contentTypeDescription="Create a new document." ma:contentTypeScope="" ma:versionID="c1b633c79839253831ee05073943546e">
  <xsd:schema xmlns:xsd="http://www.w3.org/2001/XMLSchema" xmlns:xs="http://www.w3.org/2001/XMLSchema" xmlns:p="http://schemas.microsoft.com/office/2006/metadata/properties" xmlns:ns1="http://schemas.microsoft.com/sharepoint/v3" xmlns:ns2="e941b624-166c-4987-9ed6-d539972f16a8" xmlns:ns3="ebdafc89-06b6-430d-b972-b3767ba7874f" xmlns:ns4="62a9a10a-3247-4c38-ade2-f656ad35cdfd" xmlns:ns5="b5647cf4-06b1-43f0-b1e3-8226c5e31ab4" targetNamespace="http://schemas.microsoft.com/office/2006/metadata/properties" ma:root="true" ma:fieldsID="4068fb3a2ed0d3734a0edc34d939e734" ns1:_="" ns2:_="" ns3:_="" ns4:_="" ns5:_="">
    <xsd:import namespace="http://schemas.microsoft.com/sharepoint/v3"/>
    <xsd:import namespace="e941b624-166c-4987-9ed6-d539972f16a8"/>
    <xsd:import namespace="ebdafc89-06b6-430d-b972-b3767ba7874f"/>
    <xsd:import namespace="62a9a10a-3247-4c38-ade2-f656ad35cdfd"/>
    <xsd:import namespace="b5647cf4-06b1-43f0-b1e3-8226c5e31ab4"/>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Quality_x0020_Type" minOccurs="0"/>
                <xsd:element ref="ns3:Status" minOccurs="0"/>
                <xsd:element ref="ns3:Doc_x0020_Purpose" minOccurs="0"/>
                <xsd:element ref="ns3:Review_x0020_Date" minOccurs="0"/>
                <xsd:element ref="ns3:Reference_x0020_No_x002e__x0020__x002f__x0020_Identifier" minOccurs="0"/>
                <xsd:element ref="ns3:Sort_x0020_Order"/>
                <xsd:element ref="ns4:Effective_x0020_Date" minOccurs="0"/>
                <xsd:element ref="ns5:_dlc_DocId" minOccurs="0"/>
                <xsd:element ref="ns5:_dlc_DocIdUrl" minOccurs="0"/>
                <xsd:element ref="ns5:_dlc_DocIdPersistId" minOccurs="0"/>
                <xsd:element ref="ns4:Comments" minOccurs="0"/>
                <xsd:element ref="ns4:QSD_x0020_Ve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e9b36b4f-26ab-4e3e-a976-9d786c30e454}" ma:internalName="TaxCatchAll" ma:showField="CatchAllData"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e9b36b4f-26ab-4e3e-a976-9d786c30e454}" ma:internalName="TaxCatchAllLabel" ma:readOnly="true" ma:showField="CatchAllDataLabel"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nillable="true" ma:taxonomy="true" ma:internalName="gbbd9102adcd43839cd73b51972a464c" ma:taxonomyFieldName="DataClassBayerRetention" ma:displayName="Data Class"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dafc89-06b6-430d-b972-b3767ba7874f" elementFormDefault="qualified">
    <xsd:import namespace="http://schemas.microsoft.com/office/2006/documentManagement/types"/>
    <xsd:import namespace="http://schemas.microsoft.com/office/infopath/2007/PartnerControls"/>
    <xsd:element name="Quality_x0020_Type" ma:index="15" nillable="true" ma:displayName="Quality Type" ma:default="OI" ma:format="Dropdown" ma:internalName="Quality_x0020_Type">
      <xsd:simpleType>
        <xsd:restriction base="dms:Choice">
          <xsd:enumeration value="OI"/>
          <xsd:enumeration value="SOP"/>
          <xsd:enumeration value="BP"/>
          <xsd:enumeration value="SUPP"/>
        </xsd:restriction>
      </xsd:simpleType>
    </xsd:element>
    <xsd:element name="Status" ma:index="16" nillable="true" ma:displayName="Status" ma:format="Dropdown" ma:internalName="Status">
      <xsd:simpleType>
        <xsd:restriction base="dms:Choice">
          <xsd:enumeration value="Effective"/>
          <xsd:enumeration value="Draft"/>
          <xsd:enumeration value="Cancelled-Superseded"/>
        </xsd:restriction>
      </xsd:simpleType>
    </xsd:element>
    <xsd:element name="Doc_x0020_Purpose" ma:index="17" nillable="true" ma:displayName="Doc Purpose" ma:format="Dropdown" ma:internalName="Doc_x0020_Purpose">
      <xsd:simpleType>
        <xsd:restriction base="dms:Choice">
          <xsd:enumeration value="Released"/>
          <xsd:enumeration value="Source file"/>
        </xsd:restriction>
      </xsd:simpleType>
    </xsd:element>
    <xsd:element name="Review_x0020_Date" ma:index="18" nillable="true" ma:displayName="Due for Review" ma:format="DateOnly" ma:internalName="Review_x0020_Date">
      <xsd:simpleType>
        <xsd:restriction base="dms:DateTime"/>
      </xsd:simpleType>
    </xsd:element>
    <xsd:element name="Reference_x0020_No_x002e__x0020__x002f__x0020_Identifier" ma:index="19" nillable="true" ma:displayName="Reference No. / Identifier" ma:internalName="Reference_x0020_No_x002e__x0020__x002f__x0020_Identifier">
      <xsd:simpleType>
        <xsd:restriction base="dms:Text">
          <xsd:maxLength value="255"/>
        </xsd:restriction>
      </xsd:simpleType>
    </xsd:element>
    <xsd:element name="Sort_x0020_Order" ma:index="20" ma:displayName="Sort Order" ma:decimals="0" ma:internalName="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a9a10a-3247-4c38-ade2-f656ad35cdfd" elementFormDefault="qualified">
    <xsd:import namespace="http://schemas.microsoft.com/office/2006/documentManagement/types"/>
    <xsd:import namespace="http://schemas.microsoft.com/office/infopath/2007/PartnerControls"/>
    <xsd:element name="Effective_x0020_Date" ma:index="21" nillable="true" ma:displayName="Effective Date" ma:format="DateOnly" ma:internalName="Effective_x0020_Date">
      <xsd:simpleType>
        <xsd:restriction base="dms:DateTime"/>
      </xsd:simpleType>
    </xsd:element>
    <xsd:element name="Comments" ma:index="25" nillable="true" ma:displayName="Comments" ma:internalName="Comments">
      <xsd:simpleType>
        <xsd:restriction base="dms:Note">
          <xsd:maxLength value="255"/>
        </xsd:restriction>
      </xsd:simpleType>
    </xsd:element>
    <xsd:element name="QSD_x0020_Ver_x002e_" ma:index="26" nillable="true" ma:displayName="QSD Ver." ma:decimals="1" ma:internalName="QSD_x0020_Ver_x002e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5647cf4-06b1-43f0-b1e3-8226c5e31ab4"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Document</p:Name>
  <p:Description/>
  <p:Statement/>
  <p:PolicyItems>
    <p:PolicyItem featureId="Microsoft.Office.RecordsManagement.PolicyFeatures.Expiration" staticId="0x0101|-808862586" UniqueId="e02ead53-42f1-4ec7-b9ae-218d6d0317c3">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Skip"/>
              </data>
            </stages>
          </Schedule>
        </Schedules>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07E16-F437-4F12-9900-B4A43A5DE989}">
  <ds:schemaRefs>
    <ds:schemaRef ds:uri="http://schemas.microsoft.com/sharepoint/events"/>
  </ds:schemaRefs>
</ds:datastoreItem>
</file>

<file path=customXml/itemProps2.xml><?xml version="1.0" encoding="utf-8"?>
<ds:datastoreItem xmlns:ds="http://schemas.openxmlformats.org/officeDocument/2006/customXml" ds:itemID="{A99FB6F6-BC0C-4184-A015-0AD0F54D6716}">
  <ds:schemaRefs>
    <ds:schemaRef ds:uri="Microsoft.SharePoint.Taxonomy.ContentTypeSync"/>
  </ds:schemaRefs>
</ds:datastoreItem>
</file>

<file path=customXml/itemProps3.xml><?xml version="1.0" encoding="utf-8"?>
<ds:datastoreItem xmlns:ds="http://schemas.openxmlformats.org/officeDocument/2006/customXml" ds:itemID="{E04786C5-D829-4512-A732-365E8B7497B9}">
  <ds:schemaRefs>
    <ds:schemaRef ds:uri="http://schemas.microsoft.com/office/2006/metadata/longProperties"/>
  </ds:schemaRefs>
</ds:datastoreItem>
</file>

<file path=customXml/itemProps4.xml><?xml version="1.0" encoding="utf-8"?>
<ds:datastoreItem xmlns:ds="http://schemas.openxmlformats.org/officeDocument/2006/customXml" ds:itemID="{C8CB68B3-F6AC-4FE5-A902-ED21E13E886D}">
  <ds:schemaRefs>
    <ds:schemaRef ds:uri="http://purl.org/dc/terms/"/>
    <ds:schemaRef ds:uri="http://schemas.openxmlformats.org/package/2006/metadata/core-properties"/>
    <ds:schemaRef ds:uri="http://purl.org/dc/dcmitype/"/>
    <ds:schemaRef ds:uri="ebdafc89-06b6-430d-b972-b3767ba7874f"/>
    <ds:schemaRef ds:uri="http://schemas.microsoft.com/office/infopath/2007/PartnerControls"/>
    <ds:schemaRef ds:uri="62a9a10a-3247-4c38-ade2-f656ad35cdfd"/>
    <ds:schemaRef ds:uri="http://purl.org/dc/elements/1.1/"/>
    <ds:schemaRef ds:uri="http://schemas.microsoft.com/office/2006/metadata/properties"/>
    <ds:schemaRef ds:uri="http://schemas.microsoft.com/office/2006/documentManagement/types"/>
    <ds:schemaRef ds:uri="http://schemas.microsoft.com/sharepoint/v3"/>
    <ds:schemaRef ds:uri="b5647cf4-06b1-43f0-b1e3-8226c5e31ab4"/>
    <ds:schemaRef ds:uri="e941b624-166c-4987-9ed6-d539972f16a8"/>
    <ds:schemaRef ds:uri="http://www.w3.org/XML/1998/namespace"/>
  </ds:schemaRefs>
</ds:datastoreItem>
</file>

<file path=customXml/itemProps5.xml><?xml version="1.0" encoding="utf-8"?>
<ds:datastoreItem xmlns:ds="http://schemas.openxmlformats.org/officeDocument/2006/customXml" ds:itemID="{A4C74EFC-F1E8-4FA6-B684-4A4792E2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ebdafc89-06b6-430d-b972-b3767ba7874f"/>
    <ds:schemaRef ds:uri="62a9a10a-3247-4c38-ade2-f656ad35cdfd"/>
    <ds:schemaRef ds:uri="b5647cf4-06b1-43f0-b1e3-8226c5e31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B15EF2-0722-476C-9ACB-C7729B9C1664}">
  <ds:schemaRefs>
    <ds:schemaRef ds:uri="office.server.policy"/>
  </ds:schemaRefs>
</ds:datastoreItem>
</file>

<file path=customXml/itemProps7.xml><?xml version="1.0" encoding="utf-8"?>
<ds:datastoreItem xmlns:ds="http://schemas.openxmlformats.org/officeDocument/2006/customXml" ds:itemID="{9604E310-9F12-4DC8-900E-73CBE55B77CB}">
  <ds:schemaRefs>
    <ds:schemaRef ds:uri="http://schemas.microsoft.com/sharepoint/v3/contenttype/forms"/>
  </ds:schemaRefs>
</ds:datastoreItem>
</file>

<file path=customXml/itemProps8.xml><?xml version="1.0" encoding="utf-8"?>
<ds:datastoreItem xmlns:ds="http://schemas.openxmlformats.org/officeDocument/2006/customXml" ds:itemID="{DD1926DE-04C6-48BC-BD9E-A6D5DC13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20170</Words>
  <Characters>113358</Characters>
  <Application>Microsoft Office Word</Application>
  <DocSecurity>0</DocSecurity>
  <Lines>3908</Lines>
  <Paragraphs>2153</Paragraphs>
  <ScaleCrop>false</ScaleCrop>
  <HeadingPairs>
    <vt:vector size="2" baseType="variant">
      <vt:variant>
        <vt:lpstr>Title</vt:lpstr>
      </vt:variant>
      <vt:variant>
        <vt:i4>1</vt:i4>
      </vt:variant>
    </vt:vector>
  </HeadingPairs>
  <TitlesOfParts>
    <vt:vector size="1" baseType="lpstr">
      <vt:lpstr>Attachment: Product Information: Rivaroxaban</vt:lpstr>
    </vt:vector>
  </TitlesOfParts>
  <Company/>
  <LinksUpToDate>false</LinksUpToDate>
  <CharactersWithSpaces>131375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Rivaroxaban</dc:title>
  <cp:lastPrinted>2018-12-21T03:29:00Z</cp:lastPrinted>
  <dcterms:created xsi:type="dcterms:W3CDTF">2019-10-30T02:22:00Z</dcterms:created>
  <dcterms:modified xsi:type="dcterms:W3CDTF">2019-10-30T02:27:00Z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ClassBayerRetention">
    <vt:lpwstr>1;#Short-Term|6d967203-8346-4b9c-90f8-b3828a3fa508</vt:lpwstr>
  </property>
  <property fmtid="{D5CDD505-2E9C-101B-9397-08002B2CF9AE}" pid="3" name="_dlc_ExpireDate">
    <vt:lpwstr>2019-07-19T07:39:59Z</vt:lpwstr>
  </property>
  <property fmtid="{D5CDD505-2E9C-101B-9397-08002B2CF9AE}" pid="4" name="_dlc_DocId">
    <vt:lpwstr>QWXPN24VAEQZ-116-97</vt:lpwstr>
  </property>
  <property fmtid="{D5CDD505-2E9C-101B-9397-08002B2CF9AE}" pid="5" name="_dlc_DocIdItemGuid">
    <vt:lpwstr>12a7c5be-ce1e-4b3f-bba4-7da31021921d</vt:lpwstr>
  </property>
  <property fmtid="{D5CDD505-2E9C-101B-9397-08002B2CF9AE}" pid="6" name="_dlc_DocIdUrl">
    <vt:lpwstr>http://sp-coll-bhc.ap.bayer.cnb/sites/200134/RA%20Restricted/_layouts/15/DocIdRedir.aspx?ID=QWXPN24VAEQZ-116-97, QWXPN24VAEQZ-116-97</vt:lpwstr>
  </property>
  <property fmtid="{D5CDD505-2E9C-101B-9397-08002B2CF9AE}" pid="7" name="ItemRetentionFormula">
    <vt:lpwstr>&lt;formula id="Bayer SharePoint Retention Policy 2.1" /&gt;</vt:lpwstr>
  </property>
  <property fmtid="{D5CDD505-2E9C-101B-9397-08002B2CF9AE}" pid="8" name="_dlc_policyId">
    <vt:lpwstr>0x0101|-2126682137</vt:lpwstr>
  </property>
</Properties>
</file>